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emf" ContentType="image/x-emf"/>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F8F6C4">
      <w:pPr>
        <w:rPr>
          <w:rFonts w:hint="eastAsia" w:ascii="仿宋_GB2312" w:hAnsi="仿宋_GB2312" w:eastAsia="仿宋_GB2312" w:cs="仿宋_GB2312"/>
          <w:color w:val="auto"/>
          <w:sz w:val="36"/>
          <w:szCs w:val="36"/>
        </w:rPr>
      </w:pPr>
    </w:p>
    <w:p w14:paraId="55997949">
      <w:pPr>
        <w:rPr>
          <w:rFonts w:hint="eastAsia" w:ascii="仿宋_GB2312" w:hAnsi="仿宋_GB2312" w:eastAsia="仿宋_GB2312" w:cs="仿宋_GB2312"/>
          <w:color w:val="auto"/>
          <w:sz w:val="36"/>
          <w:szCs w:val="36"/>
        </w:rPr>
      </w:pPr>
    </w:p>
    <w:p w14:paraId="67C38071">
      <w:pPr>
        <w:adjustRightInd w:val="0"/>
        <w:snapToGrid w:val="0"/>
        <w:jc w:val="center"/>
        <w:outlineLvl w:val="9"/>
        <w:rPr>
          <w:rFonts w:hint="eastAsia" w:ascii="宋体" w:hAnsi="宋体" w:eastAsia="宋体" w:cs="宋体"/>
          <w:b/>
          <w:bCs w:val="0"/>
          <w:color w:val="auto"/>
          <w:sz w:val="52"/>
          <w:szCs w:val="52"/>
        </w:rPr>
      </w:pPr>
      <w:bookmarkStart w:id="0" w:name="_Toc186098076"/>
      <w:bookmarkStart w:id="1" w:name="_Toc182395790"/>
      <w:r>
        <w:rPr>
          <w:rFonts w:hint="eastAsia" w:ascii="宋体" w:hAnsi="宋体" w:eastAsia="宋体" w:cs="宋体"/>
          <w:b/>
          <w:bCs w:val="0"/>
          <w:color w:val="auto"/>
          <w:sz w:val="52"/>
          <w:szCs w:val="52"/>
        </w:rPr>
        <w:t>建设项目</w:t>
      </w:r>
      <w:r>
        <w:rPr>
          <w:rFonts w:hint="eastAsia" w:ascii="宋体" w:hAnsi="宋体" w:cs="宋体"/>
          <w:b/>
          <w:bCs w:val="0"/>
          <w:color w:val="auto"/>
          <w:sz w:val="52"/>
          <w:szCs w:val="52"/>
          <w:lang w:val="en-US" w:eastAsia="zh-CN"/>
        </w:rPr>
        <w:t>生态</w:t>
      </w:r>
      <w:r>
        <w:rPr>
          <w:rFonts w:hint="eastAsia" w:ascii="宋体" w:hAnsi="宋体" w:eastAsia="宋体" w:cs="宋体"/>
          <w:b/>
          <w:bCs w:val="0"/>
          <w:color w:val="auto"/>
          <w:sz w:val="52"/>
          <w:szCs w:val="52"/>
        </w:rPr>
        <w:t>环境影响报告表</w:t>
      </w:r>
      <w:bookmarkEnd w:id="0"/>
      <w:bookmarkEnd w:id="1"/>
    </w:p>
    <w:p w14:paraId="27961E37">
      <w:pPr>
        <w:adjustRightInd w:val="0"/>
        <w:snapToGrid w:val="0"/>
        <w:spacing w:before="192" w:beforeLines="80"/>
        <w:jc w:val="center"/>
        <w:rPr>
          <w:rFonts w:hint="eastAsia" w:ascii="楷体" w:hAnsi="楷体" w:eastAsia="楷体"/>
          <w:b/>
          <w:bCs w:val="0"/>
          <w:color w:val="auto"/>
          <w:sz w:val="44"/>
          <w:szCs w:val="44"/>
        </w:rPr>
      </w:pPr>
      <w:r>
        <w:rPr>
          <w:rFonts w:hint="eastAsia" w:ascii="楷体" w:hAnsi="楷体" w:eastAsia="楷体"/>
          <w:b/>
          <w:bCs w:val="0"/>
          <w:color w:val="auto"/>
          <w:sz w:val="44"/>
          <w:szCs w:val="44"/>
        </w:rPr>
        <w:t>（污染影响类）</w:t>
      </w:r>
    </w:p>
    <w:p w14:paraId="5F60F007">
      <w:pPr>
        <w:adjustRightInd w:val="0"/>
        <w:snapToGrid w:val="0"/>
        <w:spacing w:before="192" w:beforeLines="80"/>
        <w:jc w:val="center"/>
        <w:rPr>
          <w:rFonts w:ascii="楷体_GB2312" w:eastAsia="楷体_GB2312"/>
          <w:b/>
          <w:bCs w:val="0"/>
          <w:color w:val="auto"/>
          <w:sz w:val="44"/>
          <w:szCs w:val="44"/>
        </w:rPr>
      </w:pPr>
      <w:r>
        <w:rPr>
          <w:rFonts w:hint="eastAsia" w:ascii="楷体_GB2312" w:eastAsia="楷体_GB2312"/>
          <w:b/>
          <w:bCs w:val="0"/>
          <w:color w:val="auto"/>
          <w:sz w:val="44"/>
          <w:szCs w:val="44"/>
        </w:rPr>
        <w:t>（</w:t>
      </w:r>
      <w:r>
        <w:rPr>
          <w:rFonts w:hint="eastAsia" w:ascii="楷体_GB2312" w:eastAsia="楷体_GB2312"/>
          <w:b/>
          <w:bCs w:val="0"/>
          <w:color w:val="auto"/>
          <w:sz w:val="44"/>
          <w:szCs w:val="44"/>
          <w:lang w:val="en-US" w:eastAsia="zh-CN"/>
        </w:rPr>
        <w:t>公示</w:t>
      </w:r>
      <w:r>
        <w:rPr>
          <w:rFonts w:hint="eastAsia" w:ascii="楷体_GB2312" w:eastAsia="楷体_GB2312"/>
          <w:b/>
          <w:bCs w:val="0"/>
          <w:color w:val="auto"/>
          <w:sz w:val="44"/>
          <w:szCs w:val="44"/>
        </w:rPr>
        <w:t>本）</w:t>
      </w:r>
    </w:p>
    <w:p w14:paraId="5F1ADC14">
      <w:pPr>
        <w:ind w:firstLine="1040"/>
        <w:rPr>
          <w:color w:val="auto"/>
        </w:rPr>
      </w:pPr>
    </w:p>
    <w:p w14:paraId="69B2D877">
      <w:pPr>
        <w:ind w:firstLine="1040"/>
        <w:rPr>
          <w:rFonts w:eastAsia="仿宋"/>
          <w:color w:val="auto"/>
          <w:sz w:val="44"/>
          <w:szCs w:val="44"/>
        </w:rPr>
      </w:pPr>
    </w:p>
    <w:p w14:paraId="16873639">
      <w:pPr>
        <w:ind w:firstLine="1040"/>
        <w:rPr>
          <w:rFonts w:eastAsia="仿宋"/>
          <w:color w:val="auto"/>
          <w:sz w:val="44"/>
          <w:szCs w:val="44"/>
        </w:rPr>
      </w:pPr>
    </w:p>
    <w:p w14:paraId="5B85BF87">
      <w:pPr>
        <w:ind w:firstLine="1040"/>
        <w:rPr>
          <w:rFonts w:eastAsia="仿宋"/>
          <w:color w:val="auto"/>
          <w:sz w:val="44"/>
          <w:szCs w:val="44"/>
        </w:rPr>
      </w:pPr>
    </w:p>
    <w:p w14:paraId="6C196A40">
      <w:pPr>
        <w:ind w:firstLine="1040"/>
        <w:rPr>
          <w:rFonts w:eastAsia="仿宋"/>
          <w:color w:val="auto"/>
          <w:sz w:val="44"/>
          <w:szCs w:val="44"/>
        </w:rPr>
      </w:pPr>
    </w:p>
    <w:p w14:paraId="70B1434F">
      <w:pPr>
        <w:ind w:firstLine="1040"/>
        <w:rPr>
          <w:rFonts w:eastAsia="仿宋"/>
          <w:color w:val="auto"/>
          <w:sz w:val="44"/>
          <w:szCs w:val="44"/>
        </w:rPr>
      </w:pPr>
    </w:p>
    <w:p w14:paraId="6FF623D3">
      <w:pPr>
        <w:ind w:firstLine="1040"/>
        <w:rPr>
          <w:rFonts w:eastAsia="仿宋"/>
          <w:color w:val="auto"/>
          <w:sz w:val="44"/>
          <w:szCs w:val="44"/>
        </w:rPr>
      </w:pPr>
    </w:p>
    <w:p w14:paraId="13628164">
      <w:pPr>
        <w:ind w:firstLine="1040"/>
        <w:rPr>
          <w:rFonts w:eastAsia="仿宋"/>
          <w:color w:val="auto"/>
          <w:sz w:val="44"/>
          <w:szCs w:val="44"/>
        </w:rPr>
      </w:pPr>
    </w:p>
    <w:p w14:paraId="0E663277">
      <w:pPr>
        <w:adjustRightInd w:val="0"/>
        <w:snapToGrid w:val="0"/>
        <w:spacing w:after="240" w:afterLines="100" w:line="288" w:lineRule="auto"/>
        <w:ind w:firstLine="822" w:firstLineChars="256"/>
        <w:rPr>
          <w:rFonts w:hint="default" w:ascii="Times New Roman" w:hAnsi="Times New Roman" w:eastAsia="宋体" w:cs="Times New Roman"/>
          <w:color w:val="auto"/>
          <w:sz w:val="32"/>
          <w:szCs w:val="32"/>
        </w:rPr>
      </w:pPr>
      <w:r>
        <w:rPr>
          <w:rFonts w:hint="default" w:ascii="Times New Roman" w:hAnsi="Times New Roman" w:eastAsia="宋体" w:cs="Times New Roman"/>
          <w:b/>
          <w:bCs/>
          <w:color w:val="auto"/>
          <w:sz w:val="32"/>
          <w:szCs w:val="32"/>
        </w:rPr>
        <w:t>项目名称：</w:t>
      </w:r>
      <w:r>
        <w:rPr>
          <w:rFonts w:hint="default" w:ascii="Times New Roman" w:hAnsi="Times New Roman" w:eastAsia="宋体" w:cs="Times New Roman"/>
          <w:b/>
          <w:bCs/>
          <w:color w:val="auto"/>
          <w:sz w:val="32"/>
          <w:szCs w:val="32"/>
          <w:u w:val="single"/>
          <w:lang w:val="en-US" w:eastAsia="zh-CN"/>
        </w:rPr>
        <w:t>年产1GWh高倍率半固态电池及20万套电源系统项目</w:t>
      </w:r>
      <w:r>
        <w:rPr>
          <w:rFonts w:hint="eastAsia" w:cs="Times New Roman"/>
          <w:b/>
          <w:bCs/>
          <w:color w:val="auto"/>
          <w:sz w:val="32"/>
          <w:szCs w:val="32"/>
          <w:u w:val="single"/>
          <w:lang w:val="en-US" w:eastAsia="zh-CN"/>
        </w:rPr>
        <w:t xml:space="preserve">                                                                                                </w:t>
      </w:r>
      <w:r>
        <w:rPr>
          <w:rFonts w:hint="default" w:ascii="Times New Roman" w:hAnsi="Times New Roman" w:eastAsia="宋体" w:cs="Times New Roman"/>
          <w:b/>
          <w:bCs/>
          <w:color w:val="auto"/>
          <w:sz w:val="32"/>
          <w:szCs w:val="32"/>
          <w:u w:val="single"/>
        </w:rPr>
        <w:t xml:space="preserve">  </w:t>
      </w:r>
      <w:r>
        <w:rPr>
          <w:rFonts w:hint="default" w:ascii="Times New Roman" w:hAnsi="Times New Roman" w:eastAsia="宋体" w:cs="Times New Roman"/>
          <w:color w:val="auto"/>
          <w:sz w:val="32"/>
          <w:szCs w:val="32"/>
        </w:rPr>
        <w:t xml:space="preserve"> </w:t>
      </w:r>
    </w:p>
    <w:p w14:paraId="6DC0D926">
      <w:pPr>
        <w:adjustRightInd w:val="0"/>
        <w:snapToGrid w:val="0"/>
        <w:spacing w:after="240" w:afterLines="100" w:line="288" w:lineRule="auto"/>
        <w:ind w:firstLine="822" w:firstLineChars="256"/>
        <w:rPr>
          <w:rFonts w:hint="default" w:ascii="Times New Roman" w:hAnsi="Times New Roman" w:eastAsia="宋体" w:cs="Times New Roman"/>
          <w:b/>
          <w:bCs/>
          <w:color w:val="auto"/>
          <w:sz w:val="32"/>
          <w:szCs w:val="32"/>
          <w:u w:val="single"/>
          <w:lang w:val="en-US" w:eastAsia="zh-CN"/>
        </w:rPr>
      </w:pPr>
      <w:r>
        <w:rPr>
          <w:rFonts w:hint="default" w:ascii="Times New Roman" w:hAnsi="Times New Roman" w:eastAsia="宋体" w:cs="Times New Roman"/>
          <w:b/>
          <w:bCs/>
          <w:color w:val="auto"/>
          <w:sz w:val="32"/>
          <w:szCs w:val="32"/>
        </w:rPr>
        <w:t>建设单位（盖章）：</w:t>
      </w:r>
      <w:r>
        <w:rPr>
          <w:rFonts w:hint="default" w:ascii="Times New Roman" w:hAnsi="Times New Roman" w:eastAsia="宋体" w:cs="Times New Roman"/>
          <w:color w:val="auto"/>
          <w:sz w:val="32"/>
          <w:szCs w:val="32"/>
          <w:u w:val="single"/>
          <w:lang w:val="en-US" w:eastAsia="zh-CN"/>
        </w:rPr>
        <w:t xml:space="preserve">  </w:t>
      </w:r>
      <w:r>
        <w:rPr>
          <w:rFonts w:hint="eastAsia" w:ascii="Times New Roman" w:hAnsi="Times New Roman" w:eastAsia="宋体" w:cs="Times New Roman"/>
          <w:color w:val="auto"/>
          <w:sz w:val="32"/>
          <w:szCs w:val="32"/>
          <w:u w:val="single"/>
          <w:lang w:val="en-US" w:eastAsia="zh-CN"/>
        </w:rPr>
        <w:t xml:space="preserve">  </w:t>
      </w:r>
      <w:r>
        <w:rPr>
          <w:rFonts w:hint="default" w:ascii="Times New Roman" w:hAnsi="Times New Roman" w:eastAsia="宋体" w:cs="Times New Roman"/>
          <w:b/>
          <w:bCs/>
          <w:color w:val="auto"/>
          <w:sz w:val="32"/>
          <w:szCs w:val="32"/>
          <w:u w:val="single"/>
          <w:lang w:val="en-US" w:eastAsia="zh-CN"/>
        </w:rPr>
        <w:t xml:space="preserve">洛储电源科技（巴中）有限公司  </w:t>
      </w:r>
      <w:r>
        <w:rPr>
          <w:rFonts w:hint="eastAsia" w:ascii="Times New Roman" w:hAnsi="Times New Roman" w:eastAsia="宋体" w:cs="Times New Roman"/>
          <w:b/>
          <w:bCs/>
          <w:color w:val="auto"/>
          <w:sz w:val="32"/>
          <w:szCs w:val="32"/>
          <w:u w:val="single"/>
          <w:lang w:val="en-US" w:eastAsia="zh-CN"/>
        </w:rPr>
        <w:t xml:space="preserve">    </w:t>
      </w:r>
      <w:r>
        <w:rPr>
          <w:rFonts w:hint="default" w:ascii="Times New Roman" w:hAnsi="Times New Roman" w:eastAsia="宋体" w:cs="Times New Roman"/>
          <w:b/>
          <w:bCs/>
          <w:color w:val="auto"/>
          <w:sz w:val="32"/>
          <w:szCs w:val="32"/>
          <w:u w:val="single"/>
          <w:lang w:val="en-US" w:eastAsia="zh-CN"/>
        </w:rPr>
        <w:t xml:space="preserve"> </w:t>
      </w:r>
    </w:p>
    <w:p w14:paraId="634A0ACE">
      <w:pPr>
        <w:adjustRightInd w:val="0"/>
        <w:snapToGrid w:val="0"/>
        <w:spacing w:after="240" w:afterLines="100" w:line="288" w:lineRule="auto"/>
        <w:ind w:firstLine="822" w:firstLineChars="256"/>
        <w:rPr>
          <w:rFonts w:hint="default" w:ascii="Times New Roman" w:hAnsi="Times New Roman" w:eastAsia="宋体" w:cs="Times New Roman"/>
          <w:color w:val="auto"/>
          <w:sz w:val="32"/>
          <w:szCs w:val="32"/>
          <w:u w:val="single"/>
        </w:rPr>
      </w:pPr>
      <w:r>
        <w:rPr>
          <w:rFonts w:hint="default" w:ascii="Times New Roman" w:hAnsi="Times New Roman" w:eastAsia="宋体" w:cs="Times New Roman"/>
          <w:b/>
          <w:bCs/>
          <w:color w:val="auto"/>
          <w:sz w:val="32"/>
          <w:szCs w:val="32"/>
        </w:rPr>
        <w:t>编制日期：</w:t>
      </w:r>
      <w:r>
        <w:rPr>
          <w:rFonts w:hint="default" w:ascii="Times New Roman" w:hAnsi="Times New Roman" w:eastAsia="宋体" w:cs="Times New Roman"/>
          <w:b/>
          <w:bCs/>
          <w:color w:val="auto"/>
          <w:sz w:val="32"/>
          <w:szCs w:val="32"/>
          <w:u w:val="single"/>
        </w:rPr>
        <w:t xml:space="preserve">        </w:t>
      </w:r>
      <w:r>
        <w:rPr>
          <w:rFonts w:hint="eastAsia" w:ascii="Times New Roman" w:hAnsi="Times New Roman" w:eastAsia="宋体" w:cs="Times New Roman"/>
          <w:b/>
          <w:bCs/>
          <w:color w:val="auto"/>
          <w:sz w:val="32"/>
          <w:szCs w:val="32"/>
          <w:u w:val="single"/>
          <w:lang w:val="en-US" w:eastAsia="zh-CN"/>
        </w:rPr>
        <w:t xml:space="preserve">               </w:t>
      </w:r>
      <w:r>
        <w:rPr>
          <w:rFonts w:hint="default" w:ascii="Times New Roman" w:hAnsi="Times New Roman" w:eastAsia="宋体" w:cs="Times New Roman"/>
          <w:b/>
          <w:bCs/>
          <w:color w:val="auto"/>
          <w:sz w:val="32"/>
          <w:szCs w:val="32"/>
          <w:u w:val="single"/>
        </w:rPr>
        <w:t xml:space="preserve">   </w:t>
      </w:r>
      <w:r>
        <w:rPr>
          <w:rFonts w:hint="default" w:ascii="Times New Roman" w:hAnsi="Times New Roman" w:eastAsia="宋体" w:cs="Times New Roman"/>
          <w:b/>
          <w:bCs/>
          <w:color w:val="auto"/>
          <w:sz w:val="32"/>
          <w:szCs w:val="32"/>
          <w:u w:val="single"/>
          <w:lang w:val="en-US" w:eastAsia="zh-CN"/>
        </w:rPr>
        <w:t xml:space="preserve">    </w:t>
      </w:r>
      <w:r>
        <w:rPr>
          <w:rFonts w:hint="default" w:ascii="Times New Roman" w:hAnsi="Times New Roman" w:eastAsia="宋体" w:cs="Times New Roman"/>
          <w:b/>
          <w:bCs/>
          <w:color w:val="auto"/>
          <w:sz w:val="32"/>
          <w:szCs w:val="32"/>
          <w:u w:val="single"/>
        </w:rPr>
        <w:t xml:space="preserve"> 202</w:t>
      </w:r>
      <w:r>
        <w:rPr>
          <w:rFonts w:hint="default" w:ascii="Times New Roman" w:hAnsi="Times New Roman" w:eastAsia="宋体" w:cs="Times New Roman"/>
          <w:b/>
          <w:bCs/>
          <w:color w:val="auto"/>
          <w:sz w:val="32"/>
          <w:szCs w:val="32"/>
          <w:u w:val="single"/>
          <w:lang w:val="en-US" w:eastAsia="zh-CN"/>
        </w:rPr>
        <w:t>6</w:t>
      </w:r>
      <w:r>
        <w:rPr>
          <w:rFonts w:hint="default" w:ascii="Times New Roman" w:hAnsi="Times New Roman" w:eastAsia="宋体" w:cs="Times New Roman"/>
          <w:b/>
          <w:bCs/>
          <w:color w:val="auto"/>
          <w:sz w:val="32"/>
          <w:szCs w:val="32"/>
          <w:u w:val="single"/>
        </w:rPr>
        <w:t>年</w:t>
      </w:r>
      <w:r>
        <w:rPr>
          <w:rFonts w:hint="eastAsia" w:cs="Times New Roman"/>
          <w:b/>
          <w:bCs/>
          <w:color w:val="auto"/>
          <w:sz w:val="32"/>
          <w:szCs w:val="32"/>
          <w:u w:val="single"/>
          <w:lang w:val="en-US" w:eastAsia="zh-CN"/>
        </w:rPr>
        <w:t>9</w:t>
      </w:r>
      <w:r>
        <w:rPr>
          <w:rFonts w:hint="default" w:ascii="Times New Roman" w:hAnsi="Times New Roman" w:eastAsia="宋体" w:cs="Times New Roman"/>
          <w:b/>
          <w:bCs/>
          <w:color w:val="auto"/>
          <w:sz w:val="32"/>
          <w:szCs w:val="32"/>
          <w:u w:val="single"/>
        </w:rPr>
        <w:t xml:space="preserve">月   </w:t>
      </w:r>
      <w:r>
        <w:rPr>
          <w:rFonts w:hint="eastAsia" w:ascii="Times New Roman" w:hAnsi="Times New Roman" w:eastAsia="宋体" w:cs="Times New Roman"/>
          <w:b/>
          <w:bCs/>
          <w:color w:val="auto"/>
          <w:sz w:val="32"/>
          <w:szCs w:val="32"/>
          <w:u w:val="single"/>
          <w:lang w:val="en-US" w:eastAsia="zh-CN"/>
        </w:rPr>
        <w:t xml:space="preserve">                        </w:t>
      </w:r>
      <w:r>
        <w:rPr>
          <w:rFonts w:hint="default" w:ascii="Times New Roman" w:hAnsi="Times New Roman" w:eastAsia="宋体" w:cs="Times New Roman"/>
          <w:b/>
          <w:bCs/>
          <w:color w:val="auto"/>
          <w:sz w:val="32"/>
          <w:szCs w:val="32"/>
          <w:u w:val="single"/>
        </w:rPr>
        <w:t xml:space="preserve">   </w:t>
      </w:r>
      <w:r>
        <w:rPr>
          <w:rFonts w:hint="default" w:ascii="Times New Roman" w:hAnsi="Times New Roman" w:eastAsia="宋体" w:cs="Times New Roman"/>
          <w:color w:val="auto"/>
          <w:sz w:val="32"/>
          <w:szCs w:val="32"/>
          <w:u w:val="single"/>
        </w:rPr>
        <w:t xml:space="preserve">     </w:t>
      </w:r>
      <w:bookmarkStart w:id="2" w:name="_Hlk57884087"/>
    </w:p>
    <w:p w14:paraId="27E029F4">
      <w:pPr>
        <w:adjustRightInd w:val="0"/>
        <w:snapToGrid w:val="0"/>
        <w:spacing w:line="288" w:lineRule="auto"/>
        <w:ind w:firstLine="1040"/>
        <w:rPr>
          <w:rFonts w:ascii="仿宋_GB2312" w:eastAsia="仿宋_GB2312"/>
          <w:color w:val="auto"/>
          <w:sz w:val="36"/>
          <w:szCs w:val="36"/>
        </w:rPr>
      </w:pPr>
    </w:p>
    <w:p w14:paraId="47E454CE">
      <w:pPr>
        <w:adjustRightInd w:val="0"/>
        <w:snapToGrid w:val="0"/>
        <w:spacing w:line="288" w:lineRule="auto"/>
        <w:ind w:firstLine="1040"/>
        <w:rPr>
          <w:rFonts w:ascii="仿宋_GB2312" w:eastAsia="仿宋_GB2312"/>
          <w:color w:val="auto"/>
          <w:sz w:val="36"/>
          <w:szCs w:val="36"/>
        </w:rPr>
      </w:pPr>
    </w:p>
    <w:p w14:paraId="021F0454">
      <w:pPr>
        <w:adjustRightInd w:val="0"/>
        <w:snapToGrid w:val="0"/>
        <w:spacing w:line="288" w:lineRule="auto"/>
        <w:ind w:firstLine="1040"/>
        <w:rPr>
          <w:rFonts w:ascii="仿宋_GB2312" w:eastAsia="仿宋_GB2312"/>
          <w:color w:val="auto"/>
          <w:sz w:val="36"/>
          <w:szCs w:val="36"/>
        </w:rPr>
      </w:pPr>
    </w:p>
    <w:p w14:paraId="19D170EE">
      <w:pPr>
        <w:adjustRightInd w:val="0"/>
        <w:snapToGrid w:val="0"/>
        <w:spacing w:line="288" w:lineRule="auto"/>
        <w:ind w:firstLine="1040"/>
        <w:rPr>
          <w:rFonts w:ascii="仿宋_GB2312" w:eastAsia="仿宋_GB2312"/>
          <w:color w:val="auto"/>
          <w:sz w:val="36"/>
          <w:szCs w:val="36"/>
        </w:rPr>
      </w:pPr>
    </w:p>
    <w:p w14:paraId="6F8F8C8C">
      <w:pPr>
        <w:adjustRightInd w:val="0"/>
        <w:snapToGrid w:val="0"/>
        <w:spacing w:line="288" w:lineRule="auto"/>
        <w:ind w:firstLine="1040"/>
        <w:rPr>
          <w:rFonts w:ascii="仿宋_GB2312" w:eastAsia="仿宋_GB2312"/>
          <w:color w:val="auto"/>
          <w:sz w:val="36"/>
          <w:szCs w:val="36"/>
        </w:rPr>
      </w:pPr>
    </w:p>
    <w:bookmarkEnd w:id="2"/>
    <w:p w14:paraId="711DE75B">
      <w:pPr>
        <w:adjustRightInd w:val="0"/>
        <w:snapToGrid w:val="0"/>
        <w:spacing w:line="288" w:lineRule="auto"/>
        <w:jc w:val="center"/>
        <w:rPr>
          <w:rFonts w:hint="eastAsia" w:ascii="楷体" w:hAnsi="楷体" w:eastAsia="楷体"/>
          <w:color w:val="auto"/>
          <w:sz w:val="36"/>
          <w:szCs w:val="36"/>
        </w:rPr>
      </w:pPr>
      <w:r>
        <w:rPr>
          <w:rFonts w:hint="eastAsia" w:ascii="楷体" w:hAnsi="楷体" w:eastAsia="楷体"/>
          <w:color w:val="auto"/>
          <w:sz w:val="36"/>
          <w:szCs w:val="36"/>
        </w:rPr>
        <w:t>中华人民共和国生态环境部制</w:t>
      </w:r>
    </w:p>
    <w:sdt>
      <w:sdtPr>
        <w:rPr>
          <w:rFonts w:ascii="宋体" w:hAnsi="宋体" w:eastAsia="宋体" w:cs="Times New Roman"/>
          <w:b/>
          <w:bCs/>
          <w:color w:val="auto"/>
          <w:kern w:val="2"/>
          <w:sz w:val="44"/>
          <w:szCs w:val="44"/>
          <w:lang w:val="en-US" w:eastAsia="zh-CN" w:bidi="ar-SA"/>
        </w:rPr>
        <w:id w:val="147476269"/>
        <w15:color w:val="DBDBDB"/>
        <w:docPartObj>
          <w:docPartGallery w:val="Table of Contents"/>
          <w:docPartUnique/>
        </w:docPartObj>
      </w:sdtPr>
      <w:sdtEndPr>
        <w:rPr>
          <w:rFonts w:hint="eastAsia" w:ascii="楷体" w:hAnsi="楷体" w:eastAsia="楷体" w:cs="Times New Roman"/>
          <w:b/>
          <w:bCs/>
          <w:color w:val="auto"/>
          <w:kern w:val="2"/>
          <w:sz w:val="21"/>
          <w:szCs w:val="36"/>
          <w:lang w:val="en-US" w:eastAsia="zh-CN" w:bidi="ar-SA"/>
        </w:rPr>
      </w:sdtEndPr>
      <w:sdtContent>
        <w:p w14:paraId="056F4EC5">
          <w:pPr>
            <w:spacing w:before="0" w:beforeLines="0" w:after="0" w:afterLines="0" w:line="240" w:lineRule="auto"/>
            <w:ind w:left="0" w:leftChars="0" w:right="0" w:rightChars="0" w:firstLine="0" w:firstLineChars="0"/>
            <w:jc w:val="center"/>
            <w:rPr>
              <w:b/>
              <w:bCs/>
              <w:color w:val="auto"/>
              <w:sz w:val="44"/>
              <w:szCs w:val="44"/>
            </w:rPr>
          </w:pPr>
          <w:r>
            <w:rPr>
              <w:rFonts w:ascii="宋体" w:hAnsi="宋体" w:eastAsia="宋体"/>
              <w:b/>
              <w:bCs/>
              <w:color w:val="auto"/>
              <w:sz w:val="44"/>
              <w:szCs w:val="44"/>
            </w:rPr>
            <w:t>目录</w:t>
          </w:r>
        </w:p>
        <w:p w14:paraId="2D187FBD">
          <w:pPr>
            <w:pStyle w:val="31"/>
            <w:tabs>
              <w:tab w:val="right" w:leader="middleDot" w:pos="8844"/>
            </w:tabs>
            <w:rPr>
              <w:rFonts w:hint="default" w:ascii="Times New Roman" w:hAnsi="Times New Roman" w:eastAsia="宋体" w:cs="Times New Roman"/>
              <w:sz w:val="24"/>
              <w:szCs w:val="24"/>
            </w:rPr>
          </w:pPr>
          <w:r>
            <w:fldChar w:fldCharType="begin"/>
          </w:r>
          <w:r>
            <w:instrText xml:space="preserve">TOC \o "1-3" \h \u </w:instrText>
          </w:r>
          <w:r>
            <w:fldChar w:fldCharType="separate"/>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_Toc16364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napToGrid w:val="0"/>
              <w:sz w:val="24"/>
              <w:szCs w:val="24"/>
            </w:rPr>
            <w:t>一、建设项目基本情况</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_Toc16364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1</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rPr>
            <w:fldChar w:fldCharType="end"/>
          </w:r>
        </w:p>
        <w:p w14:paraId="26A025C7">
          <w:pPr>
            <w:pStyle w:val="31"/>
            <w:tabs>
              <w:tab w:val="right" w:leader="middleDot" w:pos="8844"/>
            </w:tabs>
            <w:rPr>
              <w:rFonts w:hint="default" w:ascii="Times New Roman" w:hAnsi="Times New Roman" w:eastAsia="宋体" w:cs="Times New Roman"/>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_Toc4146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napToGrid w:val="0"/>
              <w:sz w:val="24"/>
              <w:szCs w:val="24"/>
            </w:rPr>
            <w:t>二、建设项目工程分析</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_Toc4146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42</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rPr>
            <w:fldChar w:fldCharType="end"/>
          </w:r>
        </w:p>
        <w:p w14:paraId="0EC2A247">
          <w:pPr>
            <w:pStyle w:val="31"/>
            <w:tabs>
              <w:tab w:val="right" w:leader="middleDot" w:pos="8844"/>
            </w:tabs>
            <w:rPr>
              <w:rFonts w:hint="default" w:ascii="Times New Roman" w:hAnsi="Times New Roman" w:eastAsia="宋体" w:cs="Times New Roman"/>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_Toc18033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napToGrid w:val="0"/>
              <w:sz w:val="24"/>
              <w:szCs w:val="24"/>
            </w:rPr>
            <w:t>三、区域环境质量现状、环境保护目标及评价标准</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_Toc18033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76</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rPr>
            <w:fldChar w:fldCharType="end"/>
          </w:r>
        </w:p>
        <w:p w14:paraId="3E6AC641">
          <w:pPr>
            <w:pStyle w:val="31"/>
            <w:tabs>
              <w:tab w:val="right" w:leader="middleDot" w:pos="8844"/>
            </w:tabs>
            <w:rPr>
              <w:rFonts w:hint="default" w:ascii="Times New Roman" w:hAnsi="Times New Roman" w:eastAsia="宋体" w:cs="Times New Roman"/>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_Toc31021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napToGrid w:val="0"/>
              <w:sz w:val="24"/>
              <w:szCs w:val="24"/>
            </w:rPr>
            <w:t>四、主要环境影响和保护措施</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_Toc31021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84</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rPr>
            <w:fldChar w:fldCharType="end"/>
          </w:r>
        </w:p>
        <w:p w14:paraId="6CE7EDD6">
          <w:pPr>
            <w:pStyle w:val="31"/>
            <w:tabs>
              <w:tab w:val="right" w:leader="middleDot" w:pos="8844"/>
            </w:tabs>
            <w:rPr>
              <w:rFonts w:hint="default" w:ascii="Times New Roman" w:hAnsi="Times New Roman" w:eastAsia="宋体" w:cs="Times New Roman"/>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_Toc16513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napToGrid w:val="0"/>
              <w:sz w:val="24"/>
              <w:szCs w:val="24"/>
            </w:rPr>
            <w:t>五、环境保护措施监督检查清单</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_Toc16513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138</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rPr>
            <w:fldChar w:fldCharType="end"/>
          </w:r>
        </w:p>
        <w:p w14:paraId="3EC673C4">
          <w:pPr>
            <w:pStyle w:val="31"/>
            <w:tabs>
              <w:tab w:val="right" w:leader="middleDot" w:pos="8844"/>
            </w:tabs>
            <w:rPr>
              <w:rFonts w:hint="default" w:ascii="Times New Roman" w:hAnsi="Times New Roman" w:eastAsia="宋体" w:cs="Times New Roman"/>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_Toc27671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napToGrid w:val="0"/>
              <w:sz w:val="24"/>
              <w:szCs w:val="24"/>
            </w:rPr>
            <w:t>六、结论</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_Toc27671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142</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rPr>
            <w:fldChar w:fldCharType="end"/>
          </w:r>
        </w:p>
        <w:p w14:paraId="3C062BE2">
          <w:pPr>
            <w:pStyle w:val="31"/>
            <w:tabs>
              <w:tab w:val="right" w:leader="middleDot" w:pos="8844"/>
            </w:tabs>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_Toc17425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napToGrid w:val="0"/>
              <w:sz w:val="24"/>
              <w:szCs w:val="24"/>
            </w:rPr>
            <w:t>附表</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_Toc17425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143</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rPr>
            <w:fldChar w:fldCharType="end"/>
          </w:r>
        </w:p>
        <w:p w14:paraId="58AA9631">
          <w:r>
            <w:fldChar w:fldCharType="end"/>
          </w:r>
        </w:p>
        <w:p w14:paraId="7ED249B3">
          <w:pPr>
            <w:adjustRightInd w:val="0"/>
            <w:snapToGrid w:val="0"/>
            <w:spacing w:line="288" w:lineRule="auto"/>
            <w:jc w:val="center"/>
            <w:rPr>
              <w:rFonts w:hint="eastAsia" w:ascii="楷体" w:hAnsi="楷体" w:eastAsia="楷体" w:cs="Times New Roman"/>
              <w:color w:val="auto"/>
              <w:kern w:val="2"/>
              <w:sz w:val="21"/>
              <w:szCs w:val="36"/>
              <w:lang w:val="en-US" w:eastAsia="zh-CN" w:bidi="ar-SA"/>
            </w:rPr>
          </w:pPr>
        </w:p>
      </w:sdtContent>
    </w:sdt>
    <w:p w14:paraId="064ABABB">
      <w:pPr>
        <w:pStyle w:val="16"/>
        <w:keepNext w:val="0"/>
        <w:keepLines w:val="0"/>
        <w:pageBreakBefore w:val="0"/>
        <w:kinsoku/>
        <w:wordWrap/>
        <w:overflowPunct/>
        <w:topLinePunct w:val="0"/>
        <w:autoSpaceDE/>
        <w:autoSpaceDN/>
        <w:bidi w:val="0"/>
        <w:adjustRightInd/>
        <w:spacing w:before="0" w:after="0" w:line="360" w:lineRule="auto"/>
        <w:ind w:right="0"/>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专项评价设置：</w:t>
      </w:r>
    </w:p>
    <w:p w14:paraId="06ADB90E">
      <w:pPr>
        <w:pStyle w:val="16"/>
        <w:keepNext w:val="0"/>
        <w:keepLines w:val="0"/>
        <w:pageBreakBefore w:val="0"/>
        <w:kinsoku/>
        <w:wordWrap/>
        <w:overflowPunct/>
        <w:topLinePunct w:val="0"/>
        <w:autoSpaceDE/>
        <w:autoSpaceDN/>
        <w:bidi w:val="0"/>
        <w:adjustRightInd/>
        <w:spacing w:before="0" w:after="0" w:line="360" w:lineRule="auto"/>
        <w:ind w:right="0"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环境风险专项评价</w:t>
      </w:r>
    </w:p>
    <w:p w14:paraId="0DA830B6">
      <w:pPr>
        <w:rPr>
          <w:rFonts w:hint="eastAsia" w:ascii="宋体" w:hAnsi="宋体" w:eastAsia="宋体" w:cs="宋体"/>
          <w:color w:val="auto"/>
          <w:sz w:val="24"/>
          <w:szCs w:val="24"/>
          <w:lang w:val="en-US" w:eastAsia="zh-CN"/>
        </w:rPr>
      </w:pPr>
    </w:p>
    <w:p w14:paraId="51965078">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附图：</w:t>
      </w:r>
    </w:p>
    <w:p w14:paraId="400E993E">
      <w:pPr>
        <w:pStyle w:val="16"/>
        <w:keepNext w:val="0"/>
        <w:keepLines w:val="0"/>
        <w:pageBreakBefore w:val="0"/>
        <w:kinsoku/>
        <w:wordWrap/>
        <w:overflowPunct/>
        <w:topLinePunct w:val="0"/>
        <w:autoSpaceDE/>
        <w:autoSpaceDN/>
        <w:bidi w:val="0"/>
        <w:adjustRightInd/>
        <w:spacing w:before="0" w:after="0" w:line="360" w:lineRule="auto"/>
        <w:ind w:right="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附图1 项目地理位置图</w:t>
      </w:r>
    </w:p>
    <w:p w14:paraId="54213602">
      <w:pPr>
        <w:pStyle w:val="17"/>
        <w:keepNext w:val="0"/>
        <w:keepLines w:val="0"/>
        <w:pageBreakBefore w:val="0"/>
        <w:kinsoku/>
        <w:wordWrap/>
        <w:overflowPunct/>
        <w:topLinePunct w:val="0"/>
        <w:autoSpaceDE/>
        <w:autoSpaceDN/>
        <w:bidi w:val="0"/>
        <w:adjustRightInd/>
        <w:spacing w:before="0" w:after="0" w:line="360" w:lineRule="auto"/>
        <w:ind w:right="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附图2 巴中市国土总体规划（2021-2025年）中心城区土地使用规划图</w:t>
      </w:r>
    </w:p>
    <w:p w14:paraId="7AD4C31F">
      <w:pPr>
        <w:keepNext w:val="0"/>
        <w:keepLines w:val="0"/>
        <w:pageBreakBefore w:val="0"/>
        <w:kinsoku/>
        <w:wordWrap/>
        <w:overflowPunct/>
        <w:topLinePunct w:val="0"/>
        <w:autoSpaceDE/>
        <w:autoSpaceDN/>
        <w:bidi w:val="0"/>
        <w:adjustRightInd/>
        <w:spacing w:line="360" w:lineRule="auto"/>
        <w:ind w:right="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附图3 四川巴中经济开发区规划修编土地使用规划图</w:t>
      </w:r>
    </w:p>
    <w:p w14:paraId="02F2EB9D">
      <w:pPr>
        <w:pStyle w:val="16"/>
        <w:keepNext w:val="0"/>
        <w:keepLines w:val="0"/>
        <w:pageBreakBefore w:val="0"/>
        <w:kinsoku/>
        <w:wordWrap/>
        <w:overflowPunct/>
        <w:topLinePunct w:val="0"/>
        <w:autoSpaceDE/>
        <w:autoSpaceDN/>
        <w:bidi w:val="0"/>
        <w:adjustRightInd/>
        <w:spacing w:before="0" w:after="0" w:line="360" w:lineRule="auto"/>
        <w:ind w:right="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附图4 外环境关系图</w:t>
      </w:r>
    </w:p>
    <w:p w14:paraId="43AA05B3">
      <w:pPr>
        <w:pStyle w:val="17"/>
        <w:keepNext w:val="0"/>
        <w:keepLines w:val="0"/>
        <w:pageBreakBefore w:val="0"/>
        <w:kinsoku/>
        <w:wordWrap/>
        <w:overflowPunct/>
        <w:topLinePunct w:val="0"/>
        <w:autoSpaceDE/>
        <w:autoSpaceDN/>
        <w:bidi w:val="0"/>
        <w:adjustRightInd/>
        <w:spacing w:before="0" w:after="0" w:line="360" w:lineRule="auto"/>
        <w:ind w:right="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附图5 本项目与引用数据项目的位置关系图</w:t>
      </w:r>
    </w:p>
    <w:p w14:paraId="006C2275">
      <w:pPr>
        <w:keepNext w:val="0"/>
        <w:keepLines w:val="0"/>
        <w:pageBreakBefore w:val="0"/>
        <w:kinsoku/>
        <w:wordWrap/>
        <w:overflowPunct/>
        <w:topLinePunct w:val="0"/>
        <w:autoSpaceDE/>
        <w:autoSpaceDN/>
        <w:bidi w:val="0"/>
        <w:adjustRightInd/>
        <w:spacing w:line="360" w:lineRule="auto"/>
        <w:ind w:right="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附图6 项目总平面布置图</w:t>
      </w:r>
    </w:p>
    <w:p w14:paraId="1B4A6E13">
      <w:pPr>
        <w:pStyle w:val="16"/>
        <w:keepNext w:val="0"/>
        <w:keepLines w:val="0"/>
        <w:pageBreakBefore w:val="0"/>
        <w:kinsoku/>
        <w:wordWrap/>
        <w:overflowPunct/>
        <w:topLinePunct w:val="0"/>
        <w:autoSpaceDE/>
        <w:autoSpaceDN/>
        <w:bidi w:val="0"/>
        <w:adjustRightInd/>
        <w:spacing w:before="0" w:after="0" w:line="360" w:lineRule="auto"/>
        <w:ind w:right="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附图7 项目分区防渗图</w:t>
      </w:r>
    </w:p>
    <w:p w14:paraId="34F279B4">
      <w:pPr>
        <w:pStyle w:val="17"/>
        <w:keepNext w:val="0"/>
        <w:keepLines w:val="0"/>
        <w:pageBreakBefore w:val="0"/>
        <w:kinsoku/>
        <w:wordWrap/>
        <w:overflowPunct/>
        <w:topLinePunct w:val="0"/>
        <w:autoSpaceDE/>
        <w:autoSpaceDN/>
        <w:bidi w:val="0"/>
        <w:adjustRightInd/>
        <w:spacing w:before="0" w:after="0" w:line="360" w:lineRule="auto"/>
        <w:ind w:right="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 xml:space="preserve">附图8 </w:t>
      </w:r>
      <w:r>
        <w:rPr>
          <w:rFonts w:hint="eastAsia" w:cs="Times New Roman"/>
          <w:color w:val="auto"/>
          <w:sz w:val="24"/>
          <w:szCs w:val="24"/>
          <w:lang w:val="en-US" w:eastAsia="zh-CN"/>
        </w:rPr>
        <w:t>环境质量现状监测点位</w:t>
      </w:r>
      <w:r>
        <w:rPr>
          <w:rFonts w:hint="default" w:ascii="Times New Roman" w:hAnsi="Times New Roman" w:eastAsia="宋体" w:cs="Times New Roman"/>
          <w:color w:val="auto"/>
          <w:sz w:val="24"/>
          <w:szCs w:val="24"/>
          <w:lang w:val="en-US" w:eastAsia="zh-CN"/>
        </w:rPr>
        <w:t>图</w:t>
      </w:r>
    </w:p>
    <w:p w14:paraId="5D96BBAE">
      <w:pPr>
        <w:keepNext w:val="0"/>
        <w:keepLines w:val="0"/>
        <w:pageBreakBefore w:val="0"/>
        <w:kinsoku/>
        <w:wordWrap/>
        <w:overflowPunct/>
        <w:topLinePunct w:val="0"/>
        <w:autoSpaceDE/>
        <w:autoSpaceDN/>
        <w:bidi w:val="0"/>
        <w:adjustRightInd/>
        <w:spacing w:line="360" w:lineRule="auto"/>
        <w:ind w:right="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附图9 项目雨污管网及废气管道布置图</w:t>
      </w:r>
    </w:p>
    <w:p w14:paraId="7C701E6C">
      <w:pPr>
        <w:keepNext w:val="0"/>
        <w:keepLines w:val="0"/>
        <w:pageBreakBefore w:val="0"/>
        <w:kinsoku/>
        <w:wordWrap/>
        <w:overflowPunct/>
        <w:topLinePunct w:val="0"/>
        <w:autoSpaceDE/>
        <w:autoSpaceDN/>
        <w:bidi w:val="0"/>
        <w:adjustRightInd/>
        <w:spacing w:line="360" w:lineRule="auto"/>
        <w:ind w:right="0" w:firstLine="480" w:firstLineChars="200"/>
        <w:textAlignment w:val="auto"/>
        <w:rPr>
          <w:rFonts w:hint="eastAsia" w:cs="Times New Roman"/>
          <w:color w:val="auto"/>
          <w:sz w:val="24"/>
          <w:szCs w:val="24"/>
          <w:lang w:val="en-US" w:eastAsia="zh-CN"/>
        </w:rPr>
      </w:pPr>
      <w:r>
        <w:rPr>
          <w:rFonts w:hint="eastAsia" w:cs="Times New Roman"/>
          <w:color w:val="auto"/>
          <w:sz w:val="24"/>
          <w:szCs w:val="24"/>
          <w:lang w:val="en-US" w:eastAsia="zh-CN"/>
        </w:rPr>
        <w:t>附图10 监测计划点位图</w:t>
      </w:r>
    </w:p>
    <w:p w14:paraId="41BAE808">
      <w:pPr>
        <w:keepNext w:val="0"/>
        <w:keepLines w:val="0"/>
        <w:pageBreakBefore w:val="0"/>
        <w:kinsoku/>
        <w:wordWrap/>
        <w:overflowPunct/>
        <w:topLinePunct w:val="0"/>
        <w:autoSpaceDE/>
        <w:autoSpaceDN/>
        <w:bidi w:val="0"/>
        <w:adjustRightInd/>
        <w:spacing w:line="360" w:lineRule="auto"/>
        <w:ind w:right="0" w:firstLine="480" w:firstLineChars="200"/>
        <w:textAlignment w:val="auto"/>
        <w:rPr>
          <w:rFonts w:hint="eastAsia" w:cs="Times New Roman"/>
          <w:color w:val="auto"/>
          <w:sz w:val="24"/>
          <w:szCs w:val="24"/>
          <w:lang w:val="en-US" w:eastAsia="zh-CN"/>
        </w:rPr>
      </w:pPr>
      <w:r>
        <w:rPr>
          <w:rFonts w:hint="eastAsia" w:cs="Times New Roman"/>
          <w:color w:val="auto"/>
          <w:sz w:val="24"/>
          <w:szCs w:val="24"/>
          <w:lang w:val="en-US" w:eastAsia="zh-CN"/>
        </w:rPr>
        <w:t>附图11 项目大气评价范围图</w:t>
      </w:r>
    </w:p>
    <w:p w14:paraId="282EE080">
      <w:pPr>
        <w:keepNext w:val="0"/>
        <w:keepLines w:val="0"/>
        <w:pageBreakBefore w:val="0"/>
        <w:kinsoku/>
        <w:wordWrap/>
        <w:overflowPunct/>
        <w:topLinePunct w:val="0"/>
        <w:autoSpaceDE/>
        <w:autoSpaceDN/>
        <w:bidi w:val="0"/>
        <w:adjustRightInd/>
        <w:spacing w:line="360" w:lineRule="auto"/>
        <w:ind w:right="0" w:firstLine="480" w:firstLineChars="200"/>
        <w:textAlignment w:val="auto"/>
        <w:rPr>
          <w:rFonts w:hint="eastAsia" w:cs="Times New Roman"/>
          <w:color w:val="auto"/>
          <w:sz w:val="24"/>
          <w:szCs w:val="24"/>
          <w:lang w:val="en-US" w:eastAsia="zh-CN"/>
        </w:rPr>
      </w:pPr>
      <w:r>
        <w:rPr>
          <w:rFonts w:hint="eastAsia" w:cs="Times New Roman"/>
          <w:color w:val="auto"/>
          <w:sz w:val="24"/>
          <w:szCs w:val="24"/>
          <w:lang w:val="en-US" w:eastAsia="zh-CN"/>
        </w:rPr>
        <w:t>附图12 地下水评价范围图</w:t>
      </w:r>
    </w:p>
    <w:p w14:paraId="1EAAED4E">
      <w:pPr>
        <w:keepNext w:val="0"/>
        <w:keepLines w:val="0"/>
        <w:pageBreakBefore w:val="0"/>
        <w:kinsoku/>
        <w:wordWrap/>
        <w:overflowPunct/>
        <w:topLinePunct w:val="0"/>
        <w:autoSpaceDE/>
        <w:autoSpaceDN/>
        <w:bidi w:val="0"/>
        <w:adjustRightInd/>
        <w:spacing w:line="360" w:lineRule="auto"/>
        <w:ind w:right="0" w:firstLine="480" w:firstLineChars="200"/>
        <w:textAlignment w:val="auto"/>
        <w:rPr>
          <w:rFonts w:hint="default" w:cs="Times New Roman"/>
          <w:color w:val="auto"/>
          <w:sz w:val="24"/>
          <w:szCs w:val="24"/>
          <w:lang w:val="en-US" w:eastAsia="zh-CN"/>
        </w:rPr>
      </w:pPr>
      <w:r>
        <w:rPr>
          <w:rFonts w:hint="eastAsia" w:cs="Times New Roman"/>
          <w:color w:val="auto"/>
          <w:sz w:val="24"/>
          <w:szCs w:val="24"/>
          <w:lang w:val="en-US" w:eastAsia="zh-CN"/>
        </w:rPr>
        <w:t>附图13 风险单元分布图</w:t>
      </w:r>
    </w:p>
    <w:p w14:paraId="51F8B03C">
      <w:pPr>
        <w:pStyle w:val="16"/>
        <w:rPr>
          <w:rFonts w:hint="default" w:ascii="Times New Roman" w:hAnsi="Times New Roman" w:eastAsia="宋体" w:cs="Times New Roman"/>
          <w:color w:val="auto"/>
          <w:sz w:val="24"/>
          <w:szCs w:val="24"/>
          <w:lang w:val="en-US" w:eastAsia="zh-CN"/>
        </w:rPr>
      </w:pPr>
    </w:p>
    <w:p w14:paraId="57C62A56">
      <w:pPr>
        <w:pStyle w:val="17"/>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附件：</w:t>
      </w:r>
    </w:p>
    <w:p w14:paraId="7C01B02F">
      <w:pPr>
        <w:pStyle w:val="17"/>
        <w:keepNext w:val="0"/>
        <w:keepLines w:val="0"/>
        <w:pageBreakBefore w:val="0"/>
        <w:kinsoku/>
        <w:wordWrap/>
        <w:overflowPunct/>
        <w:topLinePunct w:val="0"/>
        <w:autoSpaceDE/>
        <w:autoSpaceDN/>
        <w:bidi w:val="0"/>
        <w:adjustRightInd/>
        <w:spacing w:before="0" w:after="0" w:line="360" w:lineRule="auto"/>
        <w:ind w:right="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附件1 委托书</w:t>
      </w:r>
    </w:p>
    <w:p w14:paraId="5A347A89">
      <w:pPr>
        <w:pStyle w:val="17"/>
        <w:keepNext w:val="0"/>
        <w:keepLines w:val="0"/>
        <w:pageBreakBefore w:val="0"/>
        <w:kinsoku/>
        <w:wordWrap/>
        <w:overflowPunct/>
        <w:topLinePunct w:val="0"/>
        <w:autoSpaceDE/>
        <w:autoSpaceDN/>
        <w:bidi w:val="0"/>
        <w:adjustRightInd/>
        <w:spacing w:before="0" w:after="0" w:line="360" w:lineRule="auto"/>
        <w:ind w:right="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附件2 备案表</w:t>
      </w:r>
    </w:p>
    <w:p w14:paraId="01704956">
      <w:pPr>
        <w:pStyle w:val="17"/>
        <w:keepNext w:val="0"/>
        <w:keepLines w:val="0"/>
        <w:pageBreakBefore w:val="0"/>
        <w:kinsoku/>
        <w:wordWrap/>
        <w:overflowPunct/>
        <w:topLinePunct w:val="0"/>
        <w:autoSpaceDE/>
        <w:autoSpaceDN/>
        <w:bidi w:val="0"/>
        <w:adjustRightInd/>
        <w:spacing w:before="0" w:after="0" w:line="360" w:lineRule="auto"/>
        <w:ind w:right="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附件3 营业执照</w:t>
      </w:r>
    </w:p>
    <w:p w14:paraId="5B52B3A9">
      <w:pPr>
        <w:pStyle w:val="17"/>
        <w:keepNext w:val="0"/>
        <w:keepLines w:val="0"/>
        <w:pageBreakBefore w:val="0"/>
        <w:kinsoku/>
        <w:wordWrap/>
        <w:overflowPunct/>
        <w:topLinePunct w:val="0"/>
        <w:autoSpaceDE/>
        <w:autoSpaceDN/>
        <w:bidi w:val="0"/>
        <w:adjustRightInd/>
        <w:spacing w:before="0" w:after="0" w:line="360" w:lineRule="auto"/>
        <w:ind w:left="479" w:leftChars="228" w:right="0" w:firstLine="0" w:firstLineChars="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附件4</w:t>
      </w:r>
      <w:r>
        <w:rPr>
          <w:rFonts w:hint="eastAsia" w:cs="Times New Roman"/>
          <w:color w:val="auto"/>
          <w:sz w:val="24"/>
          <w:szCs w:val="24"/>
          <w:lang w:val="en-US" w:eastAsia="zh-CN"/>
        </w:rPr>
        <w:t xml:space="preserve"> </w:t>
      </w:r>
      <w:r>
        <w:rPr>
          <w:rFonts w:hint="default" w:ascii="Times New Roman" w:hAnsi="Times New Roman" w:eastAsia="宋体" w:cs="Times New Roman"/>
          <w:color w:val="auto"/>
          <w:sz w:val="24"/>
          <w:szCs w:val="24"/>
          <w:lang w:val="en-US" w:eastAsia="zh-CN"/>
        </w:rPr>
        <w:t>《四川巴中经济开发区规划修编环境影响报告书》审查意见的函</w:t>
      </w:r>
      <w:r>
        <w:rPr>
          <w:rFonts w:hint="default" w:ascii="Times New Roman" w:hAnsi="Times New Roman" w:eastAsia="宋体" w:cs="Times New Roman"/>
          <w:color w:val="auto"/>
          <w:sz w:val="24"/>
          <w:szCs w:val="24"/>
          <w:lang w:val="en-US" w:eastAsia="zh-CN"/>
        </w:rPr>
        <w:br w:type="textWrapping"/>
      </w:r>
      <w:r>
        <w:rPr>
          <w:rFonts w:hint="default" w:ascii="Times New Roman" w:hAnsi="Times New Roman" w:eastAsia="宋体" w:cs="Times New Roman"/>
          <w:color w:val="auto"/>
          <w:sz w:val="24"/>
          <w:szCs w:val="24"/>
          <w:lang w:val="en-US" w:eastAsia="zh-CN"/>
        </w:rPr>
        <w:t>附件5 租赁</w:t>
      </w:r>
      <w:r>
        <w:rPr>
          <w:rFonts w:hint="eastAsia" w:cs="Times New Roman"/>
          <w:color w:val="auto"/>
          <w:sz w:val="24"/>
          <w:szCs w:val="24"/>
          <w:lang w:val="en-US" w:eastAsia="zh-CN"/>
        </w:rPr>
        <w:t>协议</w:t>
      </w:r>
    </w:p>
    <w:p w14:paraId="4FA73BF4">
      <w:pPr>
        <w:pStyle w:val="16"/>
        <w:keepNext w:val="0"/>
        <w:keepLines w:val="0"/>
        <w:pageBreakBefore w:val="0"/>
        <w:kinsoku/>
        <w:wordWrap/>
        <w:overflowPunct/>
        <w:topLinePunct w:val="0"/>
        <w:autoSpaceDE/>
        <w:autoSpaceDN/>
        <w:bidi w:val="0"/>
        <w:adjustRightInd/>
        <w:spacing w:before="0" w:after="0" w:line="360" w:lineRule="auto"/>
        <w:ind w:right="0"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附件6 租赁厂房不动产权证</w:t>
      </w:r>
    </w:p>
    <w:p w14:paraId="6F08AB02">
      <w:pPr>
        <w:pStyle w:val="17"/>
        <w:keepNext w:val="0"/>
        <w:keepLines w:val="0"/>
        <w:pageBreakBefore w:val="0"/>
        <w:kinsoku/>
        <w:wordWrap/>
        <w:overflowPunct/>
        <w:topLinePunct w:val="0"/>
        <w:autoSpaceDE/>
        <w:autoSpaceDN/>
        <w:bidi w:val="0"/>
        <w:adjustRightInd/>
        <w:spacing w:before="0" w:after="0" w:line="360" w:lineRule="auto"/>
        <w:ind w:right="0"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附件7 NMPMSDS</w:t>
      </w:r>
    </w:p>
    <w:p w14:paraId="454E1FFA">
      <w:pPr>
        <w:keepNext w:val="0"/>
        <w:keepLines w:val="0"/>
        <w:pageBreakBefore w:val="0"/>
        <w:kinsoku/>
        <w:wordWrap/>
        <w:overflowPunct/>
        <w:topLinePunct w:val="0"/>
        <w:autoSpaceDE/>
        <w:autoSpaceDN/>
        <w:bidi w:val="0"/>
        <w:adjustRightInd/>
        <w:spacing w:line="360" w:lineRule="auto"/>
        <w:ind w:right="0"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附件8 电解液MSDS</w:t>
      </w:r>
    </w:p>
    <w:p w14:paraId="283328E2">
      <w:pPr>
        <w:pStyle w:val="16"/>
        <w:keepNext w:val="0"/>
        <w:keepLines w:val="0"/>
        <w:pageBreakBefore w:val="0"/>
        <w:kinsoku/>
        <w:wordWrap/>
        <w:overflowPunct/>
        <w:topLinePunct w:val="0"/>
        <w:autoSpaceDE/>
        <w:autoSpaceDN/>
        <w:bidi w:val="0"/>
        <w:adjustRightInd/>
        <w:spacing w:before="0" w:after="0" w:line="360" w:lineRule="auto"/>
        <w:ind w:right="0"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附件9 镍钴锰酸锂MSDS</w:t>
      </w:r>
    </w:p>
    <w:p w14:paraId="36D7CFC1">
      <w:pPr>
        <w:pStyle w:val="17"/>
        <w:keepNext w:val="0"/>
        <w:keepLines w:val="0"/>
        <w:pageBreakBefore w:val="0"/>
        <w:kinsoku/>
        <w:wordWrap/>
        <w:overflowPunct/>
        <w:topLinePunct w:val="0"/>
        <w:autoSpaceDE/>
        <w:autoSpaceDN/>
        <w:bidi w:val="0"/>
        <w:adjustRightInd/>
        <w:spacing w:before="0" w:after="0" w:line="360" w:lineRule="auto"/>
        <w:ind w:right="0"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附件10 镍钴锰酸锂成分报告</w:t>
      </w:r>
    </w:p>
    <w:p w14:paraId="2B229023">
      <w:pPr>
        <w:keepNext w:val="0"/>
        <w:keepLines w:val="0"/>
        <w:pageBreakBefore w:val="0"/>
        <w:kinsoku/>
        <w:wordWrap/>
        <w:overflowPunct/>
        <w:topLinePunct w:val="0"/>
        <w:autoSpaceDE/>
        <w:autoSpaceDN/>
        <w:bidi w:val="0"/>
        <w:adjustRightInd/>
        <w:spacing w:line="360" w:lineRule="auto"/>
        <w:ind w:right="0"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附件11 引用监测报告</w:t>
      </w:r>
    </w:p>
    <w:p w14:paraId="32FCAB15">
      <w:pPr>
        <w:pStyle w:val="16"/>
        <w:keepNext w:val="0"/>
        <w:keepLines w:val="0"/>
        <w:pageBreakBefore w:val="0"/>
        <w:kinsoku/>
        <w:wordWrap/>
        <w:overflowPunct/>
        <w:topLinePunct w:val="0"/>
        <w:autoSpaceDE/>
        <w:autoSpaceDN/>
        <w:bidi w:val="0"/>
        <w:adjustRightInd/>
        <w:spacing w:before="0" w:after="0" w:line="360" w:lineRule="auto"/>
        <w:ind w:right="0"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附件12 情况说明</w:t>
      </w:r>
    </w:p>
    <w:p w14:paraId="4386F980">
      <w:pPr>
        <w:pStyle w:val="17"/>
        <w:keepNext w:val="0"/>
        <w:keepLines w:val="0"/>
        <w:pageBreakBefore w:val="0"/>
        <w:kinsoku/>
        <w:wordWrap/>
        <w:overflowPunct/>
        <w:topLinePunct w:val="0"/>
        <w:autoSpaceDE/>
        <w:autoSpaceDN/>
        <w:bidi w:val="0"/>
        <w:adjustRightInd/>
        <w:spacing w:before="0" w:after="0" w:line="360" w:lineRule="auto"/>
        <w:ind w:right="0"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附件13 安评专家意见</w:t>
      </w:r>
    </w:p>
    <w:p w14:paraId="3FCCF416">
      <w:pPr>
        <w:keepNext w:val="0"/>
        <w:keepLines w:val="0"/>
        <w:pageBreakBefore w:val="0"/>
        <w:kinsoku/>
        <w:wordWrap/>
        <w:overflowPunct/>
        <w:topLinePunct w:val="0"/>
        <w:autoSpaceDE/>
        <w:autoSpaceDN/>
        <w:bidi w:val="0"/>
        <w:adjustRightInd/>
        <w:spacing w:line="360" w:lineRule="auto"/>
        <w:ind w:right="0"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附件14 洛储电源科技(巴中)有限公司使用V类放射源和III类射线装置项目环评登记表</w:t>
      </w:r>
    </w:p>
    <w:p w14:paraId="2A3D9025">
      <w:pPr>
        <w:pStyle w:val="16"/>
        <w:keepNext w:val="0"/>
        <w:keepLines w:val="0"/>
        <w:pageBreakBefore w:val="0"/>
        <w:kinsoku/>
        <w:wordWrap/>
        <w:overflowPunct/>
        <w:topLinePunct w:val="0"/>
        <w:autoSpaceDE/>
        <w:autoSpaceDN/>
        <w:bidi w:val="0"/>
        <w:adjustRightInd/>
        <w:spacing w:before="0" w:after="0" w:line="360" w:lineRule="auto"/>
        <w:ind w:right="0"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附件15 碳纳米管浆料中NMP含量报告</w:t>
      </w:r>
    </w:p>
    <w:p w14:paraId="5DF85F3D">
      <w:pPr>
        <w:pStyle w:val="17"/>
        <w:keepNext w:val="0"/>
        <w:keepLines w:val="0"/>
        <w:pageBreakBefore w:val="0"/>
        <w:kinsoku/>
        <w:wordWrap/>
        <w:overflowPunct/>
        <w:topLinePunct w:val="0"/>
        <w:autoSpaceDE/>
        <w:autoSpaceDN/>
        <w:bidi w:val="0"/>
        <w:adjustRightInd/>
        <w:spacing w:before="0" w:after="0" w:line="360" w:lineRule="auto"/>
        <w:ind w:right="0"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附件16 聚酰亚胺浆料中NMP含量报告</w:t>
      </w:r>
    </w:p>
    <w:p w14:paraId="71EFACF5">
      <w:pPr>
        <w:keepNext w:val="0"/>
        <w:keepLines w:val="0"/>
        <w:pageBreakBefore w:val="0"/>
        <w:kinsoku/>
        <w:wordWrap/>
        <w:overflowPunct/>
        <w:topLinePunct w:val="0"/>
        <w:autoSpaceDE/>
        <w:autoSpaceDN/>
        <w:bidi w:val="0"/>
        <w:adjustRightInd/>
        <w:spacing w:line="360" w:lineRule="auto"/>
        <w:ind w:right="0"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附件17 洛阳储变电系统有限公司废气、废水、噪声检测</w:t>
      </w:r>
    </w:p>
    <w:p w14:paraId="37029640">
      <w:pPr>
        <w:keepNext w:val="0"/>
        <w:keepLines w:val="0"/>
        <w:pageBreakBefore w:val="0"/>
        <w:kinsoku/>
        <w:wordWrap/>
        <w:overflowPunct/>
        <w:topLinePunct w:val="0"/>
        <w:autoSpaceDE/>
        <w:autoSpaceDN/>
        <w:bidi w:val="0"/>
        <w:adjustRightInd/>
        <w:spacing w:line="360" w:lineRule="auto"/>
        <w:ind w:right="0" w:firstLine="480" w:firstLineChars="200"/>
        <w:textAlignment w:val="auto"/>
        <w:rPr>
          <w:rFonts w:hint="default" w:ascii="Times New Roman" w:hAnsi="Times New Roman" w:eastAsia="宋体" w:cs="Times New Roman"/>
          <w:sz w:val="24"/>
          <w:szCs w:val="24"/>
          <w:lang w:val="en-US" w:eastAsia="zh-CN"/>
        </w:rPr>
      </w:pPr>
      <w:r>
        <w:rPr>
          <w:rFonts w:hint="eastAsia" w:cs="Times New Roman"/>
          <w:sz w:val="24"/>
          <w:szCs w:val="24"/>
          <w:lang w:val="en-US" w:eastAsia="zh-CN"/>
        </w:rPr>
        <w:t>附件18 项目环境现状检测报告</w:t>
      </w:r>
    </w:p>
    <w:p w14:paraId="6909E339">
      <w:pPr>
        <w:pStyle w:val="17"/>
        <w:rPr>
          <w:rFonts w:hint="default"/>
          <w:lang w:val="en-US" w:eastAsia="zh-CN"/>
        </w:rPr>
        <w:sectPr>
          <w:footerReference r:id="rId3" w:type="default"/>
          <w:footerReference r:id="rId4" w:type="even"/>
          <w:pgSz w:w="11906" w:h="16838"/>
          <w:pgMar w:top="1701" w:right="1531" w:bottom="1701" w:left="1531" w:header="851" w:footer="1077" w:gutter="0"/>
          <w:pgNumType w:start="3"/>
          <w:cols w:space="720" w:num="1"/>
          <w:docGrid w:linePitch="312" w:charSpace="0"/>
        </w:sectPr>
      </w:pPr>
    </w:p>
    <w:p w14:paraId="2473DD41">
      <w:pPr>
        <w:pStyle w:val="37"/>
        <w:jc w:val="center"/>
        <w:outlineLvl w:val="0"/>
        <w:rPr>
          <w:rFonts w:hint="eastAsia" w:ascii="黑体" w:hAnsi="黑体" w:eastAsia="黑体"/>
          <w:snapToGrid w:val="0"/>
          <w:color w:val="auto"/>
          <w:sz w:val="30"/>
          <w:szCs w:val="30"/>
        </w:rPr>
      </w:pPr>
      <w:bookmarkStart w:id="3" w:name="_Toc16364"/>
      <w:bookmarkStart w:id="4" w:name="_Toc186098077"/>
      <w:bookmarkStart w:id="5" w:name="_Toc4939"/>
      <w:r>
        <w:rPr>
          <w:rFonts w:hint="eastAsia" w:ascii="黑体" w:hAnsi="黑体" w:eastAsia="黑体"/>
          <w:snapToGrid w:val="0"/>
          <w:color w:val="auto"/>
          <w:sz w:val="30"/>
          <w:szCs w:val="30"/>
        </w:rPr>
        <w:t>一、建设项目基本情况</w:t>
      </w:r>
      <w:bookmarkEnd w:id="3"/>
      <w:bookmarkEnd w:id="4"/>
      <w:bookmarkEnd w:id="5"/>
    </w:p>
    <w:tbl>
      <w:tblPr>
        <w:tblStyle w:val="41"/>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714"/>
        <w:gridCol w:w="2305"/>
        <w:gridCol w:w="2212"/>
        <w:gridCol w:w="2639"/>
      </w:tblGrid>
      <w:tr w14:paraId="1C45EF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714" w:type="dxa"/>
            <w:tcMar>
              <w:top w:w="16" w:type="dxa"/>
              <w:left w:w="16" w:type="dxa"/>
              <w:right w:w="16" w:type="dxa"/>
            </w:tcMar>
            <w:vAlign w:val="center"/>
          </w:tcPr>
          <w:p w14:paraId="45D8EF57">
            <w:pPr>
              <w:adjustRightInd w:val="0"/>
              <w:snapToGrid w:val="0"/>
              <w:jc w:val="center"/>
              <w:rPr>
                <w:rFonts w:cs="宋体"/>
                <w:b/>
                <w:bCs/>
                <w:color w:val="000000" w:themeColor="text1"/>
                <w:sz w:val="24"/>
                <w:szCs w:val="24"/>
                <w14:textFill>
                  <w14:solidFill>
                    <w14:schemeClr w14:val="tx1"/>
                  </w14:solidFill>
                </w14:textFill>
              </w:rPr>
            </w:pPr>
            <w:r>
              <w:rPr>
                <w:rFonts w:hint="eastAsia" w:cs="宋体"/>
                <w:b/>
                <w:bCs/>
                <w:color w:val="000000" w:themeColor="text1"/>
                <w:sz w:val="24"/>
                <w:szCs w:val="24"/>
                <w14:textFill>
                  <w14:solidFill>
                    <w14:schemeClr w14:val="tx1"/>
                  </w14:solidFill>
                </w14:textFill>
              </w:rPr>
              <w:t>建设项目名称</w:t>
            </w:r>
          </w:p>
        </w:tc>
        <w:tc>
          <w:tcPr>
            <w:tcW w:w="7156" w:type="dxa"/>
            <w:gridSpan w:val="3"/>
            <w:vAlign w:val="center"/>
          </w:tcPr>
          <w:p w14:paraId="2CBE1399">
            <w:pPr>
              <w:adjustRightInd w:val="0"/>
              <w:snapToGrid w:val="0"/>
              <w:jc w:val="center"/>
              <w:rPr>
                <w:rFonts w:hint="eastAsia" w:eastAsia="宋体" w:cs="宋体"/>
                <w:color w:val="000000" w:themeColor="text1"/>
                <w:sz w:val="24"/>
                <w:szCs w:val="24"/>
                <w:lang w:eastAsia="zh-CN"/>
                <w14:textFill>
                  <w14:solidFill>
                    <w14:schemeClr w14:val="tx1"/>
                  </w14:solidFill>
                </w14:textFill>
              </w:rPr>
            </w:pPr>
            <w:r>
              <w:rPr>
                <w:rFonts w:hint="eastAsia" w:cs="宋体"/>
                <w:color w:val="000000" w:themeColor="text1"/>
                <w:sz w:val="24"/>
                <w:szCs w:val="24"/>
                <w:lang w:eastAsia="zh-CN"/>
                <w14:textFill>
                  <w14:solidFill>
                    <w14:schemeClr w14:val="tx1"/>
                  </w14:solidFill>
                </w14:textFill>
              </w:rPr>
              <w:t>年产1GWh高倍率半固态电池及20万套电源系统项目</w:t>
            </w:r>
          </w:p>
        </w:tc>
      </w:tr>
      <w:tr w14:paraId="13941E2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714" w:type="dxa"/>
            <w:tcMar>
              <w:top w:w="16" w:type="dxa"/>
              <w:left w:w="16" w:type="dxa"/>
              <w:right w:w="16" w:type="dxa"/>
            </w:tcMar>
            <w:vAlign w:val="center"/>
          </w:tcPr>
          <w:p w14:paraId="66A458A6">
            <w:pPr>
              <w:adjustRightInd w:val="0"/>
              <w:snapToGrid w:val="0"/>
              <w:jc w:val="center"/>
              <w:rPr>
                <w:rFonts w:cs="宋体"/>
                <w:b/>
                <w:bCs/>
                <w:color w:val="000000" w:themeColor="text1"/>
                <w:sz w:val="24"/>
                <w:szCs w:val="24"/>
                <w14:textFill>
                  <w14:solidFill>
                    <w14:schemeClr w14:val="tx1"/>
                  </w14:solidFill>
                </w14:textFill>
              </w:rPr>
            </w:pPr>
            <w:r>
              <w:rPr>
                <w:rFonts w:hint="eastAsia" w:cs="宋体"/>
                <w:b/>
                <w:bCs/>
                <w:color w:val="000000" w:themeColor="text1"/>
                <w:sz w:val="24"/>
                <w:szCs w:val="24"/>
                <w14:textFill>
                  <w14:solidFill>
                    <w14:schemeClr w14:val="tx1"/>
                  </w14:solidFill>
                </w14:textFill>
              </w:rPr>
              <w:t>项目代码</w:t>
            </w:r>
          </w:p>
        </w:tc>
        <w:tc>
          <w:tcPr>
            <w:tcW w:w="7156" w:type="dxa"/>
            <w:gridSpan w:val="3"/>
            <w:vAlign w:val="center"/>
          </w:tcPr>
          <w:p w14:paraId="791BE31B">
            <w:pPr>
              <w:adjustRightInd w:val="0"/>
              <w:snapToGrid w:val="0"/>
              <w:jc w:val="center"/>
              <w:rPr>
                <w:rFonts w:hint="default" w:eastAsia="宋体" w:cs="宋体"/>
                <w:color w:val="000000" w:themeColor="text1"/>
                <w:sz w:val="24"/>
                <w:szCs w:val="24"/>
                <w:lang w:val="en-US" w:eastAsia="zh-CN"/>
                <w14:textFill>
                  <w14:solidFill>
                    <w14:schemeClr w14:val="tx1"/>
                  </w14:solidFill>
                </w14:textFill>
              </w:rPr>
            </w:pPr>
            <w:r>
              <w:rPr>
                <w:rFonts w:hint="eastAsia" w:cs="宋体"/>
                <w:color w:val="000000" w:themeColor="text1"/>
                <w:sz w:val="24"/>
                <w:szCs w:val="24"/>
                <w:lang w:val="en-US" w:eastAsia="zh-CN"/>
                <w14:textFill>
                  <w14:solidFill>
                    <w14:schemeClr w14:val="tx1"/>
                  </w14:solidFill>
                </w14:textFill>
              </w:rPr>
              <w:t>2601-511924-04-01-983495</w:t>
            </w:r>
          </w:p>
        </w:tc>
      </w:tr>
      <w:tr w14:paraId="18E484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714" w:type="dxa"/>
            <w:tcMar>
              <w:top w:w="16" w:type="dxa"/>
              <w:left w:w="16" w:type="dxa"/>
              <w:right w:w="16" w:type="dxa"/>
            </w:tcMar>
            <w:vAlign w:val="center"/>
          </w:tcPr>
          <w:p w14:paraId="06EB5B57">
            <w:pPr>
              <w:adjustRightInd w:val="0"/>
              <w:snapToGrid w:val="0"/>
              <w:jc w:val="center"/>
              <w:rPr>
                <w:rFonts w:cs="宋体"/>
                <w:b/>
                <w:bCs/>
                <w:color w:val="000000" w:themeColor="text1"/>
                <w:sz w:val="24"/>
                <w:szCs w:val="24"/>
                <w14:textFill>
                  <w14:solidFill>
                    <w14:schemeClr w14:val="tx1"/>
                  </w14:solidFill>
                </w14:textFill>
              </w:rPr>
            </w:pPr>
            <w:r>
              <w:rPr>
                <w:rFonts w:hint="eastAsia" w:cs="宋体"/>
                <w:b/>
                <w:bCs/>
                <w:color w:val="000000" w:themeColor="text1"/>
                <w:sz w:val="24"/>
                <w:szCs w:val="24"/>
                <w14:textFill>
                  <w14:solidFill>
                    <w14:schemeClr w14:val="tx1"/>
                  </w14:solidFill>
                </w14:textFill>
              </w:rPr>
              <w:t>建设单位联系人</w:t>
            </w:r>
          </w:p>
        </w:tc>
        <w:tc>
          <w:tcPr>
            <w:tcW w:w="2305" w:type="dxa"/>
            <w:vAlign w:val="center"/>
          </w:tcPr>
          <w:p w14:paraId="10ACE441">
            <w:pPr>
              <w:adjustRightInd w:val="0"/>
              <w:snapToGrid w:val="0"/>
              <w:jc w:val="center"/>
              <w:rPr>
                <w:rFonts w:hint="default" w:eastAsia="宋体" w:cs="宋体"/>
                <w:color w:val="000000" w:themeColor="text1"/>
                <w:sz w:val="24"/>
                <w:szCs w:val="24"/>
                <w:lang w:val="en-US" w:eastAsia="zh-CN"/>
                <w14:textFill>
                  <w14:solidFill>
                    <w14:schemeClr w14:val="tx1"/>
                  </w14:solidFill>
                </w14:textFill>
              </w:rPr>
            </w:pPr>
            <w:r>
              <w:rPr>
                <w:rFonts w:hint="eastAsia" w:cs="宋体"/>
                <w:color w:val="000000" w:themeColor="text1"/>
                <w:sz w:val="24"/>
                <w:szCs w:val="24"/>
                <w:lang w:val="en-US" w:eastAsia="zh-CN"/>
                <w14:textFill>
                  <w14:solidFill>
                    <w14:schemeClr w14:val="tx1"/>
                  </w14:solidFill>
                </w14:textFill>
              </w:rPr>
              <w:t>***</w:t>
            </w:r>
          </w:p>
        </w:tc>
        <w:tc>
          <w:tcPr>
            <w:tcW w:w="2212" w:type="dxa"/>
            <w:vAlign w:val="center"/>
          </w:tcPr>
          <w:p w14:paraId="118BD2D2">
            <w:pPr>
              <w:adjustRightInd w:val="0"/>
              <w:snapToGrid w:val="0"/>
              <w:jc w:val="center"/>
              <w:rPr>
                <w:rFonts w:cs="宋体"/>
                <w:color w:val="000000" w:themeColor="text1"/>
                <w:sz w:val="24"/>
                <w:szCs w:val="24"/>
                <w14:textFill>
                  <w14:solidFill>
                    <w14:schemeClr w14:val="tx1"/>
                  </w14:solidFill>
                </w14:textFill>
              </w:rPr>
            </w:pPr>
            <w:r>
              <w:rPr>
                <w:rFonts w:hint="eastAsia" w:cs="宋体"/>
                <w:b/>
                <w:bCs/>
                <w:color w:val="000000" w:themeColor="text1"/>
                <w:sz w:val="24"/>
                <w:szCs w:val="24"/>
                <w14:textFill>
                  <w14:solidFill>
                    <w14:schemeClr w14:val="tx1"/>
                  </w14:solidFill>
                </w14:textFill>
              </w:rPr>
              <w:t>联系方式</w:t>
            </w:r>
          </w:p>
        </w:tc>
        <w:tc>
          <w:tcPr>
            <w:tcW w:w="2639" w:type="dxa"/>
            <w:vAlign w:val="center"/>
          </w:tcPr>
          <w:p w14:paraId="5D6EEB2B">
            <w:pPr>
              <w:adjustRightInd w:val="0"/>
              <w:snapToGrid w:val="0"/>
              <w:jc w:val="center"/>
              <w:rPr>
                <w:rFonts w:hint="default" w:eastAsia="宋体" w:cs="宋体"/>
                <w:color w:val="000000" w:themeColor="text1"/>
                <w:sz w:val="24"/>
                <w:szCs w:val="24"/>
                <w:lang w:val="en-US" w:eastAsia="zh-CN"/>
                <w14:textFill>
                  <w14:solidFill>
                    <w14:schemeClr w14:val="tx1"/>
                  </w14:solidFill>
                </w14:textFill>
              </w:rPr>
            </w:pPr>
            <w:r>
              <w:rPr>
                <w:rFonts w:hint="eastAsia" w:cs="宋体"/>
                <w:color w:val="000000" w:themeColor="text1"/>
                <w:sz w:val="24"/>
                <w:szCs w:val="24"/>
                <w:lang w:val="en-US" w:eastAsia="zh-CN"/>
                <w14:textFill>
                  <w14:solidFill>
                    <w14:schemeClr w14:val="tx1"/>
                  </w14:solidFill>
                </w14:textFill>
              </w:rPr>
              <w:t>***</w:t>
            </w:r>
          </w:p>
        </w:tc>
      </w:tr>
      <w:tr w14:paraId="3E30118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714" w:type="dxa"/>
            <w:tcMar>
              <w:top w:w="16" w:type="dxa"/>
              <w:left w:w="16" w:type="dxa"/>
              <w:right w:w="16" w:type="dxa"/>
            </w:tcMar>
            <w:vAlign w:val="center"/>
          </w:tcPr>
          <w:p w14:paraId="2B00DBC2">
            <w:pPr>
              <w:adjustRightInd w:val="0"/>
              <w:snapToGrid w:val="0"/>
              <w:jc w:val="center"/>
              <w:rPr>
                <w:rFonts w:cs="宋体"/>
                <w:b/>
                <w:bCs/>
                <w:color w:val="000000" w:themeColor="text1"/>
                <w:sz w:val="24"/>
                <w:szCs w:val="24"/>
                <w14:textFill>
                  <w14:solidFill>
                    <w14:schemeClr w14:val="tx1"/>
                  </w14:solidFill>
                </w14:textFill>
              </w:rPr>
            </w:pPr>
            <w:r>
              <w:rPr>
                <w:rFonts w:hint="eastAsia" w:cs="宋体"/>
                <w:b/>
                <w:bCs/>
                <w:color w:val="000000" w:themeColor="text1"/>
                <w:sz w:val="24"/>
                <w:szCs w:val="24"/>
                <w14:textFill>
                  <w14:solidFill>
                    <w14:schemeClr w14:val="tx1"/>
                  </w14:solidFill>
                </w14:textFill>
              </w:rPr>
              <w:t>建设地点</w:t>
            </w:r>
          </w:p>
        </w:tc>
        <w:tc>
          <w:tcPr>
            <w:tcW w:w="7156" w:type="dxa"/>
            <w:gridSpan w:val="3"/>
            <w:vAlign w:val="center"/>
          </w:tcPr>
          <w:p w14:paraId="15E980BF">
            <w:pPr>
              <w:adjustRightInd w:val="0"/>
              <w:snapToGrid w:val="0"/>
              <w:jc w:val="center"/>
              <w:rPr>
                <w:rFonts w:hint="default" w:eastAsia="宋体" w:cs="宋体"/>
                <w:color w:val="000000" w:themeColor="text1"/>
                <w:sz w:val="24"/>
                <w:szCs w:val="24"/>
                <w:lang w:val="en-US" w:eastAsia="zh-CN"/>
                <w14:textFill>
                  <w14:solidFill>
                    <w14:schemeClr w14:val="tx1"/>
                  </w14:solidFill>
                </w14:textFill>
              </w:rPr>
            </w:pPr>
            <w:r>
              <w:rPr>
                <w:rFonts w:hint="eastAsia" w:cs="宋体"/>
                <w:color w:val="000000" w:themeColor="text1"/>
                <w:sz w:val="24"/>
                <w:szCs w:val="24"/>
                <w:lang w:val="en-US" w:eastAsia="zh-CN"/>
                <w14:textFill>
                  <w14:solidFill>
                    <w14:schemeClr w14:val="tx1"/>
                  </w14:solidFill>
                </w14:textFill>
              </w:rPr>
              <w:t>四川巴中经济开发区</w:t>
            </w:r>
          </w:p>
        </w:tc>
      </w:tr>
      <w:tr w14:paraId="2BCDB9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714" w:type="dxa"/>
            <w:tcMar>
              <w:top w:w="16" w:type="dxa"/>
              <w:left w:w="16" w:type="dxa"/>
              <w:right w:w="16" w:type="dxa"/>
            </w:tcMar>
            <w:vAlign w:val="center"/>
          </w:tcPr>
          <w:p w14:paraId="7EFFDDE0">
            <w:pPr>
              <w:adjustRightInd w:val="0"/>
              <w:snapToGrid w:val="0"/>
              <w:jc w:val="center"/>
              <w:rPr>
                <w:rFonts w:cs="宋体"/>
                <w:b/>
                <w:bCs/>
                <w:color w:val="000000" w:themeColor="text1"/>
                <w:sz w:val="24"/>
                <w:szCs w:val="24"/>
                <w14:textFill>
                  <w14:solidFill>
                    <w14:schemeClr w14:val="tx1"/>
                  </w14:solidFill>
                </w14:textFill>
              </w:rPr>
            </w:pPr>
            <w:r>
              <w:rPr>
                <w:rFonts w:hint="eastAsia" w:cs="宋体"/>
                <w:b/>
                <w:bCs/>
                <w:color w:val="000000" w:themeColor="text1"/>
                <w:sz w:val="24"/>
                <w:szCs w:val="24"/>
                <w14:textFill>
                  <w14:solidFill>
                    <w14:schemeClr w14:val="tx1"/>
                  </w14:solidFill>
                </w14:textFill>
              </w:rPr>
              <w:t>地理坐标</w:t>
            </w:r>
          </w:p>
        </w:tc>
        <w:tc>
          <w:tcPr>
            <w:tcW w:w="7156" w:type="dxa"/>
            <w:gridSpan w:val="3"/>
            <w:vAlign w:val="center"/>
          </w:tcPr>
          <w:p w14:paraId="042BEF60">
            <w:pPr>
              <w:jc w:val="center"/>
              <w:rPr>
                <w:rFonts w:cs="宋体"/>
                <w:color w:val="000000" w:themeColor="text1"/>
                <w:sz w:val="24"/>
                <w:szCs w:val="24"/>
                <w14:textFill>
                  <w14:solidFill>
                    <w14:schemeClr w14:val="tx1"/>
                  </w14:solidFill>
                </w14:textFill>
              </w:rPr>
            </w:pPr>
            <w:r>
              <w:rPr>
                <w:rFonts w:hint="eastAsia" w:cs="宋体"/>
                <w:color w:val="000000" w:themeColor="text1"/>
                <w:sz w:val="24"/>
                <w:szCs w:val="24"/>
                <w14:textFill>
                  <w14:solidFill>
                    <w14:schemeClr w14:val="tx1"/>
                  </w14:solidFill>
                </w14:textFill>
              </w:rPr>
              <w:t>（</w:t>
            </w:r>
            <w:r>
              <w:rPr>
                <w:rFonts w:hint="eastAsia" w:cs="宋体"/>
                <w:color w:val="000000" w:themeColor="text1"/>
                <w:sz w:val="24"/>
                <w:szCs w:val="24"/>
                <w:u w:val="single"/>
                <w14:textFill>
                  <w14:solidFill>
                    <w14:schemeClr w14:val="tx1"/>
                  </w14:solidFill>
                </w14:textFill>
              </w:rPr>
              <w:t>106</w:t>
            </w:r>
            <w:r>
              <w:rPr>
                <w:rFonts w:hint="eastAsia" w:cs="宋体"/>
                <w:color w:val="000000" w:themeColor="text1"/>
                <w:sz w:val="24"/>
                <w:szCs w:val="24"/>
                <w14:textFill>
                  <w14:solidFill>
                    <w14:schemeClr w14:val="tx1"/>
                  </w14:solidFill>
                </w14:textFill>
              </w:rPr>
              <w:t>度</w:t>
            </w:r>
            <w:r>
              <w:rPr>
                <w:rFonts w:hint="eastAsia" w:cs="宋体"/>
                <w:color w:val="000000" w:themeColor="text1"/>
                <w:sz w:val="24"/>
                <w:szCs w:val="24"/>
                <w:u w:val="single"/>
                <w14:textFill>
                  <w14:solidFill>
                    <w14:schemeClr w14:val="tx1"/>
                  </w14:solidFill>
                </w14:textFill>
              </w:rPr>
              <w:t>5</w:t>
            </w:r>
            <w:r>
              <w:rPr>
                <w:rFonts w:hint="eastAsia" w:cs="宋体"/>
                <w:color w:val="000000" w:themeColor="text1"/>
                <w:sz w:val="24"/>
                <w:szCs w:val="24"/>
                <w:u w:val="single"/>
                <w:lang w:val="en-US" w:eastAsia="zh-CN"/>
                <w14:textFill>
                  <w14:solidFill>
                    <w14:schemeClr w14:val="tx1"/>
                  </w14:solidFill>
                </w14:textFill>
              </w:rPr>
              <w:t>3</w:t>
            </w:r>
            <w:r>
              <w:rPr>
                <w:rFonts w:hint="eastAsia" w:cs="宋体"/>
                <w:color w:val="000000" w:themeColor="text1"/>
                <w:sz w:val="24"/>
                <w:szCs w:val="24"/>
                <w14:textFill>
                  <w14:solidFill>
                    <w14:schemeClr w14:val="tx1"/>
                  </w14:solidFill>
                </w14:textFill>
              </w:rPr>
              <w:t>分</w:t>
            </w:r>
            <w:r>
              <w:rPr>
                <w:rFonts w:hint="eastAsia" w:cs="宋体"/>
                <w:color w:val="000000" w:themeColor="text1"/>
                <w:sz w:val="24"/>
                <w:szCs w:val="24"/>
                <w:u w:val="single"/>
                <w:lang w:val="en-US" w:eastAsia="zh-CN"/>
                <w14:textFill>
                  <w14:solidFill>
                    <w14:schemeClr w14:val="tx1"/>
                  </w14:solidFill>
                </w14:textFill>
              </w:rPr>
              <w:t>41.840</w:t>
            </w:r>
            <w:r>
              <w:rPr>
                <w:rFonts w:hint="eastAsia" w:cs="宋体"/>
                <w:color w:val="000000" w:themeColor="text1"/>
                <w:sz w:val="24"/>
                <w:szCs w:val="24"/>
                <w14:textFill>
                  <w14:solidFill>
                    <w14:schemeClr w14:val="tx1"/>
                  </w14:solidFill>
                </w14:textFill>
              </w:rPr>
              <w:t>秒，</w:t>
            </w:r>
            <w:r>
              <w:rPr>
                <w:rFonts w:hint="eastAsia" w:cs="宋体"/>
                <w:color w:val="000000" w:themeColor="text1"/>
                <w:sz w:val="24"/>
                <w:szCs w:val="24"/>
                <w:u w:val="single"/>
                <w:lang w:val="en-US" w:eastAsia="zh-CN"/>
                <w14:textFill>
                  <w14:solidFill>
                    <w14:schemeClr w14:val="tx1"/>
                  </w14:solidFill>
                </w14:textFill>
              </w:rPr>
              <w:t>31</w:t>
            </w:r>
            <w:r>
              <w:rPr>
                <w:rFonts w:hint="eastAsia" w:cs="宋体"/>
                <w:color w:val="000000" w:themeColor="text1"/>
                <w:sz w:val="24"/>
                <w:szCs w:val="24"/>
                <w14:textFill>
                  <w14:solidFill>
                    <w14:schemeClr w14:val="tx1"/>
                  </w14:solidFill>
                </w14:textFill>
              </w:rPr>
              <w:t>度</w:t>
            </w:r>
            <w:r>
              <w:rPr>
                <w:rFonts w:hint="eastAsia" w:cs="宋体"/>
                <w:color w:val="000000" w:themeColor="text1"/>
                <w:sz w:val="24"/>
                <w:szCs w:val="24"/>
                <w:u w:val="single"/>
                <w:lang w:val="en-US" w:eastAsia="zh-CN"/>
                <w14:textFill>
                  <w14:solidFill>
                    <w14:schemeClr w14:val="tx1"/>
                  </w14:solidFill>
                </w14:textFill>
              </w:rPr>
              <w:t>51</w:t>
            </w:r>
            <w:r>
              <w:rPr>
                <w:rFonts w:hint="eastAsia" w:cs="宋体"/>
                <w:color w:val="000000" w:themeColor="text1"/>
                <w:sz w:val="24"/>
                <w:szCs w:val="24"/>
                <w14:textFill>
                  <w14:solidFill>
                    <w14:schemeClr w14:val="tx1"/>
                  </w14:solidFill>
                </w14:textFill>
              </w:rPr>
              <w:t>分</w:t>
            </w:r>
            <w:r>
              <w:rPr>
                <w:rFonts w:hint="eastAsia" w:cs="宋体"/>
                <w:color w:val="000000" w:themeColor="text1"/>
                <w:sz w:val="24"/>
                <w:szCs w:val="24"/>
                <w:u w:val="single"/>
                <w:lang w:val="en-US" w:eastAsia="zh-CN"/>
                <w14:textFill>
                  <w14:solidFill>
                    <w14:schemeClr w14:val="tx1"/>
                  </w14:solidFill>
                </w14:textFill>
              </w:rPr>
              <w:t>22.378</w:t>
            </w:r>
            <w:r>
              <w:rPr>
                <w:rFonts w:hint="eastAsia" w:cs="宋体"/>
                <w:color w:val="000000" w:themeColor="text1"/>
                <w:sz w:val="24"/>
                <w:szCs w:val="24"/>
                <w14:textFill>
                  <w14:solidFill>
                    <w14:schemeClr w14:val="tx1"/>
                  </w14:solidFill>
                </w14:textFill>
              </w:rPr>
              <w:t>秒）</w:t>
            </w:r>
          </w:p>
        </w:tc>
      </w:tr>
      <w:tr w14:paraId="220199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1714" w:type="dxa"/>
            <w:tcMar>
              <w:top w:w="16" w:type="dxa"/>
              <w:left w:w="16" w:type="dxa"/>
              <w:right w:w="16" w:type="dxa"/>
            </w:tcMar>
            <w:vAlign w:val="center"/>
          </w:tcPr>
          <w:p w14:paraId="2B2F84F7">
            <w:pPr>
              <w:adjustRightInd w:val="0"/>
              <w:snapToGrid w:val="0"/>
              <w:jc w:val="center"/>
              <w:rPr>
                <w:rFonts w:cs="宋体"/>
                <w:b/>
                <w:bCs/>
                <w:color w:val="000000" w:themeColor="text1"/>
                <w:sz w:val="24"/>
                <w:szCs w:val="24"/>
                <w14:textFill>
                  <w14:solidFill>
                    <w14:schemeClr w14:val="tx1"/>
                  </w14:solidFill>
                </w14:textFill>
              </w:rPr>
            </w:pPr>
            <w:r>
              <w:rPr>
                <w:rFonts w:hint="eastAsia" w:cs="宋体"/>
                <w:b/>
                <w:bCs/>
                <w:color w:val="000000" w:themeColor="text1"/>
                <w:sz w:val="24"/>
                <w:szCs w:val="24"/>
                <w14:textFill>
                  <w14:solidFill>
                    <w14:schemeClr w14:val="tx1"/>
                  </w14:solidFill>
                </w14:textFill>
              </w:rPr>
              <w:t>国民经济</w:t>
            </w:r>
          </w:p>
          <w:p w14:paraId="11BF2AE4">
            <w:pPr>
              <w:adjustRightInd w:val="0"/>
              <w:snapToGrid w:val="0"/>
              <w:jc w:val="center"/>
              <w:rPr>
                <w:rFonts w:cs="宋体"/>
                <w:b/>
                <w:bCs/>
                <w:color w:val="000000" w:themeColor="text1"/>
                <w:sz w:val="24"/>
                <w:szCs w:val="24"/>
                <w14:textFill>
                  <w14:solidFill>
                    <w14:schemeClr w14:val="tx1"/>
                  </w14:solidFill>
                </w14:textFill>
              </w:rPr>
            </w:pPr>
            <w:r>
              <w:rPr>
                <w:rFonts w:hint="eastAsia" w:cs="宋体"/>
                <w:b/>
                <w:bCs/>
                <w:color w:val="000000" w:themeColor="text1"/>
                <w:sz w:val="24"/>
                <w:szCs w:val="24"/>
                <w14:textFill>
                  <w14:solidFill>
                    <w14:schemeClr w14:val="tx1"/>
                  </w14:solidFill>
                </w14:textFill>
              </w:rPr>
              <w:t>行业类别</w:t>
            </w:r>
          </w:p>
        </w:tc>
        <w:tc>
          <w:tcPr>
            <w:tcW w:w="2305" w:type="dxa"/>
            <w:vAlign w:val="center"/>
          </w:tcPr>
          <w:p w14:paraId="3F9BFC69">
            <w:pPr>
              <w:adjustRightInd w:val="0"/>
              <w:snapToGrid w:val="0"/>
              <w:jc w:val="center"/>
              <w:rPr>
                <w:rFonts w:hint="default" w:eastAsia="宋体" w:cs="宋体"/>
                <w:color w:val="000000" w:themeColor="text1"/>
                <w:sz w:val="24"/>
                <w:szCs w:val="24"/>
                <w:lang w:val="en-US" w:eastAsia="zh-CN"/>
                <w14:textFill>
                  <w14:solidFill>
                    <w14:schemeClr w14:val="tx1"/>
                  </w14:solidFill>
                </w14:textFill>
              </w:rPr>
            </w:pPr>
            <w:r>
              <w:rPr>
                <w:color w:val="000000" w:themeColor="text1"/>
                <w:sz w:val="24"/>
                <w:szCs w:val="24"/>
                <w14:textFill>
                  <w14:solidFill>
                    <w14:schemeClr w14:val="tx1"/>
                  </w14:solidFill>
                </w14:textFill>
              </w:rPr>
              <w:t>C</w:t>
            </w:r>
            <w:r>
              <w:rPr>
                <w:rFonts w:hint="eastAsia"/>
                <w:color w:val="000000" w:themeColor="text1"/>
                <w:sz w:val="24"/>
                <w:szCs w:val="24"/>
                <w:lang w:val="en-US" w:eastAsia="zh-CN"/>
                <w14:textFill>
                  <w14:solidFill>
                    <w14:schemeClr w14:val="tx1"/>
                  </w14:solidFill>
                </w14:textFill>
              </w:rPr>
              <w:t>3841 锂离子电池制造</w:t>
            </w:r>
          </w:p>
        </w:tc>
        <w:tc>
          <w:tcPr>
            <w:tcW w:w="2212" w:type="dxa"/>
            <w:vAlign w:val="center"/>
          </w:tcPr>
          <w:p w14:paraId="70CE9330">
            <w:pPr>
              <w:adjustRightInd w:val="0"/>
              <w:snapToGrid w:val="0"/>
              <w:jc w:val="center"/>
              <w:rPr>
                <w:rFonts w:cs="宋体"/>
                <w:b/>
                <w:bCs/>
                <w:color w:val="000000" w:themeColor="text1"/>
                <w:sz w:val="24"/>
                <w:szCs w:val="24"/>
                <w14:textFill>
                  <w14:solidFill>
                    <w14:schemeClr w14:val="tx1"/>
                  </w14:solidFill>
                </w14:textFill>
              </w:rPr>
            </w:pPr>
            <w:bookmarkStart w:id="6" w:name="_Hlk49843745"/>
            <w:r>
              <w:rPr>
                <w:rFonts w:hint="eastAsia" w:cs="宋体"/>
                <w:b/>
                <w:bCs/>
                <w:color w:val="000000" w:themeColor="text1"/>
                <w:sz w:val="24"/>
                <w:szCs w:val="24"/>
                <w14:textFill>
                  <w14:solidFill>
                    <w14:schemeClr w14:val="tx1"/>
                  </w14:solidFill>
                </w14:textFill>
              </w:rPr>
              <w:t>建设项目</w:t>
            </w:r>
          </w:p>
          <w:p w14:paraId="6C7FA641">
            <w:pPr>
              <w:adjustRightInd w:val="0"/>
              <w:snapToGrid w:val="0"/>
              <w:jc w:val="center"/>
              <w:rPr>
                <w:rFonts w:cs="宋体"/>
                <w:color w:val="000000" w:themeColor="text1"/>
                <w:sz w:val="24"/>
                <w:szCs w:val="24"/>
                <w14:textFill>
                  <w14:solidFill>
                    <w14:schemeClr w14:val="tx1"/>
                  </w14:solidFill>
                </w14:textFill>
              </w:rPr>
            </w:pPr>
            <w:r>
              <w:rPr>
                <w:rFonts w:hint="eastAsia" w:cs="宋体"/>
                <w:b/>
                <w:bCs/>
                <w:color w:val="000000" w:themeColor="text1"/>
                <w:sz w:val="24"/>
                <w:szCs w:val="24"/>
                <w14:textFill>
                  <w14:solidFill>
                    <w14:schemeClr w14:val="tx1"/>
                  </w14:solidFill>
                </w14:textFill>
              </w:rPr>
              <w:t>行业类别</w:t>
            </w:r>
            <w:bookmarkEnd w:id="6"/>
          </w:p>
        </w:tc>
        <w:tc>
          <w:tcPr>
            <w:tcW w:w="2639" w:type="dxa"/>
            <w:vAlign w:val="center"/>
          </w:tcPr>
          <w:p w14:paraId="609886CF">
            <w:pPr>
              <w:adjustRightInd w:val="0"/>
              <w:snapToGrid w:val="0"/>
              <w:rPr>
                <w:rFonts w:hint="default" w:eastAsia="宋体" w:cs="宋体"/>
                <w:color w:val="000000" w:themeColor="text1"/>
                <w:sz w:val="24"/>
                <w:szCs w:val="24"/>
                <w:lang w:val="en-US" w:eastAsia="zh-CN"/>
                <w14:textFill>
                  <w14:solidFill>
                    <w14:schemeClr w14:val="tx1"/>
                  </w14:solidFill>
                </w14:textFill>
              </w:rPr>
            </w:pPr>
            <w:r>
              <w:rPr>
                <w:rFonts w:hint="eastAsia" w:cs="宋体"/>
                <w:color w:val="000000" w:themeColor="text1"/>
                <w:sz w:val="24"/>
                <w:szCs w:val="24"/>
                <w:lang w:val="en-US" w:eastAsia="zh-CN"/>
                <w14:textFill>
                  <w14:solidFill>
                    <w14:schemeClr w14:val="tx1"/>
                  </w14:solidFill>
                </w14:textFill>
              </w:rPr>
              <w:t xml:space="preserve">三十五、电气机械和器材制造业 38-77 电池制造384 </w:t>
            </w:r>
            <w:r>
              <w:rPr>
                <w:rFonts w:hint="eastAsia" w:ascii="Times New Roman" w:hAnsi="Times New Roman" w:eastAsia="宋体" w:cs="宋体"/>
                <w:color w:val="000000" w:themeColor="text1"/>
                <w:sz w:val="24"/>
                <w:szCs w:val="24"/>
                <w:lang w:val="en-US" w:eastAsia="zh-CN"/>
                <w14:textFill>
                  <w14:solidFill>
                    <w14:schemeClr w14:val="tx1"/>
                  </w14:solidFill>
                </w14:textFill>
              </w:rPr>
              <w:t>其他（仅分割、焊接、组装的除外；年用非溶剂型低VOCs含量涂料10吨以下的除外）</w:t>
            </w:r>
          </w:p>
        </w:tc>
      </w:tr>
      <w:tr w14:paraId="471DF2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1714" w:type="dxa"/>
            <w:tcMar>
              <w:top w:w="16" w:type="dxa"/>
              <w:left w:w="16" w:type="dxa"/>
              <w:right w:w="16" w:type="dxa"/>
            </w:tcMar>
            <w:vAlign w:val="center"/>
          </w:tcPr>
          <w:p w14:paraId="0E7F32C0">
            <w:pPr>
              <w:adjustRightInd w:val="0"/>
              <w:snapToGrid w:val="0"/>
              <w:jc w:val="center"/>
              <w:rPr>
                <w:rFonts w:cs="宋体"/>
                <w:b/>
                <w:bCs/>
                <w:color w:val="000000" w:themeColor="text1"/>
                <w:sz w:val="24"/>
                <w:szCs w:val="24"/>
                <w14:textFill>
                  <w14:solidFill>
                    <w14:schemeClr w14:val="tx1"/>
                  </w14:solidFill>
                </w14:textFill>
              </w:rPr>
            </w:pPr>
            <w:r>
              <w:rPr>
                <w:rFonts w:hint="eastAsia" w:cs="宋体"/>
                <w:b/>
                <w:bCs/>
                <w:color w:val="000000" w:themeColor="text1"/>
                <w:sz w:val="24"/>
                <w:szCs w:val="24"/>
                <w14:textFill>
                  <w14:solidFill>
                    <w14:schemeClr w14:val="tx1"/>
                  </w14:solidFill>
                </w14:textFill>
              </w:rPr>
              <w:t>建设性质</w:t>
            </w:r>
          </w:p>
        </w:tc>
        <w:tc>
          <w:tcPr>
            <w:tcW w:w="2305" w:type="dxa"/>
            <w:vAlign w:val="center"/>
          </w:tcPr>
          <w:p w14:paraId="2C15BC29">
            <w:pPr>
              <w:rPr>
                <w:rFonts w:cs="宋体"/>
                <w:color w:val="000000" w:themeColor="text1"/>
                <w:sz w:val="24"/>
                <w:szCs w:val="24"/>
                <w14:textFill>
                  <w14:solidFill>
                    <w14:schemeClr w14:val="tx1"/>
                  </w14:solidFill>
                </w14:textFill>
              </w:rPr>
            </w:pPr>
            <w:r>
              <w:rPr>
                <w:rFonts w:hint="eastAsia" w:cs="宋体"/>
                <w:color w:val="000000" w:themeColor="text1"/>
                <w:sz w:val="24"/>
                <w:szCs w:val="24"/>
                <w:lang w:eastAsia="zh-CN"/>
                <w14:textFill>
                  <w14:solidFill>
                    <w14:schemeClr w14:val="tx1"/>
                  </w14:solidFill>
                </w14:textFill>
              </w:rPr>
              <w:t>☑</w:t>
            </w:r>
            <w:r>
              <w:rPr>
                <w:rFonts w:hint="eastAsia" w:cs="宋体"/>
                <w:color w:val="000000" w:themeColor="text1"/>
                <w:sz w:val="24"/>
                <w:szCs w:val="24"/>
                <w14:textFill>
                  <w14:solidFill>
                    <w14:schemeClr w14:val="tx1"/>
                  </w14:solidFill>
                </w14:textFill>
              </w:rPr>
              <w:t>新建（迁建）</w:t>
            </w:r>
          </w:p>
          <w:p w14:paraId="06F35E3F">
            <w:pPr>
              <w:rPr>
                <w:rFonts w:cs="宋体"/>
                <w:color w:val="000000" w:themeColor="text1"/>
                <w:sz w:val="24"/>
                <w:szCs w:val="24"/>
                <w14:textFill>
                  <w14:solidFill>
                    <w14:schemeClr w14:val="tx1"/>
                  </w14:solidFill>
                </w14:textFill>
              </w:rPr>
            </w:pPr>
            <w:r>
              <w:rPr>
                <w:rFonts w:hint="eastAsia" w:cs="宋体"/>
                <w:color w:val="000000" w:themeColor="text1"/>
                <w:sz w:val="24"/>
                <w:szCs w:val="24"/>
                <w:lang w:eastAsia="zh-CN"/>
                <w14:textFill>
                  <w14:solidFill>
                    <w14:schemeClr w14:val="tx1"/>
                  </w14:solidFill>
                </w14:textFill>
              </w:rPr>
              <w:t>□</w:t>
            </w:r>
            <w:r>
              <w:rPr>
                <w:rFonts w:hint="eastAsia" w:cs="宋体"/>
                <w:color w:val="000000" w:themeColor="text1"/>
                <w:sz w:val="24"/>
                <w:szCs w:val="24"/>
                <w14:textFill>
                  <w14:solidFill>
                    <w14:schemeClr w14:val="tx1"/>
                  </w14:solidFill>
                </w14:textFill>
              </w:rPr>
              <w:t>改建</w:t>
            </w:r>
          </w:p>
          <w:p w14:paraId="0581F8BC">
            <w:pPr>
              <w:rPr>
                <w:rFonts w:cs="宋体"/>
                <w:color w:val="000000" w:themeColor="text1"/>
                <w:sz w:val="24"/>
                <w:szCs w:val="24"/>
                <w14:textFill>
                  <w14:solidFill>
                    <w14:schemeClr w14:val="tx1"/>
                  </w14:solidFill>
                </w14:textFill>
              </w:rPr>
            </w:pPr>
            <w:r>
              <w:rPr>
                <w:rFonts w:hint="eastAsia" w:cs="宋体"/>
                <w:color w:val="000000" w:themeColor="text1"/>
                <w:sz w:val="24"/>
                <w:szCs w:val="24"/>
                <w14:textFill>
                  <w14:solidFill>
                    <w14:schemeClr w14:val="tx1"/>
                  </w14:solidFill>
                </w14:textFill>
              </w:rPr>
              <w:t>□扩建</w:t>
            </w:r>
          </w:p>
          <w:p w14:paraId="268CE794">
            <w:pPr>
              <w:rPr>
                <w:rFonts w:cs="宋体"/>
                <w:color w:val="000000" w:themeColor="text1"/>
                <w:sz w:val="24"/>
                <w:szCs w:val="24"/>
                <w14:textFill>
                  <w14:solidFill>
                    <w14:schemeClr w14:val="tx1"/>
                  </w14:solidFill>
                </w14:textFill>
              </w:rPr>
            </w:pPr>
            <w:r>
              <w:rPr>
                <w:rFonts w:hint="eastAsia" w:cs="宋体"/>
                <w:color w:val="000000" w:themeColor="text1"/>
                <w:sz w:val="24"/>
                <w:szCs w:val="24"/>
                <w14:textFill>
                  <w14:solidFill>
                    <w14:schemeClr w14:val="tx1"/>
                  </w14:solidFill>
                </w14:textFill>
              </w:rPr>
              <w:t>□技术改造</w:t>
            </w:r>
          </w:p>
        </w:tc>
        <w:tc>
          <w:tcPr>
            <w:tcW w:w="2212" w:type="dxa"/>
            <w:vAlign w:val="center"/>
          </w:tcPr>
          <w:p w14:paraId="37CC12FB">
            <w:pPr>
              <w:adjustRightInd w:val="0"/>
              <w:snapToGrid w:val="0"/>
              <w:jc w:val="center"/>
              <w:rPr>
                <w:rFonts w:cs="宋体"/>
                <w:b/>
                <w:bCs/>
                <w:color w:val="000000" w:themeColor="text1"/>
                <w:sz w:val="24"/>
                <w:szCs w:val="24"/>
                <w14:textFill>
                  <w14:solidFill>
                    <w14:schemeClr w14:val="tx1"/>
                  </w14:solidFill>
                </w14:textFill>
              </w:rPr>
            </w:pPr>
            <w:r>
              <w:rPr>
                <w:rFonts w:hint="eastAsia" w:cs="宋体"/>
                <w:b/>
                <w:bCs/>
                <w:color w:val="000000" w:themeColor="text1"/>
                <w:sz w:val="24"/>
                <w:szCs w:val="24"/>
                <w14:textFill>
                  <w14:solidFill>
                    <w14:schemeClr w14:val="tx1"/>
                  </w14:solidFill>
                </w14:textFill>
              </w:rPr>
              <w:t>建设项目</w:t>
            </w:r>
          </w:p>
          <w:p w14:paraId="07246736">
            <w:pPr>
              <w:adjustRightInd w:val="0"/>
              <w:snapToGrid w:val="0"/>
              <w:jc w:val="center"/>
              <w:rPr>
                <w:rFonts w:cs="宋体"/>
                <w:color w:val="000000" w:themeColor="text1"/>
                <w:sz w:val="24"/>
                <w:szCs w:val="24"/>
                <w14:textFill>
                  <w14:solidFill>
                    <w14:schemeClr w14:val="tx1"/>
                  </w14:solidFill>
                </w14:textFill>
              </w:rPr>
            </w:pPr>
            <w:r>
              <w:rPr>
                <w:rFonts w:hint="eastAsia" w:cs="宋体"/>
                <w:b/>
                <w:bCs/>
                <w:color w:val="000000" w:themeColor="text1"/>
                <w:sz w:val="24"/>
                <w:szCs w:val="24"/>
                <w14:textFill>
                  <w14:solidFill>
                    <w14:schemeClr w14:val="tx1"/>
                  </w14:solidFill>
                </w14:textFill>
              </w:rPr>
              <w:t>申报情形</w:t>
            </w:r>
          </w:p>
        </w:tc>
        <w:tc>
          <w:tcPr>
            <w:tcW w:w="2639" w:type="dxa"/>
            <w:vAlign w:val="center"/>
          </w:tcPr>
          <w:p w14:paraId="04A0BF20">
            <w:pPr>
              <w:rPr>
                <w:rFonts w:cs="宋体"/>
                <w:color w:val="000000" w:themeColor="text1"/>
                <w:sz w:val="24"/>
                <w:szCs w:val="24"/>
                <w14:textFill>
                  <w14:solidFill>
                    <w14:schemeClr w14:val="tx1"/>
                  </w14:solidFill>
                </w14:textFill>
              </w:rPr>
            </w:pPr>
            <w:r>
              <w:rPr>
                <w:rFonts w:hint="eastAsia" w:cs="宋体"/>
                <w:color w:val="000000" w:themeColor="text1"/>
                <w:sz w:val="24"/>
                <w:szCs w:val="24"/>
                <w:lang w:eastAsia="zh-CN"/>
                <w14:textFill>
                  <w14:solidFill>
                    <w14:schemeClr w14:val="tx1"/>
                  </w14:solidFill>
                </w14:textFill>
              </w:rPr>
              <w:t>☑</w:t>
            </w:r>
            <w:r>
              <w:rPr>
                <w:rFonts w:hint="eastAsia" w:cs="宋体"/>
                <w:color w:val="000000" w:themeColor="text1"/>
                <w:sz w:val="24"/>
                <w:szCs w:val="24"/>
                <w14:textFill>
                  <w14:solidFill>
                    <w14:schemeClr w14:val="tx1"/>
                  </w14:solidFill>
                </w14:textFill>
              </w:rPr>
              <w:t>首次申报项目</w:t>
            </w:r>
            <w:r>
              <w:rPr>
                <w:rFonts w:cs="宋体"/>
                <w:color w:val="000000" w:themeColor="text1"/>
                <w:sz w:val="24"/>
                <w:szCs w:val="24"/>
                <w14:textFill>
                  <w14:solidFill>
                    <w14:schemeClr w14:val="tx1"/>
                  </w14:solidFill>
                </w14:textFill>
              </w:rPr>
              <w:t xml:space="preserve">             </w:t>
            </w:r>
          </w:p>
          <w:p w14:paraId="575BD6C9">
            <w:pPr>
              <w:rPr>
                <w:rFonts w:cs="宋体"/>
                <w:color w:val="000000" w:themeColor="text1"/>
                <w:sz w:val="24"/>
                <w:szCs w:val="24"/>
                <w14:textFill>
                  <w14:solidFill>
                    <w14:schemeClr w14:val="tx1"/>
                  </w14:solidFill>
                </w14:textFill>
              </w:rPr>
            </w:pPr>
            <w:r>
              <w:rPr>
                <w:rFonts w:hint="eastAsia" w:cs="宋体"/>
                <w:color w:val="000000" w:themeColor="text1"/>
                <w:sz w:val="24"/>
                <w:szCs w:val="24"/>
                <w14:textFill>
                  <w14:solidFill>
                    <w14:schemeClr w14:val="tx1"/>
                  </w14:solidFill>
                </w14:textFill>
              </w:rPr>
              <w:t>□不予批准后再次申报项目</w:t>
            </w:r>
          </w:p>
          <w:p w14:paraId="1E4C5515">
            <w:pPr>
              <w:rPr>
                <w:rFonts w:cs="宋体"/>
                <w:color w:val="000000" w:themeColor="text1"/>
                <w:sz w:val="24"/>
                <w:szCs w:val="24"/>
                <w14:textFill>
                  <w14:solidFill>
                    <w14:schemeClr w14:val="tx1"/>
                  </w14:solidFill>
                </w14:textFill>
              </w:rPr>
            </w:pPr>
            <w:r>
              <w:rPr>
                <w:rFonts w:hint="eastAsia" w:cs="宋体"/>
                <w:color w:val="000000" w:themeColor="text1"/>
                <w:sz w:val="24"/>
                <w:szCs w:val="24"/>
                <w:lang w:eastAsia="zh-CN"/>
                <w14:textFill>
                  <w14:solidFill>
                    <w14:schemeClr w14:val="tx1"/>
                  </w14:solidFill>
                </w14:textFill>
              </w:rPr>
              <w:t>□</w:t>
            </w:r>
            <w:r>
              <w:rPr>
                <w:rFonts w:hint="eastAsia" w:cs="宋体"/>
                <w:color w:val="000000" w:themeColor="text1"/>
                <w:sz w:val="24"/>
                <w:szCs w:val="24"/>
                <w14:textFill>
                  <w14:solidFill>
                    <w14:schemeClr w14:val="tx1"/>
                  </w14:solidFill>
                </w14:textFill>
              </w:rPr>
              <w:t>超五年重新审核项目</w:t>
            </w:r>
            <w:r>
              <w:rPr>
                <w:rFonts w:cs="宋体"/>
                <w:color w:val="000000" w:themeColor="text1"/>
                <w:sz w:val="24"/>
                <w:szCs w:val="24"/>
                <w14:textFill>
                  <w14:solidFill>
                    <w14:schemeClr w14:val="tx1"/>
                  </w14:solidFill>
                </w14:textFill>
              </w:rPr>
              <w:t xml:space="preserve">     </w:t>
            </w:r>
          </w:p>
          <w:p w14:paraId="642F69CC">
            <w:pPr>
              <w:rPr>
                <w:rFonts w:cs="宋体"/>
                <w:color w:val="000000" w:themeColor="text1"/>
                <w:sz w:val="24"/>
                <w:szCs w:val="24"/>
                <w14:textFill>
                  <w14:solidFill>
                    <w14:schemeClr w14:val="tx1"/>
                  </w14:solidFill>
                </w14:textFill>
              </w:rPr>
            </w:pPr>
            <w:r>
              <w:rPr>
                <w:rFonts w:hint="eastAsia" w:cs="宋体"/>
                <w:color w:val="000000" w:themeColor="text1"/>
                <w:sz w:val="24"/>
                <w:szCs w:val="24"/>
                <w14:textFill>
                  <w14:solidFill>
                    <w14:schemeClr w14:val="tx1"/>
                  </w14:solidFill>
                </w14:textFill>
              </w:rPr>
              <w:t>□重大变动重新报批项目</w:t>
            </w:r>
          </w:p>
        </w:tc>
      </w:tr>
      <w:tr w14:paraId="152F1C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1714" w:type="dxa"/>
            <w:tcMar>
              <w:top w:w="16" w:type="dxa"/>
              <w:left w:w="16" w:type="dxa"/>
              <w:right w:w="16" w:type="dxa"/>
            </w:tcMar>
            <w:vAlign w:val="center"/>
          </w:tcPr>
          <w:p w14:paraId="0EAB402C">
            <w:pPr>
              <w:adjustRightInd w:val="0"/>
              <w:snapToGrid w:val="0"/>
              <w:jc w:val="center"/>
              <w:rPr>
                <w:rFonts w:cs="宋体"/>
                <w:b/>
                <w:bCs/>
                <w:color w:val="000000" w:themeColor="text1"/>
                <w:sz w:val="24"/>
                <w:szCs w:val="24"/>
                <w14:textFill>
                  <w14:solidFill>
                    <w14:schemeClr w14:val="tx1"/>
                  </w14:solidFill>
                </w14:textFill>
              </w:rPr>
            </w:pPr>
            <w:r>
              <w:rPr>
                <w:rFonts w:hint="eastAsia" w:cs="宋体"/>
                <w:b/>
                <w:bCs/>
                <w:color w:val="000000" w:themeColor="text1"/>
                <w:sz w:val="24"/>
                <w:szCs w:val="24"/>
                <w14:textFill>
                  <w14:solidFill>
                    <w14:schemeClr w14:val="tx1"/>
                  </w14:solidFill>
                </w14:textFill>
              </w:rPr>
              <w:t>项目审批（核准</w:t>
            </w:r>
            <w:r>
              <w:rPr>
                <w:rFonts w:cs="宋体"/>
                <w:b/>
                <w:bCs/>
                <w:color w:val="000000" w:themeColor="text1"/>
                <w:sz w:val="24"/>
                <w:szCs w:val="24"/>
                <w14:textFill>
                  <w14:solidFill>
                    <w14:schemeClr w14:val="tx1"/>
                  </w14:solidFill>
                </w14:textFill>
              </w:rPr>
              <w:t>/</w:t>
            </w:r>
            <w:r>
              <w:rPr>
                <w:rFonts w:hint="eastAsia" w:cs="宋体"/>
                <w:b/>
                <w:bCs/>
                <w:color w:val="000000" w:themeColor="text1"/>
                <w:sz w:val="24"/>
                <w:szCs w:val="24"/>
                <w14:textFill>
                  <w14:solidFill>
                    <w14:schemeClr w14:val="tx1"/>
                  </w14:solidFill>
                </w14:textFill>
              </w:rPr>
              <w:t>备案）部门（选填）</w:t>
            </w:r>
          </w:p>
        </w:tc>
        <w:tc>
          <w:tcPr>
            <w:tcW w:w="2305" w:type="dxa"/>
            <w:vAlign w:val="center"/>
          </w:tcPr>
          <w:p w14:paraId="607D381E">
            <w:pPr>
              <w:adjustRightInd w:val="0"/>
              <w:snapToGrid w:val="0"/>
              <w:jc w:val="center"/>
              <w:rPr>
                <w:rFonts w:cs="宋体"/>
                <w:color w:val="000000" w:themeColor="text1"/>
                <w:sz w:val="24"/>
                <w:szCs w:val="24"/>
                <w14:textFill>
                  <w14:solidFill>
                    <w14:schemeClr w14:val="tx1"/>
                  </w14:solidFill>
                </w14:textFill>
              </w:rPr>
            </w:pPr>
            <w:r>
              <w:rPr>
                <w:rFonts w:hint="eastAsia" w:cs="宋体"/>
                <w:color w:val="000000" w:themeColor="text1"/>
                <w:sz w:val="24"/>
                <w:szCs w:val="24"/>
                <w14:textFill>
                  <w14:solidFill>
                    <w14:schemeClr w14:val="tx1"/>
                  </w14:solidFill>
                </w14:textFill>
              </w:rPr>
              <w:t>四川巴中经济开发区经济发展局</w:t>
            </w:r>
          </w:p>
        </w:tc>
        <w:tc>
          <w:tcPr>
            <w:tcW w:w="2212" w:type="dxa"/>
            <w:vAlign w:val="center"/>
          </w:tcPr>
          <w:p w14:paraId="26A139F8">
            <w:pPr>
              <w:adjustRightInd w:val="0"/>
              <w:snapToGrid w:val="0"/>
              <w:jc w:val="center"/>
              <w:rPr>
                <w:rFonts w:cs="宋体"/>
                <w:b/>
                <w:bCs/>
                <w:color w:val="000000" w:themeColor="text1"/>
                <w:sz w:val="24"/>
                <w:szCs w:val="24"/>
                <w14:textFill>
                  <w14:solidFill>
                    <w14:schemeClr w14:val="tx1"/>
                  </w14:solidFill>
                </w14:textFill>
              </w:rPr>
            </w:pPr>
            <w:r>
              <w:rPr>
                <w:rFonts w:hint="eastAsia" w:cs="宋体"/>
                <w:b/>
                <w:bCs/>
                <w:color w:val="000000" w:themeColor="text1"/>
                <w:sz w:val="24"/>
                <w:szCs w:val="24"/>
                <w14:textFill>
                  <w14:solidFill>
                    <w14:schemeClr w14:val="tx1"/>
                  </w14:solidFill>
                </w14:textFill>
              </w:rPr>
              <w:t>项目审批（核准</w:t>
            </w:r>
            <w:r>
              <w:rPr>
                <w:rFonts w:cs="宋体"/>
                <w:b/>
                <w:bCs/>
                <w:color w:val="000000" w:themeColor="text1"/>
                <w:sz w:val="24"/>
                <w:szCs w:val="24"/>
                <w14:textFill>
                  <w14:solidFill>
                    <w14:schemeClr w14:val="tx1"/>
                  </w14:solidFill>
                </w14:textFill>
              </w:rPr>
              <w:t>/</w:t>
            </w:r>
          </w:p>
          <w:p w14:paraId="1793065B">
            <w:pPr>
              <w:adjustRightInd w:val="0"/>
              <w:snapToGrid w:val="0"/>
              <w:jc w:val="center"/>
              <w:rPr>
                <w:rFonts w:cs="宋体"/>
                <w:b/>
                <w:bCs/>
                <w:color w:val="000000" w:themeColor="text1"/>
                <w:sz w:val="24"/>
                <w:szCs w:val="24"/>
                <w14:textFill>
                  <w14:solidFill>
                    <w14:schemeClr w14:val="tx1"/>
                  </w14:solidFill>
                </w14:textFill>
              </w:rPr>
            </w:pPr>
            <w:r>
              <w:rPr>
                <w:rFonts w:hint="eastAsia" w:cs="宋体"/>
                <w:b/>
                <w:bCs/>
                <w:color w:val="000000" w:themeColor="text1"/>
                <w:sz w:val="24"/>
                <w:szCs w:val="24"/>
                <w14:textFill>
                  <w14:solidFill>
                    <w14:schemeClr w14:val="tx1"/>
                  </w14:solidFill>
                </w14:textFill>
              </w:rPr>
              <w:t>备案）文号（选填）</w:t>
            </w:r>
          </w:p>
        </w:tc>
        <w:tc>
          <w:tcPr>
            <w:tcW w:w="2639" w:type="dxa"/>
            <w:vAlign w:val="center"/>
          </w:tcPr>
          <w:p w14:paraId="3E75051D">
            <w:pPr>
              <w:adjustRightInd w:val="0"/>
              <w:snapToGrid w:val="0"/>
              <w:jc w:val="center"/>
              <w:rPr>
                <w:rFonts w:cs="宋体"/>
                <w:color w:val="000000" w:themeColor="text1"/>
                <w:sz w:val="24"/>
                <w:szCs w:val="24"/>
                <w14:textFill>
                  <w14:solidFill>
                    <w14:schemeClr w14:val="tx1"/>
                  </w14:solidFill>
                </w14:textFill>
              </w:rPr>
            </w:pPr>
            <w:r>
              <w:rPr>
                <w:rFonts w:hint="eastAsia" w:cs="宋体"/>
                <w:color w:val="000000" w:themeColor="text1"/>
                <w:sz w:val="24"/>
                <w:szCs w:val="24"/>
                <w14:textFill>
                  <w14:solidFill>
                    <w14:schemeClr w14:val="tx1"/>
                  </w14:solidFill>
                </w14:textFill>
              </w:rPr>
              <w:t>川投资备【</w:t>
            </w:r>
            <w:r>
              <w:rPr>
                <w:rFonts w:hint="eastAsia" w:cs="宋体"/>
                <w:color w:val="000000" w:themeColor="text1"/>
                <w:sz w:val="24"/>
                <w:szCs w:val="24"/>
                <w:lang w:val="en-US" w:eastAsia="zh-CN"/>
                <w14:textFill>
                  <w14:solidFill>
                    <w14:schemeClr w14:val="tx1"/>
                  </w14:solidFill>
                </w14:textFill>
              </w:rPr>
              <w:t>2601</w:t>
            </w:r>
            <w:r>
              <w:rPr>
                <w:rFonts w:hint="eastAsia" w:cs="宋体"/>
                <w:color w:val="000000" w:themeColor="text1"/>
                <w:sz w:val="24"/>
                <w:szCs w:val="24"/>
                <w14:textFill>
                  <w14:solidFill>
                    <w14:schemeClr w14:val="tx1"/>
                  </w14:solidFill>
                </w14:textFill>
              </w:rPr>
              <w:t>-</w:t>
            </w:r>
            <w:r>
              <w:rPr>
                <w:rFonts w:hint="eastAsia" w:cs="宋体"/>
                <w:color w:val="000000" w:themeColor="text1"/>
                <w:sz w:val="24"/>
                <w:szCs w:val="24"/>
                <w:lang w:val="en-US" w:eastAsia="zh-CN"/>
                <w14:textFill>
                  <w14:solidFill>
                    <w14:schemeClr w14:val="tx1"/>
                  </w14:solidFill>
                </w14:textFill>
              </w:rPr>
              <w:t>511924</w:t>
            </w:r>
            <w:r>
              <w:rPr>
                <w:rFonts w:hint="eastAsia" w:cs="宋体"/>
                <w:color w:val="000000" w:themeColor="text1"/>
                <w:sz w:val="24"/>
                <w:szCs w:val="24"/>
                <w14:textFill>
                  <w14:solidFill>
                    <w14:schemeClr w14:val="tx1"/>
                  </w14:solidFill>
                </w14:textFill>
              </w:rPr>
              <w:t>-04-01-</w:t>
            </w:r>
            <w:r>
              <w:rPr>
                <w:rFonts w:hint="eastAsia" w:cs="宋体"/>
                <w:color w:val="000000" w:themeColor="text1"/>
                <w:sz w:val="24"/>
                <w:szCs w:val="24"/>
                <w:lang w:val="en-US" w:eastAsia="zh-CN"/>
                <w14:textFill>
                  <w14:solidFill>
                    <w14:schemeClr w14:val="tx1"/>
                  </w14:solidFill>
                </w14:textFill>
              </w:rPr>
              <w:t>983495</w:t>
            </w:r>
            <w:r>
              <w:rPr>
                <w:rFonts w:hint="eastAsia" w:cs="宋体"/>
                <w:color w:val="000000" w:themeColor="text1"/>
                <w:sz w:val="24"/>
                <w:szCs w:val="24"/>
                <w14:textFill>
                  <w14:solidFill>
                    <w14:schemeClr w14:val="tx1"/>
                  </w14:solidFill>
                </w14:textFill>
              </w:rPr>
              <w:t>】FGQB-00</w:t>
            </w:r>
            <w:r>
              <w:rPr>
                <w:rFonts w:hint="eastAsia" w:cs="宋体"/>
                <w:color w:val="000000" w:themeColor="text1"/>
                <w:sz w:val="24"/>
                <w:szCs w:val="24"/>
                <w:lang w:val="en-US" w:eastAsia="zh-CN"/>
                <w14:textFill>
                  <w14:solidFill>
                    <w14:schemeClr w14:val="tx1"/>
                  </w14:solidFill>
                </w14:textFill>
              </w:rPr>
              <w:t>19</w:t>
            </w:r>
            <w:r>
              <w:rPr>
                <w:rFonts w:hint="eastAsia" w:cs="宋体"/>
                <w:color w:val="000000" w:themeColor="text1"/>
                <w:sz w:val="24"/>
                <w:szCs w:val="24"/>
                <w14:textFill>
                  <w14:solidFill>
                    <w14:schemeClr w14:val="tx1"/>
                  </w14:solidFill>
                </w14:textFill>
              </w:rPr>
              <w:t>号</w:t>
            </w:r>
          </w:p>
        </w:tc>
      </w:tr>
      <w:tr w14:paraId="15AB9A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714" w:type="dxa"/>
            <w:tcMar>
              <w:top w:w="16" w:type="dxa"/>
              <w:left w:w="16" w:type="dxa"/>
              <w:right w:w="16" w:type="dxa"/>
            </w:tcMar>
            <w:vAlign w:val="center"/>
          </w:tcPr>
          <w:p w14:paraId="0625221B">
            <w:pPr>
              <w:adjustRightInd w:val="0"/>
              <w:snapToGrid w:val="0"/>
              <w:jc w:val="center"/>
              <w:rPr>
                <w:rFonts w:cs="宋体"/>
                <w:b/>
                <w:bCs/>
                <w:color w:val="000000" w:themeColor="text1"/>
                <w:sz w:val="24"/>
                <w:szCs w:val="24"/>
                <w14:textFill>
                  <w14:solidFill>
                    <w14:schemeClr w14:val="tx1"/>
                  </w14:solidFill>
                </w14:textFill>
              </w:rPr>
            </w:pPr>
            <w:r>
              <w:rPr>
                <w:rFonts w:hint="eastAsia" w:cs="宋体"/>
                <w:b/>
                <w:bCs/>
                <w:color w:val="000000" w:themeColor="text1"/>
                <w:sz w:val="24"/>
                <w:szCs w:val="24"/>
                <w14:textFill>
                  <w14:solidFill>
                    <w14:schemeClr w14:val="tx1"/>
                  </w14:solidFill>
                </w14:textFill>
              </w:rPr>
              <w:t>总投资（万元）</w:t>
            </w:r>
          </w:p>
        </w:tc>
        <w:tc>
          <w:tcPr>
            <w:tcW w:w="2305" w:type="dxa"/>
            <w:vAlign w:val="center"/>
          </w:tcPr>
          <w:p w14:paraId="30A5BE4B">
            <w:pPr>
              <w:adjustRightInd w:val="0"/>
              <w:snapToGrid w:val="0"/>
              <w:jc w:val="center"/>
              <w:rPr>
                <w:rFonts w:hint="default" w:eastAsia="宋体" w:cs="宋体"/>
                <w:color w:val="000000" w:themeColor="text1"/>
                <w:sz w:val="24"/>
                <w:szCs w:val="24"/>
                <w:lang w:val="en-US" w:eastAsia="zh-CN"/>
                <w14:textFill>
                  <w14:solidFill>
                    <w14:schemeClr w14:val="tx1"/>
                  </w14:solidFill>
                </w14:textFill>
              </w:rPr>
            </w:pPr>
            <w:r>
              <w:rPr>
                <w:rFonts w:hint="eastAsia" w:cs="宋体"/>
                <w:color w:val="000000" w:themeColor="text1"/>
                <w:sz w:val="24"/>
                <w:szCs w:val="24"/>
                <w:lang w:val="en-US" w:eastAsia="zh-CN"/>
                <w14:textFill>
                  <w14:solidFill>
                    <w14:schemeClr w14:val="tx1"/>
                  </w14:solidFill>
                </w14:textFill>
              </w:rPr>
              <w:t>30000</w:t>
            </w:r>
          </w:p>
        </w:tc>
        <w:tc>
          <w:tcPr>
            <w:tcW w:w="2212" w:type="dxa"/>
            <w:tcMar>
              <w:top w:w="16" w:type="dxa"/>
              <w:left w:w="16" w:type="dxa"/>
              <w:right w:w="16" w:type="dxa"/>
            </w:tcMar>
            <w:vAlign w:val="center"/>
          </w:tcPr>
          <w:p w14:paraId="32C8F898">
            <w:pPr>
              <w:adjustRightInd w:val="0"/>
              <w:snapToGrid w:val="0"/>
              <w:jc w:val="center"/>
              <w:rPr>
                <w:rFonts w:cs="宋体"/>
                <w:b/>
                <w:bCs/>
                <w:color w:val="000000" w:themeColor="text1"/>
                <w:sz w:val="24"/>
                <w:szCs w:val="24"/>
                <w14:textFill>
                  <w14:solidFill>
                    <w14:schemeClr w14:val="tx1"/>
                  </w14:solidFill>
                </w14:textFill>
              </w:rPr>
            </w:pPr>
            <w:r>
              <w:rPr>
                <w:rFonts w:hint="eastAsia" w:cs="宋体"/>
                <w:b/>
                <w:bCs/>
                <w:color w:val="000000" w:themeColor="text1"/>
                <w:sz w:val="24"/>
                <w:szCs w:val="24"/>
                <w14:textFill>
                  <w14:solidFill>
                    <w14:schemeClr w14:val="tx1"/>
                  </w14:solidFill>
                </w14:textFill>
              </w:rPr>
              <w:t>环保投资（万元）</w:t>
            </w:r>
          </w:p>
        </w:tc>
        <w:tc>
          <w:tcPr>
            <w:tcW w:w="2639" w:type="dxa"/>
            <w:vAlign w:val="center"/>
          </w:tcPr>
          <w:p w14:paraId="034C47A9">
            <w:pPr>
              <w:adjustRightInd w:val="0"/>
              <w:snapToGrid w:val="0"/>
              <w:jc w:val="center"/>
              <w:rPr>
                <w:rFonts w:hint="default" w:eastAsia="宋体" w:cs="宋体"/>
                <w:color w:val="000000" w:themeColor="text1"/>
                <w:sz w:val="24"/>
                <w:szCs w:val="24"/>
                <w:lang w:val="en-US" w:eastAsia="zh-CN"/>
                <w14:textFill>
                  <w14:solidFill>
                    <w14:schemeClr w14:val="tx1"/>
                  </w14:solidFill>
                </w14:textFill>
              </w:rPr>
            </w:pPr>
            <w:r>
              <w:rPr>
                <w:rFonts w:hint="eastAsia" w:cs="宋体"/>
                <w:color w:val="000000" w:themeColor="text1"/>
                <w:sz w:val="24"/>
                <w:szCs w:val="24"/>
                <w:lang w:val="en-US" w:eastAsia="zh-CN"/>
                <w14:textFill>
                  <w14:solidFill>
                    <w14:schemeClr w14:val="tx1"/>
                  </w14:solidFill>
                </w14:textFill>
              </w:rPr>
              <w:t>600</w:t>
            </w:r>
          </w:p>
        </w:tc>
      </w:tr>
      <w:tr w14:paraId="542EBD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714" w:type="dxa"/>
            <w:tcMar>
              <w:top w:w="16" w:type="dxa"/>
              <w:left w:w="16" w:type="dxa"/>
              <w:right w:w="16" w:type="dxa"/>
            </w:tcMar>
            <w:vAlign w:val="center"/>
          </w:tcPr>
          <w:p w14:paraId="24EFB5C1">
            <w:pPr>
              <w:adjustRightInd w:val="0"/>
              <w:snapToGrid w:val="0"/>
              <w:jc w:val="center"/>
              <w:rPr>
                <w:rFonts w:cs="宋体"/>
                <w:b/>
                <w:bCs/>
                <w:color w:val="000000" w:themeColor="text1"/>
                <w:sz w:val="24"/>
                <w:szCs w:val="24"/>
                <w14:textFill>
                  <w14:solidFill>
                    <w14:schemeClr w14:val="tx1"/>
                  </w14:solidFill>
                </w14:textFill>
              </w:rPr>
            </w:pPr>
            <w:r>
              <w:rPr>
                <w:rFonts w:hint="eastAsia" w:cs="宋体"/>
                <w:b/>
                <w:bCs/>
                <w:color w:val="000000" w:themeColor="text1"/>
                <w:sz w:val="24"/>
                <w:szCs w:val="24"/>
                <w14:textFill>
                  <w14:solidFill>
                    <w14:schemeClr w14:val="tx1"/>
                  </w14:solidFill>
                </w14:textFill>
              </w:rPr>
              <w:t>环保投资占比（</w:t>
            </w:r>
            <w:r>
              <w:rPr>
                <w:rFonts w:cs="宋体"/>
                <w:b/>
                <w:bCs/>
                <w:color w:val="000000" w:themeColor="text1"/>
                <w:sz w:val="24"/>
                <w:szCs w:val="24"/>
                <w14:textFill>
                  <w14:solidFill>
                    <w14:schemeClr w14:val="tx1"/>
                  </w14:solidFill>
                </w14:textFill>
              </w:rPr>
              <w:t>%</w:t>
            </w:r>
            <w:r>
              <w:rPr>
                <w:rFonts w:hint="eastAsia" w:cs="宋体"/>
                <w:b/>
                <w:bCs/>
                <w:color w:val="000000" w:themeColor="text1"/>
                <w:sz w:val="24"/>
                <w:szCs w:val="24"/>
                <w14:textFill>
                  <w14:solidFill>
                    <w14:schemeClr w14:val="tx1"/>
                  </w14:solidFill>
                </w14:textFill>
              </w:rPr>
              <w:t>）</w:t>
            </w:r>
          </w:p>
        </w:tc>
        <w:tc>
          <w:tcPr>
            <w:tcW w:w="2305" w:type="dxa"/>
            <w:vAlign w:val="center"/>
          </w:tcPr>
          <w:p w14:paraId="740D4007">
            <w:pPr>
              <w:adjustRightInd w:val="0"/>
              <w:snapToGrid w:val="0"/>
              <w:jc w:val="center"/>
              <w:rPr>
                <w:rFonts w:hint="default" w:eastAsia="宋体" w:cs="宋体"/>
                <w:color w:val="000000" w:themeColor="text1"/>
                <w:sz w:val="24"/>
                <w:szCs w:val="24"/>
                <w:lang w:val="en-US" w:eastAsia="zh-CN"/>
                <w14:textFill>
                  <w14:solidFill>
                    <w14:schemeClr w14:val="tx1"/>
                  </w14:solidFill>
                </w14:textFill>
              </w:rPr>
            </w:pPr>
            <w:r>
              <w:rPr>
                <w:rFonts w:hint="eastAsia" w:cs="宋体"/>
                <w:color w:val="000000" w:themeColor="text1"/>
                <w:sz w:val="24"/>
                <w:szCs w:val="24"/>
                <w:lang w:val="en-US" w:eastAsia="zh-CN"/>
                <w14:textFill>
                  <w14:solidFill>
                    <w14:schemeClr w14:val="tx1"/>
                  </w14:solidFill>
                </w14:textFill>
              </w:rPr>
              <w:t>2</w:t>
            </w:r>
          </w:p>
        </w:tc>
        <w:tc>
          <w:tcPr>
            <w:tcW w:w="2212" w:type="dxa"/>
            <w:tcMar>
              <w:top w:w="16" w:type="dxa"/>
              <w:left w:w="16" w:type="dxa"/>
              <w:right w:w="16" w:type="dxa"/>
            </w:tcMar>
            <w:vAlign w:val="center"/>
          </w:tcPr>
          <w:p w14:paraId="7EFFCC67">
            <w:pPr>
              <w:adjustRightInd w:val="0"/>
              <w:snapToGrid w:val="0"/>
              <w:jc w:val="center"/>
              <w:rPr>
                <w:rFonts w:cs="宋体"/>
                <w:b/>
                <w:bCs/>
                <w:color w:val="000000" w:themeColor="text1"/>
                <w:sz w:val="24"/>
                <w:szCs w:val="24"/>
                <w14:textFill>
                  <w14:solidFill>
                    <w14:schemeClr w14:val="tx1"/>
                  </w14:solidFill>
                </w14:textFill>
              </w:rPr>
            </w:pPr>
            <w:r>
              <w:rPr>
                <w:rFonts w:hint="eastAsia" w:cs="宋体"/>
                <w:b/>
                <w:bCs/>
                <w:color w:val="000000" w:themeColor="text1"/>
                <w:sz w:val="24"/>
                <w:szCs w:val="24"/>
                <w14:textFill>
                  <w14:solidFill>
                    <w14:schemeClr w14:val="tx1"/>
                  </w14:solidFill>
                </w14:textFill>
              </w:rPr>
              <w:t>施工工期</w:t>
            </w:r>
          </w:p>
        </w:tc>
        <w:tc>
          <w:tcPr>
            <w:tcW w:w="2639" w:type="dxa"/>
            <w:vAlign w:val="center"/>
          </w:tcPr>
          <w:p w14:paraId="27A6AF39">
            <w:pPr>
              <w:adjustRightInd w:val="0"/>
              <w:snapToGrid w:val="0"/>
              <w:jc w:val="center"/>
              <w:rPr>
                <w:rFonts w:cs="宋体"/>
                <w:color w:val="000000" w:themeColor="text1"/>
                <w:sz w:val="24"/>
                <w:szCs w:val="24"/>
                <w14:textFill>
                  <w14:solidFill>
                    <w14:schemeClr w14:val="tx1"/>
                  </w14:solidFill>
                </w14:textFill>
              </w:rPr>
            </w:pPr>
            <w:r>
              <w:rPr>
                <w:rFonts w:hint="eastAsia" w:cs="宋体"/>
                <w:color w:val="000000" w:themeColor="text1"/>
                <w:sz w:val="24"/>
                <w:szCs w:val="24"/>
                <w:lang w:val="en-US" w:eastAsia="zh-CN"/>
                <w14:textFill>
                  <w14:solidFill>
                    <w14:schemeClr w14:val="tx1"/>
                  </w14:solidFill>
                </w14:textFill>
              </w:rPr>
              <w:t>8</w:t>
            </w:r>
            <w:r>
              <w:rPr>
                <w:rFonts w:hint="eastAsia" w:cs="宋体"/>
                <w:color w:val="000000" w:themeColor="text1"/>
                <w:sz w:val="24"/>
                <w:szCs w:val="24"/>
                <w14:textFill>
                  <w14:solidFill>
                    <w14:schemeClr w14:val="tx1"/>
                  </w14:solidFill>
                </w14:textFill>
              </w:rPr>
              <w:t>个月</w:t>
            </w:r>
          </w:p>
        </w:tc>
      </w:tr>
      <w:tr w14:paraId="48D97E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714" w:type="dxa"/>
            <w:tcMar>
              <w:top w:w="16" w:type="dxa"/>
              <w:left w:w="16" w:type="dxa"/>
              <w:right w:w="16" w:type="dxa"/>
            </w:tcMar>
            <w:vAlign w:val="center"/>
          </w:tcPr>
          <w:p w14:paraId="637EE51B">
            <w:pPr>
              <w:adjustRightInd w:val="0"/>
              <w:snapToGrid w:val="0"/>
              <w:jc w:val="center"/>
              <w:rPr>
                <w:rFonts w:cs="宋体"/>
                <w:b/>
                <w:bCs/>
                <w:color w:val="000000" w:themeColor="text1"/>
                <w:sz w:val="24"/>
                <w:szCs w:val="24"/>
                <w14:textFill>
                  <w14:solidFill>
                    <w14:schemeClr w14:val="tx1"/>
                  </w14:solidFill>
                </w14:textFill>
              </w:rPr>
            </w:pPr>
            <w:r>
              <w:rPr>
                <w:rFonts w:hint="eastAsia" w:cs="宋体"/>
                <w:b/>
                <w:bCs/>
                <w:color w:val="000000" w:themeColor="text1"/>
                <w:sz w:val="24"/>
                <w:szCs w:val="24"/>
                <w14:textFill>
                  <w14:solidFill>
                    <w14:schemeClr w14:val="tx1"/>
                  </w14:solidFill>
                </w14:textFill>
              </w:rPr>
              <w:t>是否开工建设</w:t>
            </w:r>
          </w:p>
        </w:tc>
        <w:tc>
          <w:tcPr>
            <w:tcW w:w="2305" w:type="dxa"/>
            <w:vAlign w:val="center"/>
          </w:tcPr>
          <w:p w14:paraId="06039D75">
            <w:pPr>
              <w:adjustRightInd w:val="0"/>
              <w:snapToGrid w:val="0"/>
              <w:rPr>
                <w:rFonts w:hint="eastAsia" w:eastAsia="宋体" w:cs="宋体"/>
                <w:color w:val="000000" w:themeColor="text1"/>
                <w:sz w:val="24"/>
                <w:szCs w:val="24"/>
                <w:lang w:eastAsia="zh-CN"/>
                <w14:textFill>
                  <w14:solidFill>
                    <w14:schemeClr w14:val="tx1"/>
                  </w14:solidFill>
                </w14:textFill>
              </w:rPr>
            </w:pPr>
            <w:r>
              <w:rPr>
                <w:rFonts w:hint="eastAsia" w:cs="宋体"/>
                <w:color w:val="000000" w:themeColor="text1"/>
                <w:sz w:val="24"/>
                <w:szCs w:val="24"/>
                <w:lang w:eastAsia="zh-CN"/>
                <w14:textFill>
                  <w14:solidFill>
                    <w14:schemeClr w14:val="tx1"/>
                  </w14:solidFill>
                </w14:textFill>
              </w:rPr>
              <w:t>☑</w:t>
            </w:r>
            <w:r>
              <w:rPr>
                <w:rFonts w:hint="eastAsia" w:cs="宋体"/>
                <w:color w:val="000000" w:themeColor="text1"/>
                <w:sz w:val="24"/>
                <w:szCs w:val="24"/>
                <w14:textFill>
                  <w14:solidFill>
                    <w14:schemeClr w14:val="tx1"/>
                  </w14:solidFill>
                </w14:textFill>
              </w:rPr>
              <w:t>否</w:t>
            </w:r>
            <w:r>
              <w:rPr>
                <w:rFonts w:hint="eastAsia" w:cs="宋体"/>
                <w:color w:val="000000" w:themeColor="text1"/>
                <w:sz w:val="24"/>
                <w:szCs w:val="24"/>
                <w:lang w:eastAsia="zh-CN"/>
                <w14:textFill>
                  <w14:solidFill>
                    <w14:schemeClr w14:val="tx1"/>
                  </w14:solidFill>
                </w14:textFill>
              </w:rPr>
              <w:t>：</w:t>
            </w:r>
          </w:p>
          <w:p w14:paraId="2C96B157">
            <w:pPr>
              <w:adjustRightInd w:val="0"/>
              <w:snapToGrid w:val="0"/>
              <w:rPr>
                <w:rFonts w:cs="宋体"/>
                <w:color w:val="000000" w:themeColor="text1"/>
                <w:sz w:val="24"/>
                <w:szCs w:val="24"/>
                <w14:textFill>
                  <w14:solidFill>
                    <w14:schemeClr w14:val="tx1"/>
                  </w14:solidFill>
                </w14:textFill>
              </w:rPr>
            </w:pPr>
            <w:r>
              <w:rPr>
                <w:rFonts w:hint="eastAsia" w:cs="宋体"/>
                <w:color w:val="000000" w:themeColor="text1"/>
                <w:sz w:val="24"/>
                <w:szCs w:val="24"/>
                <w14:textFill>
                  <w14:solidFill>
                    <w14:schemeClr w14:val="tx1"/>
                  </w14:solidFill>
                </w14:textFill>
              </w:rPr>
              <w:t>□是：</w:t>
            </w:r>
            <w:r>
              <w:rPr>
                <w:rFonts w:hint="eastAsia" w:cs="宋体"/>
                <w:color w:val="000000" w:themeColor="text1"/>
                <w:sz w:val="24"/>
                <w:szCs w:val="24"/>
                <w:u w:val="single"/>
                <w14:textFill>
                  <w14:solidFill>
                    <w14:schemeClr w14:val="tx1"/>
                  </w14:solidFill>
                </w14:textFill>
              </w:rPr>
              <w:t xml:space="preserve">             </w:t>
            </w:r>
          </w:p>
        </w:tc>
        <w:tc>
          <w:tcPr>
            <w:tcW w:w="2212" w:type="dxa"/>
            <w:tcMar>
              <w:top w:w="16" w:type="dxa"/>
              <w:left w:w="16" w:type="dxa"/>
              <w:right w:w="16" w:type="dxa"/>
            </w:tcMar>
            <w:vAlign w:val="center"/>
          </w:tcPr>
          <w:p w14:paraId="50A525A3">
            <w:pPr>
              <w:adjustRightInd w:val="0"/>
              <w:snapToGrid w:val="0"/>
              <w:jc w:val="center"/>
              <w:rPr>
                <w:rFonts w:cs="宋体"/>
                <w:b/>
                <w:bCs/>
                <w:color w:val="000000" w:themeColor="text1"/>
                <w:spacing w:val="-6"/>
                <w:sz w:val="24"/>
                <w:szCs w:val="24"/>
                <w14:textFill>
                  <w14:solidFill>
                    <w14:schemeClr w14:val="tx1"/>
                  </w14:solidFill>
                </w14:textFill>
              </w:rPr>
            </w:pPr>
            <w:r>
              <w:rPr>
                <w:rFonts w:hint="eastAsia" w:cs="宋体"/>
                <w:b/>
                <w:bCs/>
                <w:color w:val="000000" w:themeColor="text1"/>
                <w:spacing w:val="-6"/>
                <w:sz w:val="24"/>
                <w:szCs w:val="24"/>
                <w14:textFill>
                  <w14:solidFill>
                    <w14:schemeClr w14:val="tx1"/>
                  </w14:solidFill>
                </w14:textFill>
              </w:rPr>
              <w:t>用地（用海）</w:t>
            </w:r>
          </w:p>
          <w:p w14:paraId="2552C28C">
            <w:pPr>
              <w:adjustRightInd w:val="0"/>
              <w:snapToGrid w:val="0"/>
              <w:jc w:val="center"/>
              <w:rPr>
                <w:rFonts w:cs="宋体"/>
                <w:b/>
                <w:bCs/>
                <w:color w:val="000000" w:themeColor="text1"/>
                <w:sz w:val="24"/>
                <w:szCs w:val="24"/>
                <w14:textFill>
                  <w14:solidFill>
                    <w14:schemeClr w14:val="tx1"/>
                  </w14:solidFill>
                </w14:textFill>
              </w:rPr>
            </w:pPr>
            <w:r>
              <w:rPr>
                <w:rFonts w:hint="eastAsia" w:cs="宋体"/>
                <w:b/>
                <w:bCs/>
                <w:color w:val="000000" w:themeColor="text1"/>
                <w:spacing w:val="-6"/>
                <w:sz w:val="24"/>
                <w:szCs w:val="24"/>
                <w14:textFill>
                  <w14:solidFill>
                    <w14:schemeClr w14:val="tx1"/>
                  </w14:solidFill>
                </w14:textFill>
              </w:rPr>
              <w:t>面积（</w:t>
            </w:r>
            <w:r>
              <w:rPr>
                <w:rFonts w:cs="宋体"/>
                <w:b/>
                <w:bCs/>
                <w:color w:val="000000" w:themeColor="text1"/>
                <w:spacing w:val="-6"/>
                <w:sz w:val="24"/>
                <w:szCs w:val="24"/>
                <w14:textFill>
                  <w14:solidFill>
                    <w14:schemeClr w14:val="tx1"/>
                  </w14:solidFill>
                </w14:textFill>
              </w:rPr>
              <w:t>m</w:t>
            </w:r>
            <w:r>
              <w:rPr>
                <w:rFonts w:cs="宋体"/>
                <w:b/>
                <w:bCs/>
                <w:color w:val="000000" w:themeColor="text1"/>
                <w:spacing w:val="-6"/>
                <w:sz w:val="24"/>
                <w:szCs w:val="24"/>
                <w:vertAlign w:val="superscript"/>
                <w14:textFill>
                  <w14:solidFill>
                    <w14:schemeClr w14:val="tx1"/>
                  </w14:solidFill>
                </w14:textFill>
              </w:rPr>
              <w:t>2</w:t>
            </w:r>
            <w:r>
              <w:rPr>
                <w:rFonts w:hint="eastAsia" w:cs="宋体"/>
                <w:b/>
                <w:bCs/>
                <w:color w:val="000000" w:themeColor="text1"/>
                <w:spacing w:val="-6"/>
                <w:sz w:val="24"/>
                <w:szCs w:val="24"/>
                <w14:textFill>
                  <w14:solidFill>
                    <w14:schemeClr w14:val="tx1"/>
                  </w14:solidFill>
                </w14:textFill>
              </w:rPr>
              <w:t>）</w:t>
            </w:r>
          </w:p>
        </w:tc>
        <w:tc>
          <w:tcPr>
            <w:tcW w:w="2639" w:type="dxa"/>
            <w:vAlign w:val="center"/>
          </w:tcPr>
          <w:p w14:paraId="094A293C">
            <w:pPr>
              <w:adjustRightInd w:val="0"/>
              <w:snapToGrid w:val="0"/>
              <w:jc w:val="center"/>
              <w:rPr>
                <w:rFonts w:hint="default" w:eastAsia="宋体" w:cs="宋体"/>
                <w:color w:val="000000" w:themeColor="text1"/>
                <w:sz w:val="24"/>
                <w:szCs w:val="24"/>
                <w:lang w:val="en-US" w:eastAsia="zh-CN"/>
                <w14:textFill>
                  <w14:solidFill>
                    <w14:schemeClr w14:val="tx1"/>
                  </w14:solidFill>
                </w14:textFill>
              </w:rPr>
            </w:pPr>
            <w:r>
              <w:rPr>
                <w:rFonts w:hint="eastAsia" w:cs="宋体"/>
                <w:color w:val="000000" w:themeColor="text1"/>
                <w:sz w:val="24"/>
                <w:szCs w:val="24"/>
                <w:lang w:val="en-US" w:eastAsia="zh-CN"/>
                <w14:textFill>
                  <w14:solidFill>
                    <w14:schemeClr w14:val="tx1"/>
                  </w14:solidFill>
                </w14:textFill>
              </w:rPr>
              <w:t>27257.7</w:t>
            </w:r>
          </w:p>
        </w:tc>
      </w:tr>
      <w:tr w14:paraId="236F30A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714" w:type="dxa"/>
            <w:vAlign w:val="center"/>
          </w:tcPr>
          <w:p w14:paraId="79126E3C">
            <w:pPr>
              <w:autoSpaceDE w:val="0"/>
              <w:autoSpaceDN w:val="0"/>
              <w:adjustRightInd w:val="0"/>
              <w:snapToGrid w:val="0"/>
              <w:jc w:val="center"/>
              <w:rPr>
                <w:rFonts w:cs="宋体"/>
                <w:color w:val="000000" w:themeColor="text1"/>
                <w:kern w:val="0"/>
                <w:szCs w:val="21"/>
                <w14:textFill>
                  <w14:solidFill>
                    <w14:schemeClr w14:val="tx1"/>
                  </w14:solidFill>
                </w14:textFill>
              </w:rPr>
            </w:pPr>
            <w:r>
              <w:rPr>
                <w:rFonts w:hint="eastAsia" w:cs="宋体"/>
                <w:b/>
                <w:bCs/>
                <w:color w:val="000000" w:themeColor="text1"/>
                <w:kern w:val="0"/>
                <w:sz w:val="24"/>
                <w:szCs w:val="24"/>
                <w14:textFill>
                  <w14:solidFill>
                    <w14:schemeClr w14:val="tx1"/>
                  </w14:solidFill>
                </w14:textFill>
              </w:rPr>
              <w:t>专项评价设置情况</w:t>
            </w:r>
          </w:p>
        </w:tc>
        <w:tc>
          <w:tcPr>
            <w:tcW w:w="7156" w:type="dxa"/>
            <w:gridSpan w:val="3"/>
            <w:vAlign w:val="center"/>
          </w:tcPr>
          <w:p w14:paraId="251B7638">
            <w:pPr>
              <w:pStyle w:val="68"/>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b/>
                <w:bCs/>
                <w:color w:val="000000" w:themeColor="text1"/>
                <w14:textFill>
                  <w14:solidFill>
                    <w14:schemeClr w14:val="tx1"/>
                  </w14:solidFill>
                </w14:textFill>
              </w:rPr>
            </w:pPr>
            <w:r>
              <w:rPr>
                <w:rFonts w:hint="eastAsia" w:ascii="宋体" w:hAnsi="宋体" w:eastAsia="宋体" w:cs="宋体"/>
                <w:color w:val="000000" w:themeColor="text1"/>
                <w:kern w:val="0"/>
                <w:sz w:val="24"/>
                <w:szCs w:val="24"/>
                <w:lang w:val="en-US" w:eastAsia="zh-CN" w:bidi="ar-SA"/>
                <w14:textFill>
                  <w14:solidFill>
                    <w14:schemeClr w14:val="tx1"/>
                  </w14:solidFill>
                </w14:textFill>
              </w:rPr>
              <w:t>根据《建设项目环境影响报告表编制技术指南（污染影响类）（试行）》中的专项评价设置原则，本项目专项评价设置情况如下。</w:t>
            </w:r>
          </w:p>
          <w:p w14:paraId="75FB25EC">
            <w:pPr>
              <w:pStyle w:val="68"/>
              <w:rPr>
                <w:b/>
                <w:bCs/>
                <w:color w:val="000000" w:themeColor="text1"/>
                <w14:textFill>
                  <w14:solidFill>
                    <w14:schemeClr w14:val="tx1"/>
                  </w14:solidFill>
                </w14:textFill>
              </w:rPr>
            </w:pPr>
            <w:r>
              <w:rPr>
                <w:rFonts w:hint="default" w:ascii="Times New Roman" w:hAnsi="Times New Roman" w:eastAsia="宋体" w:cs="Times New Roman"/>
                <w:b/>
                <w:bCs/>
                <w:color w:val="000000" w:themeColor="text1"/>
                <w14:textFill>
                  <w14:solidFill>
                    <w14:schemeClr w14:val="tx1"/>
                  </w14:solidFill>
                </w14:textFill>
              </w:rPr>
              <w:t>表1-1  专项评价设置情况表</w:t>
            </w:r>
          </w:p>
          <w:tbl>
            <w:tblPr>
              <w:tblStyle w:val="41"/>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57" w:type="dxa"/>
                <w:bottom w:w="0" w:type="dxa"/>
                <w:right w:w="57" w:type="dxa"/>
              </w:tblCellMar>
            </w:tblPr>
            <w:tblGrid>
              <w:gridCol w:w="759"/>
              <w:gridCol w:w="3151"/>
              <w:gridCol w:w="2311"/>
              <w:gridCol w:w="719"/>
            </w:tblGrid>
            <w:tr w14:paraId="59C1F8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759" w:type="dxa"/>
                  <w:shd w:val="clear" w:color="auto" w:fill="auto"/>
                  <w:vAlign w:val="center"/>
                </w:tcPr>
                <w:p w14:paraId="6287A5EC">
                  <w:pPr>
                    <w:pStyle w:val="70"/>
                    <w:spacing w:line="240" w:lineRule="auto"/>
                    <w:rPr>
                      <w:b/>
                      <w:color w:val="000000" w:themeColor="text1"/>
                      <w:sz w:val="21"/>
                      <w:szCs w:val="21"/>
                      <w14:textFill>
                        <w14:solidFill>
                          <w14:schemeClr w14:val="tx1"/>
                        </w14:solidFill>
                      </w14:textFill>
                    </w:rPr>
                  </w:pPr>
                  <w:r>
                    <w:rPr>
                      <w:b/>
                      <w:color w:val="000000" w:themeColor="text1"/>
                      <w:sz w:val="21"/>
                      <w:szCs w:val="21"/>
                      <w14:textFill>
                        <w14:solidFill>
                          <w14:schemeClr w14:val="tx1"/>
                        </w14:solidFill>
                      </w14:textFill>
                    </w:rPr>
                    <w:t>专项评价类别</w:t>
                  </w:r>
                </w:p>
              </w:tc>
              <w:tc>
                <w:tcPr>
                  <w:tcW w:w="3151" w:type="dxa"/>
                  <w:shd w:val="clear" w:color="auto" w:fill="auto"/>
                  <w:vAlign w:val="center"/>
                </w:tcPr>
                <w:p w14:paraId="2626597D">
                  <w:pPr>
                    <w:pStyle w:val="70"/>
                    <w:spacing w:line="240" w:lineRule="auto"/>
                    <w:rPr>
                      <w:b/>
                      <w:color w:val="000000" w:themeColor="text1"/>
                      <w:sz w:val="21"/>
                      <w:szCs w:val="21"/>
                      <w14:textFill>
                        <w14:solidFill>
                          <w14:schemeClr w14:val="tx1"/>
                        </w14:solidFill>
                      </w14:textFill>
                    </w:rPr>
                  </w:pPr>
                  <w:r>
                    <w:rPr>
                      <w:b/>
                      <w:color w:val="000000" w:themeColor="text1"/>
                      <w:sz w:val="21"/>
                      <w:szCs w:val="21"/>
                      <w14:textFill>
                        <w14:solidFill>
                          <w14:schemeClr w14:val="tx1"/>
                        </w14:solidFill>
                      </w14:textFill>
                    </w:rPr>
                    <w:t>设置原则</w:t>
                  </w:r>
                </w:p>
              </w:tc>
              <w:tc>
                <w:tcPr>
                  <w:tcW w:w="2311" w:type="dxa"/>
                  <w:shd w:val="clear" w:color="auto" w:fill="auto"/>
                  <w:vAlign w:val="center"/>
                </w:tcPr>
                <w:p w14:paraId="4C0E91A3">
                  <w:pPr>
                    <w:pStyle w:val="70"/>
                    <w:spacing w:line="240" w:lineRule="auto"/>
                    <w:rPr>
                      <w:b/>
                      <w:color w:val="000000" w:themeColor="text1"/>
                      <w:sz w:val="21"/>
                      <w:szCs w:val="21"/>
                      <w14:textFill>
                        <w14:solidFill>
                          <w14:schemeClr w14:val="tx1"/>
                        </w14:solidFill>
                      </w14:textFill>
                    </w:rPr>
                  </w:pPr>
                  <w:r>
                    <w:rPr>
                      <w:b/>
                      <w:color w:val="000000" w:themeColor="text1"/>
                      <w:sz w:val="21"/>
                      <w:szCs w:val="21"/>
                      <w14:textFill>
                        <w14:solidFill>
                          <w14:schemeClr w14:val="tx1"/>
                        </w14:solidFill>
                      </w14:textFill>
                    </w:rPr>
                    <w:t>本项目情况</w:t>
                  </w:r>
                </w:p>
              </w:tc>
              <w:tc>
                <w:tcPr>
                  <w:tcW w:w="719" w:type="dxa"/>
                  <w:shd w:val="clear" w:color="auto" w:fill="auto"/>
                  <w:vAlign w:val="center"/>
                </w:tcPr>
                <w:p w14:paraId="1BE6FC47">
                  <w:pPr>
                    <w:pStyle w:val="70"/>
                    <w:spacing w:line="240" w:lineRule="auto"/>
                    <w:rPr>
                      <w:b/>
                      <w:color w:val="000000" w:themeColor="text1"/>
                      <w:sz w:val="21"/>
                      <w:szCs w:val="21"/>
                      <w14:textFill>
                        <w14:solidFill>
                          <w14:schemeClr w14:val="tx1"/>
                        </w14:solidFill>
                      </w14:textFill>
                    </w:rPr>
                  </w:pPr>
                  <w:r>
                    <w:rPr>
                      <w:b/>
                      <w:color w:val="000000" w:themeColor="text1"/>
                      <w:sz w:val="21"/>
                      <w:szCs w:val="21"/>
                      <w14:textFill>
                        <w14:solidFill>
                          <w14:schemeClr w14:val="tx1"/>
                        </w14:solidFill>
                      </w14:textFill>
                    </w:rPr>
                    <w:t>是否设</w:t>
                  </w:r>
                  <w:r>
                    <w:rPr>
                      <w:rFonts w:hint="eastAsia"/>
                      <w:b/>
                      <w:color w:val="000000" w:themeColor="text1"/>
                      <w:sz w:val="21"/>
                      <w:szCs w:val="21"/>
                      <w14:textFill>
                        <w14:solidFill>
                          <w14:schemeClr w14:val="tx1"/>
                        </w14:solidFill>
                      </w14:textFill>
                    </w:rPr>
                    <w:t>置</w:t>
                  </w:r>
                  <w:r>
                    <w:rPr>
                      <w:b/>
                      <w:color w:val="000000" w:themeColor="text1"/>
                      <w:sz w:val="21"/>
                      <w:szCs w:val="21"/>
                      <w14:textFill>
                        <w14:solidFill>
                          <w14:schemeClr w14:val="tx1"/>
                        </w14:solidFill>
                      </w14:textFill>
                    </w:rPr>
                    <w:t>专项</w:t>
                  </w:r>
                </w:p>
              </w:tc>
            </w:tr>
            <w:tr w14:paraId="4ACEB5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759" w:type="dxa"/>
                  <w:shd w:val="clear" w:color="auto" w:fill="auto"/>
                  <w:vAlign w:val="center"/>
                </w:tcPr>
                <w:p w14:paraId="7FE40167">
                  <w:pPr>
                    <w:pStyle w:val="70"/>
                    <w:spacing w:line="240" w:lineRule="auto"/>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大气</w:t>
                  </w:r>
                </w:p>
              </w:tc>
              <w:tc>
                <w:tcPr>
                  <w:tcW w:w="3151" w:type="dxa"/>
                  <w:shd w:val="clear" w:color="auto" w:fill="auto"/>
                  <w:vAlign w:val="center"/>
                </w:tcPr>
                <w:p w14:paraId="4716048B">
                  <w:pPr>
                    <w:pStyle w:val="70"/>
                    <w:spacing w:line="240" w:lineRule="auto"/>
                    <w:jc w:val="both"/>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排放废气含有毒有害污染物</w:t>
                  </w:r>
                  <w:r>
                    <w:rPr>
                      <w:rFonts w:hint="eastAsia"/>
                      <w:color w:val="000000" w:themeColor="text1"/>
                      <w:sz w:val="21"/>
                      <w:szCs w:val="21"/>
                      <w:vertAlign w:val="superscript"/>
                      <w:lang w:val="en-US" w:eastAsia="zh-CN"/>
                      <w14:textFill>
                        <w14:solidFill>
                          <w14:schemeClr w14:val="tx1"/>
                        </w14:solidFill>
                      </w14:textFill>
                    </w:rPr>
                    <w:t>1</w:t>
                  </w:r>
                  <w:r>
                    <w:rPr>
                      <w:color w:val="000000" w:themeColor="text1"/>
                      <w:sz w:val="21"/>
                      <w:szCs w:val="21"/>
                      <w14:textFill>
                        <w14:solidFill>
                          <w14:schemeClr w14:val="tx1"/>
                        </w14:solidFill>
                      </w14:textFill>
                    </w:rPr>
                    <w:t>、二噁英、苯并</w:t>
                  </w:r>
                  <w:r>
                    <w:rPr>
                      <w:rFonts w:hint="eastAsia"/>
                      <w:color w:val="000000" w:themeColor="text1"/>
                      <w:sz w:val="21"/>
                      <w:szCs w:val="21"/>
                      <w14:textFill>
                        <w14:solidFill>
                          <w14:schemeClr w14:val="tx1"/>
                        </w14:solidFill>
                      </w14:textFill>
                    </w:rPr>
                    <w:t>[a]</w:t>
                  </w:r>
                  <w:r>
                    <w:rPr>
                      <w:color w:val="000000" w:themeColor="text1"/>
                      <w:sz w:val="21"/>
                      <w:szCs w:val="21"/>
                      <w14:textFill>
                        <w14:solidFill>
                          <w14:schemeClr w14:val="tx1"/>
                        </w14:solidFill>
                      </w14:textFill>
                    </w:rPr>
                    <w:t>芘、氰化物、氯气且厂界外500米范围内有环境空气保护目标</w:t>
                  </w:r>
                  <w:r>
                    <w:rPr>
                      <w:rFonts w:hint="eastAsia"/>
                      <w:color w:val="000000" w:themeColor="text1"/>
                      <w:sz w:val="21"/>
                      <w:szCs w:val="21"/>
                      <w:vertAlign w:val="superscript"/>
                      <w:lang w:val="en-US" w:eastAsia="zh-CN"/>
                      <w14:textFill>
                        <w14:solidFill>
                          <w14:schemeClr w14:val="tx1"/>
                        </w14:solidFill>
                      </w14:textFill>
                    </w:rPr>
                    <w:t>2</w:t>
                  </w:r>
                  <w:r>
                    <w:rPr>
                      <w:color w:val="000000" w:themeColor="text1"/>
                      <w:sz w:val="21"/>
                      <w:szCs w:val="21"/>
                      <w14:textFill>
                        <w14:solidFill>
                          <w14:schemeClr w14:val="tx1"/>
                        </w14:solidFill>
                      </w14:textFill>
                    </w:rPr>
                    <w:t>的建设项目</w:t>
                  </w:r>
                  <w:r>
                    <w:rPr>
                      <w:rFonts w:hint="eastAsia"/>
                      <w:color w:val="000000" w:themeColor="text1"/>
                      <w:sz w:val="21"/>
                      <w:szCs w:val="21"/>
                      <w14:textFill>
                        <w14:solidFill>
                          <w14:schemeClr w14:val="tx1"/>
                        </w14:solidFill>
                      </w14:textFill>
                    </w:rPr>
                    <w:t>。</w:t>
                  </w:r>
                </w:p>
              </w:tc>
              <w:tc>
                <w:tcPr>
                  <w:tcW w:w="2311" w:type="dxa"/>
                  <w:shd w:val="clear" w:color="auto" w:fill="auto"/>
                  <w:vAlign w:val="center"/>
                </w:tcPr>
                <w:p w14:paraId="4A96E2DC">
                  <w:pPr>
                    <w:pStyle w:val="70"/>
                    <w:spacing w:line="240" w:lineRule="auto"/>
                    <w:jc w:val="both"/>
                    <w:rPr>
                      <w:rFonts w:hint="eastAsia"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项目不涉及</w:t>
                  </w:r>
                  <w:r>
                    <w:rPr>
                      <w:color w:val="000000" w:themeColor="text1"/>
                      <w:sz w:val="21"/>
                      <w:szCs w:val="21"/>
                      <w14:textFill>
                        <w14:solidFill>
                          <w14:schemeClr w14:val="tx1"/>
                        </w14:solidFill>
                      </w14:textFill>
                    </w:rPr>
                    <w:t>有毒有害污染物</w:t>
                  </w:r>
                  <w:r>
                    <w:rPr>
                      <w:rFonts w:hint="eastAsia"/>
                      <w:color w:val="000000" w:themeColor="text1"/>
                      <w:sz w:val="21"/>
                      <w:szCs w:val="21"/>
                      <w:vertAlign w:val="superscript"/>
                      <w:lang w:val="en-US" w:eastAsia="zh-CN"/>
                      <w14:textFill>
                        <w14:solidFill>
                          <w14:schemeClr w14:val="tx1"/>
                        </w14:solidFill>
                      </w14:textFill>
                    </w:rPr>
                    <w:t>1</w:t>
                  </w:r>
                  <w:r>
                    <w:rPr>
                      <w:color w:val="000000" w:themeColor="text1"/>
                      <w:sz w:val="21"/>
                      <w:szCs w:val="21"/>
                      <w14:textFill>
                        <w14:solidFill>
                          <w14:schemeClr w14:val="tx1"/>
                        </w14:solidFill>
                      </w14:textFill>
                    </w:rPr>
                    <w:t>、二噁英、苯并</w:t>
                  </w:r>
                  <w:r>
                    <w:rPr>
                      <w:rFonts w:hint="eastAsia"/>
                      <w:color w:val="000000" w:themeColor="text1"/>
                      <w:sz w:val="21"/>
                      <w:szCs w:val="21"/>
                      <w14:textFill>
                        <w14:solidFill>
                          <w14:schemeClr w14:val="tx1"/>
                        </w14:solidFill>
                      </w14:textFill>
                    </w:rPr>
                    <w:t>[a]</w:t>
                  </w:r>
                  <w:r>
                    <w:rPr>
                      <w:color w:val="000000" w:themeColor="text1"/>
                      <w:sz w:val="21"/>
                      <w:szCs w:val="21"/>
                      <w14:textFill>
                        <w14:solidFill>
                          <w14:schemeClr w14:val="tx1"/>
                        </w14:solidFill>
                      </w14:textFill>
                    </w:rPr>
                    <w:t>芘、氰化物、氯气</w:t>
                  </w:r>
                  <w:r>
                    <w:rPr>
                      <w:rFonts w:hint="eastAsia"/>
                      <w:color w:val="000000" w:themeColor="text1"/>
                      <w:sz w:val="21"/>
                      <w:szCs w:val="21"/>
                      <w:lang w:val="en-US" w:eastAsia="zh-CN"/>
                      <w14:textFill>
                        <w14:solidFill>
                          <w14:schemeClr w14:val="tx1"/>
                        </w14:solidFill>
                      </w14:textFill>
                    </w:rPr>
                    <w:t>等。</w:t>
                  </w:r>
                </w:p>
              </w:tc>
              <w:tc>
                <w:tcPr>
                  <w:tcW w:w="719" w:type="dxa"/>
                  <w:shd w:val="clear" w:color="auto" w:fill="auto"/>
                  <w:vAlign w:val="center"/>
                </w:tcPr>
                <w:p w14:paraId="70761314">
                  <w:pPr>
                    <w:pStyle w:val="70"/>
                    <w:spacing w:line="240" w:lineRule="auto"/>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否</w:t>
                  </w:r>
                </w:p>
              </w:tc>
            </w:tr>
            <w:tr w14:paraId="10C8F5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759" w:type="dxa"/>
                  <w:shd w:val="clear" w:color="auto" w:fill="auto"/>
                  <w:vAlign w:val="center"/>
                </w:tcPr>
                <w:p w14:paraId="4F87441F">
                  <w:pPr>
                    <w:pStyle w:val="70"/>
                    <w:spacing w:line="240" w:lineRule="auto"/>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地表水</w:t>
                  </w:r>
                </w:p>
              </w:tc>
              <w:tc>
                <w:tcPr>
                  <w:tcW w:w="3151" w:type="dxa"/>
                  <w:shd w:val="clear" w:color="auto" w:fill="auto"/>
                  <w:vAlign w:val="center"/>
                </w:tcPr>
                <w:p w14:paraId="4C180AD8">
                  <w:pPr>
                    <w:pStyle w:val="70"/>
                    <w:spacing w:line="240" w:lineRule="auto"/>
                    <w:jc w:val="both"/>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新增工业废水直排建设项目（槽罐车外送污水处理厂的除外）；新增废水直排的污水集中处理厂</w:t>
                  </w:r>
                  <w:r>
                    <w:rPr>
                      <w:rFonts w:hint="eastAsia"/>
                      <w:color w:val="000000" w:themeColor="text1"/>
                      <w:sz w:val="21"/>
                      <w:szCs w:val="21"/>
                      <w14:textFill>
                        <w14:solidFill>
                          <w14:schemeClr w14:val="tx1"/>
                        </w14:solidFill>
                      </w14:textFill>
                    </w:rPr>
                    <w:t>。</w:t>
                  </w:r>
                </w:p>
              </w:tc>
              <w:tc>
                <w:tcPr>
                  <w:tcW w:w="2311" w:type="dxa"/>
                  <w:shd w:val="clear" w:color="auto" w:fill="auto"/>
                  <w:vAlign w:val="center"/>
                </w:tcPr>
                <w:p w14:paraId="5326C168">
                  <w:pPr>
                    <w:pStyle w:val="70"/>
                    <w:spacing w:line="240" w:lineRule="auto"/>
                    <w:jc w:val="center"/>
                    <w:rPr>
                      <w:rFonts w:hint="eastAsia" w:eastAsia="宋体"/>
                      <w:color w:val="000000" w:themeColor="text1"/>
                      <w:sz w:val="21"/>
                      <w:szCs w:val="21"/>
                      <w:lang w:eastAsia="zh-CN"/>
                      <w14:textFill>
                        <w14:solidFill>
                          <w14:schemeClr w14:val="tx1"/>
                        </w14:solidFill>
                      </w14:textFill>
                    </w:rPr>
                  </w:pPr>
                  <w:r>
                    <w:rPr>
                      <w:rFonts w:hint="eastAsia"/>
                      <w:color w:val="000000" w:themeColor="text1"/>
                      <w:sz w:val="21"/>
                      <w:szCs w:val="21"/>
                      <w14:textFill>
                        <w14:solidFill>
                          <w14:schemeClr w14:val="tx1"/>
                        </w14:solidFill>
                      </w14:textFill>
                    </w:rPr>
                    <w:t>项目废水为间接排放</w:t>
                  </w:r>
                  <w:r>
                    <w:rPr>
                      <w:rFonts w:hint="eastAsia"/>
                      <w:color w:val="000000" w:themeColor="text1"/>
                      <w:sz w:val="21"/>
                      <w:szCs w:val="21"/>
                      <w:lang w:eastAsia="zh-CN"/>
                      <w14:textFill>
                        <w14:solidFill>
                          <w14:schemeClr w14:val="tx1"/>
                        </w14:solidFill>
                      </w14:textFill>
                    </w:rPr>
                    <w:t>。</w:t>
                  </w:r>
                </w:p>
              </w:tc>
              <w:tc>
                <w:tcPr>
                  <w:tcW w:w="719" w:type="dxa"/>
                  <w:shd w:val="clear" w:color="auto" w:fill="auto"/>
                  <w:vAlign w:val="center"/>
                </w:tcPr>
                <w:p w14:paraId="3D95D9E1">
                  <w:pPr>
                    <w:pStyle w:val="70"/>
                    <w:spacing w:line="240" w:lineRule="auto"/>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否</w:t>
                  </w:r>
                </w:p>
              </w:tc>
            </w:tr>
            <w:tr w14:paraId="7F22A9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759" w:type="dxa"/>
                  <w:shd w:val="clear" w:color="auto" w:fill="auto"/>
                  <w:vAlign w:val="center"/>
                </w:tcPr>
                <w:p w14:paraId="3FB7ECB7">
                  <w:pPr>
                    <w:pStyle w:val="70"/>
                    <w:spacing w:line="240" w:lineRule="auto"/>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环境风险</w:t>
                  </w:r>
                </w:p>
              </w:tc>
              <w:tc>
                <w:tcPr>
                  <w:tcW w:w="3151" w:type="dxa"/>
                  <w:shd w:val="clear" w:color="auto" w:fill="auto"/>
                  <w:vAlign w:val="center"/>
                </w:tcPr>
                <w:p w14:paraId="57F15FC8">
                  <w:pPr>
                    <w:pStyle w:val="70"/>
                    <w:spacing w:line="240" w:lineRule="auto"/>
                    <w:jc w:val="both"/>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有毒有害和易燃易爆危险物质存储量超过临界量</w:t>
                  </w:r>
                  <w:r>
                    <w:rPr>
                      <w:rFonts w:hint="eastAsia"/>
                      <w:color w:val="000000" w:themeColor="text1"/>
                      <w:sz w:val="21"/>
                      <w:szCs w:val="21"/>
                      <w:vertAlign w:val="superscript"/>
                      <w:lang w:val="en-US" w:eastAsia="zh-CN"/>
                      <w14:textFill>
                        <w14:solidFill>
                          <w14:schemeClr w14:val="tx1"/>
                        </w14:solidFill>
                      </w14:textFill>
                    </w:rPr>
                    <w:t>3</w:t>
                  </w:r>
                  <w:r>
                    <w:rPr>
                      <w:color w:val="000000" w:themeColor="text1"/>
                      <w:sz w:val="21"/>
                      <w:szCs w:val="21"/>
                      <w14:textFill>
                        <w14:solidFill>
                          <w14:schemeClr w14:val="tx1"/>
                        </w14:solidFill>
                      </w14:textFill>
                    </w:rPr>
                    <w:t>的建设项目</w:t>
                  </w:r>
                  <w:r>
                    <w:rPr>
                      <w:rFonts w:hint="eastAsia"/>
                      <w:color w:val="000000" w:themeColor="text1"/>
                      <w:sz w:val="21"/>
                      <w:szCs w:val="21"/>
                      <w14:textFill>
                        <w14:solidFill>
                          <w14:schemeClr w14:val="tx1"/>
                        </w14:solidFill>
                      </w14:textFill>
                    </w:rPr>
                    <w:t>。</w:t>
                  </w:r>
                </w:p>
              </w:tc>
              <w:tc>
                <w:tcPr>
                  <w:tcW w:w="2311" w:type="dxa"/>
                  <w:shd w:val="clear" w:color="auto" w:fill="auto"/>
                  <w:vAlign w:val="center"/>
                </w:tcPr>
                <w:p w14:paraId="7C62C00E">
                  <w:pPr>
                    <w:pStyle w:val="70"/>
                    <w:spacing w:line="240" w:lineRule="auto"/>
                    <w:jc w:val="both"/>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根据《建设项目环境风险评价技术导则》（HJ 169-2018）附录B，本项目有毒有害和易燃易爆危险物质存储量超过临界量，即Q＞1。故设置风险专章。</w:t>
                  </w:r>
                </w:p>
              </w:tc>
              <w:tc>
                <w:tcPr>
                  <w:tcW w:w="719" w:type="dxa"/>
                  <w:shd w:val="clear" w:color="auto" w:fill="auto"/>
                  <w:vAlign w:val="center"/>
                </w:tcPr>
                <w:p w14:paraId="73989B34">
                  <w:pPr>
                    <w:pStyle w:val="70"/>
                    <w:spacing w:line="240" w:lineRule="auto"/>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是</w:t>
                  </w:r>
                </w:p>
              </w:tc>
            </w:tr>
            <w:tr w14:paraId="6F02E7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759" w:type="dxa"/>
                  <w:shd w:val="clear" w:color="auto" w:fill="auto"/>
                  <w:vAlign w:val="center"/>
                </w:tcPr>
                <w:p w14:paraId="4CE27968">
                  <w:pPr>
                    <w:pStyle w:val="70"/>
                    <w:spacing w:line="240" w:lineRule="auto"/>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生态</w:t>
                  </w:r>
                </w:p>
              </w:tc>
              <w:tc>
                <w:tcPr>
                  <w:tcW w:w="3151" w:type="dxa"/>
                  <w:shd w:val="clear" w:color="auto" w:fill="auto"/>
                  <w:vAlign w:val="center"/>
                </w:tcPr>
                <w:p w14:paraId="47909C56">
                  <w:pPr>
                    <w:pStyle w:val="70"/>
                    <w:spacing w:line="240" w:lineRule="auto"/>
                    <w:jc w:val="both"/>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取水口下游500米范围内有重要水生生物的自然产卵场、索饵场、越冬场和洄游通道的新增河道取水的污染类建设项目</w:t>
                  </w:r>
                  <w:r>
                    <w:rPr>
                      <w:rFonts w:hint="eastAsia"/>
                      <w:color w:val="000000" w:themeColor="text1"/>
                      <w:sz w:val="21"/>
                      <w:szCs w:val="21"/>
                      <w14:textFill>
                        <w14:solidFill>
                          <w14:schemeClr w14:val="tx1"/>
                        </w14:solidFill>
                      </w14:textFill>
                    </w:rPr>
                    <w:t>。</w:t>
                  </w:r>
                </w:p>
              </w:tc>
              <w:tc>
                <w:tcPr>
                  <w:tcW w:w="2311" w:type="dxa"/>
                  <w:shd w:val="clear" w:color="auto" w:fill="auto"/>
                  <w:vAlign w:val="center"/>
                </w:tcPr>
                <w:p w14:paraId="6FCFC372">
                  <w:pPr>
                    <w:pStyle w:val="70"/>
                    <w:spacing w:line="240" w:lineRule="auto"/>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不涉及</w:t>
                  </w:r>
                </w:p>
              </w:tc>
              <w:tc>
                <w:tcPr>
                  <w:tcW w:w="719" w:type="dxa"/>
                  <w:shd w:val="clear" w:color="auto" w:fill="auto"/>
                  <w:vAlign w:val="center"/>
                </w:tcPr>
                <w:p w14:paraId="2EDF189D">
                  <w:pPr>
                    <w:pStyle w:val="70"/>
                    <w:spacing w:line="240" w:lineRule="auto"/>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否</w:t>
                  </w:r>
                </w:p>
              </w:tc>
            </w:tr>
            <w:tr w14:paraId="78EFA55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759" w:type="dxa"/>
                  <w:shd w:val="clear" w:color="auto" w:fill="auto"/>
                  <w:vAlign w:val="center"/>
                </w:tcPr>
                <w:p w14:paraId="5301C75C">
                  <w:pPr>
                    <w:pStyle w:val="70"/>
                    <w:spacing w:line="240" w:lineRule="auto"/>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海洋</w:t>
                  </w:r>
                </w:p>
              </w:tc>
              <w:tc>
                <w:tcPr>
                  <w:tcW w:w="3151" w:type="dxa"/>
                  <w:shd w:val="clear" w:color="auto" w:fill="auto"/>
                  <w:vAlign w:val="center"/>
                </w:tcPr>
                <w:p w14:paraId="2EC0BB5C">
                  <w:pPr>
                    <w:pStyle w:val="70"/>
                    <w:spacing w:line="240" w:lineRule="auto"/>
                    <w:jc w:val="both"/>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直接向海排放污染物的海洋工程建设项目</w:t>
                  </w:r>
                  <w:r>
                    <w:rPr>
                      <w:rFonts w:hint="eastAsia"/>
                      <w:color w:val="000000" w:themeColor="text1"/>
                      <w:sz w:val="21"/>
                      <w:szCs w:val="21"/>
                      <w14:textFill>
                        <w14:solidFill>
                          <w14:schemeClr w14:val="tx1"/>
                        </w14:solidFill>
                      </w14:textFill>
                    </w:rPr>
                    <w:t>。</w:t>
                  </w:r>
                </w:p>
              </w:tc>
              <w:tc>
                <w:tcPr>
                  <w:tcW w:w="2311" w:type="dxa"/>
                  <w:shd w:val="clear" w:color="auto" w:fill="auto"/>
                  <w:vAlign w:val="center"/>
                </w:tcPr>
                <w:p w14:paraId="2C8CBE59">
                  <w:pPr>
                    <w:pStyle w:val="70"/>
                    <w:spacing w:line="240" w:lineRule="auto"/>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不涉及</w:t>
                  </w:r>
                </w:p>
              </w:tc>
              <w:tc>
                <w:tcPr>
                  <w:tcW w:w="719" w:type="dxa"/>
                  <w:shd w:val="clear" w:color="auto" w:fill="auto"/>
                  <w:vAlign w:val="center"/>
                </w:tcPr>
                <w:p w14:paraId="14E5CBF2">
                  <w:pPr>
                    <w:pStyle w:val="70"/>
                    <w:spacing w:line="240" w:lineRule="auto"/>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否</w:t>
                  </w:r>
                </w:p>
              </w:tc>
            </w:tr>
            <w:tr w14:paraId="265E41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6940" w:type="dxa"/>
                  <w:gridSpan w:val="4"/>
                  <w:shd w:val="clear" w:color="auto" w:fill="auto"/>
                  <w:vAlign w:val="center"/>
                </w:tcPr>
                <w:p w14:paraId="45027269">
                  <w:pPr>
                    <w:pStyle w:val="70"/>
                    <w:spacing w:line="240" w:lineRule="auto"/>
                    <w:jc w:val="both"/>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注：1.废气中有毒有害污染物指纳入《有毒有害大气污染物名录》的污染</w:t>
                  </w:r>
                  <w:r>
                    <w:rPr>
                      <w:rFonts w:hint="eastAsia" w:ascii="宋体" w:hAnsi="宋体" w:eastAsia="宋体" w:cs="宋体"/>
                      <w:color w:val="000000" w:themeColor="text1"/>
                      <w:sz w:val="21"/>
                      <w:szCs w:val="21"/>
                      <w:lang w:val="en-US" w:eastAsia="zh-CN"/>
                      <w14:textFill>
                        <w14:solidFill>
                          <w14:schemeClr w14:val="tx1"/>
                        </w14:solidFill>
                      </w14:textFill>
                    </w:rPr>
                    <w:t>物</w:t>
                  </w:r>
                  <w:r>
                    <w:rPr>
                      <w:rFonts w:hint="eastAsia" w:ascii="宋体" w:hAnsi="宋体" w:cs="宋体"/>
                      <w:color w:val="000000" w:themeColor="text1"/>
                      <w:sz w:val="21"/>
                      <w:szCs w:val="21"/>
                      <w:lang w:val="en-US" w:eastAsia="zh-CN"/>
                      <w14:textFill>
                        <w14:solidFill>
                          <w14:schemeClr w14:val="tx1"/>
                        </w14:solidFill>
                      </w14:textFill>
                    </w:rPr>
                    <w:t>（</w:t>
                  </w:r>
                  <w:r>
                    <w:rPr>
                      <w:rFonts w:hint="eastAsia" w:ascii="宋体" w:hAnsi="宋体" w:eastAsia="宋体" w:cs="宋体"/>
                      <w:color w:val="000000" w:themeColor="text1"/>
                      <w:sz w:val="21"/>
                      <w:szCs w:val="21"/>
                      <w:lang w:val="en-US" w:eastAsia="zh-CN"/>
                      <w14:textFill>
                        <w14:solidFill>
                          <w14:schemeClr w14:val="tx1"/>
                        </w14:solidFill>
                      </w14:textFill>
                    </w:rPr>
                    <w:t>不包括无排放标准的污染物</w:t>
                  </w:r>
                  <w:r>
                    <w:rPr>
                      <w:rFonts w:hint="eastAsia" w:ascii="宋体" w:hAnsi="宋体" w:cs="宋体"/>
                      <w:color w:val="000000" w:themeColor="text1"/>
                      <w:sz w:val="21"/>
                      <w:szCs w:val="21"/>
                      <w:lang w:val="en-US" w:eastAsia="zh-CN"/>
                      <w14:textFill>
                        <w14:solidFill>
                          <w14:schemeClr w14:val="tx1"/>
                        </w14:solidFill>
                      </w14:textFill>
                    </w:rPr>
                    <w:t>）</w:t>
                  </w:r>
                  <w:r>
                    <w:rPr>
                      <w:rFonts w:hint="eastAsia"/>
                      <w:color w:val="000000" w:themeColor="text1"/>
                      <w:sz w:val="21"/>
                      <w:szCs w:val="21"/>
                      <w:lang w:val="en-US" w:eastAsia="zh-CN"/>
                      <w14:textFill>
                        <w14:solidFill>
                          <w14:schemeClr w14:val="tx1"/>
                        </w14:solidFill>
                      </w14:textFill>
                    </w:rPr>
                    <w:t>。</w:t>
                  </w:r>
                </w:p>
                <w:p w14:paraId="614C8F00">
                  <w:pPr>
                    <w:pStyle w:val="70"/>
                    <w:spacing w:line="240" w:lineRule="auto"/>
                    <w:jc w:val="both"/>
                    <w:rPr>
                      <w:rFonts w:hint="default"/>
                      <w:color w:val="000000" w:themeColor="text1"/>
                      <w:sz w:val="21"/>
                      <w:szCs w:val="21"/>
                      <w:lang w:val="en-US" w:eastAsia="zh-CN"/>
                      <w14:textFill>
                        <w14:solidFill>
                          <w14:schemeClr w14:val="tx1"/>
                        </w14:solidFill>
                      </w14:textFill>
                    </w:rPr>
                  </w:pPr>
                  <w:r>
                    <w:rPr>
                      <w:rFonts w:hint="default"/>
                      <w:color w:val="000000" w:themeColor="text1"/>
                      <w:sz w:val="21"/>
                      <w:szCs w:val="21"/>
                      <w:lang w:val="en-US" w:eastAsia="zh-CN"/>
                      <w14:textFill>
                        <w14:solidFill>
                          <w14:schemeClr w14:val="tx1"/>
                        </w14:solidFill>
                      </w14:textFill>
                    </w:rPr>
                    <w:t>2.环境空气保护目标指自然保护区、风景名胜区、居住区、文化区和农村地区中人群较集中的区域。</w:t>
                  </w:r>
                </w:p>
                <w:p w14:paraId="12F00B33">
                  <w:pPr>
                    <w:pStyle w:val="70"/>
                    <w:spacing w:line="240" w:lineRule="auto"/>
                    <w:jc w:val="both"/>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3.临界量及其计算方法可参考《建设项目环境风险评价技术</w:t>
                  </w:r>
                  <w:r>
                    <w:rPr>
                      <w:rFonts w:hint="eastAsia" w:ascii="宋体" w:hAnsi="宋体" w:eastAsia="宋体" w:cs="宋体"/>
                      <w:color w:val="000000" w:themeColor="text1"/>
                      <w:sz w:val="21"/>
                      <w:szCs w:val="21"/>
                      <w:lang w:val="en-US" w:eastAsia="zh-CN"/>
                      <w14:textFill>
                        <w14:solidFill>
                          <w14:schemeClr w14:val="tx1"/>
                        </w14:solidFill>
                      </w14:textFill>
                    </w:rPr>
                    <w:t>导则》</w:t>
                  </w:r>
                  <w:r>
                    <w:rPr>
                      <w:rFonts w:hint="eastAsia" w:ascii="宋体" w:hAnsi="宋体" w:cs="宋体"/>
                      <w:color w:val="000000" w:themeColor="text1"/>
                      <w:sz w:val="21"/>
                      <w:szCs w:val="21"/>
                      <w:lang w:val="en-US" w:eastAsia="zh-CN"/>
                      <w14:textFill>
                        <w14:solidFill>
                          <w14:schemeClr w14:val="tx1"/>
                        </w14:solidFill>
                      </w14:textFill>
                    </w:rPr>
                    <w:t>（</w:t>
                  </w:r>
                  <w:r>
                    <w:rPr>
                      <w:rFonts w:hint="eastAsia"/>
                      <w:color w:val="000000" w:themeColor="text1"/>
                      <w:sz w:val="21"/>
                      <w:szCs w:val="21"/>
                      <w:lang w:val="en-US" w:eastAsia="zh-CN"/>
                      <w14:textFill>
                        <w14:solidFill>
                          <w14:schemeClr w14:val="tx1"/>
                        </w14:solidFill>
                      </w14:textFill>
                    </w:rPr>
                    <w:t>HJ169）附录B、附录C。</w:t>
                  </w:r>
                </w:p>
              </w:tc>
            </w:tr>
          </w:tbl>
          <w:p w14:paraId="0CBA93A3">
            <w:pPr>
              <w:pStyle w:val="66"/>
              <w:spacing w:line="240" w:lineRule="auto"/>
              <w:rPr>
                <w:rFonts w:cs="宋体"/>
                <w:color w:val="000000" w:themeColor="text1"/>
                <w:szCs w:val="21"/>
                <w14:textFill>
                  <w14:solidFill>
                    <w14:schemeClr w14:val="tx1"/>
                  </w14:solidFill>
                </w14:textFill>
              </w:rPr>
            </w:pPr>
            <w:r>
              <w:rPr>
                <w:rFonts w:hint="eastAsia" w:ascii="Times New Roman" w:hAnsi="Times New Roman"/>
                <w:color w:val="000000" w:themeColor="text1"/>
                <w:sz w:val="24"/>
                <w:highlight w:val="none"/>
                <w14:textFill>
                  <w14:solidFill>
                    <w14:schemeClr w14:val="tx1"/>
                  </w14:solidFill>
                </w14:textFill>
              </w:rPr>
              <w:t>由上表可知，本项目需要设置</w:t>
            </w:r>
            <w:r>
              <w:rPr>
                <w:rFonts w:hint="eastAsia"/>
                <w:color w:val="000000" w:themeColor="text1"/>
                <w:sz w:val="24"/>
                <w:highlight w:val="none"/>
                <w:lang w:val="en-US" w:eastAsia="zh-CN"/>
                <w14:textFill>
                  <w14:solidFill>
                    <w14:schemeClr w14:val="tx1"/>
                  </w14:solidFill>
                </w14:textFill>
              </w:rPr>
              <w:t>环境风险</w:t>
            </w:r>
            <w:r>
              <w:rPr>
                <w:rFonts w:hint="eastAsia" w:ascii="Times New Roman" w:hAnsi="Times New Roman"/>
                <w:color w:val="000000" w:themeColor="text1"/>
                <w:sz w:val="24"/>
                <w:highlight w:val="none"/>
                <w14:textFill>
                  <w14:solidFill>
                    <w14:schemeClr w14:val="tx1"/>
                  </w14:solidFill>
                </w14:textFill>
              </w:rPr>
              <w:t>专项评价。</w:t>
            </w:r>
          </w:p>
        </w:tc>
      </w:tr>
      <w:tr w14:paraId="4F9849F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6" w:hRule="atLeast"/>
          <w:jc w:val="center"/>
        </w:trPr>
        <w:tc>
          <w:tcPr>
            <w:tcW w:w="1714" w:type="dxa"/>
            <w:vAlign w:val="center"/>
          </w:tcPr>
          <w:p w14:paraId="772D5B59">
            <w:pPr>
              <w:autoSpaceDE w:val="0"/>
              <w:autoSpaceDN w:val="0"/>
              <w:adjustRightInd w:val="0"/>
              <w:snapToGrid w:val="0"/>
              <w:jc w:val="center"/>
              <w:rPr>
                <w:rFonts w:cs="宋体"/>
                <w:b/>
                <w:bCs/>
                <w:color w:val="000000" w:themeColor="text1"/>
                <w:kern w:val="0"/>
                <w:szCs w:val="21"/>
                <w14:textFill>
                  <w14:solidFill>
                    <w14:schemeClr w14:val="tx1"/>
                  </w14:solidFill>
                </w14:textFill>
              </w:rPr>
            </w:pPr>
            <w:r>
              <w:rPr>
                <w:rFonts w:hint="eastAsia" w:cs="宋体"/>
                <w:b/>
                <w:bCs/>
                <w:color w:val="000000" w:themeColor="text1"/>
                <w:sz w:val="24"/>
                <w:szCs w:val="24"/>
                <w14:textFill>
                  <w14:solidFill>
                    <w14:schemeClr w14:val="tx1"/>
                  </w14:solidFill>
                </w14:textFill>
              </w:rPr>
              <w:t>规划情况</w:t>
            </w:r>
          </w:p>
        </w:tc>
        <w:tc>
          <w:tcPr>
            <w:tcW w:w="7156" w:type="dxa"/>
            <w:gridSpan w:val="3"/>
            <w:vAlign w:val="center"/>
          </w:tcPr>
          <w:p w14:paraId="5E7CC8C8">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textAlignment w:val="auto"/>
              <w:rPr>
                <w:rFonts w:hint="eastAsia"/>
                <w:color w:val="000000" w:themeColor="text1"/>
                <w14:textFill>
                  <w14:solidFill>
                    <w14:schemeClr w14:val="tx1"/>
                  </w14:solidFill>
                </w14:textFill>
              </w:rPr>
            </w:pPr>
            <w:r>
              <w:rPr>
                <w:rFonts w:hint="eastAsia"/>
                <w:b/>
                <w:bCs/>
                <w:color w:val="000000" w:themeColor="text1"/>
                <w:lang w:val="en-US" w:eastAsia="zh-CN"/>
                <w14:textFill>
                  <w14:solidFill>
                    <w14:schemeClr w14:val="tx1"/>
                  </w14:solidFill>
                </w14:textFill>
              </w:rPr>
              <w:t>1、</w:t>
            </w:r>
            <w:r>
              <w:rPr>
                <w:rFonts w:hint="eastAsia"/>
                <w:b/>
                <w:bCs/>
                <w:color w:val="000000" w:themeColor="text1"/>
                <w14:textFill>
                  <w14:solidFill>
                    <w14:schemeClr w14:val="tx1"/>
                  </w14:solidFill>
                </w14:textFill>
              </w:rPr>
              <w:t>规划名称</w:t>
            </w:r>
            <w:r>
              <w:rPr>
                <w:rFonts w:hint="eastAsia"/>
                <w:color w:val="000000" w:themeColor="text1"/>
                <w14:textFill>
                  <w14:solidFill>
                    <w14:schemeClr w14:val="tx1"/>
                  </w14:solidFill>
                </w14:textFill>
              </w:rPr>
              <w:t>：《巴中市国土空间总体规划（2021-2035</w:t>
            </w:r>
            <w:r>
              <w:rPr>
                <w:rFonts w:hint="eastAsia"/>
                <w:color w:val="000000" w:themeColor="text1"/>
                <w:lang w:val="en-US" w:eastAsia="zh-CN"/>
                <w14:textFill>
                  <w14:solidFill>
                    <w14:schemeClr w14:val="tx1"/>
                  </w14:solidFill>
                </w14:textFill>
              </w:rPr>
              <w:t>年</w:t>
            </w:r>
            <w:r>
              <w:rPr>
                <w:rFonts w:hint="eastAsia"/>
                <w:color w:val="000000" w:themeColor="text1"/>
                <w14:textFill>
                  <w14:solidFill>
                    <w14:schemeClr w14:val="tx1"/>
                  </w14:solidFill>
                </w14:textFill>
              </w:rPr>
              <w:t>）》；</w:t>
            </w:r>
          </w:p>
          <w:p w14:paraId="33AEB835">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textAlignment w:val="auto"/>
              <w:rPr>
                <w:rFonts w:hint="eastAsia"/>
                <w:color w:val="000000" w:themeColor="text1"/>
                <w14:textFill>
                  <w14:solidFill>
                    <w14:schemeClr w14:val="tx1"/>
                  </w14:solidFill>
                </w14:textFill>
              </w:rPr>
            </w:pPr>
            <w:r>
              <w:rPr>
                <w:rFonts w:hint="eastAsia"/>
                <w:b/>
                <w:bCs/>
                <w:color w:val="000000" w:themeColor="text1"/>
                <w14:textFill>
                  <w14:solidFill>
                    <w14:schemeClr w14:val="tx1"/>
                  </w14:solidFill>
                </w14:textFill>
              </w:rPr>
              <w:t>审批机关：</w:t>
            </w:r>
            <w:r>
              <w:rPr>
                <w:rFonts w:hint="eastAsia"/>
                <w:color w:val="000000" w:themeColor="text1"/>
                <w14:textFill>
                  <w14:solidFill>
                    <w14:schemeClr w14:val="tx1"/>
                  </w14:solidFill>
                </w14:textFill>
              </w:rPr>
              <w:t>四川省人民政府；</w:t>
            </w:r>
          </w:p>
          <w:p w14:paraId="1CE6AA65">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textAlignment w:val="auto"/>
              <w:rPr>
                <w:rFonts w:hint="eastAsia" w:eastAsia="宋体"/>
                <w:color w:val="000000" w:themeColor="text1"/>
                <w:highlight w:val="none"/>
                <w:lang w:eastAsia="zh-CN"/>
                <w14:textFill>
                  <w14:solidFill>
                    <w14:schemeClr w14:val="tx1"/>
                  </w14:solidFill>
                </w14:textFill>
              </w:rPr>
            </w:pPr>
            <w:r>
              <w:rPr>
                <w:rFonts w:hint="eastAsia"/>
                <w:b/>
                <w:bCs/>
                <w:color w:val="000000" w:themeColor="text1"/>
                <w:highlight w:val="none"/>
                <w14:textFill>
                  <w14:solidFill>
                    <w14:schemeClr w14:val="tx1"/>
                  </w14:solidFill>
                </w14:textFill>
              </w:rPr>
              <w:t>审批文件名称及文号：</w:t>
            </w:r>
            <w:r>
              <w:rPr>
                <w:rFonts w:hint="eastAsia"/>
                <w:color w:val="000000" w:themeColor="text1"/>
                <w:highlight w:val="none"/>
                <w14:textFill>
                  <w14:solidFill>
                    <w14:schemeClr w14:val="tx1"/>
                  </w14:solidFill>
                </w14:textFill>
              </w:rPr>
              <w:t>四川省人民政府关于《巴中市国土空间总体规划（2021-2035</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）》的批复（川府函〔2024〕65号）</w:t>
            </w:r>
            <w:r>
              <w:rPr>
                <w:rFonts w:hint="eastAsia"/>
                <w:color w:val="000000" w:themeColor="text1"/>
                <w:highlight w:val="none"/>
                <w:lang w:eastAsia="zh-CN"/>
                <w14:textFill>
                  <w14:solidFill>
                    <w14:schemeClr w14:val="tx1"/>
                  </w14:solidFill>
                </w14:textFill>
              </w:rPr>
              <w:t>。</w:t>
            </w:r>
          </w:p>
          <w:p w14:paraId="7DA4DCC2">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textAlignment w:val="auto"/>
              <w:rPr>
                <w:rFonts w:hint="eastAsia" w:ascii="Times New Roman" w:hAnsi="Times New Roman" w:eastAsia="宋体" w:cs="Times New Roman"/>
                <w:color w:val="000000" w:themeColor="text1"/>
                <w:highlight w:val="none"/>
                <w:lang w:eastAsia="zh-CN"/>
                <w14:textFill>
                  <w14:solidFill>
                    <w14:schemeClr w14:val="tx1"/>
                  </w14:solidFill>
                </w14:textFill>
              </w:rPr>
            </w:pPr>
            <w:r>
              <w:rPr>
                <w:rFonts w:hint="eastAsia"/>
                <w:b/>
                <w:bCs/>
                <w:color w:val="000000" w:themeColor="text1"/>
                <w:highlight w:val="none"/>
                <w14:textFill>
                  <w14:solidFill>
                    <w14:schemeClr w14:val="tx1"/>
                  </w14:solidFill>
                </w14:textFill>
              </w:rPr>
              <w:t>2、规划名称：</w:t>
            </w:r>
            <w:r>
              <w:rPr>
                <w:rFonts w:hint="default" w:ascii="Times New Roman" w:hAnsi="Times New Roman" w:eastAsia="宋体" w:cs="Times New Roman"/>
                <w:color w:val="000000" w:themeColor="text1"/>
                <w:highlight w:val="none"/>
                <w:lang w:eastAsia="zh-CN"/>
                <w14:textFill>
                  <w14:solidFill>
                    <w14:schemeClr w14:val="tx1"/>
                  </w14:solidFill>
                </w14:textFill>
              </w:rPr>
              <w:t>《四川巴中经济开发区规划修编（2025-2035）》</w:t>
            </w:r>
            <w:r>
              <w:rPr>
                <w:rFonts w:hint="eastAsia" w:ascii="Times New Roman" w:hAnsi="Times New Roman" w:eastAsia="宋体" w:cs="Times New Roman"/>
                <w:color w:val="000000" w:themeColor="text1"/>
                <w:highlight w:val="none"/>
                <w:lang w:eastAsia="zh-CN"/>
                <w14:textFill>
                  <w14:solidFill>
                    <w14:schemeClr w14:val="tx1"/>
                  </w14:solidFill>
                </w14:textFill>
              </w:rPr>
              <w:t>；</w:t>
            </w:r>
          </w:p>
          <w:p w14:paraId="54A4DA98">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textAlignment w:val="auto"/>
              <w:rPr>
                <w:rFonts w:hint="default" w:ascii="Times New Roman" w:hAnsi="Times New Roman" w:eastAsia="宋体" w:cs="Times New Roman"/>
                <w:color w:val="000000" w:themeColor="text1"/>
                <w:highlight w:val="none"/>
                <w:lang w:eastAsia="zh-CN"/>
                <w14:textFill>
                  <w14:solidFill>
                    <w14:schemeClr w14:val="tx1"/>
                  </w14:solidFill>
                </w14:textFill>
              </w:rPr>
            </w:pP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审查机关：</w:t>
            </w:r>
            <w:r>
              <w:rPr>
                <w:rFonts w:hint="default" w:ascii="Times New Roman" w:hAnsi="Times New Roman" w:eastAsia="宋体" w:cs="Times New Roman"/>
                <w:color w:val="000000" w:themeColor="text1"/>
                <w:highlight w:val="none"/>
                <w:lang w:eastAsia="zh-CN"/>
                <w14:textFill>
                  <w14:solidFill>
                    <w14:schemeClr w14:val="tx1"/>
                  </w14:solidFill>
                </w14:textFill>
              </w:rPr>
              <w:t>巴中市人民政府；</w:t>
            </w:r>
          </w:p>
          <w:p w14:paraId="489BF90A">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textAlignment w:val="auto"/>
              <w:rPr>
                <w:rFonts w:hint="eastAsia"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b/>
                <w:bCs/>
                <w:color w:val="000000" w:themeColor="text1"/>
                <w:highlight w:val="none"/>
                <w:lang w:eastAsia="zh-CN"/>
                <w14:textFill>
                  <w14:solidFill>
                    <w14:schemeClr w14:val="tx1"/>
                  </w14:solidFill>
                </w14:textFill>
              </w:rPr>
              <w:t>审查文件名称及文号：</w:t>
            </w:r>
            <w:r>
              <w:rPr>
                <w:rFonts w:hint="default" w:ascii="Times New Roman" w:hAnsi="Times New Roman" w:eastAsia="宋体" w:cs="Times New Roman"/>
                <w:color w:val="000000" w:themeColor="text1"/>
                <w:highlight w:val="none"/>
                <w:lang w:eastAsia="zh-CN"/>
                <w14:textFill>
                  <w14:solidFill>
                    <w14:schemeClr w14:val="tx1"/>
                  </w14:solidFill>
                </w14:textFill>
              </w:rPr>
              <w:t>《巴中市城乡规划和土地利用管理委员会2018年第二次会议纪要》（巴府</w:t>
            </w:r>
            <w:r>
              <w:rPr>
                <w:rFonts w:hint="default" w:ascii="Times New Roman" w:hAnsi="Times New Roman" w:eastAsia="宋体" w:cs="Times New Roman"/>
                <w:color w:val="000000" w:themeColor="text1"/>
                <w:lang w:eastAsia="zh-CN"/>
                <w14:textFill>
                  <w14:solidFill>
                    <w14:schemeClr w14:val="tx1"/>
                  </w14:solidFill>
                </w14:textFill>
              </w:rPr>
              <w:t>阅﹝2018﹞6号）</w:t>
            </w:r>
            <w:r>
              <w:rPr>
                <w:rFonts w:hint="eastAsia" w:ascii="Times New Roman" w:hAnsi="Times New Roman" w:eastAsia="宋体" w:cs="Times New Roman"/>
                <w:color w:val="000000" w:themeColor="text1"/>
                <w:lang w:eastAsia="zh-CN"/>
                <w14:textFill>
                  <w14:solidFill>
                    <w14:schemeClr w14:val="tx1"/>
                  </w14:solidFill>
                </w14:textFill>
              </w:rPr>
              <w:t>。</w:t>
            </w:r>
          </w:p>
        </w:tc>
      </w:tr>
      <w:tr w14:paraId="1A956C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1714" w:type="dxa"/>
            <w:vAlign w:val="center"/>
          </w:tcPr>
          <w:p w14:paraId="7D25E40C">
            <w:pPr>
              <w:adjustRightInd w:val="0"/>
              <w:snapToGrid w:val="0"/>
              <w:jc w:val="center"/>
              <w:rPr>
                <w:rFonts w:cs="宋体"/>
                <w:b/>
                <w:bCs/>
                <w:color w:val="000000" w:themeColor="text1"/>
                <w:kern w:val="0"/>
                <w:szCs w:val="21"/>
                <w14:textFill>
                  <w14:solidFill>
                    <w14:schemeClr w14:val="tx1"/>
                  </w14:solidFill>
                </w14:textFill>
              </w:rPr>
            </w:pPr>
            <w:r>
              <w:rPr>
                <w:rFonts w:hint="eastAsia" w:cs="宋体"/>
                <w:b/>
                <w:bCs/>
                <w:color w:val="000000" w:themeColor="text1"/>
                <w:sz w:val="24"/>
                <w:szCs w:val="24"/>
                <w14:textFill>
                  <w14:solidFill>
                    <w14:schemeClr w14:val="tx1"/>
                  </w14:solidFill>
                </w14:textFill>
              </w:rPr>
              <w:t>规划环境影响评价情况</w:t>
            </w:r>
          </w:p>
        </w:tc>
        <w:tc>
          <w:tcPr>
            <w:tcW w:w="7156" w:type="dxa"/>
            <w:gridSpan w:val="3"/>
            <w:vAlign w:val="center"/>
          </w:tcPr>
          <w:p w14:paraId="3D388590">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textAlignment w:val="auto"/>
              <w:rPr>
                <w:rFonts w:hint="eastAsia" w:ascii="Times New Roman" w:hAnsi="Times New Roman" w:eastAsia="宋体" w:cs="Times New Roman"/>
                <w:color w:val="000000" w:themeColor="text1"/>
                <w:highlight w:val="none"/>
                <w:lang w:eastAsia="zh-CN"/>
                <w14:textFill>
                  <w14:solidFill>
                    <w14:schemeClr w14:val="tx1"/>
                  </w14:solidFill>
                </w14:textFill>
              </w:rPr>
            </w:pPr>
            <w:r>
              <w:rPr>
                <w:rFonts w:hint="eastAsia" w:ascii="Times New Roman" w:hAnsi="Times New Roman" w:eastAsia="宋体" w:cs="Times New Roman"/>
                <w:b/>
                <w:bCs/>
                <w:color w:val="000000" w:themeColor="text1"/>
                <w:highlight w:val="none"/>
                <w14:textFill>
                  <w14:solidFill>
                    <w14:schemeClr w14:val="tx1"/>
                  </w14:solidFill>
                </w14:textFill>
              </w:rPr>
              <w:t>规划名称：</w:t>
            </w:r>
            <w:r>
              <w:rPr>
                <w:rFonts w:hint="eastAsia" w:ascii="Times New Roman" w:hAnsi="Times New Roman" w:eastAsia="宋体" w:cs="Times New Roman"/>
                <w:color w:val="000000" w:themeColor="text1"/>
                <w:highlight w:val="none"/>
                <w14:textFill>
                  <w14:solidFill>
                    <w14:schemeClr w14:val="tx1"/>
                  </w14:solidFill>
                </w14:textFill>
              </w:rPr>
              <w:t>《四川巴中经济开发区规划修编环境影响报告书》</w:t>
            </w:r>
            <w:r>
              <w:rPr>
                <w:rFonts w:hint="eastAsia" w:ascii="Times New Roman" w:hAnsi="Times New Roman" w:eastAsia="宋体" w:cs="Times New Roman"/>
                <w:color w:val="000000" w:themeColor="text1"/>
                <w:highlight w:val="none"/>
                <w:lang w:eastAsia="zh-CN"/>
                <w14:textFill>
                  <w14:solidFill>
                    <w14:schemeClr w14:val="tx1"/>
                  </w14:solidFill>
                </w14:textFill>
              </w:rPr>
              <w:t>；</w:t>
            </w:r>
          </w:p>
          <w:p w14:paraId="194BB608">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textAlignment w:val="auto"/>
              <w:rPr>
                <w:rFonts w:hint="eastAsia"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b/>
                <w:bCs/>
                <w:color w:val="000000" w:themeColor="text1"/>
                <w:highlight w:val="none"/>
                <w14:textFill>
                  <w14:solidFill>
                    <w14:schemeClr w14:val="tx1"/>
                  </w14:solidFill>
                </w14:textFill>
              </w:rPr>
              <w:t>审批机关：</w:t>
            </w:r>
            <w:r>
              <w:rPr>
                <w:rFonts w:hint="eastAsia" w:ascii="Times New Roman" w:hAnsi="Times New Roman" w:eastAsia="宋体" w:cs="Times New Roman"/>
                <w:color w:val="000000" w:themeColor="text1"/>
                <w:highlight w:val="none"/>
                <w14:textFill>
                  <w14:solidFill>
                    <w14:schemeClr w14:val="tx1"/>
                  </w14:solidFill>
                </w14:textFill>
              </w:rPr>
              <w:t>四川省生态环境厅；</w:t>
            </w:r>
          </w:p>
          <w:p w14:paraId="79A283E2">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textAlignment w:val="auto"/>
              <w:rPr>
                <w:rFonts w:hint="eastAsia" w:eastAsia="宋体" w:cs="宋体"/>
                <w:color w:val="000000" w:themeColor="text1"/>
                <w:szCs w:val="21"/>
                <w:lang w:eastAsia="zh-CN"/>
                <w14:textFill>
                  <w14:solidFill>
                    <w14:schemeClr w14:val="tx1"/>
                  </w14:solidFill>
                </w14:textFill>
              </w:rPr>
            </w:pPr>
            <w:r>
              <w:rPr>
                <w:rFonts w:hint="eastAsia" w:ascii="Times New Roman" w:hAnsi="Times New Roman" w:eastAsia="宋体" w:cs="Times New Roman"/>
                <w:b/>
                <w:bCs/>
                <w:color w:val="000000" w:themeColor="text1"/>
                <w:highlight w:val="none"/>
                <w14:textFill>
                  <w14:solidFill>
                    <w14:schemeClr w14:val="tx1"/>
                  </w14:solidFill>
                </w14:textFill>
              </w:rPr>
              <w:t>审批文件名称及文号：</w:t>
            </w:r>
            <w:r>
              <w:rPr>
                <w:rFonts w:hint="eastAsia" w:ascii="Times New Roman" w:hAnsi="Times New Roman" w:eastAsia="宋体" w:cs="Times New Roman"/>
                <w:color w:val="000000" w:themeColor="text1"/>
                <w:highlight w:val="none"/>
                <w14:textFill>
                  <w14:solidFill>
                    <w14:schemeClr w14:val="tx1"/>
                  </w14:solidFill>
                </w14:textFill>
              </w:rPr>
              <w:t>《关于印发</w:t>
            </w:r>
            <w:r>
              <w:rPr>
                <w:rFonts w:hint="eastAsia" w:cs="Times New Roman"/>
                <w:color w:val="000000" w:themeColor="text1"/>
                <w:highlight w:val="none"/>
                <w:lang w:eastAsia="zh-CN"/>
                <w14:textFill>
                  <w14:solidFill>
                    <w14:schemeClr w14:val="tx1"/>
                  </w14:solidFill>
                </w14:textFill>
              </w:rPr>
              <w:t>〈</w:t>
            </w:r>
            <w:r>
              <w:rPr>
                <w:rFonts w:hint="eastAsia" w:ascii="Times New Roman" w:hAnsi="Times New Roman" w:eastAsia="宋体" w:cs="Times New Roman"/>
                <w:color w:val="000000" w:themeColor="text1"/>
                <w:highlight w:val="none"/>
                <w14:textFill>
                  <w14:solidFill>
                    <w14:schemeClr w14:val="tx1"/>
                  </w14:solidFill>
                </w14:textFill>
              </w:rPr>
              <w:t>四川巴中经济开发区规划修编环境影响报告书</w:t>
            </w:r>
            <w:r>
              <w:rPr>
                <w:rFonts w:hint="eastAsia" w:cs="Times New Roman"/>
                <w:color w:val="000000" w:themeColor="text1"/>
                <w:highlight w:val="none"/>
                <w:lang w:eastAsia="zh-CN"/>
                <w14:textFill>
                  <w14:solidFill>
                    <w14:schemeClr w14:val="tx1"/>
                  </w14:solidFill>
                </w14:textFill>
              </w:rPr>
              <w:t>〉</w:t>
            </w:r>
            <w:r>
              <w:rPr>
                <w:rFonts w:hint="eastAsia" w:ascii="Times New Roman" w:hAnsi="Times New Roman" w:eastAsia="宋体" w:cs="Times New Roman"/>
                <w:color w:val="000000" w:themeColor="text1"/>
                <w:highlight w:val="none"/>
                <w14:textFill>
                  <w14:solidFill>
                    <w14:schemeClr w14:val="tx1"/>
                  </w14:solidFill>
                </w14:textFill>
              </w:rPr>
              <w:t>审查意见的函》（川环建函〔2023〕29号）</w:t>
            </w:r>
            <w:r>
              <w:rPr>
                <w:rFonts w:hint="eastAsia" w:cs="Times New Roman"/>
                <w:color w:val="000000" w:themeColor="text1"/>
                <w:highlight w:val="none"/>
                <w:lang w:eastAsia="zh-CN"/>
                <w14:textFill>
                  <w14:solidFill>
                    <w14:schemeClr w14:val="tx1"/>
                  </w14:solidFill>
                </w14:textFill>
              </w:rPr>
              <w:t>。</w:t>
            </w:r>
          </w:p>
        </w:tc>
      </w:tr>
      <w:tr w14:paraId="43DA8C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714" w:type="dxa"/>
            <w:vAlign w:val="center"/>
          </w:tcPr>
          <w:p w14:paraId="1D50ED65">
            <w:pPr>
              <w:autoSpaceDE w:val="0"/>
              <w:autoSpaceDN w:val="0"/>
              <w:adjustRightInd w:val="0"/>
              <w:snapToGrid w:val="0"/>
              <w:jc w:val="center"/>
              <w:rPr>
                <w:rFonts w:cs="宋体"/>
                <w:b/>
                <w:bCs/>
                <w:color w:val="000000" w:themeColor="text1"/>
                <w:kern w:val="0"/>
                <w:szCs w:val="21"/>
                <w14:textFill>
                  <w14:solidFill>
                    <w14:schemeClr w14:val="tx1"/>
                  </w14:solidFill>
                </w14:textFill>
              </w:rPr>
            </w:pPr>
            <w:r>
              <w:rPr>
                <w:rFonts w:hint="eastAsia" w:cs="宋体"/>
                <w:b/>
                <w:bCs/>
                <w:color w:val="000000" w:themeColor="text1"/>
                <w:kern w:val="0"/>
                <w:sz w:val="24"/>
                <w:szCs w:val="24"/>
                <w14:textFill>
                  <w14:solidFill>
                    <w14:schemeClr w14:val="tx1"/>
                  </w14:solidFill>
                </w14:textFill>
              </w:rPr>
              <w:t>规划及规划环境影响评价符合性分析</w:t>
            </w:r>
          </w:p>
        </w:tc>
        <w:tc>
          <w:tcPr>
            <w:tcW w:w="7156" w:type="dxa"/>
            <w:gridSpan w:val="3"/>
          </w:tcPr>
          <w:p w14:paraId="11B0A9E7">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textAlignment w:val="auto"/>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highlight w:val="none"/>
                <w:lang w:val="en-US" w:eastAsia="zh-CN"/>
                <w14:textFill>
                  <w14:solidFill>
                    <w14:schemeClr w14:val="tx1"/>
                  </w14:solidFill>
                </w14:textFill>
              </w:rPr>
              <w:t>1</w:t>
            </w: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b/>
                <w:bCs/>
                <w:color w:val="000000" w:themeColor="text1"/>
                <w:highlight w:val="none"/>
                <w:lang w:eastAsia="zh-CN"/>
                <w14:textFill>
                  <w14:solidFill>
                    <w14:schemeClr w14:val="tx1"/>
                  </w14:solidFill>
                </w14:textFill>
              </w:rPr>
              <w:t>与《巴中市国土空间总体规划》（2021-2035年）符合性分析</w:t>
            </w:r>
          </w:p>
          <w:p w14:paraId="2A43232C">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根据《巴中市国土空间总体规划》（2021-2035年），规划构建</w:t>
            </w: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一屏一区、一核三副六廊</w:t>
            </w: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的市域国土空间总体格局。其中</w:t>
            </w: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一屏</w:t>
            </w: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指大巴山系米仓山生态屏障；</w:t>
            </w: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一区</w:t>
            </w: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指市域中南部盆周山区的农牧生产区；</w:t>
            </w: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一核</w:t>
            </w: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指以巴中市中心城区为发展核心，包含巴州城区、恩阳城区、巴中经开区。</w:t>
            </w: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三副</w:t>
            </w: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指通江县城、南江县城、平昌县城三个副中心城市。</w:t>
            </w: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六廊</w:t>
            </w: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为依托铁路、高速公路、普通干线公路以及沿线的城镇构成的六条城镇发展走廊。</w:t>
            </w:r>
          </w:p>
          <w:p w14:paraId="349CA574">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highlight w:val="none"/>
                <w:lang w:val="en-US"/>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巴中经开区（包含兴文片区+东西部产业协作产业园）重点发展中成药、中药饮片等生物医药产业和电池材料、新型建筑材料等新能源新材料产业；巴中曾口—金堂化工园区曾口区块重点发展天然气化工、高性能石墨及先进碳材料、新型电池及关键材料、清洁能源等新能源新材料产业。</w:t>
            </w:r>
          </w:p>
          <w:p w14:paraId="14A6CD3F">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本项目属于</w:t>
            </w:r>
            <w:r>
              <w:rPr>
                <w:color w:val="000000" w:themeColor="text1"/>
                <w:szCs w:val="21"/>
                <w14:textFill>
                  <w14:solidFill>
                    <w14:schemeClr w14:val="tx1"/>
                  </w14:solidFill>
                </w14:textFill>
              </w:rPr>
              <w:t>C</w:t>
            </w:r>
            <w:r>
              <w:rPr>
                <w:rFonts w:hint="eastAsia"/>
                <w:color w:val="000000" w:themeColor="text1"/>
                <w:szCs w:val="21"/>
                <w:lang w:val="en-US" w:eastAsia="zh-CN"/>
                <w14:textFill>
                  <w14:solidFill>
                    <w14:schemeClr w14:val="tx1"/>
                  </w14:solidFill>
                </w14:textFill>
              </w:rPr>
              <w:t>3841 锂离子电池制造</w:t>
            </w:r>
            <w:r>
              <w:rPr>
                <w:rFonts w:hint="default" w:ascii="Times New Roman" w:hAnsi="Times New Roman" w:eastAsia="宋体" w:cs="Times New Roman"/>
                <w:color w:val="000000" w:themeColor="text1"/>
                <w:highlight w:val="none"/>
                <w:lang w:val="en-US"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位于</w:t>
            </w:r>
            <w:r>
              <w:rPr>
                <w:rFonts w:hint="default" w:ascii="Times New Roman" w:hAnsi="Times New Roman" w:eastAsia="宋体" w:cs="Times New Roman"/>
                <w:color w:val="000000" w:themeColor="text1"/>
                <w:highlight w:val="none"/>
                <w:lang w:val="en-US" w:eastAsia="zh-CN"/>
                <w14:textFill>
                  <w14:solidFill>
                    <w14:schemeClr w14:val="tx1"/>
                  </w14:solidFill>
                </w14:textFill>
              </w:rPr>
              <w:t>巴中经开区</w:t>
            </w:r>
            <w:r>
              <w:rPr>
                <w:rFonts w:hint="eastAsia" w:ascii="Times New Roman" w:hAnsi="Times New Roman" w:eastAsia="宋体" w:cs="Times New Roman"/>
                <w:color w:val="000000" w:themeColor="text1"/>
                <w:highlight w:val="none"/>
                <w:lang w:val="en-US" w:eastAsia="zh-CN"/>
                <w14:textFill>
                  <w14:solidFill>
                    <w14:schemeClr w14:val="tx1"/>
                  </w14:solidFill>
                </w14:textFill>
              </w:rPr>
              <w:t>内</w:t>
            </w:r>
            <w:r>
              <w:rPr>
                <w:rFonts w:hint="default" w:ascii="Times New Roman" w:hAnsi="Times New Roman" w:eastAsia="宋体" w:cs="Times New Roman"/>
                <w:color w:val="000000" w:themeColor="text1"/>
                <w:highlight w:val="none"/>
                <w:lang w:val="en-US" w:eastAsia="zh-CN"/>
                <w14:textFill>
                  <w14:solidFill>
                    <w14:schemeClr w14:val="tx1"/>
                  </w14:solidFill>
                </w14:textFill>
              </w:rPr>
              <w:t>，与巴中经开区产业规划无冲突，用地性质为工业用地。因此，本项目的建设符合《巴中市国土空间总体规划》（2021-2035年）相关规划要求</w:t>
            </w: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p w14:paraId="5D348FD6">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textAlignment w:val="auto"/>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highlight w:val="none"/>
                <w:lang w:val="en-US" w:eastAsia="zh-CN"/>
                <w14:textFill>
                  <w14:solidFill>
                    <w14:schemeClr w14:val="tx1"/>
                  </w14:solidFill>
                </w14:textFill>
              </w:rPr>
              <w:t>2</w:t>
            </w: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、与《四川巴中经济开发区规划修编环境影响报告书》及审查意见的符合性</w:t>
            </w:r>
          </w:p>
          <w:p w14:paraId="0CB03A0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2023年，四川巴中经济开发区管理委员会委托信息产业电子第十一设计研究院科技工程股份有限公司编制了《四川巴中经济开发区规划修编环境影响报告书》，并通过四川省生态环境厅审查（川环建函〔2023〕29号）。</w:t>
            </w:r>
          </w:p>
          <w:p w14:paraId="29A0DB76">
            <w:pPr>
              <w:pStyle w:val="66"/>
              <w:keepNext w:val="0"/>
              <w:keepLines w:val="0"/>
              <w:pageBreakBefore w:val="0"/>
              <w:widowControl w:val="0"/>
              <w:kinsoku/>
              <w:wordWrap/>
              <w:overflowPunct/>
              <w:topLinePunct w:val="0"/>
              <w:bidi w:val="0"/>
              <w:spacing w:line="360" w:lineRule="auto"/>
              <w:textAlignment w:val="auto"/>
              <w:rPr>
                <w:color w:val="000000" w:themeColor="text1"/>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项目位于四川巴中经济开发区核心区，与园区规划环评符合性分析见下表</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所示</w:t>
            </w:r>
            <w:r>
              <w:rPr>
                <w:rFonts w:hint="eastAsia"/>
                <w:color w:val="000000" w:themeColor="text1"/>
                <w14:textFill>
                  <w14:solidFill>
                    <w14:schemeClr w14:val="tx1"/>
                  </w14:solidFill>
                </w14:textFill>
              </w:rPr>
              <w:t>。</w:t>
            </w:r>
          </w:p>
          <w:p w14:paraId="6845D298">
            <w:pPr>
              <w:pStyle w:val="68"/>
              <w:rPr>
                <w:rFonts w:hint="default" w:ascii="Times New Roman" w:hAnsi="Times New Roman" w:eastAsia="宋体" w:cs="Times New Roman"/>
                <w:b/>
                <w:bCs/>
                <w:color w:val="000000" w:themeColor="text1"/>
                <w:lang w:val="en-US" w:eastAsia="zh-CN"/>
                <w14:textFill>
                  <w14:solidFill>
                    <w14:schemeClr w14:val="tx1"/>
                  </w14:solidFill>
                </w14:textFill>
              </w:rPr>
            </w:pPr>
            <w:r>
              <w:rPr>
                <w:rFonts w:hint="default" w:ascii="Times New Roman" w:hAnsi="Times New Roman" w:eastAsia="宋体" w:cs="Times New Roman"/>
                <w:b/>
                <w:bCs/>
                <w:color w:val="000000" w:themeColor="text1"/>
                <w:lang w:val="en-US" w:eastAsia="zh-CN"/>
                <w14:textFill>
                  <w14:solidFill>
                    <w14:schemeClr w14:val="tx1"/>
                  </w14:solidFill>
                </w14:textFill>
              </w:rPr>
              <w:t>表1-</w:t>
            </w:r>
            <w:r>
              <w:rPr>
                <w:rFonts w:hint="eastAsia" w:ascii="Times New Roman" w:hAnsi="Times New Roman" w:eastAsia="宋体" w:cs="Times New Roman"/>
                <w:b/>
                <w:bCs/>
                <w:color w:val="000000" w:themeColor="text1"/>
                <w:lang w:val="en-US" w:eastAsia="zh-CN"/>
                <w14:textFill>
                  <w14:solidFill>
                    <w14:schemeClr w14:val="tx1"/>
                  </w14:solidFill>
                </w14:textFill>
              </w:rPr>
              <w:t>2</w:t>
            </w:r>
            <w:r>
              <w:rPr>
                <w:rFonts w:hint="default" w:ascii="Times New Roman" w:hAnsi="Times New Roman" w:eastAsia="宋体" w:cs="Times New Roman"/>
                <w:b/>
                <w:bCs/>
                <w:color w:val="000000" w:themeColor="text1"/>
                <w:lang w:val="en-US" w:eastAsia="zh-CN"/>
                <w14:textFill>
                  <w14:solidFill>
                    <w14:schemeClr w14:val="tx1"/>
                  </w14:solidFill>
                </w14:textFill>
              </w:rPr>
              <w:t xml:space="preserve"> 项目与园区规划修编环境影响报告书及审查意见符合性</w:t>
            </w:r>
          </w:p>
          <w:tbl>
            <w:tblPr>
              <w:tblStyle w:val="42"/>
              <w:tblW w:w="4984"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3" w:type="dxa"/>
                <w:bottom w:w="0" w:type="dxa"/>
                <w:right w:w="23" w:type="dxa"/>
              </w:tblCellMar>
            </w:tblPr>
            <w:tblGrid>
              <w:gridCol w:w="779"/>
              <w:gridCol w:w="3449"/>
              <w:gridCol w:w="2160"/>
              <w:gridCol w:w="530"/>
            </w:tblGrid>
            <w:tr w14:paraId="284E27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563" w:type="pct"/>
                  <w:tcBorders>
                    <w:tl2br w:val="nil"/>
                    <w:tr2bl w:val="nil"/>
                  </w:tcBorders>
                  <w:vAlign w:val="center"/>
                </w:tcPr>
                <w:p w14:paraId="64C7614E">
                  <w:pPr>
                    <w:pStyle w:val="70"/>
                    <w:spacing w:line="240" w:lineRule="auto"/>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项目</w:t>
                  </w:r>
                </w:p>
              </w:tc>
              <w:tc>
                <w:tcPr>
                  <w:tcW w:w="2492" w:type="pct"/>
                  <w:tcBorders>
                    <w:tl2br w:val="nil"/>
                    <w:tr2bl w:val="nil"/>
                  </w:tcBorders>
                  <w:vAlign w:val="center"/>
                </w:tcPr>
                <w:p w14:paraId="501A6CCE">
                  <w:pPr>
                    <w:pStyle w:val="70"/>
                    <w:spacing w:line="240" w:lineRule="auto"/>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规划环评及</w:t>
                  </w:r>
                  <w:r>
                    <w:rPr>
                      <w:rFonts w:hint="eastAsia" w:cs="Times New Roman"/>
                      <w:b/>
                      <w:color w:val="000000" w:themeColor="text1"/>
                      <w:sz w:val="21"/>
                      <w:szCs w:val="21"/>
                      <w:lang w:val="en-US" w:eastAsia="zh-CN"/>
                      <w14:textFill>
                        <w14:solidFill>
                          <w14:schemeClr w14:val="tx1"/>
                        </w14:solidFill>
                      </w14:textFill>
                    </w:rPr>
                    <w:t>其</w:t>
                  </w: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审查意见</w:t>
                  </w:r>
                </w:p>
              </w:tc>
              <w:tc>
                <w:tcPr>
                  <w:tcW w:w="1561" w:type="pct"/>
                  <w:tcBorders>
                    <w:tl2br w:val="nil"/>
                    <w:tr2bl w:val="nil"/>
                  </w:tcBorders>
                  <w:vAlign w:val="center"/>
                </w:tcPr>
                <w:p w14:paraId="74E477C1">
                  <w:pPr>
                    <w:pStyle w:val="70"/>
                    <w:spacing w:line="240" w:lineRule="auto"/>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本项目情况</w:t>
                  </w:r>
                </w:p>
              </w:tc>
              <w:tc>
                <w:tcPr>
                  <w:tcW w:w="383" w:type="pct"/>
                  <w:tcBorders>
                    <w:tl2br w:val="nil"/>
                    <w:tr2bl w:val="nil"/>
                  </w:tcBorders>
                  <w:vAlign w:val="center"/>
                </w:tcPr>
                <w:p w14:paraId="2CEF4762">
                  <w:pPr>
                    <w:pStyle w:val="70"/>
                    <w:spacing w:line="240" w:lineRule="auto"/>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符合性</w:t>
                  </w:r>
                </w:p>
              </w:tc>
            </w:tr>
            <w:tr w14:paraId="7594A2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563" w:type="pct"/>
                  <w:tcBorders>
                    <w:tl2br w:val="nil"/>
                    <w:tr2bl w:val="nil"/>
                  </w:tcBorders>
                  <w:shd w:val="clear" w:color="auto" w:fill="auto"/>
                  <w:vAlign w:val="center"/>
                </w:tcPr>
                <w:p w14:paraId="0D45E292">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产业定位</w:t>
                  </w:r>
                </w:p>
              </w:tc>
              <w:tc>
                <w:tcPr>
                  <w:tcW w:w="2492" w:type="pct"/>
                  <w:tcBorders>
                    <w:tl2br w:val="nil"/>
                    <w:tr2bl w:val="nil"/>
                  </w:tcBorders>
                  <w:shd w:val="clear" w:color="auto" w:fill="auto"/>
                  <w:vAlign w:val="center"/>
                </w:tcPr>
                <w:p w14:paraId="4960973C">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zh-CN" w:eastAsia="zh-CN"/>
                      <w14:textFill>
                        <w14:solidFill>
                          <w14:schemeClr w14:val="tx1"/>
                        </w14:solidFill>
                      </w14:textFill>
                    </w:rPr>
                    <w:t>核心区：</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重点发展</w:t>
                  </w:r>
                  <w:r>
                    <w:rPr>
                      <w:rFonts w:hint="default" w:ascii="Times New Roman" w:hAnsi="Times New Roman" w:eastAsia="宋体" w:cs="Times New Roman"/>
                      <w:color w:val="000000" w:themeColor="text1"/>
                      <w:sz w:val="21"/>
                      <w:szCs w:val="21"/>
                      <w:lang w:val="zh-CN" w:eastAsia="zh-CN"/>
                      <w14:textFill>
                        <w14:solidFill>
                          <w14:schemeClr w14:val="tx1"/>
                        </w14:solidFill>
                      </w14:textFill>
                    </w:rPr>
                    <w:t>机械、电子、服装，辅助发展生物医药、新能源新材料。</w:t>
                  </w:r>
                </w:p>
              </w:tc>
              <w:tc>
                <w:tcPr>
                  <w:tcW w:w="1561" w:type="pct"/>
                  <w:tcBorders>
                    <w:tl2br w:val="nil"/>
                    <w:tr2bl w:val="nil"/>
                  </w:tcBorders>
                  <w:vAlign w:val="center"/>
                </w:tcPr>
                <w:p w14:paraId="2DA4474A">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项目属于</w:t>
                  </w:r>
                  <w:r>
                    <w:rPr>
                      <w:color w:val="000000" w:themeColor="text1"/>
                      <w:sz w:val="21"/>
                      <w:szCs w:val="21"/>
                      <w14:textFill>
                        <w14:solidFill>
                          <w14:schemeClr w14:val="tx1"/>
                        </w14:solidFill>
                      </w14:textFill>
                    </w:rPr>
                    <w:t>C</w:t>
                  </w:r>
                  <w:r>
                    <w:rPr>
                      <w:rFonts w:hint="eastAsia"/>
                      <w:color w:val="000000" w:themeColor="text1"/>
                      <w:sz w:val="21"/>
                      <w:szCs w:val="21"/>
                      <w:lang w:val="en-US" w:eastAsia="zh-CN"/>
                      <w14:textFill>
                        <w14:solidFill>
                          <w14:schemeClr w14:val="tx1"/>
                        </w14:solidFill>
                      </w14:textFill>
                    </w:rPr>
                    <w:t>3841 锂离子电池制造</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，与主导产业不冲突。</w:t>
                  </w:r>
                </w:p>
              </w:tc>
              <w:tc>
                <w:tcPr>
                  <w:tcW w:w="383" w:type="pct"/>
                  <w:tcBorders>
                    <w:tl2br w:val="nil"/>
                    <w:tr2bl w:val="nil"/>
                  </w:tcBorders>
                  <w:vAlign w:val="center"/>
                </w:tcPr>
                <w:p w14:paraId="5600B70E">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符合</w:t>
                  </w:r>
                </w:p>
              </w:tc>
            </w:tr>
            <w:tr w14:paraId="5FC436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563" w:type="pct"/>
                  <w:vMerge w:val="restart"/>
                  <w:tcBorders>
                    <w:tl2br w:val="nil"/>
                    <w:tr2bl w:val="nil"/>
                  </w:tcBorders>
                  <w:vAlign w:val="center"/>
                </w:tcPr>
                <w:p w14:paraId="41FAB176">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负面准入清单</w:t>
                  </w:r>
                </w:p>
              </w:tc>
              <w:tc>
                <w:tcPr>
                  <w:tcW w:w="2492" w:type="pct"/>
                  <w:tcBorders>
                    <w:tl2br w:val="nil"/>
                    <w:tr2bl w:val="nil"/>
                  </w:tcBorders>
                  <w:vAlign w:val="center"/>
                </w:tcPr>
                <w:p w14:paraId="0612C29B">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（1）禁止新建、扩建法律法规和相关政策明令禁止的落后产能项目。禁止新建《产业结构调整指导目录》中淘汰、限制类项目，对属于限制类的现有生产能力允许企业在一定期限内采取措施改造升级。</w:t>
                  </w:r>
                </w:p>
              </w:tc>
              <w:tc>
                <w:tcPr>
                  <w:tcW w:w="1561" w:type="pct"/>
                  <w:tcBorders>
                    <w:tl2br w:val="nil"/>
                    <w:tr2bl w:val="nil"/>
                  </w:tcBorders>
                  <w:vAlign w:val="center"/>
                </w:tcPr>
                <w:p w14:paraId="2C1A8CDA">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项目属于</w:t>
                  </w:r>
                  <w:r>
                    <w:rPr>
                      <w:color w:val="000000" w:themeColor="text1"/>
                      <w:sz w:val="21"/>
                      <w:szCs w:val="21"/>
                      <w14:textFill>
                        <w14:solidFill>
                          <w14:schemeClr w14:val="tx1"/>
                        </w14:solidFill>
                      </w14:textFill>
                    </w:rPr>
                    <w:t>C</w:t>
                  </w:r>
                  <w:r>
                    <w:rPr>
                      <w:rFonts w:hint="eastAsia"/>
                      <w:color w:val="000000" w:themeColor="text1"/>
                      <w:sz w:val="21"/>
                      <w:szCs w:val="21"/>
                      <w:lang w:val="en-US" w:eastAsia="zh-CN"/>
                      <w14:textFill>
                        <w14:solidFill>
                          <w14:schemeClr w14:val="tx1"/>
                        </w14:solidFill>
                      </w14:textFill>
                    </w:rPr>
                    <w:t>3841 锂离子电池制造</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，属于《产业结构调整指导目录（2024年本）》中鼓励类项目。</w:t>
                  </w:r>
                </w:p>
              </w:tc>
              <w:tc>
                <w:tcPr>
                  <w:tcW w:w="383" w:type="pct"/>
                  <w:tcBorders>
                    <w:tl2br w:val="nil"/>
                    <w:tr2bl w:val="nil"/>
                  </w:tcBorders>
                  <w:vAlign w:val="center"/>
                </w:tcPr>
                <w:p w14:paraId="012C4C3E">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符合</w:t>
                  </w:r>
                </w:p>
              </w:tc>
            </w:tr>
            <w:tr w14:paraId="466940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563" w:type="pct"/>
                  <w:vMerge w:val="continue"/>
                  <w:tcBorders>
                    <w:tl2br w:val="nil"/>
                    <w:tr2bl w:val="nil"/>
                  </w:tcBorders>
                  <w:vAlign w:val="center"/>
                </w:tcPr>
                <w:p w14:paraId="2C0B9AC2">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2492" w:type="pct"/>
                  <w:tcBorders>
                    <w:tl2br w:val="nil"/>
                    <w:tr2bl w:val="nil"/>
                  </w:tcBorders>
                  <w:vAlign w:val="center"/>
                </w:tcPr>
                <w:p w14:paraId="11276780">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（2）禁止新建、扩建不符合国家产能置换要求的严重过剩产能行业的项目，禁止新建、扩建不符合要求的高耗能高排放项目。</w:t>
                  </w:r>
                </w:p>
              </w:tc>
              <w:tc>
                <w:tcPr>
                  <w:tcW w:w="1561" w:type="pct"/>
                  <w:tcBorders>
                    <w:tl2br w:val="nil"/>
                    <w:tr2bl w:val="nil"/>
                  </w:tcBorders>
                  <w:vAlign w:val="center"/>
                </w:tcPr>
                <w:p w14:paraId="6134C3EE">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项目不属于过剩产能行业、高耗能高排放项目。</w:t>
                  </w:r>
                </w:p>
              </w:tc>
              <w:tc>
                <w:tcPr>
                  <w:tcW w:w="383" w:type="pct"/>
                  <w:tcBorders>
                    <w:tl2br w:val="nil"/>
                    <w:tr2bl w:val="nil"/>
                  </w:tcBorders>
                  <w:vAlign w:val="center"/>
                </w:tcPr>
                <w:p w14:paraId="3E28ECDB">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符合</w:t>
                  </w:r>
                </w:p>
              </w:tc>
            </w:tr>
            <w:tr w14:paraId="13CAF1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563" w:type="pct"/>
                  <w:vMerge w:val="continue"/>
                  <w:tcBorders>
                    <w:tl2br w:val="nil"/>
                    <w:tr2bl w:val="nil"/>
                  </w:tcBorders>
                  <w:vAlign w:val="center"/>
                </w:tcPr>
                <w:p w14:paraId="2596A1F0">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2492" w:type="pct"/>
                  <w:tcBorders>
                    <w:tl2br w:val="nil"/>
                    <w:tr2bl w:val="nil"/>
                  </w:tcBorders>
                  <w:vAlign w:val="center"/>
                </w:tcPr>
                <w:p w14:paraId="63DB4233">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（3）禁止引入不符合国家、地方重金属污染防治规范的项目。</w:t>
                  </w:r>
                </w:p>
              </w:tc>
              <w:tc>
                <w:tcPr>
                  <w:tcW w:w="1561" w:type="pct"/>
                  <w:tcBorders>
                    <w:tl2br w:val="nil"/>
                    <w:tr2bl w:val="nil"/>
                  </w:tcBorders>
                  <w:vAlign w:val="center"/>
                </w:tcPr>
                <w:p w14:paraId="2E8E18C7">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项目不涉及铅、汞、镉、铬、砷</w:t>
                  </w:r>
                  <w:r>
                    <w:rPr>
                      <w:rFonts w:hint="eastAsia" w:cs="Times New Roman"/>
                      <w:color w:val="000000" w:themeColor="text1"/>
                      <w:sz w:val="21"/>
                      <w:szCs w:val="21"/>
                      <w:lang w:val="en-US" w:eastAsia="zh-CN"/>
                      <w14:textFill>
                        <w14:solidFill>
                          <w14:schemeClr w14:val="tx1"/>
                        </w14:solidFill>
                      </w14:textFill>
                    </w:rPr>
                    <w:t>等</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重金属排放。</w:t>
                  </w:r>
                </w:p>
              </w:tc>
              <w:tc>
                <w:tcPr>
                  <w:tcW w:w="383" w:type="pct"/>
                  <w:tcBorders>
                    <w:tl2br w:val="nil"/>
                    <w:tr2bl w:val="nil"/>
                  </w:tcBorders>
                  <w:vAlign w:val="center"/>
                </w:tcPr>
                <w:p w14:paraId="4E2127EB">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符合</w:t>
                  </w:r>
                </w:p>
              </w:tc>
            </w:tr>
            <w:tr w14:paraId="2B906A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563" w:type="pct"/>
                  <w:vMerge w:val="continue"/>
                  <w:tcBorders>
                    <w:tl2br w:val="nil"/>
                    <w:tr2bl w:val="nil"/>
                  </w:tcBorders>
                  <w:vAlign w:val="center"/>
                </w:tcPr>
                <w:p w14:paraId="408758FD">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2492" w:type="pct"/>
                  <w:tcBorders>
                    <w:tl2br w:val="nil"/>
                    <w:tr2bl w:val="nil"/>
                  </w:tcBorders>
                  <w:vAlign w:val="center"/>
                </w:tcPr>
                <w:p w14:paraId="5602AD71">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（4）禁止引入清洁生产水平不能达到二级或国内先进水平的项目。</w:t>
                  </w:r>
                </w:p>
              </w:tc>
              <w:tc>
                <w:tcPr>
                  <w:tcW w:w="1561" w:type="pct"/>
                  <w:tcBorders>
                    <w:tl2br w:val="nil"/>
                    <w:tr2bl w:val="nil"/>
                  </w:tcBorders>
                  <w:vAlign w:val="center"/>
                </w:tcPr>
                <w:p w14:paraId="6E7CB3C3">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满足清洁生产要求</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p>
              </w:tc>
              <w:tc>
                <w:tcPr>
                  <w:tcW w:w="383" w:type="pct"/>
                  <w:tcBorders>
                    <w:tl2br w:val="nil"/>
                    <w:tr2bl w:val="nil"/>
                  </w:tcBorders>
                  <w:vAlign w:val="center"/>
                </w:tcPr>
                <w:p w14:paraId="1F974617">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符合</w:t>
                  </w:r>
                </w:p>
              </w:tc>
            </w:tr>
            <w:tr w14:paraId="382F0F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563" w:type="pct"/>
                  <w:vMerge w:val="continue"/>
                  <w:tcBorders>
                    <w:tl2br w:val="nil"/>
                    <w:tr2bl w:val="nil"/>
                  </w:tcBorders>
                  <w:vAlign w:val="center"/>
                </w:tcPr>
                <w:p w14:paraId="733C3C64">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2492" w:type="pct"/>
                  <w:tcBorders>
                    <w:tl2br w:val="nil"/>
                    <w:tr2bl w:val="nil"/>
                  </w:tcBorders>
                  <w:vAlign w:val="center"/>
                </w:tcPr>
                <w:p w14:paraId="37ECF707">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（5）禁止新建合浆造纸（含废纸合浆）、印染染整、制革、水泥、冶炼及与主导产业不相容的项目。</w:t>
                  </w:r>
                </w:p>
              </w:tc>
              <w:tc>
                <w:tcPr>
                  <w:tcW w:w="1561" w:type="pct"/>
                  <w:tcBorders>
                    <w:tl2br w:val="nil"/>
                    <w:tr2bl w:val="nil"/>
                  </w:tcBorders>
                  <w:vAlign w:val="center"/>
                </w:tcPr>
                <w:p w14:paraId="5D9949F3">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项目不属于</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合浆造纸（含废纸合浆）、印染染整、制革、水泥、冶炼及与主导产业不相容的项目。</w:t>
                  </w:r>
                </w:p>
              </w:tc>
              <w:tc>
                <w:tcPr>
                  <w:tcW w:w="383" w:type="pct"/>
                  <w:tcBorders>
                    <w:tl2br w:val="nil"/>
                    <w:tr2bl w:val="nil"/>
                  </w:tcBorders>
                  <w:vAlign w:val="center"/>
                </w:tcPr>
                <w:p w14:paraId="579712C1">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符合</w:t>
                  </w:r>
                </w:p>
              </w:tc>
            </w:tr>
            <w:tr w14:paraId="75D863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563" w:type="pct"/>
                  <w:vMerge w:val="continue"/>
                  <w:tcBorders>
                    <w:tl2br w:val="nil"/>
                    <w:tr2bl w:val="nil"/>
                  </w:tcBorders>
                  <w:vAlign w:val="center"/>
                </w:tcPr>
                <w:p w14:paraId="7FE44D53">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2492" w:type="pct"/>
                  <w:tcBorders>
                    <w:tl2br w:val="nil"/>
                    <w:tr2bl w:val="nil"/>
                  </w:tcBorders>
                  <w:vAlign w:val="center"/>
                </w:tcPr>
                <w:p w14:paraId="60A5C4E3">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（6）禁止高污染燃料。</w:t>
                  </w:r>
                </w:p>
              </w:tc>
              <w:tc>
                <w:tcPr>
                  <w:tcW w:w="1561" w:type="pct"/>
                  <w:tcBorders>
                    <w:tl2br w:val="nil"/>
                    <w:tr2bl w:val="nil"/>
                  </w:tcBorders>
                  <w:vAlign w:val="center"/>
                </w:tcPr>
                <w:p w14:paraId="3D29C597">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项目不使用高污染燃料。</w:t>
                  </w:r>
                </w:p>
              </w:tc>
              <w:tc>
                <w:tcPr>
                  <w:tcW w:w="383" w:type="pct"/>
                  <w:tcBorders>
                    <w:tl2br w:val="nil"/>
                    <w:tr2bl w:val="nil"/>
                  </w:tcBorders>
                  <w:vAlign w:val="center"/>
                </w:tcPr>
                <w:p w14:paraId="46422E2D">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符合</w:t>
                  </w:r>
                </w:p>
              </w:tc>
            </w:tr>
            <w:tr w14:paraId="1E0C81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563" w:type="pct"/>
                  <w:vMerge w:val="restart"/>
                  <w:tcBorders>
                    <w:tl2br w:val="nil"/>
                    <w:tr2bl w:val="nil"/>
                  </w:tcBorders>
                  <w:vAlign w:val="center"/>
                </w:tcPr>
                <w:p w14:paraId="4BABFDD1">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分区管控要求</w:t>
                  </w:r>
                </w:p>
              </w:tc>
              <w:tc>
                <w:tcPr>
                  <w:tcW w:w="2492" w:type="pct"/>
                  <w:tcBorders>
                    <w:tl2br w:val="nil"/>
                    <w:tr2bl w:val="nil"/>
                  </w:tcBorders>
                  <w:vAlign w:val="center"/>
                </w:tcPr>
                <w:p w14:paraId="3B34108D">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（1）阳台河岸线1km范围内禁止新建、改扩建化工项目（节能、安全环保改造除外）。</w:t>
                  </w:r>
                </w:p>
              </w:tc>
              <w:tc>
                <w:tcPr>
                  <w:tcW w:w="1561" w:type="pct"/>
                  <w:tcBorders>
                    <w:tl2br w:val="nil"/>
                    <w:tr2bl w:val="nil"/>
                  </w:tcBorders>
                  <w:vAlign w:val="center"/>
                </w:tcPr>
                <w:p w14:paraId="1BDEB061">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项目属于C384</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1 锂离子电池制造</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，不属于化工项目。</w:t>
                  </w:r>
                </w:p>
              </w:tc>
              <w:tc>
                <w:tcPr>
                  <w:tcW w:w="383" w:type="pct"/>
                  <w:tcBorders>
                    <w:tl2br w:val="nil"/>
                    <w:tr2bl w:val="nil"/>
                  </w:tcBorders>
                  <w:vAlign w:val="center"/>
                </w:tcPr>
                <w:p w14:paraId="2253DDC6">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符合</w:t>
                  </w:r>
                </w:p>
              </w:tc>
            </w:tr>
            <w:tr w14:paraId="05AC1D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563" w:type="pct"/>
                  <w:vMerge w:val="continue"/>
                  <w:tcBorders>
                    <w:tl2br w:val="nil"/>
                    <w:tr2bl w:val="nil"/>
                  </w:tcBorders>
                  <w:vAlign w:val="center"/>
                </w:tcPr>
                <w:p w14:paraId="76940489">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2492" w:type="pct"/>
                  <w:tcBorders>
                    <w:tl2br w:val="nil"/>
                    <w:tr2bl w:val="nil"/>
                  </w:tcBorders>
                  <w:vAlign w:val="center"/>
                </w:tcPr>
                <w:p w14:paraId="3201410A">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（2）禁止引入化学原料药、发酵类抗生素项目。</w:t>
                  </w:r>
                </w:p>
              </w:tc>
              <w:tc>
                <w:tcPr>
                  <w:tcW w:w="1561" w:type="pct"/>
                  <w:tcBorders>
                    <w:tl2br w:val="nil"/>
                    <w:tr2bl w:val="nil"/>
                  </w:tcBorders>
                  <w:vAlign w:val="center"/>
                </w:tcPr>
                <w:p w14:paraId="5EC80DCB">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项目不涉及。</w:t>
                  </w:r>
                </w:p>
              </w:tc>
              <w:tc>
                <w:tcPr>
                  <w:tcW w:w="383" w:type="pct"/>
                  <w:tcBorders>
                    <w:tl2br w:val="nil"/>
                    <w:tr2bl w:val="nil"/>
                  </w:tcBorders>
                  <w:vAlign w:val="center"/>
                </w:tcPr>
                <w:p w14:paraId="5CBD9787">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符合</w:t>
                  </w:r>
                </w:p>
              </w:tc>
            </w:tr>
            <w:tr w14:paraId="7CA7E3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563" w:type="pct"/>
                  <w:vMerge w:val="continue"/>
                  <w:tcBorders>
                    <w:tl2br w:val="nil"/>
                    <w:tr2bl w:val="nil"/>
                  </w:tcBorders>
                  <w:vAlign w:val="center"/>
                </w:tcPr>
                <w:p w14:paraId="19B3993B">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2492" w:type="pct"/>
                  <w:tcBorders>
                    <w:tl2br w:val="nil"/>
                    <w:tr2bl w:val="nil"/>
                  </w:tcBorders>
                  <w:vAlign w:val="center"/>
                </w:tcPr>
                <w:p w14:paraId="73081857">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（3）禁止引入专业电镀，排放含铅、汞、镉、铬、砷废水的项目。</w:t>
                  </w:r>
                </w:p>
              </w:tc>
              <w:tc>
                <w:tcPr>
                  <w:tcW w:w="1561" w:type="pct"/>
                  <w:tcBorders>
                    <w:tl2br w:val="nil"/>
                    <w:tr2bl w:val="nil"/>
                  </w:tcBorders>
                  <w:vAlign w:val="center"/>
                </w:tcPr>
                <w:p w14:paraId="5DE6B478">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项目</w:t>
                  </w:r>
                  <w:r>
                    <w:rPr>
                      <w:rFonts w:hint="default" w:ascii="Times New Roman" w:hAnsi="Times New Roman" w:eastAsia="宋体" w:cs="Times New Roman"/>
                      <w:color w:val="000000" w:themeColor="text1"/>
                      <w:sz w:val="21"/>
                      <w:szCs w:val="21"/>
                      <w14:textFill>
                        <w14:solidFill>
                          <w14:schemeClr w14:val="tx1"/>
                        </w14:solidFill>
                      </w14:textFill>
                    </w:rPr>
                    <w:t>不</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涉及电镀，外排废水不含铅、汞、镉、铬、砷</w:t>
                  </w:r>
                  <w:r>
                    <w:rPr>
                      <w:rFonts w:hint="eastAsia" w:cs="Times New Roman"/>
                      <w:color w:val="000000" w:themeColor="text1"/>
                      <w:sz w:val="21"/>
                      <w:szCs w:val="21"/>
                      <w:lang w:val="en-US" w:eastAsia="zh-CN"/>
                      <w14:textFill>
                        <w14:solidFill>
                          <w14:schemeClr w14:val="tx1"/>
                        </w14:solidFill>
                      </w14:textFill>
                    </w:rPr>
                    <w:t>等</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重金属。</w:t>
                  </w:r>
                </w:p>
              </w:tc>
              <w:tc>
                <w:tcPr>
                  <w:tcW w:w="383" w:type="pct"/>
                  <w:tcBorders>
                    <w:tl2br w:val="nil"/>
                    <w:tr2bl w:val="nil"/>
                  </w:tcBorders>
                  <w:vAlign w:val="center"/>
                </w:tcPr>
                <w:p w14:paraId="0F43E0BC">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符合</w:t>
                  </w:r>
                </w:p>
              </w:tc>
            </w:tr>
            <w:tr w14:paraId="388D75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563" w:type="pct"/>
                  <w:vMerge w:val="continue"/>
                  <w:tcBorders>
                    <w:tl2br w:val="nil"/>
                    <w:tr2bl w:val="nil"/>
                  </w:tcBorders>
                  <w:vAlign w:val="center"/>
                </w:tcPr>
                <w:p w14:paraId="450F8494">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2492" w:type="pct"/>
                  <w:tcBorders>
                    <w:tl2br w:val="nil"/>
                    <w:tr2bl w:val="nil"/>
                  </w:tcBorders>
                  <w:vAlign w:val="center"/>
                </w:tcPr>
                <w:p w14:paraId="12C83B81">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（4）禁止引入危化品仓储项目。</w:t>
                  </w:r>
                </w:p>
              </w:tc>
              <w:tc>
                <w:tcPr>
                  <w:tcW w:w="1561" w:type="pct"/>
                  <w:tcBorders>
                    <w:tl2br w:val="nil"/>
                    <w:tr2bl w:val="nil"/>
                  </w:tcBorders>
                  <w:vAlign w:val="center"/>
                </w:tcPr>
                <w:p w14:paraId="4A4BB510">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项目不属于危化品仓储项目。</w:t>
                  </w:r>
                </w:p>
              </w:tc>
              <w:tc>
                <w:tcPr>
                  <w:tcW w:w="383" w:type="pct"/>
                  <w:tcBorders>
                    <w:tl2br w:val="nil"/>
                    <w:tr2bl w:val="nil"/>
                  </w:tcBorders>
                  <w:vAlign w:val="center"/>
                </w:tcPr>
                <w:p w14:paraId="7E1D3808">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符合</w:t>
                  </w:r>
                </w:p>
              </w:tc>
            </w:tr>
            <w:tr w14:paraId="701078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563" w:type="pct"/>
                  <w:tcBorders>
                    <w:tl2br w:val="nil"/>
                    <w:tr2bl w:val="nil"/>
                  </w:tcBorders>
                  <w:vAlign w:val="center"/>
                </w:tcPr>
                <w:p w14:paraId="548B7035">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zh-CN" w:eastAsia="zh-CN"/>
                      <w14:textFill>
                        <w14:solidFill>
                          <w14:schemeClr w14:val="tx1"/>
                        </w14:solidFill>
                      </w14:textFill>
                    </w:rPr>
                    <w:t>能源规划</w:t>
                  </w:r>
                </w:p>
              </w:tc>
              <w:tc>
                <w:tcPr>
                  <w:tcW w:w="2492" w:type="pct"/>
                  <w:tcBorders>
                    <w:tl2br w:val="nil"/>
                    <w:tr2bl w:val="nil"/>
                  </w:tcBorders>
                  <w:vAlign w:val="center"/>
                </w:tcPr>
                <w:p w14:paraId="2ECC0F06">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zh-CN" w:eastAsia="zh-CN"/>
                      <w14:textFill>
                        <w14:solidFill>
                          <w14:schemeClr w14:val="tx1"/>
                        </w14:solidFill>
                      </w14:textFill>
                    </w:rPr>
                    <w:t>规划以清洁能源天然气和电为主，禁止使用燃煤。鼓励企业新建或改建燃气锅炉安装低氮燃烧器。</w:t>
                  </w:r>
                </w:p>
              </w:tc>
              <w:tc>
                <w:tcPr>
                  <w:tcW w:w="1561" w:type="pct"/>
                  <w:tcBorders>
                    <w:tl2br w:val="nil"/>
                    <w:tr2bl w:val="nil"/>
                  </w:tcBorders>
                  <w:vAlign w:val="center"/>
                </w:tcPr>
                <w:p w14:paraId="6925D360">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项目</w:t>
                  </w:r>
                  <w:r>
                    <w:rPr>
                      <w:rFonts w:hint="eastAsia"/>
                      <w:color w:val="000000" w:themeColor="text1"/>
                      <w:sz w:val="21"/>
                      <w:szCs w:val="21"/>
                      <w14:textFill>
                        <w14:solidFill>
                          <w14:schemeClr w14:val="tx1"/>
                        </w14:solidFill>
                      </w14:textFill>
                    </w:rPr>
                    <w:t>使用能源为</w:t>
                  </w:r>
                  <w:r>
                    <w:rPr>
                      <w:color w:val="000000" w:themeColor="text1"/>
                      <w:sz w:val="21"/>
                      <w:szCs w:val="21"/>
                      <w:lang w:val="zh-CN"/>
                      <w14:textFill>
                        <w14:solidFill>
                          <w14:schemeClr w14:val="tx1"/>
                        </w14:solidFill>
                      </w14:textFill>
                    </w:rPr>
                    <w:t>电</w:t>
                  </w:r>
                  <w:r>
                    <w:rPr>
                      <w:rFonts w:hint="eastAsia"/>
                      <w:color w:val="000000" w:themeColor="text1"/>
                      <w:sz w:val="21"/>
                      <w:szCs w:val="21"/>
                      <w:lang w:val="en-US" w:eastAsia="zh-CN"/>
                      <w14:textFill>
                        <w14:solidFill>
                          <w14:schemeClr w14:val="tx1"/>
                        </w14:solidFill>
                      </w14:textFill>
                    </w:rPr>
                    <w:t>能</w:t>
                  </w:r>
                  <w:r>
                    <w:rPr>
                      <w:rFonts w:hint="default" w:ascii="Times New Roman" w:hAnsi="Times New Roman" w:eastAsia="宋体" w:cs="Times New Roman"/>
                      <w:color w:val="000000" w:themeColor="text1"/>
                      <w:sz w:val="21"/>
                      <w:szCs w:val="21"/>
                      <w14:textFill>
                        <w14:solidFill>
                          <w14:schemeClr w14:val="tx1"/>
                        </w14:solidFill>
                      </w14:textFill>
                    </w:rPr>
                    <w:t>。</w:t>
                  </w:r>
                </w:p>
              </w:tc>
              <w:tc>
                <w:tcPr>
                  <w:tcW w:w="383" w:type="pct"/>
                  <w:tcBorders>
                    <w:tl2br w:val="nil"/>
                    <w:tr2bl w:val="nil"/>
                  </w:tcBorders>
                  <w:vAlign w:val="center"/>
                </w:tcPr>
                <w:p w14:paraId="4738C0D3">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符合</w:t>
                  </w:r>
                </w:p>
              </w:tc>
            </w:tr>
            <w:tr w14:paraId="3A8882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563" w:type="pct"/>
                  <w:vMerge w:val="restart"/>
                  <w:tcBorders>
                    <w:tl2br w:val="nil"/>
                    <w:tr2bl w:val="nil"/>
                  </w:tcBorders>
                  <w:vAlign w:val="center"/>
                </w:tcPr>
                <w:p w14:paraId="51D6C3A6">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zh-CN" w:eastAsia="zh-CN"/>
                      <w14:textFill>
                        <w14:solidFill>
                          <w14:schemeClr w14:val="tx1"/>
                        </w14:solidFill>
                      </w14:textFill>
                    </w:rPr>
                    <w:t>环境保护规划</w:t>
                  </w:r>
                </w:p>
              </w:tc>
              <w:tc>
                <w:tcPr>
                  <w:tcW w:w="2492" w:type="pct"/>
                  <w:tcBorders>
                    <w:tl2br w:val="nil"/>
                    <w:tr2bl w:val="nil"/>
                  </w:tcBorders>
                  <w:vAlign w:val="center"/>
                </w:tcPr>
                <w:p w14:paraId="73937342">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zh-CN" w:eastAsia="zh-CN"/>
                      <w14:textFill>
                        <w14:solidFill>
                          <w14:schemeClr w14:val="tx1"/>
                        </w14:solidFill>
                      </w14:textFill>
                    </w:rPr>
                    <w:t>水污染防治：通过治理污染，系统组织排放，提高污水处理比率，河流水质达到《地表水环境质量标准》（GB3838-2002）Ⅲ类标准。</w:t>
                  </w:r>
                </w:p>
              </w:tc>
              <w:tc>
                <w:tcPr>
                  <w:tcW w:w="1561" w:type="pct"/>
                  <w:tcBorders>
                    <w:tl2br w:val="nil"/>
                    <w:tr2bl w:val="nil"/>
                  </w:tcBorders>
                  <w:vAlign w:val="center"/>
                </w:tcPr>
                <w:p w14:paraId="386A16FB">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项目</w:t>
                  </w:r>
                  <w:r>
                    <w:rPr>
                      <w:rFonts w:hint="eastAsia" w:cs="Times New Roman"/>
                      <w:color w:val="000000" w:themeColor="text1"/>
                      <w:sz w:val="21"/>
                      <w:szCs w:val="21"/>
                      <w:lang w:val="en-US" w:eastAsia="zh-CN"/>
                      <w14:textFill>
                        <w14:solidFill>
                          <w14:schemeClr w14:val="tx1"/>
                        </w14:solidFill>
                      </w14:textFill>
                    </w:rPr>
                    <w:t>生产</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废水</w:t>
                  </w:r>
                  <w:r>
                    <w:rPr>
                      <w:rFonts w:hint="default" w:ascii="Times New Roman" w:hAnsi="Times New Roman" w:eastAsia="宋体" w:cs="Times New Roman"/>
                      <w:color w:val="000000" w:themeColor="text1"/>
                      <w:sz w:val="21"/>
                      <w:szCs w:val="21"/>
                      <w14:textFill>
                        <w14:solidFill>
                          <w14:schemeClr w14:val="tx1"/>
                        </w14:solidFill>
                      </w14:textFill>
                    </w:rPr>
                    <w:t>经</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厂区污水处理设备处理</w:t>
                  </w:r>
                  <w:r>
                    <w:rPr>
                      <w:rFonts w:hint="eastAsia" w:cs="Times New Roman"/>
                      <w:color w:val="000000" w:themeColor="text1"/>
                      <w:sz w:val="21"/>
                      <w:szCs w:val="21"/>
                      <w:lang w:val="en-US" w:eastAsia="zh-CN"/>
                      <w14:textFill>
                        <w14:solidFill>
                          <w14:schemeClr w14:val="tx1"/>
                        </w14:solidFill>
                      </w14:textFill>
                    </w:rPr>
                    <w:t>，处理后同生活污水和纯水制备浓水、反冲洗水、空压冷凝水经预处理池处理，处理后的废水</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通过</w:t>
                  </w:r>
                  <w:r>
                    <w:rPr>
                      <w:rFonts w:hint="default" w:ascii="Times New Roman" w:hAnsi="Times New Roman" w:eastAsia="宋体" w:cs="Times New Roman"/>
                      <w:color w:val="000000" w:themeColor="text1"/>
                      <w:sz w:val="21"/>
                      <w:szCs w:val="21"/>
                      <w14:textFill>
                        <w14:solidFill>
                          <w14:schemeClr w14:val="tx1"/>
                        </w14:solidFill>
                      </w14:textFill>
                    </w:rPr>
                    <w:t>市政管网送</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至</w:t>
                  </w:r>
                  <w:r>
                    <w:rPr>
                      <w:rFonts w:hint="default" w:ascii="Times New Roman" w:hAnsi="Times New Roman" w:eastAsia="宋体" w:cs="Times New Roman"/>
                      <w:color w:val="000000" w:themeColor="text1"/>
                      <w:sz w:val="21"/>
                      <w:szCs w:val="21"/>
                      <w14:textFill>
                        <w14:solidFill>
                          <w14:schemeClr w14:val="tx1"/>
                        </w14:solidFill>
                      </w14:textFill>
                    </w:rPr>
                    <w:t>经开区污水处理厂处理达标</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后</w:t>
                  </w:r>
                  <w:r>
                    <w:rPr>
                      <w:rFonts w:hint="default" w:ascii="Times New Roman" w:hAnsi="Times New Roman" w:eastAsia="宋体" w:cs="Times New Roman"/>
                      <w:color w:val="000000" w:themeColor="text1"/>
                      <w:sz w:val="21"/>
                      <w:szCs w:val="21"/>
                      <w14:textFill>
                        <w14:solidFill>
                          <w14:schemeClr w14:val="tx1"/>
                        </w14:solidFill>
                      </w14:textFill>
                    </w:rPr>
                    <w:t>排放</w:t>
                  </w:r>
                  <w:r>
                    <w:rPr>
                      <w:rFonts w:hint="default" w:ascii="Times New Roman" w:hAnsi="Times New Roman" w:eastAsia="宋体" w:cs="Times New Roman"/>
                      <w:color w:val="000000" w:themeColor="text1"/>
                      <w:sz w:val="21"/>
                      <w:szCs w:val="21"/>
                      <w:lang w:eastAsia="zh-CN"/>
                      <w14:textFill>
                        <w14:solidFill>
                          <w14:schemeClr w14:val="tx1"/>
                        </w14:solidFill>
                      </w14:textFill>
                    </w:rPr>
                    <w:t>。</w:t>
                  </w:r>
                </w:p>
              </w:tc>
              <w:tc>
                <w:tcPr>
                  <w:tcW w:w="383" w:type="pct"/>
                  <w:tcBorders>
                    <w:tl2br w:val="nil"/>
                    <w:tr2bl w:val="nil"/>
                  </w:tcBorders>
                  <w:vAlign w:val="center"/>
                </w:tcPr>
                <w:p w14:paraId="26A3E375">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符合</w:t>
                  </w:r>
                </w:p>
              </w:tc>
            </w:tr>
            <w:tr w14:paraId="794552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563" w:type="pct"/>
                  <w:vMerge w:val="continue"/>
                  <w:tcBorders>
                    <w:tl2br w:val="nil"/>
                    <w:tr2bl w:val="nil"/>
                  </w:tcBorders>
                  <w:vAlign w:val="center"/>
                </w:tcPr>
                <w:p w14:paraId="49845A07">
                  <w:pPr>
                    <w:pStyle w:val="70"/>
                    <w:spacing w:line="240" w:lineRule="auto"/>
                    <w:rPr>
                      <w:rFonts w:hint="default" w:ascii="Times New Roman" w:hAnsi="Times New Roman" w:eastAsia="宋体" w:cs="Times New Roman"/>
                      <w:color w:val="000000" w:themeColor="text1"/>
                      <w:sz w:val="21"/>
                      <w:szCs w:val="21"/>
                      <w:lang w:val="zh-CN"/>
                      <w14:textFill>
                        <w14:solidFill>
                          <w14:schemeClr w14:val="tx1"/>
                        </w14:solidFill>
                      </w14:textFill>
                    </w:rPr>
                  </w:pPr>
                </w:p>
              </w:tc>
              <w:tc>
                <w:tcPr>
                  <w:tcW w:w="2492" w:type="pct"/>
                  <w:tcBorders>
                    <w:tl2br w:val="nil"/>
                    <w:tr2bl w:val="nil"/>
                  </w:tcBorders>
                  <w:vAlign w:val="center"/>
                </w:tcPr>
                <w:p w14:paraId="1E6EFB7A">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zh-CN" w:eastAsia="zh-CN"/>
                      <w14:textFill>
                        <w14:solidFill>
                          <w14:schemeClr w14:val="tx1"/>
                        </w14:solidFill>
                      </w14:textFill>
                    </w:rPr>
                    <w:t>大气污染防治：建设烟尘控制区，且覆盖率达90%以上。在产业结构政策上，严格限制大气污染严重的项目，项目必须科学选址。改善道路和交通状况，减少汽车尾气污染。加强管理和监督，限时施工等措施减少建筑工地扬尘污染，搞好道路和城市区域绿化，减轻大气环境污染影响。</w:t>
                  </w:r>
                </w:p>
              </w:tc>
              <w:tc>
                <w:tcPr>
                  <w:tcW w:w="1561" w:type="pct"/>
                  <w:tcBorders>
                    <w:tl2br w:val="nil"/>
                    <w:tr2bl w:val="nil"/>
                  </w:tcBorders>
                  <w:vAlign w:val="center"/>
                </w:tcPr>
                <w:p w14:paraId="6A314E2E">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项目各类废气均采取治理措施，能够达标排放，不会对大气环境造成明显影响。</w:t>
                  </w:r>
                </w:p>
              </w:tc>
              <w:tc>
                <w:tcPr>
                  <w:tcW w:w="383" w:type="pct"/>
                  <w:tcBorders>
                    <w:tl2br w:val="nil"/>
                    <w:tr2bl w:val="nil"/>
                  </w:tcBorders>
                  <w:vAlign w:val="center"/>
                </w:tcPr>
                <w:p w14:paraId="2BEDBC84">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符合</w:t>
                  </w:r>
                </w:p>
              </w:tc>
            </w:tr>
            <w:tr w14:paraId="6E1198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563" w:type="pct"/>
                  <w:vMerge w:val="continue"/>
                  <w:tcBorders>
                    <w:tl2br w:val="nil"/>
                    <w:tr2bl w:val="nil"/>
                  </w:tcBorders>
                  <w:vAlign w:val="center"/>
                </w:tcPr>
                <w:p w14:paraId="171E02BC">
                  <w:pPr>
                    <w:pStyle w:val="70"/>
                    <w:spacing w:line="240" w:lineRule="auto"/>
                    <w:rPr>
                      <w:rFonts w:hint="default" w:ascii="Times New Roman" w:hAnsi="Times New Roman" w:eastAsia="宋体" w:cs="Times New Roman"/>
                      <w:color w:val="000000" w:themeColor="text1"/>
                      <w:sz w:val="21"/>
                      <w:szCs w:val="21"/>
                      <w:lang w:val="zh-CN"/>
                      <w14:textFill>
                        <w14:solidFill>
                          <w14:schemeClr w14:val="tx1"/>
                        </w14:solidFill>
                      </w14:textFill>
                    </w:rPr>
                  </w:pPr>
                </w:p>
              </w:tc>
              <w:tc>
                <w:tcPr>
                  <w:tcW w:w="2492" w:type="pct"/>
                  <w:tcBorders>
                    <w:tl2br w:val="nil"/>
                    <w:tr2bl w:val="nil"/>
                  </w:tcBorders>
                  <w:vAlign w:val="center"/>
                </w:tcPr>
                <w:p w14:paraId="24505D12">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zh-CN" w:eastAsia="zh-CN"/>
                      <w14:textFill>
                        <w14:solidFill>
                          <w14:schemeClr w14:val="tx1"/>
                        </w14:solidFill>
                      </w14:textFill>
                    </w:rPr>
                    <w:t>噪声污染防治：（1）控制噪声源，合理布局各功能区；（2）交通干道两侧建立绿化林带，其余各级道路两侧设置绿化带。</w:t>
                  </w:r>
                </w:p>
              </w:tc>
              <w:tc>
                <w:tcPr>
                  <w:tcW w:w="1561" w:type="pct"/>
                  <w:tcBorders>
                    <w:tl2br w:val="nil"/>
                    <w:tr2bl w:val="nil"/>
                  </w:tcBorders>
                  <w:vAlign w:val="center"/>
                </w:tcPr>
                <w:p w14:paraId="264148CC">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项目通过合理布局、选用低噪声设备、距离衰减等措施降低噪声污染。</w:t>
                  </w:r>
                </w:p>
              </w:tc>
              <w:tc>
                <w:tcPr>
                  <w:tcW w:w="383" w:type="pct"/>
                  <w:tcBorders>
                    <w:tl2br w:val="nil"/>
                    <w:tr2bl w:val="nil"/>
                  </w:tcBorders>
                  <w:vAlign w:val="center"/>
                </w:tcPr>
                <w:p w14:paraId="325CAE56">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符合</w:t>
                  </w:r>
                </w:p>
              </w:tc>
            </w:tr>
            <w:tr w14:paraId="28CFAF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563" w:type="pct"/>
                  <w:vMerge w:val="continue"/>
                  <w:tcBorders>
                    <w:tl2br w:val="nil"/>
                    <w:tr2bl w:val="nil"/>
                  </w:tcBorders>
                  <w:vAlign w:val="center"/>
                </w:tcPr>
                <w:p w14:paraId="09984C3C">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2492" w:type="pct"/>
                  <w:tcBorders>
                    <w:tl2br w:val="nil"/>
                    <w:tr2bl w:val="nil"/>
                  </w:tcBorders>
                  <w:vAlign w:val="center"/>
                </w:tcPr>
                <w:p w14:paraId="0C2988FE">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zh-CN" w:eastAsia="zh-CN"/>
                      <w14:textFill>
                        <w14:solidFill>
                          <w14:schemeClr w14:val="tx1"/>
                        </w14:solidFill>
                      </w14:textFill>
                    </w:rPr>
                    <w:t>固体废物防治：经开区的生活垃圾无害化处理率达到100%，由设置垃圾转运站统一运至巴中市垃圾处理厂处理；危险废物无害化处置率达到100%，规划区各企业自建危险废物暂存间，分类收集暂存各类危险废物，并委托资质单位进行处理。工业固体废弃物综合利用率达到85%以上，统一由企业自身处理后，统一运至巴中市垃圾处理厂处理。</w:t>
                  </w:r>
                </w:p>
              </w:tc>
              <w:tc>
                <w:tcPr>
                  <w:tcW w:w="1561" w:type="pct"/>
                  <w:tcBorders>
                    <w:tl2br w:val="nil"/>
                    <w:tr2bl w:val="nil"/>
                  </w:tcBorders>
                  <w:vAlign w:val="center"/>
                </w:tcPr>
                <w:p w14:paraId="380CF01E">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项目生活垃圾经垃圾桶收集后交由环卫部门统一清运处理；危险废物经收集后交由有资质单位处理；一般固废经收集后统一处理。</w:t>
                  </w:r>
                </w:p>
              </w:tc>
              <w:tc>
                <w:tcPr>
                  <w:tcW w:w="383" w:type="pct"/>
                  <w:tcBorders>
                    <w:tl2br w:val="nil"/>
                    <w:tr2bl w:val="nil"/>
                  </w:tcBorders>
                  <w:vAlign w:val="center"/>
                </w:tcPr>
                <w:p w14:paraId="1C2899D6">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符合</w:t>
                  </w:r>
                </w:p>
              </w:tc>
            </w:tr>
          </w:tbl>
          <w:p w14:paraId="632344C8">
            <w:pPr>
              <w:pStyle w:val="66"/>
              <w:spacing w:line="360" w:lineRule="auto"/>
              <w:rPr>
                <w:color w:val="000000" w:themeColor="text1"/>
                <w14:textFill>
                  <w14:solidFill>
                    <w14:schemeClr w14:val="tx1"/>
                  </w14:solidFill>
                </w14:textFill>
              </w:rPr>
            </w:pPr>
            <w:r>
              <w:rPr>
                <w:rFonts w:hint="default" w:ascii="Times New Roman" w:hAnsi="Times New Roman" w:eastAsia="宋体" w:cs="Times New Roman"/>
                <w:color w:val="000000" w:themeColor="text1"/>
                <w:spacing w:val="-6"/>
                <w:sz w:val="24"/>
                <w:highlight w:val="none"/>
                <w:lang w:val="en-US" w:eastAsia="zh-CN"/>
                <w14:textFill>
                  <w14:solidFill>
                    <w14:schemeClr w14:val="tx1"/>
                  </w14:solidFill>
                </w14:textFill>
              </w:rPr>
              <w:t>综上，本项目符合《四川巴中经济开发区规划修编环境影响报告书》及审查意见要求</w:t>
            </w:r>
            <w:r>
              <w:rPr>
                <w:rFonts w:hint="eastAsia"/>
                <w:color w:val="000000" w:themeColor="text1"/>
                <w14:textFill>
                  <w14:solidFill>
                    <w14:schemeClr w14:val="tx1"/>
                  </w14:solidFill>
                </w14:textFill>
              </w:rPr>
              <w:t>。</w:t>
            </w:r>
          </w:p>
        </w:tc>
      </w:tr>
      <w:tr w14:paraId="59A759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714" w:type="dxa"/>
            <w:vAlign w:val="center"/>
          </w:tcPr>
          <w:p w14:paraId="09869CDB">
            <w:pPr>
              <w:autoSpaceDE w:val="0"/>
              <w:autoSpaceDN w:val="0"/>
              <w:adjustRightInd w:val="0"/>
              <w:snapToGrid w:val="0"/>
              <w:jc w:val="center"/>
              <w:rPr>
                <w:rFonts w:hint="eastAsia" w:cs="宋体"/>
                <w:b/>
                <w:bCs/>
                <w:color w:val="000000" w:themeColor="text1"/>
                <w:kern w:val="0"/>
                <w:sz w:val="24"/>
                <w:szCs w:val="24"/>
                <w14:textFill>
                  <w14:solidFill>
                    <w14:schemeClr w14:val="tx1"/>
                  </w14:solidFill>
                </w14:textFill>
              </w:rPr>
            </w:pPr>
            <w:r>
              <w:rPr>
                <w:rFonts w:hint="eastAsia" w:cs="宋体"/>
                <w:b/>
                <w:bCs/>
                <w:color w:val="000000" w:themeColor="text1"/>
                <w:kern w:val="0"/>
                <w:sz w:val="24"/>
                <w:szCs w:val="24"/>
                <w14:textFill>
                  <w14:solidFill>
                    <w14:schemeClr w14:val="tx1"/>
                  </w14:solidFill>
                </w14:textFill>
              </w:rPr>
              <w:t>其他符合性分析</w:t>
            </w:r>
          </w:p>
        </w:tc>
        <w:tc>
          <w:tcPr>
            <w:tcW w:w="7156" w:type="dxa"/>
            <w:gridSpan w:val="3"/>
            <w:vAlign w:val="center"/>
          </w:tcPr>
          <w:p w14:paraId="7BEC6041">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textAlignment w:val="auto"/>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highlight w:val="none"/>
                <w:lang w:val="en-US" w:eastAsia="zh-CN"/>
                <w14:textFill>
                  <w14:solidFill>
                    <w14:schemeClr w14:val="tx1"/>
                  </w14:solidFill>
                </w14:textFill>
              </w:rPr>
              <w:t>1</w:t>
            </w: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w:t>
            </w:r>
            <w:r>
              <w:rPr>
                <w:rFonts w:hint="eastAsia" w:ascii="Times New Roman" w:hAnsi="Times New Roman" w:eastAsia="宋体" w:cs="Times New Roman"/>
                <w:b/>
                <w:bCs/>
                <w:color w:val="000000" w:themeColor="text1"/>
                <w:highlight w:val="none"/>
                <w:lang w:val="en-US" w:eastAsia="zh-CN"/>
                <w14:textFill>
                  <w14:solidFill>
                    <w14:schemeClr w14:val="tx1"/>
                  </w14:solidFill>
                </w14:textFill>
              </w:rPr>
              <w:t>产业政策的符合性分析</w:t>
            </w:r>
          </w:p>
          <w:p w14:paraId="3B471377">
            <w:pPr>
              <w:spacing w:line="360" w:lineRule="auto"/>
              <w:ind w:firstLine="480" w:firstLineChars="200"/>
              <w:rPr>
                <w:rFonts w:hint="eastAsia" w:ascii="Times New Roman" w:hAnsi="Times New Roman"/>
                <w:color w:val="000000" w:themeColor="text1"/>
                <w:sz w:val="24"/>
                <w:highlight w:val="none"/>
                <w14:textFill>
                  <w14:solidFill>
                    <w14:schemeClr w14:val="tx1"/>
                  </w14:solidFill>
                </w14:textFill>
              </w:rPr>
            </w:pPr>
            <w:r>
              <w:rPr>
                <w:rFonts w:hint="eastAsia" w:ascii="Times New Roman" w:hAnsi="Times New Roman" w:eastAsia="宋体" w:cs="Times New Roman"/>
                <w:color w:val="000000" w:themeColor="text1"/>
                <w:kern w:val="0"/>
                <w:sz w:val="24"/>
                <w:highlight w:val="none"/>
                <w14:textFill>
                  <w14:solidFill>
                    <w14:schemeClr w14:val="tx1"/>
                  </w14:solidFill>
                </w14:textFill>
              </w:rPr>
              <w:t>根据《国民经济行业分类》（GB/T4754-2017），本项目属于C</w:t>
            </w:r>
            <w:r>
              <w:rPr>
                <w:rFonts w:hint="eastAsia" w:ascii="Times New Roman" w:hAnsi="Times New Roman" w:eastAsia="宋体" w:cs="Times New Roman"/>
                <w:color w:val="000000" w:themeColor="text1"/>
                <w:kern w:val="0"/>
                <w:sz w:val="24"/>
                <w:highlight w:val="none"/>
                <w:lang w:val="en-US" w:eastAsia="zh-CN"/>
                <w14:textFill>
                  <w14:solidFill>
                    <w14:schemeClr w14:val="tx1"/>
                  </w14:solidFill>
                </w14:textFill>
              </w:rPr>
              <w:t>3841 锂离子电池制造</w:t>
            </w:r>
            <w:r>
              <w:rPr>
                <w:rFonts w:hint="eastAsia" w:ascii="Times New Roman" w:hAnsi="Times New Roman"/>
                <w:color w:val="000000" w:themeColor="text1"/>
                <w:sz w:val="24"/>
                <w:highlight w:val="none"/>
                <w14:textFill>
                  <w14:solidFill>
                    <w14:schemeClr w14:val="tx1"/>
                  </w14:solidFill>
                </w14:textFill>
              </w:rPr>
              <w:t>，属于《产业结构调整指导目录（</w:t>
            </w:r>
            <w:r>
              <w:rPr>
                <w:rFonts w:hint="eastAsia" w:ascii="Times New Roman" w:hAnsi="Times New Roman"/>
                <w:color w:val="000000" w:themeColor="text1"/>
                <w:sz w:val="24"/>
                <w:highlight w:val="none"/>
                <w:lang w:val="en-US" w:eastAsia="zh-CN"/>
                <w14:textFill>
                  <w14:solidFill>
                    <w14:schemeClr w14:val="tx1"/>
                  </w14:solidFill>
                </w14:textFill>
              </w:rPr>
              <w:t>2024</w:t>
            </w:r>
            <w:r>
              <w:rPr>
                <w:rFonts w:hint="eastAsia" w:ascii="Times New Roman" w:hAnsi="Times New Roman"/>
                <w:color w:val="000000" w:themeColor="text1"/>
                <w:sz w:val="24"/>
                <w:highlight w:val="none"/>
                <w14:textFill>
                  <w14:solidFill>
                    <w14:schemeClr w14:val="tx1"/>
                  </w14:solidFill>
                </w14:textFill>
              </w:rPr>
              <w:t>年本）》</w:t>
            </w:r>
            <w:r>
              <w:rPr>
                <w:rFonts w:hint="eastAsia" w:ascii="Times New Roman" w:hAnsi="Times New Roman"/>
                <w:color w:val="000000" w:themeColor="text1"/>
                <w:sz w:val="24"/>
                <w:highlight w:val="none"/>
                <w:lang w:val="en-US" w:eastAsia="zh-CN"/>
                <w14:textFill>
                  <w14:solidFill>
                    <w14:schemeClr w14:val="tx1"/>
                  </w14:solidFill>
                </w14:textFill>
              </w:rPr>
              <w:t>中的</w:t>
            </w:r>
            <w:r>
              <w:rPr>
                <w:rFonts w:hint="eastAsia" w:ascii="Times New Roman" w:hAnsi="Times New Roman"/>
                <w:color w:val="000000" w:themeColor="text1"/>
                <w:sz w:val="24"/>
                <w:highlight w:val="none"/>
                <w14:textFill>
                  <w14:solidFill>
                    <w14:schemeClr w14:val="tx1"/>
                  </w14:solidFill>
                </w14:textFill>
              </w:rPr>
              <w:t>鼓励类</w:t>
            </w:r>
            <w:r>
              <w:rPr>
                <w:rFonts w:hint="eastAsia" w:ascii="Times New Roman" w:hAnsi="Times New Roman"/>
                <w:color w:val="000000" w:themeColor="text1"/>
                <w:sz w:val="24"/>
                <w:highlight w:val="none"/>
                <w:lang w:val="en-US" w:eastAsia="zh-CN"/>
                <w14:textFill>
                  <w14:solidFill>
                    <w14:schemeClr w14:val="tx1"/>
                  </w14:solidFill>
                </w14:textFill>
              </w:rPr>
              <w:t>项目</w:t>
            </w:r>
            <w:r>
              <w:rPr>
                <w:rFonts w:hint="eastAsia" w:ascii="Times New Roman" w:hAnsi="Times New Roman"/>
                <w:color w:val="000000" w:themeColor="text1"/>
                <w:sz w:val="24"/>
                <w:highlight w:val="none"/>
                <w14:textFill>
                  <w14:solidFill>
                    <w14:schemeClr w14:val="tx1"/>
                  </w14:solidFill>
                </w14:textFill>
              </w:rPr>
              <w:t>。</w:t>
            </w:r>
          </w:p>
          <w:p w14:paraId="56874AA2">
            <w:pPr>
              <w:spacing w:line="360" w:lineRule="auto"/>
              <w:ind w:firstLine="480" w:firstLineChars="200"/>
              <w:rPr>
                <w:rFonts w:hint="eastAsia" w:ascii="Times New Roman" w:hAnsi="Times New Roman"/>
                <w:color w:val="000000" w:themeColor="text1"/>
                <w:sz w:val="24"/>
                <w:highlight w:val="none"/>
                <w14:textFill>
                  <w14:solidFill>
                    <w14:schemeClr w14:val="tx1"/>
                  </w14:solidFill>
                </w14:textFill>
              </w:rPr>
            </w:pPr>
            <w:r>
              <w:rPr>
                <w:rFonts w:hint="eastAsia" w:ascii="Times New Roman" w:hAnsi="Times New Roman"/>
                <w:color w:val="000000" w:themeColor="text1"/>
                <w:sz w:val="24"/>
                <w:highlight w:val="none"/>
                <w14:textFill>
                  <w14:solidFill>
                    <w14:schemeClr w14:val="tx1"/>
                  </w14:solidFill>
                </w14:textFill>
              </w:rPr>
              <w:t>同时，本项目生产过程中所用的设备均不在国家禁止使用的落后、淘汰生产设备之列。</w:t>
            </w:r>
          </w:p>
          <w:p w14:paraId="64A260DD">
            <w:pPr>
              <w:spacing w:line="360" w:lineRule="auto"/>
              <w:ind w:firstLine="480" w:firstLineChars="200"/>
              <w:rPr>
                <w:rFonts w:hint="eastAsia" w:ascii="Times New Roman" w:hAnsi="Times New Roman"/>
                <w:color w:val="000000" w:themeColor="text1"/>
                <w:sz w:val="24"/>
                <w:highlight w:val="none"/>
                <w14:textFill>
                  <w14:solidFill>
                    <w14:schemeClr w14:val="tx1"/>
                  </w14:solidFill>
                </w14:textFill>
              </w:rPr>
            </w:pPr>
            <w:r>
              <w:rPr>
                <w:rFonts w:hint="eastAsia" w:ascii="Times New Roman" w:hAnsi="Times New Roman"/>
                <w:color w:val="000000" w:themeColor="text1"/>
                <w:sz w:val="24"/>
                <w:highlight w:val="none"/>
                <w14:textFill>
                  <w14:solidFill>
                    <w14:schemeClr w14:val="tx1"/>
                  </w14:solidFill>
                </w14:textFill>
              </w:rPr>
              <w:t>本项目已取得</w:t>
            </w:r>
            <w:r>
              <w:rPr>
                <w:rFonts w:hint="eastAsia" w:ascii="Times New Roman" w:hAnsi="Times New Roman"/>
                <w:color w:val="000000" w:themeColor="text1"/>
                <w:sz w:val="24"/>
                <w:highlight w:val="none"/>
                <w:lang w:val="en-US" w:eastAsia="zh-CN"/>
                <w14:textFill>
                  <w14:solidFill>
                    <w14:schemeClr w14:val="tx1"/>
                  </w14:solidFill>
                </w14:textFill>
              </w:rPr>
              <w:t>四川巴中经济开发区经济发展局</w:t>
            </w:r>
            <w:r>
              <w:rPr>
                <w:rFonts w:hint="eastAsia" w:ascii="Times New Roman" w:hAnsi="Times New Roman"/>
                <w:color w:val="000000" w:themeColor="text1"/>
                <w:sz w:val="24"/>
                <w:highlight w:val="none"/>
                <w14:textFill>
                  <w14:solidFill>
                    <w14:schemeClr w14:val="tx1"/>
                  </w14:solidFill>
                </w14:textFill>
              </w:rPr>
              <w:t>出具的备案文件（备案文号：川投资备【</w:t>
            </w:r>
            <w:r>
              <w:rPr>
                <w:rFonts w:hint="eastAsia" w:ascii="Times New Roman" w:hAnsi="Times New Roman"/>
                <w:color w:val="000000" w:themeColor="text1"/>
                <w:sz w:val="24"/>
                <w:highlight w:val="none"/>
                <w:lang w:val="en-US" w:eastAsia="zh-CN"/>
                <w14:textFill>
                  <w14:solidFill>
                    <w14:schemeClr w14:val="tx1"/>
                  </w14:solidFill>
                </w14:textFill>
              </w:rPr>
              <w:t>2601-511924</w:t>
            </w:r>
            <w:r>
              <w:rPr>
                <w:rFonts w:hint="eastAsia" w:ascii="Times New Roman" w:hAnsi="Times New Roman"/>
                <w:color w:val="000000" w:themeColor="text1"/>
                <w:sz w:val="24"/>
                <w:highlight w:val="none"/>
                <w14:textFill>
                  <w14:solidFill>
                    <w14:schemeClr w14:val="tx1"/>
                  </w14:solidFill>
                </w14:textFill>
              </w:rPr>
              <w:t>-</w:t>
            </w:r>
            <w:r>
              <w:rPr>
                <w:rFonts w:hint="eastAsia" w:ascii="Times New Roman" w:hAnsi="Times New Roman"/>
                <w:color w:val="000000" w:themeColor="text1"/>
                <w:sz w:val="24"/>
                <w:highlight w:val="none"/>
                <w:lang w:val="en-US" w:eastAsia="zh-CN"/>
                <w14:textFill>
                  <w14:solidFill>
                    <w14:schemeClr w14:val="tx1"/>
                  </w14:solidFill>
                </w14:textFill>
              </w:rPr>
              <w:t>04</w:t>
            </w:r>
            <w:r>
              <w:rPr>
                <w:rFonts w:hint="eastAsia" w:ascii="Times New Roman" w:hAnsi="Times New Roman"/>
                <w:color w:val="000000" w:themeColor="text1"/>
                <w:sz w:val="24"/>
                <w:highlight w:val="none"/>
                <w14:textFill>
                  <w14:solidFill>
                    <w14:schemeClr w14:val="tx1"/>
                  </w14:solidFill>
                </w14:textFill>
              </w:rPr>
              <w:t>-0</w:t>
            </w:r>
            <w:r>
              <w:rPr>
                <w:rFonts w:hint="eastAsia" w:ascii="Times New Roman" w:hAnsi="Times New Roman"/>
                <w:color w:val="000000" w:themeColor="text1"/>
                <w:sz w:val="24"/>
                <w:highlight w:val="none"/>
                <w:lang w:val="en-US" w:eastAsia="zh-CN"/>
                <w14:textFill>
                  <w14:solidFill>
                    <w14:schemeClr w14:val="tx1"/>
                  </w14:solidFill>
                </w14:textFill>
              </w:rPr>
              <w:t>1</w:t>
            </w:r>
            <w:r>
              <w:rPr>
                <w:rFonts w:hint="eastAsia" w:ascii="Times New Roman" w:hAnsi="Times New Roman"/>
                <w:color w:val="000000" w:themeColor="text1"/>
                <w:sz w:val="24"/>
                <w:highlight w:val="none"/>
                <w14:textFill>
                  <w14:solidFill>
                    <w14:schemeClr w14:val="tx1"/>
                  </w14:solidFill>
                </w14:textFill>
              </w:rPr>
              <w:t>-</w:t>
            </w:r>
            <w:r>
              <w:rPr>
                <w:rFonts w:hint="eastAsia" w:ascii="Times New Roman" w:hAnsi="Times New Roman"/>
                <w:color w:val="000000" w:themeColor="text1"/>
                <w:sz w:val="24"/>
                <w:highlight w:val="none"/>
                <w:lang w:val="en-US" w:eastAsia="zh-CN"/>
                <w14:textFill>
                  <w14:solidFill>
                    <w14:schemeClr w14:val="tx1"/>
                  </w14:solidFill>
                </w14:textFill>
              </w:rPr>
              <w:t>983495</w:t>
            </w:r>
            <w:r>
              <w:rPr>
                <w:rFonts w:hint="eastAsia" w:ascii="Times New Roman" w:hAnsi="Times New Roman"/>
                <w:color w:val="000000" w:themeColor="text1"/>
                <w:sz w:val="24"/>
                <w:highlight w:val="none"/>
                <w14:textFill>
                  <w14:solidFill>
                    <w14:schemeClr w14:val="tx1"/>
                  </w14:solidFill>
                </w14:textFill>
              </w:rPr>
              <w:t>】</w:t>
            </w:r>
            <w:r>
              <w:rPr>
                <w:rFonts w:hint="eastAsia" w:ascii="Times New Roman" w:hAnsi="Times New Roman"/>
                <w:color w:val="000000" w:themeColor="text1"/>
                <w:sz w:val="24"/>
                <w:highlight w:val="none"/>
                <w:lang w:val="en-US" w:eastAsia="zh-CN"/>
                <w14:textFill>
                  <w14:solidFill>
                    <w14:schemeClr w14:val="tx1"/>
                  </w14:solidFill>
                </w14:textFill>
              </w:rPr>
              <w:t>FGQB</w:t>
            </w:r>
            <w:r>
              <w:rPr>
                <w:rFonts w:hint="eastAsia" w:ascii="Times New Roman" w:hAnsi="Times New Roman"/>
                <w:color w:val="000000" w:themeColor="text1"/>
                <w:sz w:val="24"/>
                <w:highlight w:val="none"/>
                <w14:textFill>
                  <w14:solidFill>
                    <w14:schemeClr w14:val="tx1"/>
                  </w14:solidFill>
                </w14:textFill>
              </w:rPr>
              <w:t>-</w:t>
            </w:r>
            <w:r>
              <w:rPr>
                <w:rFonts w:hint="eastAsia" w:ascii="Times New Roman" w:hAnsi="Times New Roman"/>
                <w:color w:val="000000" w:themeColor="text1"/>
                <w:sz w:val="24"/>
                <w:highlight w:val="none"/>
                <w:lang w:val="en-US" w:eastAsia="zh-CN"/>
                <w14:textFill>
                  <w14:solidFill>
                    <w14:schemeClr w14:val="tx1"/>
                  </w14:solidFill>
                </w14:textFill>
              </w:rPr>
              <w:t>0019</w:t>
            </w:r>
            <w:r>
              <w:rPr>
                <w:rFonts w:hint="eastAsia" w:ascii="Times New Roman" w:hAnsi="Times New Roman"/>
                <w:color w:val="000000" w:themeColor="text1"/>
                <w:sz w:val="24"/>
                <w:highlight w:val="none"/>
                <w14:textFill>
                  <w14:solidFill>
                    <w14:schemeClr w14:val="tx1"/>
                  </w14:solidFill>
                </w14:textFill>
              </w:rPr>
              <w:t>号），同意本项目建设。</w:t>
            </w:r>
          </w:p>
          <w:p w14:paraId="6CF298D7">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color w:val="000000" w:themeColor="text1"/>
                <w:sz w:val="24"/>
                <w:highlight w:val="none"/>
                <w14:textFill>
                  <w14:solidFill>
                    <w14:schemeClr w14:val="tx1"/>
                  </w14:solidFill>
                </w14:textFill>
              </w:rPr>
              <w:t>因此，本项目的建设符合国家现行产业政策</w:t>
            </w: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p w14:paraId="049B8526">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textAlignment w:val="auto"/>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highlight w:val="none"/>
                <w:lang w:val="en-US" w:eastAsia="zh-CN"/>
                <w14:textFill>
                  <w14:solidFill>
                    <w14:schemeClr w14:val="tx1"/>
                  </w14:solidFill>
                </w14:textFill>
              </w:rPr>
              <w:t>2</w:t>
            </w: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w:t>
            </w:r>
            <w:r>
              <w:rPr>
                <w:rFonts w:hint="eastAsia" w:ascii="Times New Roman" w:hAnsi="Times New Roman" w:eastAsia="宋体" w:cs="Times New Roman"/>
                <w:b/>
                <w:bCs/>
                <w:color w:val="000000" w:themeColor="text1"/>
                <w:highlight w:val="none"/>
                <w:lang w:val="en-US" w:eastAsia="zh-CN"/>
                <w14:textFill>
                  <w14:solidFill>
                    <w14:schemeClr w14:val="tx1"/>
                  </w14:solidFill>
                </w14:textFill>
              </w:rPr>
              <w:t>与生态环境分区管控要求的符合性分析</w:t>
            </w:r>
          </w:p>
          <w:p w14:paraId="4F540D94">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本项目所在四川巴中经济开发区</w:t>
            </w:r>
            <w:r>
              <w:rPr>
                <w:rFonts w:hint="default" w:ascii="Times New Roman" w:hAnsi="Times New Roman" w:cs="Times New Roman"/>
                <w:color w:val="000000" w:themeColor="text1"/>
                <w:sz w:val="24"/>
                <w14:textFill>
                  <w14:solidFill>
                    <w14:schemeClr w14:val="tx1"/>
                  </w14:solidFill>
                </w14:textFill>
              </w:rPr>
              <w:t>环评</w:t>
            </w:r>
            <w:r>
              <w:rPr>
                <w:rFonts w:hint="default" w:ascii="Times New Roman" w:hAnsi="Times New Roman" w:cs="Times New Roman"/>
                <w:color w:val="000000" w:themeColor="text1"/>
                <w:sz w:val="24"/>
                <w:lang w:val="en-US" w:eastAsia="zh-CN"/>
                <w14:textFill>
                  <w14:solidFill>
                    <w14:schemeClr w14:val="tx1"/>
                  </w14:solidFill>
                </w14:textFill>
              </w:rPr>
              <w:t>文件中</w:t>
            </w:r>
            <w:r>
              <w:rPr>
                <w:rFonts w:hint="default" w:ascii="Times New Roman" w:hAnsi="Times New Roman" w:cs="Times New Roman"/>
                <w:color w:val="000000" w:themeColor="text1"/>
                <w:sz w:val="24"/>
                <w14:textFill>
                  <w14:solidFill>
                    <w14:schemeClr w14:val="tx1"/>
                  </w14:solidFill>
                </w14:textFill>
              </w:rPr>
              <w:t>已</w:t>
            </w:r>
            <w:r>
              <w:rPr>
                <w:rFonts w:hint="default" w:ascii="Times New Roman" w:hAnsi="Times New Roman" w:cs="Times New Roman"/>
                <w:color w:val="000000" w:themeColor="text1"/>
                <w:sz w:val="24"/>
                <w:lang w:val="en-US" w:eastAsia="zh-CN"/>
                <w14:textFill>
                  <w14:solidFill>
                    <w14:schemeClr w14:val="tx1"/>
                  </w14:solidFill>
                </w14:textFill>
              </w:rPr>
              <w:t>开展</w:t>
            </w:r>
            <w:r>
              <w:rPr>
                <w:rFonts w:hint="eastAsia" w:cs="Times New Roman"/>
                <w:color w:val="000000" w:themeColor="text1"/>
                <w:sz w:val="24"/>
                <w:lang w:eastAsia="zh-CN"/>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三线一单</w:t>
            </w:r>
            <w:r>
              <w:rPr>
                <w:rFonts w:hint="eastAsia" w:cs="Times New Roman"/>
                <w:color w:val="000000" w:themeColor="text1"/>
                <w:sz w:val="24"/>
                <w:lang w:eastAsia="zh-CN"/>
                <w14:textFill>
                  <w14:solidFill>
                    <w14:schemeClr w14:val="tx1"/>
                  </w14:solidFill>
                </w14:textFill>
              </w:rPr>
              <w:t>”</w:t>
            </w:r>
            <w:r>
              <w:rPr>
                <w:rFonts w:hint="default" w:ascii="Times New Roman" w:hAnsi="Times New Roman" w:cs="Times New Roman"/>
                <w:color w:val="000000" w:themeColor="text1"/>
                <w:sz w:val="24"/>
                <w:lang w:val="en-US" w:eastAsia="zh-CN"/>
                <w14:textFill>
                  <w14:solidFill>
                    <w14:schemeClr w14:val="tx1"/>
                  </w14:solidFill>
                </w14:textFill>
              </w:rPr>
              <w:t>符合性分析</w:t>
            </w:r>
            <w:r>
              <w:rPr>
                <w:rFonts w:hint="default" w:ascii="Times New Roman" w:hAnsi="Times New Roman" w:cs="Times New Roman"/>
                <w:color w:val="000000" w:themeColor="text1"/>
                <w:sz w:val="24"/>
                <w:lang w:eastAsia="zh-CN"/>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根据四川省生态环境厅办公室《关于印发</w:t>
            </w:r>
            <w:r>
              <w:rPr>
                <w:rFonts w:hint="eastAsia" w:cs="Times New Roman"/>
                <w:color w:val="000000" w:themeColor="text1"/>
                <w:sz w:val="24"/>
                <w:lang w:eastAsia="zh-CN"/>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产业园区规划环评</w:t>
            </w:r>
            <w:r>
              <w:rPr>
                <w:rFonts w:hint="eastAsia" w:cs="Times New Roman"/>
                <w:color w:val="000000" w:themeColor="text1"/>
                <w:sz w:val="24"/>
                <w:lang w:eastAsia="zh-CN"/>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三线一单</w:t>
            </w:r>
            <w:r>
              <w:rPr>
                <w:rFonts w:hint="eastAsia" w:cs="Times New Roman"/>
                <w:color w:val="000000" w:themeColor="text1"/>
                <w:sz w:val="24"/>
                <w:lang w:eastAsia="zh-CN"/>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符合性分析技术要点（试行）</w:t>
            </w:r>
            <w:r>
              <w:rPr>
                <w:rFonts w:hint="eastAsia" w:cs="Times New Roman"/>
                <w:color w:val="000000" w:themeColor="text1"/>
                <w:sz w:val="24"/>
                <w:lang w:eastAsia="zh-CN"/>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和</w:t>
            </w:r>
            <w:r>
              <w:rPr>
                <w:rFonts w:hint="eastAsia" w:cs="Times New Roman"/>
                <w:color w:val="000000" w:themeColor="text1"/>
                <w:sz w:val="24"/>
                <w:lang w:eastAsia="zh-CN"/>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项目环评</w:t>
            </w:r>
            <w:r>
              <w:rPr>
                <w:rFonts w:hint="eastAsia" w:cs="Times New Roman"/>
                <w:color w:val="000000" w:themeColor="text1"/>
                <w:sz w:val="24"/>
                <w:lang w:eastAsia="zh-CN"/>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三线一单</w:t>
            </w:r>
            <w:r>
              <w:rPr>
                <w:rFonts w:hint="eastAsia" w:cs="Times New Roman"/>
                <w:color w:val="000000" w:themeColor="text1"/>
                <w:sz w:val="24"/>
                <w:lang w:eastAsia="zh-CN"/>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符合性分析技术要点（试行）</w:t>
            </w:r>
            <w:r>
              <w:rPr>
                <w:rFonts w:hint="eastAsia" w:cs="Times New Roman"/>
                <w:color w:val="000000" w:themeColor="text1"/>
                <w:sz w:val="24"/>
                <w:lang w:eastAsia="zh-CN"/>
                <w14:textFill>
                  <w14:solidFill>
                    <w14:schemeClr w14:val="tx1"/>
                  </w14:solidFill>
                </w14:textFill>
              </w:rPr>
              <w:t>〉的通知》</w:t>
            </w:r>
            <w:r>
              <w:rPr>
                <w:rFonts w:hint="default" w:ascii="Times New Roman" w:hAnsi="Times New Roman" w:cs="Times New Roman"/>
                <w:color w:val="000000" w:themeColor="text1"/>
                <w:sz w:val="24"/>
                <w14:textFill>
                  <w14:solidFill>
                    <w14:schemeClr w14:val="tx1"/>
                  </w14:solidFill>
                </w14:textFill>
              </w:rPr>
              <w:t>（川环办函〔2021〕469号）文件的要求，本项目仅</w:t>
            </w:r>
            <w:r>
              <w:rPr>
                <w:rFonts w:hint="default" w:ascii="Times New Roman" w:hAnsi="Times New Roman" w:cs="Times New Roman"/>
                <w:color w:val="000000" w:themeColor="text1"/>
                <w:sz w:val="24"/>
                <w:lang w:val="en-US" w:eastAsia="zh-CN"/>
                <w14:textFill>
                  <w14:solidFill>
                    <w14:schemeClr w14:val="tx1"/>
                  </w14:solidFill>
                </w14:textFill>
              </w:rPr>
              <w:t>需</w:t>
            </w:r>
            <w:r>
              <w:rPr>
                <w:rFonts w:hint="default" w:ascii="Times New Roman" w:hAnsi="Times New Roman" w:cs="Times New Roman"/>
                <w:color w:val="000000" w:themeColor="text1"/>
                <w:sz w:val="24"/>
                <w14:textFill>
                  <w14:solidFill>
                    <w14:schemeClr w14:val="tx1"/>
                  </w14:solidFill>
                </w14:textFill>
              </w:rPr>
              <w:t>分析与</w:t>
            </w:r>
            <w:r>
              <w:rPr>
                <w:rFonts w:hint="eastAsia" w:cs="Times New Roman"/>
                <w:color w:val="000000" w:themeColor="text1"/>
                <w:sz w:val="24"/>
                <w:lang w:eastAsia="zh-CN"/>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生态环境分区管控</w:t>
            </w:r>
            <w:r>
              <w:rPr>
                <w:rFonts w:hint="eastAsia" w:cs="Times New Roman"/>
                <w:color w:val="000000" w:themeColor="text1"/>
                <w:sz w:val="24"/>
                <w:lang w:eastAsia="zh-CN"/>
                <w14:textFill>
                  <w14:solidFill>
                    <w14:schemeClr w14:val="tx1"/>
                  </w14:solidFill>
                </w14:textFill>
              </w:rPr>
              <w:t>”</w:t>
            </w:r>
            <w:r>
              <w:rPr>
                <w:rFonts w:hint="default" w:ascii="Times New Roman" w:hAnsi="Times New Roman" w:cs="Times New Roman"/>
                <w:color w:val="000000" w:themeColor="text1"/>
                <w:sz w:val="24"/>
                <w:lang w:val="en-US" w:eastAsia="zh-CN"/>
                <w14:textFill>
                  <w14:solidFill>
                    <w14:schemeClr w14:val="tx1"/>
                  </w14:solidFill>
                </w14:textFill>
              </w:rPr>
              <w:t>中</w:t>
            </w:r>
            <w:r>
              <w:rPr>
                <w:rFonts w:hint="default" w:ascii="Times New Roman" w:hAnsi="Times New Roman" w:cs="Times New Roman"/>
                <w:color w:val="000000" w:themeColor="text1"/>
                <w:sz w:val="24"/>
                <w14:textFill>
                  <w14:solidFill>
                    <w14:schemeClr w14:val="tx1"/>
                  </w14:solidFill>
                </w14:textFill>
              </w:rPr>
              <w:t>生态环境准入清单</w:t>
            </w:r>
            <w:r>
              <w:rPr>
                <w:rFonts w:hint="default" w:ascii="Times New Roman" w:hAnsi="Times New Roman" w:cs="Times New Roman"/>
                <w:color w:val="000000" w:themeColor="text1"/>
                <w:sz w:val="24"/>
                <w:lang w:val="en-US" w:eastAsia="zh-CN"/>
                <w14:textFill>
                  <w14:solidFill>
                    <w14:schemeClr w14:val="tx1"/>
                  </w14:solidFill>
                </w14:textFill>
              </w:rPr>
              <w:t>的</w:t>
            </w:r>
            <w:r>
              <w:rPr>
                <w:rFonts w:hint="default" w:ascii="Times New Roman" w:hAnsi="Times New Roman" w:cs="Times New Roman"/>
                <w:color w:val="000000" w:themeColor="text1"/>
                <w:sz w:val="24"/>
                <w14:textFill>
                  <w14:solidFill>
                    <w14:schemeClr w14:val="tx1"/>
                  </w14:solidFill>
                </w14:textFill>
              </w:rPr>
              <w:t>符合性。本项目与区域</w:t>
            </w:r>
            <w:r>
              <w:rPr>
                <w:rFonts w:hint="eastAsia" w:cs="Times New Roman"/>
                <w:color w:val="000000" w:themeColor="text1"/>
                <w:sz w:val="24"/>
                <w:lang w:eastAsia="zh-CN"/>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生态环境分区管控</w:t>
            </w:r>
            <w:r>
              <w:rPr>
                <w:rFonts w:hint="eastAsia" w:cs="Times New Roman"/>
                <w:color w:val="000000" w:themeColor="text1"/>
                <w:sz w:val="24"/>
                <w:lang w:eastAsia="zh-CN"/>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符合性分析如下</w:t>
            </w:r>
            <w:r>
              <w:rPr>
                <w:rFonts w:hint="eastAsia" w:ascii="Times New Roman" w:hAnsi="Times New Roman" w:cs="Times New Roman"/>
                <w:color w:val="000000" w:themeColor="text1"/>
                <w:sz w:val="24"/>
                <w:lang w:eastAsia="zh-CN"/>
                <w14:textFill>
                  <w14:solidFill>
                    <w14:schemeClr w14:val="tx1"/>
                  </w14:solidFill>
                </w14:textFill>
              </w:rPr>
              <w:t>：</w:t>
            </w:r>
          </w:p>
          <w:p w14:paraId="5DAEC989">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cs="Times New Roman"/>
                <w:b w:val="0"/>
                <w:bCs w:val="0"/>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（1）</w:t>
            </w:r>
            <w:r>
              <w:rPr>
                <w:rFonts w:hint="default" w:ascii="Times New Roman" w:hAnsi="Times New Roman" w:cs="Times New Roman"/>
                <w:b w:val="0"/>
                <w:bCs w:val="0"/>
                <w:color w:val="000000" w:themeColor="text1"/>
                <w:sz w:val="24"/>
                <w:lang w:val="en-US" w:eastAsia="zh-CN"/>
                <w14:textFill>
                  <w14:solidFill>
                    <w14:schemeClr w14:val="tx1"/>
                  </w14:solidFill>
                </w14:textFill>
              </w:rPr>
              <w:t>巴中</w:t>
            </w:r>
            <w:r>
              <w:rPr>
                <w:rFonts w:hint="default" w:ascii="Times New Roman" w:hAnsi="Times New Roman" w:cs="Times New Roman"/>
                <w:b w:val="0"/>
                <w:bCs w:val="0"/>
                <w:color w:val="000000" w:themeColor="text1"/>
                <w:sz w:val="24"/>
                <w14:textFill>
                  <w14:solidFill>
                    <w14:schemeClr w14:val="tx1"/>
                  </w14:solidFill>
                </w14:textFill>
              </w:rPr>
              <w:t>市</w:t>
            </w:r>
            <w:r>
              <w:rPr>
                <w:rFonts w:hint="default" w:ascii="Times New Roman" w:hAnsi="Times New Roman" w:cs="Times New Roman"/>
                <w:b w:val="0"/>
                <w:bCs w:val="0"/>
                <w:color w:val="000000" w:themeColor="text1"/>
                <w:sz w:val="24"/>
                <w:lang w:val="en-US" w:eastAsia="zh-CN"/>
                <w14:textFill>
                  <w14:solidFill>
                    <w14:schemeClr w14:val="tx1"/>
                  </w14:solidFill>
                </w14:textFill>
              </w:rPr>
              <w:t>生态</w:t>
            </w:r>
            <w:r>
              <w:rPr>
                <w:rFonts w:hint="default" w:ascii="Times New Roman" w:hAnsi="Times New Roman" w:cs="Times New Roman"/>
                <w:b w:val="0"/>
                <w:bCs w:val="0"/>
                <w:color w:val="000000" w:themeColor="text1"/>
                <w:sz w:val="24"/>
                <w14:textFill>
                  <w14:solidFill>
                    <w14:schemeClr w14:val="tx1"/>
                  </w14:solidFill>
                </w14:textFill>
              </w:rPr>
              <w:t>环境管控单元</w:t>
            </w:r>
          </w:p>
          <w:p w14:paraId="7053C51D">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根据</w:t>
            </w:r>
            <w:r>
              <w:rPr>
                <w:rFonts w:hint="default" w:ascii="Times New Roman" w:hAnsi="Times New Roman" w:eastAsia="宋体" w:cs="Times New Roman"/>
                <w:b w:val="0"/>
                <w:color w:val="000000" w:themeColor="text1"/>
                <w:kern w:val="0"/>
                <w:sz w:val="24"/>
                <w:szCs w:val="20"/>
                <w:highlight w:val="none"/>
                <w:lang w:val="en-US" w:eastAsia="zh-CN" w:bidi="ar-SA"/>
                <w14:textFill>
                  <w14:solidFill>
                    <w14:schemeClr w14:val="tx1"/>
                  </w14:solidFill>
                </w14:textFill>
              </w:rPr>
              <w:t>《巴中市生态环境保护委员会办公室关于加强生态环境分区管控的通知》（巴环委办〔2024〕3号）</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，全市从生态环境保护角度共划定环境管控单元3</w:t>
            </w:r>
            <w:r>
              <w:rPr>
                <w:rFonts w:hint="default" w:ascii="Times New Roman" w:hAnsi="Times New Roman" w:cs="Times New Roman"/>
                <w:color w:val="000000" w:themeColor="text1"/>
                <w:sz w:val="24"/>
                <w:szCs w:val="24"/>
                <w:lang w:val="en-US" w:eastAsia="zh-CN"/>
                <w14:textFill>
                  <w14:solidFill>
                    <w14:schemeClr w14:val="tx1"/>
                  </w14:solidFill>
                </w14:textFill>
              </w:rPr>
              <w:t>8</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个，其中优先保护单元13个，重点管控单元2</w:t>
            </w:r>
            <w:r>
              <w:rPr>
                <w:rFonts w:hint="default" w:ascii="Times New Roman" w:hAnsi="Times New Roman" w:cs="Times New Roman"/>
                <w:color w:val="000000" w:themeColor="text1"/>
                <w:sz w:val="24"/>
                <w:szCs w:val="24"/>
                <w:lang w:val="en-US" w:eastAsia="zh-CN"/>
                <w14:textFill>
                  <w14:solidFill>
                    <w14:schemeClr w14:val="tx1"/>
                  </w14:solidFill>
                </w14:textFill>
              </w:rPr>
              <w:t>0</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个，一般管控单元5个。本项目位于</w:t>
            </w:r>
            <w:r>
              <w:rPr>
                <w:rFonts w:hint="eastAsia" w:cs="Times New Roman"/>
                <w:color w:val="000000" w:themeColor="text1"/>
                <w:sz w:val="24"/>
                <w:szCs w:val="24"/>
                <w:lang w:val="en-US" w:eastAsia="zh-CN"/>
                <w14:textFill>
                  <w14:solidFill>
                    <w14:schemeClr w14:val="tx1"/>
                  </w14:solidFill>
                </w14:textFill>
              </w:rPr>
              <w:t>四川巴中经济开发区</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属于</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工业</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重点管控单元。</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本项目与巴中市环境管控单元位置关系图如下</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w:t>
            </w:r>
          </w:p>
          <w:p w14:paraId="0B4DDFEF">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both"/>
              <w:textAlignment w:val="auto"/>
              <w:rPr>
                <w:rFonts w:hint="default" w:ascii="Times New Roman" w:hAnsi="Times New Roman" w:cs="Times New Roman"/>
                <w:b/>
                <w:bCs/>
                <w:color w:val="000000" w:themeColor="text1"/>
                <w:sz w:val="24"/>
                <w:lang w:val="en-US" w:eastAsia="zh-CN"/>
                <w14:textFill>
                  <w14:solidFill>
                    <w14:schemeClr w14:val="tx1"/>
                  </w14:solidFill>
                </w14:textFill>
              </w:rPr>
            </w:pPr>
            <w:r>
              <w:rPr>
                <w:color w:val="000000" w:themeColor="text1"/>
                <w:sz w:val="24"/>
                <w14:textFill>
                  <w14:solidFill>
                    <w14:schemeClr w14:val="tx1"/>
                  </w14:solidFill>
                </w14:textFill>
              </w:rPr>
              <mc:AlternateContent>
                <mc:Choice Requires="wps">
                  <w:drawing>
                    <wp:anchor distT="0" distB="0" distL="114300" distR="114300" simplePos="0" relativeHeight="251666432" behindDoc="0" locked="0" layoutInCell="1" allowOverlap="1">
                      <wp:simplePos x="0" y="0"/>
                      <wp:positionH relativeFrom="column">
                        <wp:posOffset>1719580</wp:posOffset>
                      </wp:positionH>
                      <wp:positionV relativeFrom="paragraph">
                        <wp:posOffset>1263015</wp:posOffset>
                      </wp:positionV>
                      <wp:extent cx="873760" cy="303530"/>
                      <wp:effectExtent l="188595" t="6350" r="23495" b="356870"/>
                      <wp:wrapNone/>
                      <wp:docPr id="4" name="矩形标注 4"/>
                      <wp:cNvGraphicFramePr/>
                      <a:graphic xmlns:a="http://schemas.openxmlformats.org/drawingml/2006/main">
                        <a:graphicData uri="http://schemas.microsoft.com/office/word/2010/wordprocessingShape">
                          <wps:wsp>
                            <wps:cNvSpPr/>
                            <wps:spPr>
                              <a:xfrm>
                                <a:off x="3838575" y="4526915"/>
                                <a:ext cx="873760" cy="303530"/>
                              </a:xfrm>
                              <a:prstGeom prst="wedgeRectCallout">
                                <a:avLst>
                                  <a:gd name="adj1" fmla="val -67424"/>
                                  <a:gd name="adj2" fmla="val 157573"/>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16FCDB2C">
                                  <w:pPr>
                                    <w:jc w:val="center"/>
                                    <w:rPr>
                                      <w:rFonts w:hint="eastAsia" w:eastAsia="宋体"/>
                                      <w:color w:val="FF0000"/>
                                      <w:lang w:val="en-US" w:eastAsia="zh-CN"/>
                                    </w:rPr>
                                  </w:pPr>
                                  <w:r>
                                    <w:rPr>
                                      <w:rFonts w:hint="eastAsia"/>
                                      <w:color w:val="FF0000"/>
                                      <w:lang w:val="en-US" w:eastAsia="zh-CN"/>
                                    </w:rPr>
                                    <w:t>本项目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135.4pt;margin-top:99.45pt;height:23.9pt;width:68.8pt;z-index:251666432;v-text-anchor:middle;mso-width-relative:page;mso-height-relative:page;" filled="f" stroked="t" coordsize="21600,21600" o:gfxdata="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" adj="-3764,44836">
                      <v:fill on="f" focussize="0,0"/>
                      <v:stroke weight="1pt" color="#FF0000 [2404]" miterlimit="8" joinstyle="miter"/>
                      <v:imagedata o:title=""/>
                      <o:lock v:ext="edit" aspectratio="f"/>
                      <v:textbox>
                        <w:txbxContent>
                          <w:p w14:paraId="16FCDB2C">
                            <w:pPr>
                              <w:jc w:val="center"/>
                              <w:rPr>
                                <w:rFonts w:hint="eastAsia" w:eastAsia="宋体"/>
                                <w:color w:val="FF0000"/>
                                <w:lang w:val="en-US" w:eastAsia="zh-CN"/>
                              </w:rPr>
                            </w:pPr>
                            <w:r>
                              <w:rPr>
                                <w:rFonts w:hint="eastAsia"/>
                                <w:color w:val="FF0000"/>
                                <w:lang w:val="en-US" w:eastAsia="zh-CN"/>
                              </w:rPr>
                              <w:t>本项目</w:t>
                            </w:r>
                          </w:p>
                        </w:txbxContent>
                      </v:textbox>
                    </v:shape>
                  </w:pict>
                </mc:Fallback>
              </mc:AlternateContent>
            </w:r>
            <w:r>
              <w:rPr>
                <w:rFonts w:ascii="宋体" w:hAnsi="宋体" w:eastAsia="宋体" w:cs="宋体"/>
                <w:color w:val="000000" w:themeColor="text1"/>
                <w:sz w:val="24"/>
                <w:szCs w:val="24"/>
                <w14:textFill>
                  <w14:solidFill>
                    <w14:schemeClr w14:val="tx1"/>
                  </w14:solidFill>
                </w14:textFill>
              </w:rPr>
              <w:drawing>
                <wp:inline distT="0" distB="0" distL="114300" distR="114300">
                  <wp:extent cx="4403725" cy="3117215"/>
                  <wp:effectExtent l="0" t="0" r="15875" b="6985"/>
                  <wp:docPr id="12" name="图片 1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IMG_256"/>
                          <pic:cNvPicPr>
                            <a:picLocks noChangeAspect="1"/>
                          </pic:cNvPicPr>
                        </pic:nvPicPr>
                        <pic:blipFill>
                          <a:blip r:embed="rId8"/>
                          <a:stretch>
                            <a:fillRect/>
                          </a:stretch>
                        </pic:blipFill>
                        <pic:spPr>
                          <a:xfrm>
                            <a:off x="0" y="0"/>
                            <a:ext cx="4403725" cy="3117215"/>
                          </a:xfrm>
                          <a:prstGeom prst="rect">
                            <a:avLst/>
                          </a:prstGeom>
                          <a:noFill/>
                          <a:ln w="9525">
                            <a:noFill/>
                          </a:ln>
                        </pic:spPr>
                      </pic:pic>
                    </a:graphicData>
                  </a:graphic>
                </wp:inline>
              </w:drawing>
            </w:r>
          </w:p>
          <w:p w14:paraId="7634FC56">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center"/>
              <w:textAlignment w:val="auto"/>
              <w:rPr>
                <w:rStyle w:val="206"/>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图1-1 </w:t>
            </w:r>
            <w:r>
              <w:rPr>
                <w:rStyle w:val="206"/>
                <w:rFonts w:hint="default" w:ascii="Times New Roman" w:hAnsi="Times New Roman" w:eastAsia="宋体" w:cs="Times New Roman"/>
                <w:b/>
                <w:bCs/>
                <w:color w:val="000000" w:themeColor="text1"/>
                <w:sz w:val="21"/>
                <w:szCs w:val="21"/>
                <w14:textFill>
                  <w14:solidFill>
                    <w14:schemeClr w14:val="tx1"/>
                  </w14:solidFill>
                </w14:textFill>
              </w:rPr>
              <w:t>项目与</w:t>
            </w:r>
            <w:r>
              <w:rPr>
                <w:rStyle w:val="206"/>
                <w:rFonts w:hint="default" w:ascii="Times New Roman" w:hAnsi="Times New Roman" w:eastAsia="宋体" w:cs="Times New Roman"/>
                <w:b/>
                <w:bCs/>
                <w:color w:val="000000" w:themeColor="text1"/>
                <w:sz w:val="21"/>
                <w:szCs w:val="21"/>
                <w:lang w:val="en-US" w:eastAsia="zh-CN"/>
                <w14:textFill>
                  <w14:solidFill>
                    <w14:schemeClr w14:val="tx1"/>
                  </w14:solidFill>
                </w14:textFill>
              </w:rPr>
              <w:t>巴中</w:t>
            </w:r>
            <w:r>
              <w:rPr>
                <w:rStyle w:val="206"/>
                <w:rFonts w:hint="default" w:ascii="Times New Roman" w:hAnsi="Times New Roman" w:eastAsia="宋体" w:cs="Times New Roman"/>
                <w:b/>
                <w:bCs/>
                <w:color w:val="000000" w:themeColor="text1"/>
                <w:sz w:val="21"/>
                <w:szCs w:val="21"/>
                <w14:textFill>
                  <w14:solidFill>
                    <w14:schemeClr w14:val="tx1"/>
                  </w14:solidFill>
                </w14:textFill>
              </w:rPr>
              <w:t>市环境管控单元位置关系图</w:t>
            </w:r>
          </w:p>
          <w:p w14:paraId="172BF689">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center"/>
              <w:textAlignment w:val="auto"/>
              <w:rPr>
                <w:rStyle w:val="206"/>
                <w:rFonts w:hint="default" w:ascii="Times New Roman" w:hAnsi="Times New Roman" w:eastAsia="宋体" w:cs="Times New Roman"/>
                <w:b/>
                <w:bCs/>
                <w:color w:val="000000" w:themeColor="text1"/>
                <w:sz w:val="21"/>
                <w:szCs w:val="21"/>
                <w14:textFill>
                  <w14:solidFill>
                    <w14:schemeClr w14:val="tx1"/>
                  </w14:solidFill>
                </w14:textFill>
              </w:rPr>
            </w:pPr>
          </w:p>
          <w:p w14:paraId="27550242">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center"/>
              <w:textAlignment w:val="auto"/>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pPr>
            <w:r>
              <w:rPr>
                <w:color w:val="000000" w:themeColor="text1"/>
                <w:sz w:val="24"/>
                <w14:textFill>
                  <w14:solidFill>
                    <w14:schemeClr w14:val="tx1"/>
                  </w14:solidFill>
                </w14:textFill>
              </w:rPr>
              <mc:AlternateContent>
                <mc:Choice Requires="wps">
                  <w:drawing>
                    <wp:anchor distT="0" distB="0" distL="114300" distR="114300" simplePos="0" relativeHeight="251670528" behindDoc="0" locked="0" layoutInCell="1" allowOverlap="1">
                      <wp:simplePos x="0" y="0"/>
                      <wp:positionH relativeFrom="column">
                        <wp:posOffset>269875</wp:posOffset>
                      </wp:positionH>
                      <wp:positionV relativeFrom="paragraph">
                        <wp:posOffset>123190</wp:posOffset>
                      </wp:positionV>
                      <wp:extent cx="3948430" cy="5368925"/>
                      <wp:effectExtent l="6350" t="6350" r="7620" b="15875"/>
                      <wp:wrapNone/>
                      <wp:docPr id="13" name="矩形 13"/>
                      <wp:cNvGraphicFramePr/>
                      <a:graphic xmlns:a="http://schemas.openxmlformats.org/drawingml/2006/main">
                        <a:graphicData uri="http://schemas.microsoft.com/office/word/2010/wordprocessingShape">
                          <wps:wsp>
                            <wps:cNvSpPr/>
                            <wps:spPr>
                              <a:xfrm>
                                <a:off x="2390775" y="1209675"/>
                                <a:ext cx="3948430" cy="5368925"/>
                              </a:xfrm>
                              <a:prstGeom prst="rect">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25pt;margin-top:9.7pt;height:422.75pt;width:310.9pt;z-index:251670528;v-text-anchor:middle;mso-width-relative:page;mso-height-relative:page;" filled="f" stroked="t" coordsize="21600,21600" o:gfxdata="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M9cZaTYAAAACQEAAA8AAAAAAAAAAQAgAAAAIgAAAGRycy9k&#10;b3ducmV2LnhtbFBLAQIUABQAAAAIAIdO4kANI6CDdAIAANoEAAAOAAAAAAAAAAEAIAAAACcBAABk&#10;cnMvZTJvRG9jLnhtbFBLBQYAAAAABgAGAFkBAAANBgAAAAA=&#10;">
                      <v:fill on="f" focussize="0,0"/>
                      <v:stroke weight="1pt" color="#000000 [3213]" miterlimit="8" joinstyle="miter"/>
                      <v:imagedata o:title=""/>
                      <o:lock v:ext="edit" aspectratio="f"/>
                    </v:rect>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669504" behindDoc="0" locked="0" layoutInCell="1" allowOverlap="1">
                      <wp:simplePos x="0" y="0"/>
                      <wp:positionH relativeFrom="column">
                        <wp:posOffset>2025650</wp:posOffset>
                      </wp:positionH>
                      <wp:positionV relativeFrom="paragraph">
                        <wp:posOffset>2160270</wp:posOffset>
                      </wp:positionV>
                      <wp:extent cx="1158875" cy="452755"/>
                      <wp:effectExtent l="141605" t="6350" r="13970" b="474345"/>
                      <wp:wrapNone/>
                      <wp:docPr id="18" name="矩形标注 18"/>
                      <wp:cNvGraphicFramePr/>
                      <a:graphic xmlns:a="http://schemas.openxmlformats.org/drawingml/2006/main">
                        <a:graphicData uri="http://schemas.microsoft.com/office/word/2010/wordprocessingShape">
                          <wps:wsp>
                            <wps:cNvSpPr/>
                            <wps:spPr>
                              <a:xfrm>
                                <a:off x="0" y="0"/>
                                <a:ext cx="1158875" cy="452755"/>
                              </a:xfrm>
                              <a:prstGeom prst="wedgeRectCallout">
                                <a:avLst>
                                  <a:gd name="adj1" fmla="val -59863"/>
                                  <a:gd name="adj2" fmla="val 146633"/>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560293BD">
                                  <w:pPr>
                                    <w:jc w:val="center"/>
                                    <w:rPr>
                                      <w:rFonts w:hint="eastAsia" w:eastAsia="宋体"/>
                                      <w:color w:val="FF0000"/>
                                      <w:lang w:val="en-US" w:eastAsia="zh-CN"/>
                                    </w:rPr>
                                  </w:pPr>
                                  <w:r>
                                    <w:rPr>
                                      <w:rFonts w:hint="eastAsia"/>
                                      <w:color w:val="FF0000"/>
                                      <w:lang w:val="en-US" w:eastAsia="zh-CN"/>
                                    </w:rPr>
                                    <w:t>本项目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159.5pt;margin-top:170.1pt;height:35.65pt;width:91.25pt;z-index:251669504;v-text-anchor:middle;mso-width-relative:page;mso-height-relative:page;" filled="f" stroked="t" coordsize="21600,21600" o:gfxdata="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" adj="-2130,42473">
                      <v:fill on="f" focussize="0,0"/>
                      <v:stroke weight="1pt" color="#FF0000 [2404]" miterlimit="8" joinstyle="miter"/>
                      <v:imagedata o:title=""/>
                      <o:lock v:ext="edit" aspectratio="f"/>
                      <v:textbox>
                        <w:txbxContent>
                          <w:p w14:paraId="560293BD">
                            <w:pPr>
                              <w:jc w:val="center"/>
                              <w:rPr>
                                <w:rFonts w:hint="eastAsia" w:eastAsia="宋体"/>
                                <w:color w:val="FF0000"/>
                                <w:lang w:val="en-US" w:eastAsia="zh-CN"/>
                              </w:rPr>
                            </w:pPr>
                            <w:r>
                              <w:rPr>
                                <w:rFonts w:hint="eastAsia"/>
                                <w:color w:val="FF0000"/>
                                <w:lang w:val="en-US" w:eastAsia="zh-CN"/>
                              </w:rPr>
                              <w:t>本项目</w:t>
                            </w:r>
                          </w:p>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668480" behindDoc="0" locked="0" layoutInCell="1" allowOverlap="1">
                      <wp:simplePos x="0" y="0"/>
                      <wp:positionH relativeFrom="column">
                        <wp:posOffset>1802765</wp:posOffset>
                      </wp:positionH>
                      <wp:positionV relativeFrom="paragraph">
                        <wp:posOffset>3045460</wp:posOffset>
                      </wp:positionV>
                      <wp:extent cx="75565" cy="75565"/>
                      <wp:effectExtent l="19050" t="21590" r="19685" b="17145"/>
                      <wp:wrapNone/>
                      <wp:docPr id="19" name="五角星 19"/>
                      <wp:cNvGraphicFramePr/>
                      <a:graphic xmlns:a="http://schemas.openxmlformats.org/drawingml/2006/main">
                        <a:graphicData uri="http://schemas.microsoft.com/office/word/2010/wordprocessingShape">
                          <wps:wsp>
                            <wps:cNvSpPr/>
                            <wps:spPr>
                              <a:xfrm>
                                <a:off x="0" y="0"/>
                                <a:ext cx="75565" cy="75565"/>
                              </a:xfrm>
                              <a:prstGeom prst="star5">
                                <a:avLst/>
                              </a:prstGeom>
                              <a:solidFill>
                                <a:srgbClr val="FF000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141.95pt;margin-top:239.8pt;height:5.95pt;width:5.95pt;z-index:251668480;v-text-anchor:middle;mso-width-relative:page;mso-height-relative:page;" fillcolor="#FF0000" filled="t" stroked="t" coordsize="75565,75565" o:gfxdata="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Juj9FTcAAAACwEAAA8AAAAAAAAAAQAgAAAAIgAAAGRycy9k&#10;b3ducmV2LnhtbFBLAQIUABQAAAAIAIdO4kDB4iXTcAIAAPcEAAAOAAAAAAAAAAEAIAAAACsBAABk&#10;cnMvZTJvRG9jLnhtbFBLBQYAAAAABgAGAFkBAAANBgAAAAA=&#10;" path="m0,28863l28863,28863,37782,0,46701,28863,75564,28863,52213,46701,61133,75564,37782,57726,14431,75564,23351,46701xe">
                      <v:path o:connectlocs="37782,0;0,28863;14431,75564;61133,75564;75564,28863" o:connectangles="247,164,82,82,0"/>
                      <v:fill on="t" focussize="0,0"/>
                      <v:stroke weight="1pt" color="#FF0000 [2404]" miterlimit="8" joinstyle="miter"/>
                      <v:imagedata o:title=""/>
                      <o:lock v:ext="edit" aspectratio="f"/>
                    </v:shape>
                  </w:pict>
                </mc:Fallback>
              </mc:AlternateContent>
            </w:r>
            <w:r>
              <w:rPr>
                <w:color w:val="000000" w:themeColor="text1"/>
                <w14:textFill>
                  <w14:solidFill>
                    <w14:schemeClr w14:val="tx1"/>
                  </w14:solidFill>
                </w14:textFill>
              </w:rPr>
              <w:drawing>
                <wp:inline distT="0" distB="0" distL="114300" distR="114300">
                  <wp:extent cx="3867150" cy="5466080"/>
                  <wp:effectExtent l="0" t="0" r="0" b="1270"/>
                  <wp:docPr id="2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0"/>
                          <pic:cNvPicPr>
                            <a:picLocks noChangeAspect="1"/>
                          </pic:cNvPicPr>
                        </pic:nvPicPr>
                        <pic:blipFill>
                          <a:blip r:embed="rId9"/>
                          <a:stretch>
                            <a:fillRect/>
                          </a:stretch>
                        </pic:blipFill>
                        <pic:spPr>
                          <a:xfrm>
                            <a:off x="0" y="0"/>
                            <a:ext cx="3867150" cy="5466080"/>
                          </a:xfrm>
                          <a:prstGeom prst="rect">
                            <a:avLst/>
                          </a:prstGeom>
                          <a:noFill/>
                          <a:ln>
                            <a:noFill/>
                          </a:ln>
                        </pic:spPr>
                      </pic:pic>
                    </a:graphicData>
                  </a:graphic>
                </wp:inline>
              </w:drawing>
            </w:r>
          </w:p>
          <w:p w14:paraId="3F834564">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center"/>
              <w:textAlignment w:val="auto"/>
              <w:rPr>
                <w:rStyle w:val="206"/>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图1-</w:t>
            </w:r>
            <w:r>
              <w:rPr>
                <w:rFonts w:hint="eastAsia" w:cs="Times New Roman"/>
                <w:b/>
                <w:bCs/>
                <w:color w:val="000000" w:themeColor="text1"/>
                <w:sz w:val="21"/>
                <w:szCs w:val="21"/>
                <w:highlight w:val="none"/>
                <w:lang w:val="en-US" w:eastAsia="zh-CN"/>
                <w14:textFill>
                  <w14:solidFill>
                    <w14:schemeClr w14:val="tx1"/>
                  </w14:solidFill>
                </w14:textFill>
              </w:rPr>
              <w:t>2</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w:t>
            </w:r>
            <w:r>
              <w:rPr>
                <w:rStyle w:val="206"/>
                <w:rFonts w:hint="default" w:ascii="Times New Roman" w:hAnsi="Times New Roman" w:eastAsia="宋体" w:cs="Times New Roman"/>
                <w:b/>
                <w:bCs/>
                <w:color w:val="000000" w:themeColor="text1"/>
                <w:sz w:val="21"/>
                <w:szCs w:val="21"/>
                <w14:textFill>
                  <w14:solidFill>
                    <w14:schemeClr w14:val="tx1"/>
                  </w14:solidFill>
                </w14:textFill>
              </w:rPr>
              <w:t>项目与</w:t>
            </w:r>
            <w:r>
              <w:rPr>
                <w:rStyle w:val="206"/>
                <w:rFonts w:hint="default" w:ascii="Times New Roman" w:hAnsi="Times New Roman" w:eastAsia="宋体" w:cs="Times New Roman"/>
                <w:b/>
                <w:bCs/>
                <w:color w:val="000000" w:themeColor="text1"/>
                <w:sz w:val="21"/>
                <w:szCs w:val="21"/>
                <w:lang w:val="en-US" w:eastAsia="zh-CN"/>
                <w14:textFill>
                  <w14:solidFill>
                    <w14:schemeClr w14:val="tx1"/>
                  </w14:solidFill>
                </w14:textFill>
              </w:rPr>
              <w:t>巴中</w:t>
            </w:r>
            <w:r>
              <w:rPr>
                <w:rStyle w:val="206"/>
                <w:rFonts w:hint="default" w:ascii="Times New Roman" w:hAnsi="Times New Roman" w:eastAsia="宋体" w:cs="Times New Roman"/>
                <w:b/>
                <w:bCs/>
                <w:color w:val="000000" w:themeColor="text1"/>
                <w:sz w:val="21"/>
                <w:szCs w:val="21"/>
                <w14:textFill>
                  <w14:solidFill>
                    <w14:schemeClr w14:val="tx1"/>
                  </w14:solidFill>
                </w14:textFill>
              </w:rPr>
              <w:t>市</w:t>
            </w:r>
            <w:r>
              <w:rPr>
                <w:rStyle w:val="206"/>
                <w:rFonts w:hint="eastAsia" w:ascii="Times New Roman" w:hAnsi="Times New Roman" w:eastAsia="宋体" w:cs="Times New Roman"/>
                <w:b/>
                <w:bCs/>
                <w:color w:val="000000" w:themeColor="text1"/>
                <w:sz w:val="21"/>
                <w:szCs w:val="21"/>
                <w:lang w:val="en-US" w:eastAsia="zh-CN"/>
                <w14:textFill>
                  <w14:solidFill>
                    <w14:schemeClr w14:val="tx1"/>
                  </w14:solidFill>
                </w14:textFill>
              </w:rPr>
              <w:t>生态保护红线</w:t>
            </w:r>
            <w:r>
              <w:rPr>
                <w:rStyle w:val="206"/>
                <w:rFonts w:hint="default" w:ascii="Times New Roman" w:hAnsi="Times New Roman" w:eastAsia="宋体" w:cs="Times New Roman"/>
                <w:b/>
                <w:bCs/>
                <w:color w:val="000000" w:themeColor="text1"/>
                <w:sz w:val="21"/>
                <w:szCs w:val="21"/>
                <w14:textFill>
                  <w14:solidFill>
                    <w14:schemeClr w14:val="tx1"/>
                  </w14:solidFill>
                </w14:textFill>
              </w:rPr>
              <w:t>位置关系图</w:t>
            </w:r>
          </w:p>
          <w:p w14:paraId="29C43C09">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highlight w:val="none"/>
                <w:lang w:eastAsia="zh-CN"/>
                <w14:textFill>
                  <w14:solidFill>
                    <w14:schemeClr w14:val="tx1"/>
                  </w14:solidFill>
                </w14:textFill>
              </w:rPr>
              <w:t>2</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）生态环境分区管控单元</w:t>
            </w:r>
          </w:p>
          <w:p w14:paraId="0971C6E0">
            <w:pPr>
              <w:autoSpaceDE w:val="0"/>
              <w:autoSpaceDN w:val="0"/>
              <w:spacing w:line="360" w:lineRule="auto"/>
              <w:ind w:firstLine="480" w:firstLineChars="200"/>
              <w:rPr>
                <w:rFonts w:hint="default" w:ascii="Times New Roman" w:hAnsi="Times New Roman"/>
                <w:b w:val="0"/>
                <w:bCs w:val="0"/>
                <w:color w:val="000000" w:themeColor="text1"/>
                <w:sz w:val="24"/>
                <w:highlight w:val="none"/>
                <w:lang w:val="en-US" w:eastAsia="zh-CN"/>
                <w14:textFill>
                  <w14:solidFill>
                    <w14:schemeClr w14:val="tx1"/>
                  </w14:solidFill>
                </w14:textFill>
              </w:rPr>
            </w:pPr>
            <w:r>
              <w:rPr>
                <w:rFonts w:hint="eastAsia" w:ascii="Times New Roman" w:hAnsi="Times New Roman"/>
                <w:b w:val="0"/>
                <w:bCs w:val="0"/>
                <w:color w:val="000000" w:themeColor="text1"/>
                <w:sz w:val="24"/>
                <w:highlight w:val="none"/>
                <w:lang w:val="en-US" w:eastAsia="zh-CN"/>
                <w14:textFill>
                  <w14:solidFill>
                    <w14:schemeClr w14:val="tx1"/>
                  </w14:solidFill>
                </w14:textFill>
              </w:rPr>
              <w:t>本项目位</w:t>
            </w:r>
            <w:r>
              <w:rPr>
                <w:rFonts w:hint="eastAsia" w:ascii="Times New Roman" w:hAnsi="Times New Roman" w:eastAsia="宋体" w:cs="Times New Roman"/>
                <w:b w:val="0"/>
                <w:bCs w:val="0"/>
                <w:color w:val="000000" w:themeColor="text1"/>
                <w:sz w:val="24"/>
                <w:highlight w:val="none"/>
                <w:lang w:val="en-US" w:eastAsia="zh-CN"/>
                <w14:textFill>
                  <w14:solidFill>
                    <w14:schemeClr w14:val="tx1"/>
                  </w14:solidFill>
                </w14:textFill>
              </w:rPr>
              <w:t>于四川省巴中市经开区创业路低空</w:t>
            </w:r>
            <w:r>
              <w:rPr>
                <w:rFonts w:hint="eastAsia" w:cs="Times New Roman"/>
                <w:b w:val="0"/>
                <w:bCs w:val="0"/>
                <w:color w:val="000000" w:themeColor="text1"/>
                <w:sz w:val="24"/>
                <w:highlight w:val="none"/>
                <w:lang w:val="en-US" w:eastAsia="zh-CN"/>
                <w14:textFill>
                  <w14:solidFill>
                    <w14:schemeClr w14:val="tx1"/>
                  </w14:solidFill>
                </w14:textFill>
              </w:rPr>
              <w:t>数字</w:t>
            </w:r>
            <w:r>
              <w:rPr>
                <w:rFonts w:hint="eastAsia" w:ascii="Times New Roman" w:hAnsi="Times New Roman" w:eastAsia="宋体" w:cs="Times New Roman"/>
                <w:b w:val="0"/>
                <w:bCs w:val="0"/>
                <w:color w:val="000000" w:themeColor="text1"/>
                <w:sz w:val="24"/>
                <w:highlight w:val="none"/>
                <w:lang w:val="en-US" w:eastAsia="zh-CN"/>
                <w14:textFill>
                  <w14:solidFill>
                    <w14:schemeClr w14:val="tx1"/>
                  </w14:solidFill>
                </w14:textFill>
              </w:rPr>
              <w:t>经济产业园，中心经纬度为（</w:t>
            </w:r>
            <w:r>
              <w:rPr>
                <w:rFonts w:hint="eastAsia" w:ascii="Times New Roman" w:hAnsi="Times New Roman" w:eastAsia="宋体"/>
                <w:color w:val="000000" w:themeColor="text1"/>
                <w:sz w:val="24"/>
                <w:highlight w:val="none"/>
                <w:lang w:val="en-US" w:eastAsia="zh-CN"/>
                <w14:textFill>
                  <w14:solidFill>
                    <w14:schemeClr w14:val="tx1"/>
                  </w14:solidFill>
                </w14:textFill>
              </w:rPr>
              <w:t>10</w:t>
            </w:r>
            <w:r>
              <w:rPr>
                <w:rFonts w:hint="default" w:ascii="Times New Roman" w:hAnsi="Times New Roman" w:eastAsia="宋体"/>
                <w:color w:val="000000" w:themeColor="text1"/>
                <w:sz w:val="24"/>
                <w:highlight w:val="none"/>
                <w:lang w:eastAsia="zh-CN"/>
                <w14:textFill>
                  <w14:solidFill>
                    <w14:schemeClr w14:val="tx1"/>
                  </w14:solidFill>
                </w14:textFill>
              </w:rPr>
              <w:t>6</w:t>
            </w:r>
            <w:r>
              <w:rPr>
                <w:rFonts w:hint="eastAsia" w:ascii="Times New Roman" w:hAnsi="Times New Roman"/>
                <w:color w:val="000000" w:themeColor="text1"/>
                <w:sz w:val="24"/>
                <w:highlight w:val="none"/>
                <w:lang w:val="en-US" w:eastAsia="zh-CN"/>
                <w14:textFill>
                  <w14:solidFill>
                    <w14:schemeClr w14:val="tx1"/>
                  </w14:solidFill>
                </w14:textFill>
              </w:rPr>
              <w:t>°</w:t>
            </w:r>
            <w:r>
              <w:rPr>
                <w:rFonts w:hint="default" w:ascii="Times New Roman" w:hAnsi="Times New Roman"/>
                <w:color w:val="000000" w:themeColor="text1"/>
                <w:sz w:val="24"/>
                <w:highlight w:val="none"/>
                <w:lang w:eastAsia="zh-CN"/>
                <w14:textFill>
                  <w14:solidFill>
                    <w14:schemeClr w14:val="tx1"/>
                  </w14:solidFill>
                </w14:textFill>
              </w:rPr>
              <w:t>53</w:t>
            </w:r>
            <w:r>
              <w:rPr>
                <w:rFonts w:hint="eastAsia" w:ascii="Times New Roman" w:hAnsi="Times New Roman"/>
                <w:color w:val="000000" w:themeColor="text1"/>
                <w:sz w:val="24"/>
                <w:highlight w:val="none"/>
                <w:lang w:val="en-US" w:eastAsia="zh-CN"/>
                <w14:textFill>
                  <w14:solidFill>
                    <w14:schemeClr w14:val="tx1"/>
                  </w14:solidFill>
                </w14:textFill>
              </w:rPr>
              <w:t>′</w:t>
            </w:r>
            <w:r>
              <w:rPr>
                <w:rFonts w:hint="default" w:ascii="Times New Roman" w:hAnsi="Times New Roman"/>
                <w:color w:val="000000" w:themeColor="text1"/>
                <w:sz w:val="24"/>
                <w:highlight w:val="none"/>
                <w:lang w:eastAsia="zh-CN"/>
                <w14:textFill>
                  <w14:solidFill>
                    <w14:schemeClr w14:val="tx1"/>
                  </w14:solidFill>
                </w14:textFill>
              </w:rPr>
              <w:t>41.840</w:t>
            </w:r>
            <w:r>
              <w:rPr>
                <w:rFonts w:hint="eastAsia" w:ascii="Times New Roman" w:hAnsi="Times New Roman"/>
                <w:color w:val="000000" w:themeColor="text1"/>
                <w:sz w:val="24"/>
                <w:highlight w:val="none"/>
                <w:lang w:val="en-US" w:eastAsia="zh-CN"/>
                <w14:textFill>
                  <w14:solidFill>
                    <w14:schemeClr w14:val="tx1"/>
                  </w14:solidFill>
                </w14:textFill>
              </w:rPr>
              <w:t>″</w:t>
            </w:r>
            <w:r>
              <w:rPr>
                <w:rFonts w:hint="eastAsia" w:ascii="Times New Roman" w:hAnsi="Times New Roman"/>
                <w:color w:val="000000" w:themeColor="text1"/>
                <w:sz w:val="24"/>
                <w:highlight w:val="none"/>
                <w14:textFill>
                  <w14:solidFill>
                    <w14:schemeClr w14:val="tx1"/>
                  </w14:solidFill>
                </w14:textFill>
              </w:rPr>
              <w:t>，</w:t>
            </w:r>
            <w:r>
              <w:rPr>
                <w:rFonts w:hint="default" w:ascii="Times New Roman" w:hAnsi="Times New Roman"/>
                <w:color w:val="000000" w:themeColor="text1"/>
                <w:sz w:val="24"/>
                <w:highlight w:val="none"/>
                <w14:textFill>
                  <w14:solidFill>
                    <w14:schemeClr w14:val="tx1"/>
                  </w14:solidFill>
                </w14:textFill>
              </w:rPr>
              <w:t>3</w:t>
            </w:r>
            <w:r>
              <w:rPr>
                <w:rFonts w:hint="eastAsia"/>
                <w:color w:val="000000" w:themeColor="text1"/>
                <w:sz w:val="24"/>
                <w:highlight w:val="none"/>
                <w:lang w:val="en-US" w:eastAsia="zh-CN"/>
                <w14:textFill>
                  <w14:solidFill>
                    <w14:schemeClr w14:val="tx1"/>
                  </w14:solidFill>
                </w14:textFill>
              </w:rPr>
              <w:t>1</w:t>
            </w:r>
            <w:r>
              <w:rPr>
                <w:rFonts w:hint="eastAsia" w:ascii="Times New Roman" w:hAnsi="Times New Roman"/>
                <w:color w:val="000000" w:themeColor="text1"/>
                <w:sz w:val="24"/>
                <w:highlight w:val="none"/>
                <w:lang w:val="en-US"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51</w:t>
            </w:r>
            <w:r>
              <w:rPr>
                <w:rFonts w:hint="eastAsia" w:ascii="Times New Roman" w:hAnsi="Times New Roman"/>
                <w:color w:val="000000" w:themeColor="text1"/>
                <w:sz w:val="24"/>
                <w:highlight w:val="none"/>
                <w:lang w:val="en-US"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22.378</w:t>
            </w:r>
            <w:r>
              <w:rPr>
                <w:rFonts w:hint="eastAsia" w:ascii="Times New Roman" w:hAnsi="Times New Roman"/>
                <w:color w:val="000000" w:themeColor="text1"/>
                <w:sz w:val="24"/>
                <w:highlight w:val="none"/>
                <w:lang w:val="en-US" w:eastAsia="zh-CN"/>
                <w14:textFill>
                  <w14:solidFill>
                    <w14:schemeClr w14:val="tx1"/>
                  </w14:solidFill>
                </w14:textFill>
              </w:rPr>
              <w:t>″），经查四川省政务服务网“</w:t>
            </w:r>
            <w:r>
              <w:rPr>
                <w:rFonts w:hint="eastAsia" w:ascii="Times New Roman" w:hAnsi="Times New Roman" w:eastAsia="宋体" w:cs="Times New Roman"/>
                <w:b w:val="0"/>
                <w:bCs w:val="0"/>
                <w:color w:val="000000" w:themeColor="text1"/>
                <w:sz w:val="24"/>
                <w:lang w:val="en-US" w:eastAsia="zh-CN"/>
                <w14:textFill>
                  <w14:solidFill>
                    <w14:schemeClr w14:val="tx1"/>
                  </w14:solidFill>
                </w14:textFill>
              </w:rPr>
              <w:t>四川省生态环境分区管控智能应用</w:t>
            </w:r>
            <w:r>
              <w:rPr>
                <w:rFonts w:hint="eastAsia" w:ascii="Times New Roman" w:hAnsi="Times New Roman"/>
                <w:color w:val="000000" w:themeColor="text1"/>
                <w:sz w:val="24"/>
                <w:highlight w:val="none"/>
                <w:lang w:val="en-US" w:eastAsia="zh-CN"/>
                <w14:textFill>
                  <w14:solidFill>
                    <w14:schemeClr w14:val="tx1"/>
                  </w14:solidFill>
                </w14:textFill>
              </w:rPr>
              <w:t>”在线系统，涉及管控单元信息如下：</w:t>
            </w:r>
          </w:p>
          <w:p w14:paraId="13310B4C">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b/>
                <w:bCs/>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b/>
                <w:bCs/>
                <w:color w:val="000000" w:themeColor="text1"/>
                <w:sz w:val="21"/>
                <w:szCs w:val="21"/>
                <w:highlight w:val="none"/>
                <w14:textFill>
                  <w14:solidFill>
                    <w14:schemeClr w14:val="tx1"/>
                  </w14:solidFill>
                </w14:textFill>
              </w:rPr>
              <w:t>表1-</w:t>
            </w:r>
            <w:r>
              <w:rPr>
                <w:rFonts w:hint="eastAsia" w:ascii="Times New Roman" w:hAnsi="Times New Roman"/>
                <w:b/>
                <w:bCs/>
                <w:color w:val="000000" w:themeColor="text1"/>
                <w:sz w:val="21"/>
                <w:szCs w:val="21"/>
                <w:highlight w:val="none"/>
                <w:lang w:val="en-US" w:eastAsia="zh-CN"/>
                <w14:textFill>
                  <w14:solidFill>
                    <w14:schemeClr w14:val="tx1"/>
                  </w14:solidFill>
                </w14:textFill>
              </w:rPr>
              <w:t>3 本项目涉及的生态环境管控单元情况表</w:t>
            </w:r>
          </w:p>
          <w:tbl>
            <w:tblPr>
              <w:tblStyle w:val="42"/>
              <w:tblW w:w="6953"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712"/>
              <w:gridCol w:w="2209"/>
              <w:gridCol w:w="1186"/>
              <w:gridCol w:w="1846"/>
            </w:tblGrid>
            <w:tr w14:paraId="61F3C1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1712" w:type="dxa"/>
                  <w:tcBorders>
                    <w:tl2br w:val="nil"/>
                    <w:tr2bl w:val="nil"/>
                  </w:tcBorders>
                  <w:shd w:val="clear" w:color="auto" w:fill="auto"/>
                  <w:noWrap w:val="0"/>
                  <w:vAlign w:val="center"/>
                </w:tcPr>
                <w:p w14:paraId="13453D8C">
                  <w:pPr>
                    <w:autoSpaceDE w:val="0"/>
                    <w:autoSpaceDN w:val="0"/>
                    <w:adjustRightInd w:val="0"/>
                    <w:snapToGrid w:val="0"/>
                    <w:spacing w:line="240" w:lineRule="auto"/>
                    <w:jc w:val="center"/>
                    <w:rPr>
                      <w:rFonts w:hint="default" w:ascii="宋体" w:hAnsi="宋体" w:eastAsia="宋体" w:cs="宋体"/>
                      <w:b/>
                      <w:bCs/>
                      <w:color w:val="000000" w:themeColor="text1"/>
                      <w:kern w:val="0"/>
                      <w:szCs w:val="21"/>
                      <w:highlight w:val="none"/>
                      <w:lang w:val="en-US" w:eastAsia="zh-CN"/>
                      <w14:textFill>
                        <w14:solidFill>
                          <w14:schemeClr w14:val="tx1"/>
                        </w14:solidFill>
                      </w14:textFill>
                    </w:rPr>
                  </w:pPr>
                  <w:r>
                    <w:rPr>
                      <w:rFonts w:hint="eastAsia" w:ascii="宋体" w:hAnsi="宋体" w:eastAsia="宋体" w:cs="宋体"/>
                      <w:b/>
                      <w:bCs/>
                      <w:color w:val="000000" w:themeColor="text1"/>
                      <w:kern w:val="0"/>
                      <w:szCs w:val="21"/>
                      <w:highlight w:val="none"/>
                      <w14:textFill>
                        <w14:solidFill>
                          <w14:schemeClr w14:val="tx1"/>
                        </w14:solidFill>
                      </w14:textFill>
                    </w:rPr>
                    <w:t>环境管控单元编码</w:t>
                  </w:r>
                </w:p>
              </w:tc>
              <w:tc>
                <w:tcPr>
                  <w:tcW w:w="2209" w:type="dxa"/>
                  <w:tcBorders>
                    <w:tl2br w:val="nil"/>
                    <w:tr2bl w:val="nil"/>
                  </w:tcBorders>
                  <w:shd w:val="clear" w:color="auto" w:fill="auto"/>
                  <w:noWrap w:val="0"/>
                  <w:vAlign w:val="center"/>
                </w:tcPr>
                <w:p w14:paraId="748202ED">
                  <w:pPr>
                    <w:autoSpaceDE w:val="0"/>
                    <w:autoSpaceDN w:val="0"/>
                    <w:adjustRightInd w:val="0"/>
                    <w:snapToGrid w:val="0"/>
                    <w:spacing w:line="240" w:lineRule="auto"/>
                    <w:jc w:val="center"/>
                    <w:rPr>
                      <w:rFonts w:hint="eastAsia" w:ascii="宋体" w:hAnsi="宋体" w:eastAsia="宋体" w:cs="宋体"/>
                      <w:b/>
                      <w:bCs/>
                      <w:color w:val="000000" w:themeColor="text1"/>
                      <w:kern w:val="0"/>
                      <w:szCs w:val="21"/>
                      <w:highlight w:val="none"/>
                      <w:lang w:val="en-US" w:eastAsia="zh-CN"/>
                      <w14:textFill>
                        <w14:solidFill>
                          <w14:schemeClr w14:val="tx1"/>
                        </w14:solidFill>
                      </w14:textFill>
                    </w:rPr>
                  </w:pPr>
                  <w:r>
                    <w:rPr>
                      <w:rFonts w:hint="eastAsia" w:ascii="宋体" w:hAnsi="宋体" w:eastAsia="宋体" w:cs="宋体"/>
                      <w:b/>
                      <w:bCs/>
                      <w:color w:val="000000" w:themeColor="text1"/>
                      <w:kern w:val="0"/>
                      <w:szCs w:val="21"/>
                      <w:highlight w:val="none"/>
                      <w:lang w:val="en-US" w:eastAsia="zh-CN"/>
                      <w14:textFill>
                        <w14:solidFill>
                          <w14:schemeClr w14:val="tx1"/>
                        </w14:solidFill>
                      </w14:textFill>
                    </w:rPr>
                    <w:t>环境管控单元名称</w:t>
                  </w:r>
                </w:p>
              </w:tc>
              <w:tc>
                <w:tcPr>
                  <w:tcW w:w="1186" w:type="dxa"/>
                  <w:tcBorders>
                    <w:tl2br w:val="nil"/>
                    <w:tr2bl w:val="nil"/>
                  </w:tcBorders>
                  <w:shd w:val="clear" w:color="auto" w:fill="auto"/>
                  <w:noWrap w:val="0"/>
                  <w:vAlign w:val="center"/>
                </w:tcPr>
                <w:p w14:paraId="33F947B5">
                  <w:pPr>
                    <w:autoSpaceDE w:val="0"/>
                    <w:autoSpaceDN w:val="0"/>
                    <w:adjustRightInd w:val="0"/>
                    <w:snapToGrid w:val="0"/>
                    <w:spacing w:line="240" w:lineRule="auto"/>
                    <w:jc w:val="center"/>
                    <w:rPr>
                      <w:rFonts w:hint="default" w:ascii="宋体" w:hAnsi="宋体" w:eastAsia="宋体" w:cs="宋体"/>
                      <w:b/>
                      <w:bCs/>
                      <w:color w:val="000000" w:themeColor="text1"/>
                      <w:kern w:val="0"/>
                      <w:szCs w:val="21"/>
                      <w:highlight w:val="none"/>
                      <w:lang w:val="en-US" w:eastAsia="zh-CN"/>
                      <w14:textFill>
                        <w14:solidFill>
                          <w14:schemeClr w14:val="tx1"/>
                        </w14:solidFill>
                      </w14:textFill>
                    </w:rPr>
                  </w:pPr>
                  <w:r>
                    <w:rPr>
                      <w:rFonts w:hint="eastAsia" w:ascii="宋体" w:hAnsi="宋体" w:eastAsia="宋体" w:cs="宋体"/>
                      <w:b/>
                      <w:bCs/>
                      <w:color w:val="000000" w:themeColor="text1"/>
                      <w:kern w:val="0"/>
                      <w:szCs w:val="21"/>
                      <w:highlight w:val="none"/>
                      <w:lang w:val="en-US" w:eastAsia="zh-CN"/>
                      <w14:textFill>
                        <w14:solidFill>
                          <w14:schemeClr w14:val="tx1"/>
                        </w14:solidFill>
                      </w14:textFill>
                    </w:rPr>
                    <w:t>行政区划</w:t>
                  </w:r>
                </w:p>
              </w:tc>
              <w:tc>
                <w:tcPr>
                  <w:tcW w:w="1846" w:type="dxa"/>
                  <w:tcBorders>
                    <w:tl2br w:val="nil"/>
                    <w:tr2bl w:val="nil"/>
                  </w:tcBorders>
                  <w:shd w:val="clear" w:color="auto" w:fill="auto"/>
                  <w:noWrap w:val="0"/>
                  <w:vAlign w:val="center"/>
                </w:tcPr>
                <w:p w14:paraId="3D75CC6A">
                  <w:pPr>
                    <w:autoSpaceDE w:val="0"/>
                    <w:autoSpaceDN w:val="0"/>
                    <w:adjustRightInd w:val="0"/>
                    <w:snapToGrid w:val="0"/>
                    <w:spacing w:line="240" w:lineRule="auto"/>
                    <w:jc w:val="center"/>
                    <w:rPr>
                      <w:rFonts w:hint="eastAsia" w:ascii="宋体" w:hAnsi="宋体" w:eastAsia="宋体" w:cs="宋体"/>
                      <w:b/>
                      <w:bCs/>
                      <w:color w:val="000000" w:themeColor="text1"/>
                      <w:kern w:val="0"/>
                      <w:szCs w:val="21"/>
                      <w:highlight w:val="none"/>
                      <w:lang w:val="en-US" w:eastAsia="zh-CN"/>
                      <w14:textFill>
                        <w14:solidFill>
                          <w14:schemeClr w14:val="tx1"/>
                        </w14:solidFill>
                      </w14:textFill>
                    </w:rPr>
                  </w:pPr>
                  <w:r>
                    <w:rPr>
                      <w:rFonts w:hint="eastAsia" w:ascii="宋体" w:hAnsi="宋体" w:eastAsia="宋体" w:cs="宋体"/>
                      <w:b/>
                      <w:bCs/>
                      <w:color w:val="000000" w:themeColor="text1"/>
                      <w:kern w:val="0"/>
                      <w:szCs w:val="21"/>
                      <w:highlight w:val="none"/>
                      <w:lang w:val="en-US" w:eastAsia="zh-CN"/>
                      <w14:textFill>
                        <w14:solidFill>
                          <w14:schemeClr w14:val="tx1"/>
                        </w14:solidFill>
                      </w14:textFill>
                    </w:rPr>
                    <w:t>环境管控单元类型</w:t>
                  </w:r>
                </w:p>
              </w:tc>
            </w:tr>
            <w:tr w14:paraId="5B6063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44" w:hRule="atLeast"/>
                <w:jc w:val="center"/>
              </w:trPr>
              <w:tc>
                <w:tcPr>
                  <w:tcW w:w="1712" w:type="dxa"/>
                  <w:tcBorders>
                    <w:tl2br w:val="nil"/>
                    <w:tr2bl w:val="nil"/>
                  </w:tcBorders>
                  <w:noWrap w:val="0"/>
                  <w:vAlign w:val="center"/>
                </w:tcPr>
                <w:p w14:paraId="76E80FA0">
                  <w:pPr>
                    <w:autoSpaceDE w:val="0"/>
                    <w:autoSpaceDN w:val="0"/>
                    <w:adjustRightInd w:val="0"/>
                    <w:snapToGrid w:val="0"/>
                    <w:spacing w:line="240" w:lineRule="auto"/>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ascii="Times New Roman" w:hAnsi="Times New Roman" w:eastAsia="宋体" w:cs="Times New Roman"/>
                      <w:color w:val="000000" w:themeColor="text1"/>
                      <w:kern w:val="0"/>
                      <w:szCs w:val="21"/>
                      <w:highlight w:val="none"/>
                      <w14:textFill>
                        <w14:solidFill>
                          <w14:schemeClr w14:val="tx1"/>
                        </w14:solidFill>
                      </w14:textFill>
                    </w:rPr>
                    <w:t>ZH51190220006</w:t>
                  </w:r>
                </w:p>
              </w:tc>
              <w:tc>
                <w:tcPr>
                  <w:tcW w:w="2209" w:type="dxa"/>
                  <w:tcBorders>
                    <w:tl2br w:val="nil"/>
                    <w:tr2bl w:val="nil"/>
                  </w:tcBorders>
                  <w:noWrap w:val="0"/>
                  <w:vAlign w:val="center"/>
                </w:tcPr>
                <w:p w14:paraId="12F961A7">
                  <w:pPr>
                    <w:autoSpaceDE w:val="0"/>
                    <w:autoSpaceDN w:val="0"/>
                    <w:adjustRightInd w:val="0"/>
                    <w:snapToGrid w:val="0"/>
                    <w:spacing w:line="240" w:lineRule="auto"/>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ascii="Times New Roman" w:hAnsi="Times New Roman" w:eastAsia="宋体" w:cs="Times New Roman"/>
                      <w:color w:val="000000" w:themeColor="text1"/>
                      <w:kern w:val="0"/>
                      <w:szCs w:val="21"/>
                      <w:highlight w:val="none"/>
                      <w14:textFill>
                        <w14:solidFill>
                          <w14:schemeClr w14:val="tx1"/>
                        </w14:solidFill>
                      </w14:textFill>
                    </w:rPr>
                    <w:t>四川巴中经开区（核心区块、金堂区块）</w:t>
                  </w:r>
                </w:p>
              </w:tc>
              <w:tc>
                <w:tcPr>
                  <w:tcW w:w="1186" w:type="dxa"/>
                  <w:tcBorders>
                    <w:tl2br w:val="nil"/>
                    <w:tr2bl w:val="nil"/>
                  </w:tcBorders>
                  <w:noWrap w:val="0"/>
                  <w:vAlign w:val="center"/>
                </w:tcPr>
                <w:p w14:paraId="1A4F1DE3">
                  <w:pPr>
                    <w:autoSpaceDE w:val="0"/>
                    <w:autoSpaceDN w:val="0"/>
                    <w:adjustRightInd w:val="0"/>
                    <w:snapToGrid w:val="0"/>
                    <w:spacing w:line="240" w:lineRule="auto"/>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ascii="Times New Roman" w:hAnsi="Times New Roman" w:eastAsia="宋体" w:cs="Times New Roman"/>
                      <w:color w:val="000000" w:themeColor="text1"/>
                      <w:kern w:val="0"/>
                      <w:szCs w:val="21"/>
                      <w:highlight w:val="none"/>
                      <w14:textFill>
                        <w14:solidFill>
                          <w14:schemeClr w14:val="tx1"/>
                        </w14:solidFill>
                      </w14:textFill>
                    </w:rPr>
                    <w:t>巴中市巴州区</w:t>
                  </w:r>
                </w:p>
              </w:tc>
              <w:tc>
                <w:tcPr>
                  <w:tcW w:w="1846" w:type="dxa"/>
                  <w:tcBorders>
                    <w:tl2br w:val="nil"/>
                    <w:tr2bl w:val="nil"/>
                  </w:tcBorders>
                  <w:noWrap w:val="0"/>
                  <w:vAlign w:val="center"/>
                </w:tcPr>
                <w:p w14:paraId="69E1C916">
                  <w:pPr>
                    <w:autoSpaceDE w:val="0"/>
                    <w:autoSpaceDN w:val="0"/>
                    <w:adjustRightInd w:val="0"/>
                    <w:snapToGrid w:val="0"/>
                    <w:spacing w:line="240" w:lineRule="auto"/>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ascii="Times New Roman" w:hAnsi="Times New Roman" w:eastAsia="宋体" w:cs="Times New Roman"/>
                      <w:color w:val="000000" w:themeColor="text1"/>
                      <w:kern w:val="0"/>
                      <w:szCs w:val="21"/>
                      <w:highlight w:val="none"/>
                      <w14:textFill>
                        <w14:solidFill>
                          <w14:schemeClr w14:val="tx1"/>
                        </w14:solidFill>
                      </w14:textFill>
                    </w:rPr>
                    <w:t>工业重点管控单元</w:t>
                  </w:r>
                </w:p>
              </w:tc>
            </w:tr>
          </w:tbl>
          <w:p w14:paraId="68AE5B3B">
            <w:pPr>
              <w:keepNext w:val="0"/>
              <w:keepLines w:val="0"/>
              <w:pageBreakBefore w:val="0"/>
              <w:widowControl w:val="0"/>
              <w:kinsoku/>
              <w:wordWrap/>
              <w:overflowPunct/>
              <w:topLinePunct w:val="0"/>
              <w:autoSpaceDE w:val="0"/>
              <w:autoSpaceDN w:val="0"/>
              <w:bidi w:val="0"/>
              <w:adjustRightInd/>
              <w:snapToGrid/>
              <w:spacing w:line="240" w:lineRule="auto"/>
              <w:ind w:firstLine="422" w:firstLineChars="200"/>
              <w:jc w:val="center"/>
              <w:textAlignment w:val="auto"/>
              <w:rPr>
                <w:rFonts w:hint="eastAsia" w:ascii="Times New Roman" w:hAnsi="Times New Roman" w:eastAsia="宋体" w:cs="Times New Roman"/>
                <w:b w:val="0"/>
                <w:bCs w:val="0"/>
                <w:color w:val="000000" w:themeColor="text1"/>
                <w:sz w:val="24"/>
                <w:highlight w:val="none"/>
                <w:lang w:val="en-US" w:eastAsia="zh-CN"/>
                <w14:textFill>
                  <w14:solidFill>
                    <w14:schemeClr w14:val="tx1"/>
                  </w14:solidFill>
                </w14:textFill>
              </w:rPr>
            </w:pPr>
            <w:r>
              <w:rPr>
                <w:rFonts w:hint="eastAsia" w:ascii="Times New Roman" w:hAnsi="Times New Roman"/>
                <w:b/>
                <w:bCs/>
                <w:color w:val="000000" w:themeColor="text1"/>
                <w:sz w:val="21"/>
                <w:szCs w:val="21"/>
                <w:highlight w:val="none"/>
                <w14:textFill>
                  <w14:solidFill>
                    <w14:schemeClr w14:val="tx1"/>
                  </w14:solidFill>
                </w14:textFill>
              </w:rPr>
              <w:t>表1-</w:t>
            </w:r>
            <w:r>
              <w:rPr>
                <w:rFonts w:hint="eastAsia" w:ascii="Times New Roman" w:hAnsi="Times New Roman"/>
                <w:b/>
                <w:bCs/>
                <w:color w:val="000000" w:themeColor="text1"/>
                <w:sz w:val="21"/>
                <w:szCs w:val="21"/>
                <w:highlight w:val="none"/>
                <w:lang w:val="en-US" w:eastAsia="zh-CN"/>
                <w14:textFill>
                  <w14:solidFill>
                    <w14:schemeClr w14:val="tx1"/>
                  </w14:solidFill>
                </w14:textFill>
              </w:rPr>
              <w:t>4 本项目涉及的环境要素管控分区情况表</w:t>
            </w:r>
          </w:p>
          <w:tbl>
            <w:tblPr>
              <w:tblStyle w:val="42"/>
              <w:tblW w:w="6953"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71"/>
              <w:gridCol w:w="1691"/>
              <w:gridCol w:w="1282"/>
              <w:gridCol w:w="1009"/>
              <w:gridCol w:w="845"/>
              <w:gridCol w:w="1355"/>
            </w:tblGrid>
            <w:tr w14:paraId="103C39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771" w:type="dxa"/>
                  <w:tcBorders>
                    <w:tl2br w:val="nil"/>
                    <w:tr2bl w:val="nil"/>
                  </w:tcBorders>
                  <w:shd w:val="clear" w:color="auto" w:fill="auto"/>
                  <w:noWrap w:val="0"/>
                  <w:vAlign w:val="center"/>
                </w:tcPr>
                <w:p w14:paraId="12E107D1">
                  <w:pPr>
                    <w:autoSpaceDE w:val="0"/>
                    <w:autoSpaceDN w:val="0"/>
                    <w:adjustRightInd w:val="0"/>
                    <w:snapToGrid w:val="0"/>
                    <w:spacing w:line="240" w:lineRule="auto"/>
                    <w:jc w:val="center"/>
                    <w:rPr>
                      <w:rFonts w:hint="default" w:ascii="宋体" w:hAnsi="宋体" w:eastAsia="宋体" w:cs="宋体"/>
                      <w:b/>
                      <w:bCs/>
                      <w:color w:val="000000" w:themeColor="text1"/>
                      <w:kern w:val="0"/>
                      <w:szCs w:val="21"/>
                      <w:highlight w:val="none"/>
                      <w:lang w:val="en-US" w:eastAsia="zh-CN"/>
                      <w14:textFill>
                        <w14:solidFill>
                          <w14:schemeClr w14:val="tx1"/>
                        </w14:solidFill>
                      </w14:textFill>
                    </w:rPr>
                  </w:pPr>
                  <w:r>
                    <w:rPr>
                      <w:rFonts w:hint="eastAsia" w:ascii="宋体" w:hAnsi="宋体" w:eastAsia="宋体" w:cs="宋体"/>
                      <w:b/>
                      <w:bCs/>
                      <w:color w:val="000000" w:themeColor="text1"/>
                      <w:kern w:val="0"/>
                      <w:szCs w:val="21"/>
                      <w:highlight w:val="none"/>
                      <w:lang w:val="en-US" w:eastAsia="zh-CN"/>
                      <w14:textFill>
                        <w14:solidFill>
                          <w14:schemeClr w14:val="tx1"/>
                        </w14:solidFill>
                      </w14:textFill>
                    </w:rPr>
                    <w:t>序号</w:t>
                  </w:r>
                </w:p>
              </w:tc>
              <w:tc>
                <w:tcPr>
                  <w:tcW w:w="1691" w:type="dxa"/>
                  <w:tcBorders>
                    <w:tl2br w:val="nil"/>
                    <w:tr2bl w:val="nil"/>
                  </w:tcBorders>
                  <w:shd w:val="clear" w:color="auto" w:fill="auto"/>
                  <w:noWrap w:val="0"/>
                  <w:vAlign w:val="center"/>
                </w:tcPr>
                <w:p w14:paraId="42346959">
                  <w:pPr>
                    <w:autoSpaceDE w:val="0"/>
                    <w:autoSpaceDN w:val="0"/>
                    <w:adjustRightInd w:val="0"/>
                    <w:snapToGrid w:val="0"/>
                    <w:spacing w:line="240" w:lineRule="auto"/>
                    <w:jc w:val="center"/>
                    <w:rPr>
                      <w:rFonts w:hint="default" w:ascii="宋体" w:hAnsi="宋体" w:eastAsia="宋体" w:cs="宋体"/>
                      <w:b/>
                      <w:bCs/>
                      <w:color w:val="000000" w:themeColor="text1"/>
                      <w:kern w:val="0"/>
                      <w:szCs w:val="21"/>
                      <w:highlight w:val="none"/>
                      <w:lang w:val="en-US" w:eastAsia="zh-CN"/>
                      <w14:textFill>
                        <w14:solidFill>
                          <w14:schemeClr w14:val="tx1"/>
                        </w14:solidFill>
                      </w14:textFill>
                    </w:rPr>
                  </w:pPr>
                  <w:r>
                    <w:rPr>
                      <w:rFonts w:hint="eastAsia" w:ascii="宋体" w:hAnsi="宋体" w:eastAsia="宋体" w:cs="宋体"/>
                      <w:b/>
                      <w:bCs/>
                      <w:color w:val="000000" w:themeColor="text1"/>
                      <w:kern w:val="0"/>
                      <w:szCs w:val="21"/>
                      <w:highlight w:val="none"/>
                      <w:lang w:val="en-US" w:eastAsia="zh-CN"/>
                      <w14:textFill>
                        <w14:solidFill>
                          <w14:schemeClr w14:val="tx1"/>
                        </w14:solidFill>
                      </w14:textFill>
                    </w:rPr>
                    <w:t>环境要素管控分区名称</w:t>
                  </w:r>
                </w:p>
              </w:tc>
              <w:tc>
                <w:tcPr>
                  <w:tcW w:w="1282" w:type="dxa"/>
                  <w:tcBorders>
                    <w:tl2br w:val="nil"/>
                    <w:tr2bl w:val="nil"/>
                  </w:tcBorders>
                  <w:shd w:val="clear" w:color="auto" w:fill="auto"/>
                  <w:noWrap w:val="0"/>
                  <w:vAlign w:val="center"/>
                </w:tcPr>
                <w:p w14:paraId="4635C2C8">
                  <w:pPr>
                    <w:autoSpaceDE w:val="0"/>
                    <w:autoSpaceDN w:val="0"/>
                    <w:adjustRightInd w:val="0"/>
                    <w:snapToGrid w:val="0"/>
                    <w:spacing w:line="240" w:lineRule="auto"/>
                    <w:jc w:val="center"/>
                    <w:rPr>
                      <w:rFonts w:hint="eastAsia" w:ascii="宋体" w:hAnsi="宋体" w:eastAsia="宋体" w:cs="宋体"/>
                      <w:b/>
                      <w:bCs/>
                      <w:color w:val="000000" w:themeColor="text1"/>
                      <w:kern w:val="0"/>
                      <w:szCs w:val="21"/>
                      <w:highlight w:val="none"/>
                      <w:lang w:val="en-US" w:eastAsia="zh-CN"/>
                      <w14:textFill>
                        <w14:solidFill>
                          <w14:schemeClr w14:val="tx1"/>
                        </w14:solidFill>
                      </w14:textFill>
                    </w:rPr>
                  </w:pPr>
                  <w:r>
                    <w:rPr>
                      <w:rFonts w:hint="eastAsia" w:ascii="宋体" w:hAnsi="宋体" w:eastAsia="宋体" w:cs="宋体"/>
                      <w:b/>
                      <w:bCs/>
                      <w:color w:val="000000" w:themeColor="text1"/>
                      <w:kern w:val="0"/>
                      <w:szCs w:val="21"/>
                      <w:highlight w:val="none"/>
                      <w14:textFill>
                        <w14:solidFill>
                          <w14:schemeClr w14:val="tx1"/>
                        </w14:solidFill>
                      </w14:textFill>
                    </w:rPr>
                    <w:t>环境要素管控分区编码</w:t>
                  </w:r>
                </w:p>
              </w:tc>
              <w:tc>
                <w:tcPr>
                  <w:tcW w:w="1009" w:type="dxa"/>
                  <w:tcBorders>
                    <w:tl2br w:val="nil"/>
                    <w:tr2bl w:val="nil"/>
                  </w:tcBorders>
                  <w:shd w:val="clear" w:color="auto" w:fill="auto"/>
                  <w:noWrap w:val="0"/>
                  <w:vAlign w:val="center"/>
                </w:tcPr>
                <w:p w14:paraId="400CF480">
                  <w:pPr>
                    <w:autoSpaceDE w:val="0"/>
                    <w:autoSpaceDN w:val="0"/>
                    <w:adjustRightInd w:val="0"/>
                    <w:snapToGrid w:val="0"/>
                    <w:spacing w:line="240" w:lineRule="auto"/>
                    <w:jc w:val="center"/>
                    <w:rPr>
                      <w:rFonts w:hint="default" w:ascii="宋体" w:hAnsi="宋体" w:eastAsia="宋体" w:cs="宋体"/>
                      <w:b/>
                      <w:bCs/>
                      <w:color w:val="000000" w:themeColor="text1"/>
                      <w:kern w:val="0"/>
                      <w:szCs w:val="21"/>
                      <w:highlight w:val="none"/>
                      <w:lang w:val="en-US" w:eastAsia="zh-CN"/>
                      <w14:textFill>
                        <w14:solidFill>
                          <w14:schemeClr w14:val="tx1"/>
                        </w14:solidFill>
                      </w14:textFill>
                    </w:rPr>
                  </w:pPr>
                  <w:r>
                    <w:rPr>
                      <w:rFonts w:hint="eastAsia" w:ascii="宋体" w:hAnsi="宋体" w:eastAsia="宋体" w:cs="宋体"/>
                      <w:b/>
                      <w:bCs/>
                      <w:color w:val="000000" w:themeColor="text1"/>
                      <w:kern w:val="0"/>
                      <w:szCs w:val="21"/>
                      <w:highlight w:val="none"/>
                      <w14:textFill>
                        <w14:solidFill>
                          <w14:schemeClr w14:val="tx1"/>
                        </w14:solidFill>
                      </w14:textFill>
                    </w:rPr>
                    <w:t>行政区划</w:t>
                  </w:r>
                </w:p>
              </w:tc>
              <w:tc>
                <w:tcPr>
                  <w:tcW w:w="845" w:type="dxa"/>
                  <w:tcBorders>
                    <w:tl2br w:val="nil"/>
                    <w:tr2bl w:val="nil"/>
                  </w:tcBorders>
                  <w:shd w:val="clear" w:color="auto" w:fill="auto"/>
                  <w:noWrap w:val="0"/>
                  <w:vAlign w:val="center"/>
                </w:tcPr>
                <w:p w14:paraId="1A51167D">
                  <w:pPr>
                    <w:autoSpaceDE w:val="0"/>
                    <w:autoSpaceDN w:val="0"/>
                    <w:adjustRightInd w:val="0"/>
                    <w:snapToGrid w:val="0"/>
                    <w:spacing w:line="240" w:lineRule="auto"/>
                    <w:jc w:val="center"/>
                    <w:rPr>
                      <w:rFonts w:hint="eastAsia" w:ascii="宋体" w:hAnsi="宋体" w:eastAsia="宋体" w:cs="宋体"/>
                      <w:b/>
                      <w:bCs/>
                      <w:color w:val="000000" w:themeColor="text1"/>
                      <w:kern w:val="0"/>
                      <w:szCs w:val="21"/>
                      <w:highlight w:val="none"/>
                      <w:lang w:val="en-US" w:eastAsia="zh-CN"/>
                      <w14:textFill>
                        <w14:solidFill>
                          <w14:schemeClr w14:val="tx1"/>
                        </w14:solidFill>
                      </w14:textFill>
                    </w:rPr>
                  </w:pPr>
                  <w:r>
                    <w:rPr>
                      <w:rFonts w:hint="eastAsia" w:ascii="宋体" w:hAnsi="宋体" w:eastAsia="宋体" w:cs="宋体"/>
                      <w:b/>
                      <w:bCs/>
                      <w:color w:val="000000" w:themeColor="text1"/>
                      <w:kern w:val="0"/>
                      <w:szCs w:val="21"/>
                      <w:highlight w:val="none"/>
                      <w14:textFill>
                        <w14:solidFill>
                          <w14:schemeClr w14:val="tx1"/>
                        </w14:solidFill>
                      </w14:textFill>
                    </w:rPr>
                    <w:t>环境要素类型</w:t>
                  </w:r>
                </w:p>
              </w:tc>
              <w:tc>
                <w:tcPr>
                  <w:tcW w:w="1355" w:type="dxa"/>
                  <w:tcBorders>
                    <w:tl2br w:val="nil"/>
                    <w:tr2bl w:val="nil"/>
                  </w:tcBorders>
                  <w:shd w:val="clear" w:color="auto" w:fill="auto"/>
                  <w:noWrap w:val="0"/>
                  <w:vAlign w:val="center"/>
                </w:tcPr>
                <w:p w14:paraId="5C6B83DC">
                  <w:pPr>
                    <w:autoSpaceDE w:val="0"/>
                    <w:autoSpaceDN w:val="0"/>
                    <w:adjustRightInd w:val="0"/>
                    <w:snapToGrid w:val="0"/>
                    <w:spacing w:line="240" w:lineRule="auto"/>
                    <w:jc w:val="center"/>
                    <w:rPr>
                      <w:rFonts w:hint="eastAsia" w:ascii="宋体" w:hAnsi="宋体" w:eastAsia="宋体" w:cs="宋体"/>
                      <w:b/>
                      <w:bCs/>
                      <w:color w:val="000000" w:themeColor="text1"/>
                      <w:kern w:val="0"/>
                      <w:szCs w:val="21"/>
                      <w:highlight w:val="none"/>
                      <w:lang w:val="en-US" w:eastAsia="zh-CN"/>
                      <w14:textFill>
                        <w14:solidFill>
                          <w14:schemeClr w14:val="tx1"/>
                        </w14:solidFill>
                      </w14:textFill>
                    </w:rPr>
                  </w:pPr>
                  <w:r>
                    <w:rPr>
                      <w:rFonts w:hint="eastAsia" w:ascii="宋体" w:hAnsi="宋体" w:eastAsia="宋体" w:cs="宋体"/>
                      <w:b/>
                      <w:bCs/>
                      <w:color w:val="000000" w:themeColor="text1"/>
                      <w:kern w:val="0"/>
                      <w:szCs w:val="21"/>
                      <w:highlight w:val="none"/>
                      <w14:textFill>
                        <w14:solidFill>
                          <w14:schemeClr w14:val="tx1"/>
                        </w14:solidFill>
                      </w14:textFill>
                    </w:rPr>
                    <w:t>环境要素细类</w:t>
                  </w:r>
                </w:p>
              </w:tc>
            </w:tr>
            <w:tr w14:paraId="76E67B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44" w:hRule="atLeast"/>
                <w:jc w:val="center"/>
              </w:trPr>
              <w:tc>
                <w:tcPr>
                  <w:tcW w:w="771" w:type="dxa"/>
                  <w:tcBorders>
                    <w:tl2br w:val="nil"/>
                    <w:tr2bl w:val="nil"/>
                  </w:tcBorders>
                  <w:noWrap w:val="0"/>
                  <w:vAlign w:val="center"/>
                </w:tcPr>
                <w:p w14:paraId="2441278E">
                  <w:pPr>
                    <w:autoSpaceDE w:val="0"/>
                    <w:autoSpaceDN w:val="0"/>
                    <w:adjustRightInd w:val="0"/>
                    <w:snapToGrid w:val="0"/>
                    <w:spacing w:line="240" w:lineRule="auto"/>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1</w:t>
                  </w:r>
                </w:p>
              </w:tc>
              <w:tc>
                <w:tcPr>
                  <w:tcW w:w="1691" w:type="dxa"/>
                  <w:tcBorders>
                    <w:tl2br w:val="nil"/>
                    <w:tr2bl w:val="nil"/>
                  </w:tcBorders>
                  <w:noWrap w:val="0"/>
                  <w:vAlign w:val="center"/>
                </w:tcPr>
                <w:p w14:paraId="6D471B72">
                  <w:pPr>
                    <w:autoSpaceDE w:val="0"/>
                    <w:autoSpaceDN w:val="0"/>
                    <w:adjustRightInd w:val="0"/>
                    <w:snapToGrid w:val="0"/>
                    <w:spacing w:line="240" w:lineRule="auto"/>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ascii="Times New Roman" w:hAnsi="Times New Roman" w:eastAsia="宋体" w:cs="Times New Roman"/>
                      <w:color w:val="000000" w:themeColor="text1"/>
                      <w:kern w:val="0"/>
                      <w:szCs w:val="21"/>
                      <w:highlight w:val="none"/>
                      <w14:textFill>
                        <w14:solidFill>
                          <w14:schemeClr w14:val="tx1"/>
                        </w14:solidFill>
                      </w14:textFill>
                    </w:rPr>
                    <w:t>巴河-巴州区-金碑-控制单元</w:t>
                  </w:r>
                </w:p>
              </w:tc>
              <w:tc>
                <w:tcPr>
                  <w:tcW w:w="1282" w:type="dxa"/>
                  <w:tcBorders>
                    <w:tl2br w:val="nil"/>
                    <w:tr2bl w:val="nil"/>
                  </w:tcBorders>
                  <w:noWrap w:val="0"/>
                  <w:vAlign w:val="center"/>
                </w:tcPr>
                <w:p w14:paraId="4956A85B">
                  <w:pPr>
                    <w:autoSpaceDE w:val="0"/>
                    <w:autoSpaceDN w:val="0"/>
                    <w:adjustRightInd w:val="0"/>
                    <w:snapToGrid w:val="0"/>
                    <w:spacing w:line="240" w:lineRule="auto"/>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ascii="Times New Roman" w:hAnsi="Times New Roman" w:eastAsia="宋体" w:cs="Times New Roman"/>
                      <w:color w:val="000000" w:themeColor="text1"/>
                      <w:kern w:val="0"/>
                      <w:szCs w:val="21"/>
                      <w:highlight w:val="none"/>
                      <w14:textFill>
                        <w14:solidFill>
                          <w14:schemeClr w14:val="tx1"/>
                        </w14:solidFill>
                      </w14:textFill>
                    </w:rPr>
                    <w:t>YS5119022210002</w:t>
                  </w:r>
                </w:p>
              </w:tc>
              <w:tc>
                <w:tcPr>
                  <w:tcW w:w="1009" w:type="dxa"/>
                  <w:tcBorders>
                    <w:tl2br w:val="nil"/>
                    <w:tr2bl w:val="nil"/>
                  </w:tcBorders>
                  <w:noWrap w:val="0"/>
                  <w:vAlign w:val="center"/>
                </w:tcPr>
                <w:p w14:paraId="56EDAEFA">
                  <w:pPr>
                    <w:autoSpaceDE w:val="0"/>
                    <w:autoSpaceDN w:val="0"/>
                    <w:adjustRightInd w:val="0"/>
                    <w:snapToGrid w:val="0"/>
                    <w:spacing w:line="240" w:lineRule="auto"/>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ascii="Times New Roman" w:hAnsi="Times New Roman" w:eastAsia="宋体" w:cs="Times New Roman"/>
                      <w:color w:val="000000" w:themeColor="text1"/>
                      <w:kern w:val="0"/>
                      <w:szCs w:val="21"/>
                      <w:highlight w:val="none"/>
                      <w14:textFill>
                        <w14:solidFill>
                          <w14:schemeClr w14:val="tx1"/>
                        </w14:solidFill>
                      </w14:textFill>
                    </w:rPr>
                    <w:t>巴中市巴州区</w:t>
                  </w:r>
                </w:p>
              </w:tc>
              <w:tc>
                <w:tcPr>
                  <w:tcW w:w="845" w:type="dxa"/>
                  <w:tcBorders>
                    <w:tl2br w:val="nil"/>
                    <w:tr2bl w:val="nil"/>
                  </w:tcBorders>
                  <w:noWrap w:val="0"/>
                  <w:vAlign w:val="center"/>
                </w:tcPr>
                <w:p w14:paraId="13C2057B">
                  <w:pPr>
                    <w:autoSpaceDE w:val="0"/>
                    <w:autoSpaceDN w:val="0"/>
                    <w:adjustRightInd w:val="0"/>
                    <w:snapToGrid w:val="0"/>
                    <w:spacing w:line="240" w:lineRule="auto"/>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ascii="Times New Roman" w:hAnsi="Times New Roman" w:eastAsia="宋体" w:cs="Times New Roman"/>
                      <w:color w:val="000000" w:themeColor="text1"/>
                      <w:kern w:val="0"/>
                      <w:szCs w:val="21"/>
                      <w:highlight w:val="none"/>
                      <w14:textFill>
                        <w14:solidFill>
                          <w14:schemeClr w14:val="tx1"/>
                        </w14:solidFill>
                      </w14:textFill>
                    </w:rPr>
                    <w:t>水</w:t>
                  </w:r>
                </w:p>
              </w:tc>
              <w:tc>
                <w:tcPr>
                  <w:tcW w:w="1355" w:type="dxa"/>
                  <w:tcBorders>
                    <w:tl2br w:val="nil"/>
                    <w:tr2bl w:val="nil"/>
                  </w:tcBorders>
                  <w:noWrap w:val="0"/>
                  <w:vAlign w:val="center"/>
                </w:tcPr>
                <w:p w14:paraId="621D419A">
                  <w:pPr>
                    <w:autoSpaceDE w:val="0"/>
                    <w:autoSpaceDN w:val="0"/>
                    <w:adjustRightInd w:val="0"/>
                    <w:snapToGrid w:val="0"/>
                    <w:spacing w:line="240" w:lineRule="auto"/>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ascii="Times New Roman" w:hAnsi="Times New Roman" w:eastAsia="宋体" w:cs="Times New Roman"/>
                      <w:color w:val="000000" w:themeColor="text1"/>
                      <w:kern w:val="0"/>
                      <w:szCs w:val="21"/>
                      <w:highlight w:val="none"/>
                      <w14:textFill>
                        <w14:solidFill>
                          <w14:schemeClr w14:val="tx1"/>
                        </w14:solidFill>
                      </w14:textFill>
                    </w:rPr>
                    <w:t>水环境工业污染重点管控区</w:t>
                  </w:r>
                </w:p>
              </w:tc>
            </w:tr>
            <w:tr w14:paraId="6707A1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44" w:hRule="atLeast"/>
                <w:jc w:val="center"/>
              </w:trPr>
              <w:tc>
                <w:tcPr>
                  <w:tcW w:w="771" w:type="dxa"/>
                  <w:tcBorders>
                    <w:tl2br w:val="nil"/>
                    <w:tr2bl w:val="nil"/>
                  </w:tcBorders>
                  <w:noWrap w:val="0"/>
                  <w:vAlign w:val="center"/>
                </w:tcPr>
                <w:p w14:paraId="69A986C2">
                  <w:pPr>
                    <w:autoSpaceDE w:val="0"/>
                    <w:autoSpaceDN w:val="0"/>
                    <w:adjustRightInd w:val="0"/>
                    <w:snapToGrid w:val="0"/>
                    <w:spacing w:line="240" w:lineRule="auto"/>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2</w:t>
                  </w:r>
                </w:p>
              </w:tc>
              <w:tc>
                <w:tcPr>
                  <w:tcW w:w="1691" w:type="dxa"/>
                  <w:tcBorders>
                    <w:tl2br w:val="nil"/>
                    <w:tr2bl w:val="nil"/>
                  </w:tcBorders>
                  <w:noWrap w:val="0"/>
                  <w:vAlign w:val="center"/>
                </w:tcPr>
                <w:p w14:paraId="2B5A955F">
                  <w:pPr>
                    <w:autoSpaceDE w:val="0"/>
                    <w:autoSpaceDN w:val="0"/>
                    <w:adjustRightInd w:val="0"/>
                    <w:snapToGrid w:val="0"/>
                    <w:spacing w:line="240" w:lineRule="auto"/>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ascii="Times New Roman" w:hAnsi="Times New Roman" w:eastAsia="宋体" w:cs="Times New Roman"/>
                      <w:color w:val="000000" w:themeColor="text1"/>
                      <w:kern w:val="0"/>
                      <w:szCs w:val="21"/>
                      <w:highlight w:val="none"/>
                      <w14:textFill>
                        <w14:solidFill>
                          <w14:schemeClr w14:val="tx1"/>
                        </w14:solidFill>
                      </w14:textFill>
                    </w:rPr>
                    <w:t>四川巴中经开区（核心区块、金堂区块）</w:t>
                  </w:r>
                </w:p>
              </w:tc>
              <w:tc>
                <w:tcPr>
                  <w:tcW w:w="1282" w:type="dxa"/>
                  <w:tcBorders>
                    <w:tl2br w:val="nil"/>
                    <w:tr2bl w:val="nil"/>
                  </w:tcBorders>
                  <w:noWrap w:val="0"/>
                  <w:vAlign w:val="center"/>
                </w:tcPr>
                <w:p w14:paraId="42E54C2D">
                  <w:pPr>
                    <w:autoSpaceDE w:val="0"/>
                    <w:autoSpaceDN w:val="0"/>
                    <w:adjustRightInd w:val="0"/>
                    <w:snapToGrid w:val="0"/>
                    <w:spacing w:line="240" w:lineRule="auto"/>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ascii="Times New Roman" w:hAnsi="Times New Roman" w:eastAsia="宋体" w:cs="Times New Roman"/>
                      <w:color w:val="000000" w:themeColor="text1"/>
                      <w:kern w:val="0"/>
                      <w:szCs w:val="21"/>
                      <w:highlight w:val="none"/>
                      <w14:textFill>
                        <w14:solidFill>
                          <w14:schemeClr w14:val="tx1"/>
                        </w14:solidFill>
                      </w14:textFill>
                    </w:rPr>
                    <w:t>YS5119022310005</w:t>
                  </w:r>
                </w:p>
              </w:tc>
              <w:tc>
                <w:tcPr>
                  <w:tcW w:w="1009" w:type="dxa"/>
                  <w:tcBorders>
                    <w:tl2br w:val="nil"/>
                    <w:tr2bl w:val="nil"/>
                  </w:tcBorders>
                  <w:noWrap w:val="0"/>
                  <w:vAlign w:val="center"/>
                </w:tcPr>
                <w:p w14:paraId="61B6D96D">
                  <w:pPr>
                    <w:autoSpaceDE w:val="0"/>
                    <w:autoSpaceDN w:val="0"/>
                    <w:adjustRightInd w:val="0"/>
                    <w:snapToGrid w:val="0"/>
                    <w:spacing w:line="240" w:lineRule="auto"/>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ascii="Times New Roman" w:hAnsi="Times New Roman" w:eastAsia="宋体" w:cs="Times New Roman"/>
                      <w:color w:val="000000" w:themeColor="text1"/>
                      <w:kern w:val="0"/>
                      <w:szCs w:val="21"/>
                      <w:highlight w:val="none"/>
                      <w14:textFill>
                        <w14:solidFill>
                          <w14:schemeClr w14:val="tx1"/>
                        </w14:solidFill>
                      </w14:textFill>
                    </w:rPr>
                    <w:t>巴中市巴州区</w:t>
                  </w:r>
                </w:p>
              </w:tc>
              <w:tc>
                <w:tcPr>
                  <w:tcW w:w="845" w:type="dxa"/>
                  <w:tcBorders>
                    <w:tl2br w:val="nil"/>
                    <w:tr2bl w:val="nil"/>
                  </w:tcBorders>
                  <w:noWrap w:val="0"/>
                  <w:vAlign w:val="center"/>
                </w:tcPr>
                <w:p w14:paraId="3EE7F0ED">
                  <w:pPr>
                    <w:autoSpaceDE w:val="0"/>
                    <w:autoSpaceDN w:val="0"/>
                    <w:adjustRightInd w:val="0"/>
                    <w:snapToGrid w:val="0"/>
                    <w:spacing w:line="240" w:lineRule="auto"/>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ascii="Times New Roman" w:hAnsi="Times New Roman" w:eastAsia="宋体" w:cs="Times New Roman"/>
                      <w:color w:val="000000" w:themeColor="text1"/>
                      <w:kern w:val="0"/>
                      <w:szCs w:val="21"/>
                      <w:highlight w:val="none"/>
                      <w14:textFill>
                        <w14:solidFill>
                          <w14:schemeClr w14:val="tx1"/>
                        </w14:solidFill>
                      </w14:textFill>
                    </w:rPr>
                    <w:t>大气</w:t>
                  </w:r>
                </w:p>
              </w:tc>
              <w:tc>
                <w:tcPr>
                  <w:tcW w:w="1355" w:type="dxa"/>
                  <w:tcBorders>
                    <w:tl2br w:val="nil"/>
                    <w:tr2bl w:val="nil"/>
                  </w:tcBorders>
                  <w:noWrap w:val="0"/>
                  <w:vAlign w:val="center"/>
                </w:tcPr>
                <w:p w14:paraId="42A77354">
                  <w:pPr>
                    <w:autoSpaceDE w:val="0"/>
                    <w:autoSpaceDN w:val="0"/>
                    <w:adjustRightInd w:val="0"/>
                    <w:snapToGrid w:val="0"/>
                    <w:spacing w:line="240" w:lineRule="auto"/>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ascii="Times New Roman" w:hAnsi="Times New Roman" w:eastAsia="宋体" w:cs="Times New Roman"/>
                      <w:color w:val="000000" w:themeColor="text1"/>
                      <w:kern w:val="0"/>
                      <w:szCs w:val="21"/>
                      <w:highlight w:val="none"/>
                      <w14:textFill>
                        <w14:solidFill>
                          <w14:schemeClr w14:val="tx1"/>
                        </w14:solidFill>
                      </w14:textFill>
                    </w:rPr>
                    <w:t>大气环境高排放重点管控区</w:t>
                  </w:r>
                </w:p>
              </w:tc>
            </w:tr>
            <w:tr w14:paraId="0D6842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44" w:hRule="atLeast"/>
                <w:jc w:val="center"/>
              </w:trPr>
              <w:tc>
                <w:tcPr>
                  <w:tcW w:w="771" w:type="dxa"/>
                  <w:tcBorders>
                    <w:tl2br w:val="nil"/>
                    <w:tr2bl w:val="nil"/>
                  </w:tcBorders>
                  <w:noWrap w:val="0"/>
                  <w:vAlign w:val="center"/>
                </w:tcPr>
                <w:p w14:paraId="0E93FC98">
                  <w:pPr>
                    <w:autoSpaceDE w:val="0"/>
                    <w:autoSpaceDN w:val="0"/>
                    <w:adjustRightInd w:val="0"/>
                    <w:snapToGrid w:val="0"/>
                    <w:spacing w:line="240" w:lineRule="auto"/>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3</w:t>
                  </w:r>
                </w:p>
              </w:tc>
              <w:tc>
                <w:tcPr>
                  <w:tcW w:w="1691" w:type="dxa"/>
                  <w:tcBorders>
                    <w:tl2br w:val="nil"/>
                    <w:tr2bl w:val="nil"/>
                  </w:tcBorders>
                  <w:noWrap w:val="0"/>
                  <w:vAlign w:val="center"/>
                </w:tcPr>
                <w:p w14:paraId="03349C3A">
                  <w:pPr>
                    <w:autoSpaceDE w:val="0"/>
                    <w:autoSpaceDN w:val="0"/>
                    <w:adjustRightInd w:val="0"/>
                    <w:snapToGrid w:val="0"/>
                    <w:spacing w:line="240" w:lineRule="auto"/>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ascii="Times New Roman" w:hAnsi="Times New Roman" w:eastAsia="宋体" w:cs="Times New Roman"/>
                      <w:color w:val="000000" w:themeColor="text1"/>
                      <w:kern w:val="0"/>
                      <w:szCs w:val="21"/>
                      <w:highlight w:val="none"/>
                      <w14:textFill>
                        <w14:solidFill>
                          <w14:schemeClr w14:val="tx1"/>
                        </w14:solidFill>
                      </w14:textFill>
                    </w:rPr>
                    <w:t>巴州区城镇开发边界</w:t>
                  </w:r>
                </w:p>
              </w:tc>
              <w:tc>
                <w:tcPr>
                  <w:tcW w:w="1282" w:type="dxa"/>
                  <w:tcBorders>
                    <w:tl2br w:val="nil"/>
                    <w:tr2bl w:val="nil"/>
                  </w:tcBorders>
                  <w:noWrap w:val="0"/>
                  <w:vAlign w:val="center"/>
                </w:tcPr>
                <w:p w14:paraId="03E77037">
                  <w:pPr>
                    <w:autoSpaceDE w:val="0"/>
                    <w:autoSpaceDN w:val="0"/>
                    <w:adjustRightInd w:val="0"/>
                    <w:snapToGrid w:val="0"/>
                    <w:spacing w:line="240" w:lineRule="auto"/>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ascii="Times New Roman" w:hAnsi="Times New Roman" w:eastAsia="宋体" w:cs="Times New Roman"/>
                      <w:color w:val="000000" w:themeColor="text1"/>
                      <w:kern w:val="0"/>
                      <w:szCs w:val="21"/>
                      <w:highlight w:val="none"/>
                      <w14:textFill>
                        <w14:solidFill>
                          <w14:schemeClr w14:val="tx1"/>
                        </w14:solidFill>
                      </w14:textFill>
                    </w:rPr>
                    <w:t>YS5119022530001</w:t>
                  </w:r>
                </w:p>
              </w:tc>
              <w:tc>
                <w:tcPr>
                  <w:tcW w:w="1009" w:type="dxa"/>
                  <w:tcBorders>
                    <w:tl2br w:val="nil"/>
                    <w:tr2bl w:val="nil"/>
                  </w:tcBorders>
                  <w:noWrap w:val="0"/>
                  <w:vAlign w:val="center"/>
                </w:tcPr>
                <w:p w14:paraId="73F4A2B1">
                  <w:pPr>
                    <w:autoSpaceDE w:val="0"/>
                    <w:autoSpaceDN w:val="0"/>
                    <w:adjustRightInd w:val="0"/>
                    <w:snapToGrid w:val="0"/>
                    <w:spacing w:line="240" w:lineRule="auto"/>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ascii="Times New Roman" w:hAnsi="Times New Roman" w:eastAsia="宋体" w:cs="Times New Roman"/>
                      <w:color w:val="000000" w:themeColor="text1"/>
                      <w:kern w:val="0"/>
                      <w:szCs w:val="21"/>
                      <w:highlight w:val="none"/>
                      <w14:textFill>
                        <w14:solidFill>
                          <w14:schemeClr w14:val="tx1"/>
                        </w14:solidFill>
                      </w14:textFill>
                    </w:rPr>
                    <w:t>巴中市巴州区</w:t>
                  </w:r>
                </w:p>
              </w:tc>
              <w:tc>
                <w:tcPr>
                  <w:tcW w:w="845" w:type="dxa"/>
                  <w:tcBorders>
                    <w:tl2br w:val="nil"/>
                    <w:tr2bl w:val="nil"/>
                  </w:tcBorders>
                  <w:noWrap w:val="0"/>
                  <w:vAlign w:val="center"/>
                </w:tcPr>
                <w:p w14:paraId="30A214BC">
                  <w:pPr>
                    <w:autoSpaceDE w:val="0"/>
                    <w:autoSpaceDN w:val="0"/>
                    <w:adjustRightInd w:val="0"/>
                    <w:snapToGrid w:val="0"/>
                    <w:spacing w:line="240" w:lineRule="auto"/>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ascii="Times New Roman" w:hAnsi="Times New Roman" w:eastAsia="宋体" w:cs="Times New Roman"/>
                      <w:color w:val="000000" w:themeColor="text1"/>
                      <w:kern w:val="0"/>
                      <w:szCs w:val="21"/>
                      <w:highlight w:val="none"/>
                      <w14:textFill>
                        <w14:solidFill>
                          <w14:schemeClr w14:val="tx1"/>
                        </w14:solidFill>
                      </w14:textFill>
                    </w:rPr>
                    <w:t>自然资源</w:t>
                  </w:r>
                </w:p>
              </w:tc>
              <w:tc>
                <w:tcPr>
                  <w:tcW w:w="1355" w:type="dxa"/>
                  <w:tcBorders>
                    <w:tl2br w:val="nil"/>
                    <w:tr2bl w:val="nil"/>
                  </w:tcBorders>
                  <w:noWrap w:val="0"/>
                  <w:vAlign w:val="center"/>
                </w:tcPr>
                <w:p w14:paraId="42903DBF">
                  <w:pPr>
                    <w:autoSpaceDE w:val="0"/>
                    <w:autoSpaceDN w:val="0"/>
                    <w:adjustRightInd w:val="0"/>
                    <w:snapToGrid w:val="0"/>
                    <w:spacing w:line="240" w:lineRule="auto"/>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ascii="Times New Roman" w:hAnsi="Times New Roman" w:eastAsia="宋体" w:cs="Times New Roman"/>
                      <w:color w:val="000000" w:themeColor="text1"/>
                      <w:kern w:val="0"/>
                      <w:szCs w:val="21"/>
                      <w:highlight w:val="none"/>
                      <w14:textFill>
                        <w14:solidFill>
                          <w14:schemeClr w14:val="tx1"/>
                        </w14:solidFill>
                      </w14:textFill>
                    </w:rPr>
                    <w:t>土地资源重点管控区</w:t>
                  </w:r>
                </w:p>
              </w:tc>
            </w:tr>
            <w:tr w14:paraId="016134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44" w:hRule="atLeast"/>
                <w:jc w:val="center"/>
              </w:trPr>
              <w:tc>
                <w:tcPr>
                  <w:tcW w:w="771" w:type="dxa"/>
                  <w:tcBorders>
                    <w:tl2br w:val="nil"/>
                    <w:tr2bl w:val="nil"/>
                  </w:tcBorders>
                  <w:noWrap w:val="0"/>
                  <w:vAlign w:val="center"/>
                </w:tcPr>
                <w:p w14:paraId="4942A545">
                  <w:pPr>
                    <w:autoSpaceDE w:val="0"/>
                    <w:autoSpaceDN w:val="0"/>
                    <w:adjustRightInd w:val="0"/>
                    <w:snapToGrid w:val="0"/>
                    <w:spacing w:line="240" w:lineRule="auto"/>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4</w:t>
                  </w:r>
                </w:p>
              </w:tc>
              <w:tc>
                <w:tcPr>
                  <w:tcW w:w="1691" w:type="dxa"/>
                  <w:tcBorders>
                    <w:tl2br w:val="nil"/>
                    <w:tr2bl w:val="nil"/>
                  </w:tcBorders>
                  <w:noWrap w:val="0"/>
                  <w:vAlign w:val="center"/>
                </w:tcPr>
                <w:p w14:paraId="3A528C3A">
                  <w:pPr>
                    <w:autoSpaceDE w:val="0"/>
                    <w:autoSpaceDN w:val="0"/>
                    <w:adjustRightInd w:val="0"/>
                    <w:snapToGrid w:val="0"/>
                    <w:spacing w:line="240" w:lineRule="auto"/>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ascii="Times New Roman" w:hAnsi="Times New Roman" w:eastAsia="宋体" w:cs="Times New Roman"/>
                      <w:color w:val="000000" w:themeColor="text1"/>
                      <w:kern w:val="0"/>
                      <w:szCs w:val="21"/>
                      <w:highlight w:val="none"/>
                      <w14:textFill>
                        <w14:solidFill>
                          <w14:schemeClr w14:val="tx1"/>
                        </w14:solidFill>
                      </w14:textFill>
                    </w:rPr>
                    <w:t>巴州区自然资源重点管控区</w:t>
                  </w:r>
                </w:p>
              </w:tc>
              <w:tc>
                <w:tcPr>
                  <w:tcW w:w="1282" w:type="dxa"/>
                  <w:tcBorders>
                    <w:tl2br w:val="nil"/>
                    <w:tr2bl w:val="nil"/>
                  </w:tcBorders>
                  <w:noWrap w:val="0"/>
                  <w:vAlign w:val="center"/>
                </w:tcPr>
                <w:p w14:paraId="7122A70C">
                  <w:pPr>
                    <w:autoSpaceDE w:val="0"/>
                    <w:autoSpaceDN w:val="0"/>
                    <w:adjustRightInd w:val="0"/>
                    <w:snapToGrid w:val="0"/>
                    <w:spacing w:line="240" w:lineRule="auto"/>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ascii="Times New Roman" w:hAnsi="Times New Roman" w:eastAsia="宋体" w:cs="Times New Roman"/>
                      <w:color w:val="000000" w:themeColor="text1"/>
                      <w:kern w:val="0"/>
                      <w:szCs w:val="21"/>
                      <w:highlight w:val="none"/>
                      <w14:textFill>
                        <w14:solidFill>
                          <w14:schemeClr w14:val="tx1"/>
                        </w14:solidFill>
                      </w14:textFill>
                    </w:rPr>
                    <w:t>YS5119022550001</w:t>
                  </w:r>
                </w:p>
              </w:tc>
              <w:tc>
                <w:tcPr>
                  <w:tcW w:w="1009" w:type="dxa"/>
                  <w:tcBorders>
                    <w:tl2br w:val="nil"/>
                    <w:tr2bl w:val="nil"/>
                  </w:tcBorders>
                  <w:noWrap w:val="0"/>
                  <w:vAlign w:val="center"/>
                </w:tcPr>
                <w:p w14:paraId="0C8FCB96">
                  <w:pPr>
                    <w:autoSpaceDE w:val="0"/>
                    <w:autoSpaceDN w:val="0"/>
                    <w:adjustRightInd w:val="0"/>
                    <w:snapToGrid w:val="0"/>
                    <w:spacing w:line="240" w:lineRule="auto"/>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ascii="Times New Roman" w:hAnsi="Times New Roman" w:eastAsia="宋体" w:cs="Times New Roman"/>
                      <w:color w:val="000000" w:themeColor="text1"/>
                      <w:kern w:val="0"/>
                      <w:szCs w:val="21"/>
                      <w:highlight w:val="none"/>
                      <w14:textFill>
                        <w14:solidFill>
                          <w14:schemeClr w14:val="tx1"/>
                        </w14:solidFill>
                      </w14:textFill>
                    </w:rPr>
                    <w:t>巴中市巴州区</w:t>
                  </w:r>
                </w:p>
              </w:tc>
              <w:tc>
                <w:tcPr>
                  <w:tcW w:w="845" w:type="dxa"/>
                  <w:tcBorders>
                    <w:tl2br w:val="nil"/>
                    <w:tr2bl w:val="nil"/>
                  </w:tcBorders>
                  <w:noWrap w:val="0"/>
                  <w:vAlign w:val="center"/>
                </w:tcPr>
                <w:p w14:paraId="50D92B42">
                  <w:pPr>
                    <w:autoSpaceDE w:val="0"/>
                    <w:autoSpaceDN w:val="0"/>
                    <w:adjustRightInd w:val="0"/>
                    <w:snapToGrid w:val="0"/>
                    <w:spacing w:line="240" w:lineRule="auto"/>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ascii="Times New Roman" w:hAnsi="Times New Roman" w:eastAsia="宋体" w:cs="Times New Roman"/>
                      <w:color w:val="000000" w:themeColor="text1"/>
                      <w:kern w:val="0"/>
                      <w:szCs w:val="21"/>
                      <w:highlight w:val="none"/>
                      <w14:textFill>
                        <w14:solidFill>
                          <w14:schemeClr w14:val="tx1"/>
                        </w14:solidFill>
                      </w14:textFill>
                    </w:rPr>
                    <w:t>自然资源</w:t>
                  </w:r>
                </w:p>
              </w:tc>
              <w:tc>
                <w:tcPr>
                  <w:tcW w:w="1355" w:type="dxa"/>
                  <w:tcBorders>
                    <w:tl2br w:val="nil"/>
                    <w:tr2bl w:val="nil"/>
                  </w:tcBorders>
                  <w:noWrap w:val="0"/>
                  <w:vAlign w:val="center"/>
                </w:tcPr>
                <w:p w14:paraId="57E4975F">
                  <w:pPr>
                    <w:autoSpaceDE w:val="0"/>
                    <w:autoSpaceDN w:val="0"/>
                    <w:adjustRightInd w:val="0"/>
                    <w:snapToGrid w:val="0"/>
                    <w:spacing w:line="240" w:lineRule="auto"/>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ascii="Times New Roman" w:hAnsi="Times New Roman" w:eastAsia="宋体" w:cs="Times New Roman"/>
                      <w:color w:val="000000" w:themeColor="text1"/>
                      <w:kern w:val="0"/>
                      <w:szCs w:val="21"/>
                      <w:highlight w:val="none"/>
                      <w14:textFill>
                        <w14:solidFill>
                          <w14:schemeClr w14:val="tx1"/>
                        </w14:solidFill>
                      </w14:textFill>
                    </w:rPr>
                    <w:t>自然资源重点管控区</w:t>
                  </w:r>
                </w:p>
              </w:tc>
            </w:tr>
            <w:tr w14:paraId="243269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44" w:hRule="atLeast"/>
                <w:jc w:val="center"/>
              </w:trPr>
              <w:tc>
                <w:tcPr>
                  <w:tcW w:w="771" w:type="dxa"/>
                  <w:tcBorders>
                    <w:tl2br w:val="nil"/>
                    <w:tr2bl w:val="nil"/>
                  </w:tcBorders>
                  <w:noWrap w:val="0"/>
                  <w:vAlign w:val="center"/>
                </w:tcPr>
                <w:p w14:paraId="0184EF17">
                  <w:pPr>
                    <w:autoSpaceDE w:val="0"/>
                    <w:autoSpaceDN w:val="0"/>
                    <w:adjustRightInd w:val="0"/>
                    <w:snapToGrid w:val="0"/>
                    <w:spacing w:line="240" w:lineRule="auto"/>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5</w:t>
                  </w:r>
                </w:p>
              </w:tc>
              <w:tc>
                <w:tcPr>
                  <w:tcW w:w="1691" w:type="dxa"/>
                  <w:tcBorders>
                    <w:tl2br w:val="nil"/>
                    <w:tr2bl w:val="nil"/>
                  </w:tcBorders>
                  <w:noWrap w:val="0"/>
                  <w:vAlign w:val="center"/>
                </w:tcPr>
                <w:p w14:paraId="47AC8B2F">
                  <w:pPr>
                    <w:autoSpaceDE w:val="0"/>
                    <w:autoSpaceDN w:val="0"/>
                    <w:adjustRightInd w:val="0"/>
                    <w:snapToGrid w:val="0"/>
                    <w:spacing w:line="240" w:lineRule="auto"/>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ascii="Times New Roman" w:hAnsi="Times New Roman" w:eastAsia="宋体" w:cs="Times New Roman"/>
                      <w:color w:val="000000" w:themeColor="text1"/>
                      <w:kern w:val="0"/>
                      <w:szCs w:val="21"/>
                      <w:highlight w:val="none"/>
                      <w14:textFill>
                        <w14:solidFill>
                          <w14:schemeClr w14:val="tx1"/>
                        </w14:solidFill>
                      </w14:textFill>
                    </w:rPr>
                    <w:t>巴州区其他区域</w:t>
                  </w:r>
                </w:p>
              </w:tc>
              <w:tc>
                <w:tcPr>
                  <w:tcW w:w="1282" w:type="dxa"/>
                  <w:tcBorders>
                    <w:tl2br w:val="nil"/>
                    <w:tr2bl w:val="nil"/>
                  </w:tcBorders>
                  <w:noWrap w:val="0"/>
                  <w:vAlign w:val="center"/>
                </w:tcPr>
                <w:p w14:paraId="25C55AFD">
                  <w:pPr>
                    <w:autoSpaceDE w:val="0"/>
                    <w:autoSpaceDN w:val="0"/>
                    <w:adjustRightInd w:val="0"/>
                    <w:snapToGrid w:val="0"/>
                    <w:spacing w:line="240" w:lineRule="auto"/>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ascii="Times New Roman" w:hAnsi="Times New Roman" w:eastAsia="宋体" w:cs="Times New Roman"/>
                      <w:color w:val="000000" w:themeColor="text1"/>
                      <w:kern w:val="0"/>
                      <w:szCs w:val="21"/>
                      <w:highlight w:val="none"/>
                      <w14:textFill>
                        <w14:solidFill>
                          <w14:schemeClr w14:val="tx1"/>
                        </w14:solidFill>
                      </w14:textFill>
                    </w:rPr>
                    <w:t>YS5119023110001</w:t>
                  </w:r>
                </w:p>
              </w:tc>
              <w:tc>
                <w:tcPr>
                  <w:tcW w:w="1009" w:type="dxa"/>
                  <w:tcBorders>
                    <w:tl2br w:val="nil"/>
                    <w:tr2bl w:val="nil"/>
                  </w:tcBorders>
                  <w:noWrap w:val="0"/>
                  <w:vAlign w:val="center"/>
                </w:tcPr>
                <w:p w14:paraId="1C547778">
                  <w:pPr>
                    <w:autoSpaceDE w:val="0"/>
                    <w:autoSpaceDN w:val="0"/>
                    <w:adjustRightInd w:val="0"/>
                    <w:snapToGrid w:val="0"/>
                    <w:spacing w:line="240" w:lineRule="auto"/>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ascii="Times New Roman" w:hAnsi="Times New Roman" w:eastAsia="宋体" w:cs="Times New Roman"/>
                      <w:color w:val="000000" w:themeColor="text1"/>
                      <w:kern w:val="0"/>
                      <w:szCs w:val="21"/>
                      <w:highlight w:val="none"/>
                      <w14:textFill>
                        <w14:solidFill>
                          <w14:schemeClr w14:val="tx1"/>
                        </w14:solidFill>
                      </w14:textFill>
                    </w:rPr>
                    <w:t>巴中市巴州区</w:t>
                  </w:r>
                </w:p>
              </w:tc>
              <w:tc>
                <w:tcPr>
                  <w:tcW w:w="845" w:type="dxa"/>
                  <w:tcBorders>
                    <w:tl2br w:val="nil"/>
                    <w:tr2bl w:val="nil"/>
                  </w:tcBorders>
                  <w:noWrap w:val="0"/>
                  <w:vAlign w:val="center"/>
                </w:tcPr>
                <w:p w14:paraId="66EFE675">
                  <w:pPr>
                    <w:autoSpaceDE w:val="0"/>
                    <w:autoSpaceDN w:val="0"/>
                    <w:adjustRightInd w:val="0"/>
                    <w:snapToGrid w:val="0"/>
                    <w:spacing w:line="240" w:lineRule="auto"/>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ascii="Times New Roman" w:hAnsi="Times New Roman" w:eastAsia="宋体" w:cs="Times New Roman"/>
                      <w:color w:val="000000" w:themeColor="text1"/>
                      <w:kern w:val="0"/>
                      <w:szCs w:val="21"/>
                      <w:highlight w:val="none"/>
                      <w14:textFill>
                        <w14:solidFill>
                          <w14:schemeClr w14:val="tx1"/>
                        </w14:solidFill>
                      </w14:textFill>
                    </w:rPr>
                    <w:t>生态</w:t>
                  </w:r>
                </w:p>
              </w:tc>
              <w:tc>
                <w:tcPr>
                  <w:tcW w:w="1355" w:type="dxa"/>
                  <w:tcBorders>
                    <w:tl2br w:val="nil"/>
                    <w:tr2bl w:val="nil"/>
                  </w:tcBorders>
                  <w:noWrap w:val="0"/>
                  <w:vAlign w:val="center"/>
                </w:tcPr>
                <w:p w14:paraId="0F58274C">
                  <w:pPr>
                    <w:autoSpaceDE w:val="0"/>
                    <w:autoSpaceDN w:val="0"/>
                    <w:adjustRightInd w:val="0"/>
                    <w:snapToGrid w:val="0"/>
                    <w:spacing w:line="240" w:lineRule="auto"/>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ascii="Times New Roman" w:hAnsi="Times New Roman" w:eastAsia="宋体" w:cs="Times New Roman"/>
                      <w:color w:val="000000" w:themeColor="text1"/>
                      <w:kern w:val="0"/>
                      <w:szCs w:val="21"/>
                      <w:highlight w:val="none"/>
                      <w14:textFill>
                        <w14:solidFill>
                          <w14:schemeClr w14:val="tx1"/>
                        </w14:solidFill>
                      </w14:textFill>
                    </w:rPr>
                    <w:t>一般管控区</w:t>
                  </w:r>
                </w:p>
              </w:tc>
            </w:tr>
          </w:tbl>
          <w:p w14:paraId="790DD6B0">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imes New Roman" w:hAnsi="Times New Roman"/>
                <w:b w:val="0"/>
                <w:bCs w:val="0"/>
                <w:color w:val="000000" w:themeColor="text1"/>
                <w:sz w:val="24"/>
                <w:highlight w:val="none"/>
                <w:lang w:val="en-US" w:eastAsia="zh-CN"/>
                <w14:textFill>
                  <w14:solidFill>
                    <w14:schemeClr w14:val="tx1"/>
                  </w14:solidFill>
                </w14:textFill>
              </w:rPr>
            </w:pPr>
            <w:r>
              <w:rPr>
                <w:rFonts w:hint="eastAsia" w:ascii="Times New Roman" w:hAnsi="Times New Roman"/>
                <w:b w:val="0"/>
                <w:bCs w:val="0"/>
                <w:color w:val="000000" w:themeColor="text1"/>
                <w:sz w:val="24"/>
                <w:highlight w:val="none"/>
                <w:lang w:val="en-US" w:eastAsia="zh-CN"/>
                <w14:textFill>
                  <w14:solidFill>
                    <w14:schemeClr w14:val="tx1"/>
                  </w14:solidFill>
                </w14:textFill>
              </w:rPr>
              <w:t>本项目与管控单元相对位置如下图所示：</w:t>
            </w:r>
          </w:p>
          <w:p w14:paraId="00BFC1C1">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center"/>
              <w:textAlignment w:val="auto"/>
              <w:rPr>
                <w:rFonts w:hint="default" w:ascii="Times New Roman" w:hAnsi="Times New Roman" w:eastAsia="宋体" w:cs="Times New Roman"/>
                <w:color w:val="000000" w:themeColor="text1"/>
                <w:sz w:val="24"/>
                <w:lang w:val="en-US" w:eastAsia="zh-CN"/>
                <w14:textFill>
                  <w14:solidFill>
                    <w14:schemeClr w14:val="tx1"/>
                  </w14:solidFill>
                </w14:textFill>
              </w:rPr>
            </w:pPr>
            <w:r>
              <w:rPr>
                <w:color w:val="000000" w:themeColor="text1"/>
                <w:sz w:val="24"/>
                <w14:textFill>
                  <w14:solidFill>
                    <w14:schemeClr w14:val="tx1"/>
                  </w14:solidFill>
                </w14:textFill>
              </w:rPr>
              <mc:AlternateContent>
                <mc:Choice Requires="wps">
                  <w:drawing>
                    <wp:anchor distT="0" distB="0" distL="114300" distR="114300" simplePos="0" relativeHeight="251667456" behindDoc="0" locked="0" layoutInCell="1" allowOverlap="1">
                      <wp:simplePos x="0" y="0"/>
                      <wp:positionH relativeFrom="column">
                        <wp:posOffset>2152650</wp:posOffset>
                      </wp:positionH>
                      <wp:positionV relativeFrom="paragraph">
                        <wp:posOffset>534035</wp:posOffset>
                      </wp:positionV>
                      <wp:extent cx="732790" cy="304800"/>
                      <wp:effectExtent l="282575" t="6350" r="13335" b="184150"/>
                      <wp:wrapNone/>
                      <wp:docPr id="30" name="矩形标注 30"/>
                      <wp:cNvGraphicFramePr/>
                      <a:graphic xmlns:a="http://schemas.openxmlformats.org/drawingml/2006/main">
                        <a:graphicData uri="http://schemas.microsoft.com/office/word/2010/wordprocessingShape">
                          <wps:wsp>
                            <wps:cNvSpPr/>
                            <wps:spPr>
                              <a:xfrm>
                                <a:off x="4197350" y="5038090"/>
                                <a:ext cx="732790" cy="304800"/>
                              </a:xfrm>
                              <a:prstGeom prst="wedgeRectCallout">
                                <a:avLst>
                                  <a:gd name="adj1" fmla="val -81889"/>
                                  <a:gd name="adj2" fmla="val 100000"/>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52BE00C5">
                                  <w:pPr>
                                    <w:jc w:val="center"/>
                                    <w:rPr>
                                      <w:rFonts w:hint="eastAsia" w:eastAsia="宋体"/>
                                      <w:color w:val="FF0000"/>
                                      <w:lang w:val="en-US" w:eastAsia="zh-CN"/>
                                    </w:rPr>
                                  </w:pPr>
                                  <w:r>
                                    <w:rPr>
                                      <w:rFonts w:hint="eastAsia"/>
                                      <w:color w:val="FF0000"/>
                                      <w:lang w:val="en-US" w:eastAsia="zh-CN"/>
                                    </w:rPr>
                                    <w:t>本项目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169.5pt;margin-top:42.05pt;height:24pt;width:57.7pt;z-index:251667456;v-text-anchor:middle;mso-width-relative:page;mso-height-relative:page;" filled="f" stroked="t" coordsize="21600,21600" o:gfxdata="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" adj="-6888,32400">
                      <v:fill on="f" focussize="0,0"/>
                      <v:stroke weight="1pt" color="#FF0000 [2404]" miterlimit="8" joinstyle="miter"/>
                      <v:imagedata o:title=""/>
                      <o:lock v:ext="edit" aspectratio="f"/>
                      <v:textbox>
                        <w:txbxContent>
                          <w:p w14:paraId="52BE00C5">
                            <w:pPr>
                              <w:jc w:val="center"/>
                              <w:rPr>
                                <w:rFonts w:hint="eastAsia" w:eastAsia="宋体"/>
                                <w:color w:val="FF0000"/>
                                <w:lang w:val="en-US" w:eastAsia="zh-CN"/>
                              </w:rPr>
                            </w:pPr>
                            <w:r>
                              <w:rPr>
                                <w:rFonts w:hint="eastAsia"/>
                                <w:color w:val="FF0000"/>
                                <w:lang w:val="en-US" w:eastAsia="zh-CN"/>
                              </w:rPr>
                              <w:t>本项目</w:t>
                            </w:r>
                          </w:p>
                        </w:txbxContent>
                      </v:textbox>
                    </v:shape>
                  </w:pict>
                </mc:Fallback>
              </mc:AlternateContent>
            </w:r>
            <w:r>
              <w:rPr>
                <w:rFonts w:hint="default" w:ascii="Times New Roman" w:hAnsi="Times New Roman" w:eastAsia="宋体" w:cs="Times New Roman"/>
                <w:color w:val="000000" w:themeColor="text1"/>
                <w:sz w:val="24"/>
                <w:lang w:val="en-US" w:eastAsia="zh-CN"/>
                <w14:textFill>
                  <w14:solidFill>
                    <w14:schemeClr w14:val="tx1"/>
                  </w14:solidFill>
                </w14:textFill>
              </w:rPr>
              <w:drawing>
                <wp:inline distT="0" distB="0" distL="114300" distR="114300">
                  <wp:extent cx="4274820" cy="1928495"/>
                  <wp:effectExtent l="0" t="0" r="11430" b="14605"/>
                  <wp:docPr id="31" name="图片 31" descr="地图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地图 (5)"/>
                          <pic:cNvPicPr>
                            <a:picLocks noChangeAspect="1"/>
                          </pic:cNvPicPr>
                        </pic:nvPicPr>
                        <pic:blipFill>
                          <a:blip r:embed="rId10"/>
                          <a:stretch>
                            <a:fillRect/>
                          </a:stretch>
                        </pic:blipFill>
                        <pic:spPr>
                          <a:xfrm>
                            <a:off x="0" y="0"/>
                            <a:ext cx="4274820" cy="1928495"/>
                          </a:xfrm>
                          <a:prstGeom prst="rect">
                            <a:avLst/>
                          </a:prstGeom>
                        </pic:spPr>
                      </pic:pic>
                    </a:graphicData>
                  </a:graphic>
                </wp:inline>
              </w:drawing>
            </w:r>
          </w:p>
          <w:p w14:paraId="11293118">
            <w:pPr>
              <w:autoSpaceDE w:val="0"/>
              <w:autoSpaceDN w:val="0"/>
              <w:spacing w:line="360" w:lineRule="auto"/>
              <w:jc w:val="center"/>
              <w:rPr>
                <w:rFonts w:hint="eastAsia" w:ascii="Times New Roman" w:hAnsi="Times New Roman"/>
                <w:b/>
                <w:bCs/>
                <w:color w:val="000000" w:themeColor="text1"/>
                <w:sz w:val="21"/>
                <w:szCs w:val="21"/>
                <w:highlight w:val="none"/>
                <w14:textFill>
                  <w14:solidFill>
                    <w14:schemeClr w14:val="tx1"/>
                  </w14:solidFill>
                </w14:textFill>
              </w:rPr>
            </w:pPr>
            <w:r>
              <w:rPr>
                <w:rFonts w:hint="eastAsia" w:ascii="Times New Roman" w:hAnsi="Times New Roman"/>
                <w:b/>
                <w:bCs/>
                <w:color w:val="000000" w:themeColor="text1"/>
                <w:sz w:val="21"/>
                <w:szCs w:val="21"/>
                <w:highlight w:val="none"/>
                <w14:textFill>
                  <w14:solidFill>
                    <w14:schemeClr w14:val="tx1"/>
                  </w14:solidFill>
                </w14:textFill>
              </w:rPr>
              <w:t>图1-</w:t>
            </w:r>
            <w:r>
              <w:rPr>
                <w:rFonts w:hint="eastAsia"/>
                <w:b/>
                <w:bCs/>
                <w:color w:val="000000" w:themeColor="text1"/>
                <w:sz w:val="21"/>
                <w:szCs w:val="21"/>
                <w:highlight w:val="none"/>
                <w:lang w:val="en-US" w:eastAsia="zh-CN"/>
                <w14:textFill>
                  <w14:solidFill>
                    <w14:schemeClr w14:val="tx1"/>
                  </w14:solidFill>
                </w14:textFill>
              </w:rPr>
              <w:t>3</w:t>
            </w:r>
            <w:r>
              <w:rPr>
                <w:rFonts w:hint="eastAsia" w:ascii="Times New Roman" w:hAnsi="Times New Roman"/>
                <w:b/>
                <w:bCs/>
                <w:color w:val="000000" w:themeColor="text1"/>
                <w:sz w:val="21"/>
                <w:szCs w:val="21"/>
                <w:highlight w:val="none"/>
                <w:lang w:val="en-US" w:eastAsia="zh-CN"/>
                <w14:textFill>
                  <w14:solidFill>
                    <w14:schemeClr w14:val="tx1"/>
                  </w14:solidFill>
                </w14:textFill>
              </w:rPr>
              <w:t xml:space="preserve"> </w:t>
            </w:r>
            <w:r>
              <w:rPr>
                <w:rFonts w:hint="eastAsia" w:ascii="Times New Roman" w:hAnsi="Times New Roman"/>
                <w:b/>
                <w:bCs/>
                <w:color w:val="000000" w:themeColor="text1"/>
                <w:sz w:val="21"/>
                <w:szCs w:val="21"/>
                <w:highlight w:val="none"/>
                <w14:textFill>
                  <w14:solidFill>
                    <w14:schemeClr w14:val="tx1"/>
                  </w14:solidFill>
                </w14:textFill>
              </w:rPr>
              <w:t>本项目</w:t>
            </w:r>
            <w:r>
              <w:rPr>
                <w:rFonts w:hint="eastAsia" w:ascii="Times New Roman" w:hAnsi="Times New Roman"/>
                <w:b/>
                <w:bCs/>
                <w:color w:val="000000" w:themeColor="text1"/>
                <w:sz w:val="21"/>
                <w:szCs w:val="21"/>
                <w:highlight w:val="none"/>
                <w:lang w:val="en-US" w:eastAsia="zh-CN"/>
                <w14:textFill>
                  <w14:solidFill>
                    <w14:schemeClr w14:val="tx1"/>
                  </w14:solidFill>
                </w14:textFill>
              </w:rPr>
              <w:t>与生态环境管控单元的位置关系</w:t>
            </w:r>
            <w:r>
              <w:rPr>
                <w:rFonts w:hint="eastAsia" w:ascii="Times New Roman" w:hAnsi="Times New Roman"/>
                <w:b/>
                <w:bCs/>
                <w:color w:val="000000" w:themeColor="text1"/>
                <w:sz w:val="21"/>
                <w:szCs w:val="21"/>
                <w:highlight w:val="none"/>
                <w14:textFill>
                  <w14:solidFill>
                    <w14:schemeClr w14:val="tx1"/>
                  </w14:solidFill>
                </w14:textFill>
              </w:rPr>
              <w:t>图</w:t>
            </w:r>
          </w:p>
          <w:p w14:paraId="374A3BCD">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（3）所属经济区管控要求</w:t>
            </w:r>
          </w:p>
          <w:p w14:paraId="7BFB75CC">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本项目位于川东北经济区内。本项目与川东北经济区管控要求符合性分析如下：</w:t>
            </w:r>
          </w:p>
          <w:p w14:paraId="2F62ECC8">
            <w:pPr>
              <w:keepNext w:val="0"/>
              <w:keepLines w:val="0"/>
              <w:pageBreakBefore w:val="0"/>
              <w:widowControl w:val="0"/>
              <w:kinsoku/>
              <w:wordWrap/>
              <w:overflowPunct/>
              <w:topLinePunct w:val="0"/>
              <w:autoSpaceDE w:val="0"/>
              <w:autoSpaceDN w:val="0"/>
              <w:bidi w:val="0"/>
              <w:adjustRightInd/>
              <w:snapToGrid/>
              <w:spacing w:line="240" w:lineRule="auto"/>
              <w:ind w:firstLine="422" w:firstLineChars="200"/>
              <w:jc w:val="center"/>
              <w:textAlignment w:val="auto"/>
              <w:rPr>
                <w:rFonts w:hint="default" w:ascii="Times New Roman" w:hAnsi="Times New Roman" w:eastAsia="宋体" w:cs="Times New Roman"/>
                <w:b w:val="0"/>
                <w:bCs w:val="0"/>
                <w:color w:val="000000" w:themeColor="text1"/>
                <w:sz w:val="24"/>
                <w:highlight w:val="none"/>
                <w:lang w:val="en-US" w:eastAsia="zh-CN"/>
                <w14:textFill>
                  <w14:solidFill>
                    <w14:schemeClr w14:val="tx1"/>
                  </w14:solidFill>
                </w14:textFill>
              </w:rPr>
            </w:pPr>
            <w:r>
              <w:rPr>
                <w:rFonts w:hint="eastAsia" w:ascii="Times New Roman" w:hAnsi="Times New Roman"/>
                <w:b/>
                <w:bCs/>
                <w:color w:val="000000" w:themeColor="text1"/>
                <w:sz w:val="21"/>
                <w:szCs w:val="21"/>
                <w:highlight w:val="none"/>
                <w14:textFill>
                  <w14:solidFill>
                    <w14:schemeClr w14:val="tx1"/>
                  </w14:solidFill>
                </w14:textFill>
              </w:rPr>
              <w:t>表1</w:t>
            </w:r>
            <w:r>
              <w:rPr>
                <w:rFonts w:hint="eastAsia" w:ascii="Times New Roman" w:hAnsi="Times New Roman"/>
                <w:b/>
                <w:bCs/>
                <w:color w:val="000000" w:themeColor="text1"/>
                <w:sz w:val="21"/>
                <w:szCs w:val="21"/>
                <w:highlight w:val="none"/>
                <w:lang w:val="en-US" w:eastAsia="zh-CN"/>
                <w14:textFill>
                  <w14:solidFill>
                    <w14:schemeClr w14:val="tx1"/>
                  </w14:solidFill>
                </w14:textFill>
              </w:rPr>
              <w:t>-5 本项目与川东北经济区管控要求符合性分析</w:t>
            </w:r>
          </w:p>
          <w:tbl>
            <w:tblPr>
              <w:tblStyle w:val="42"/>
              <w:tblW w:w="698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96"/>
              <w:gridCol w:w="855"/>
              <w:gridCol w:w="2960"/>
              <w:gridCol w:w="1735"/>
              <w:gridCol w:w="735"/>
            </w:tblGrid>
            <w:tr w14:paraId="62D6BA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696" w:type="dxa"/>
                  <w:tcBorders>
                    <w:tl2br w:val="nil"/>
                    <w:tr2bl w:val="nil"/>
                  </w:tcBorders>
                  <w:shd w:val="clear" w:color="auto" w:fill="auto"/>
                  <w:noWrap w:val="0"/>
                  <w:vAlign w:val="center"/>
                </w:tcPr>
                <w:p w14:paraId="39C65B1D">
                  <w:pPr>
                    <w:pStyle w:val="70"/>
                    <w:spacing w:line="240" w:lineRule="auto"/>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color w:val="000000" w:themeColor="text1"/>
                      <w:sz w:val="21"/>
                      <w:szCs w:val="21"/>
                      <w:lang w:val="en-US" w:eastAsia="zh-CN"/>
                      <w14:textFill>
                        <w14:solidFill>
                          <w14:schemeClr w14:val="tx1"/>
                        </w14:solidFill>
                      </w14:textFill>
                    </w:rPr>
                    <w:t>名称</w:t>
                  </w:r>
                </w:p>
              </w:tc>
              <w:tc>
                <w:tcPr>
                  <w:tcW w:w="855" w:type="dxa"/>
                  <w:tcBorders>
                    <w:tl2br w:val="nil"/>
                    <w:tr2bl w:val="nil"/>
                  </w:tcBorders>
                  <w:shd w:val="clear" w:color="auto" w:fill="auto"/>
                  <w:noWrap w:val="0"/>
                  <w:vAlign w:val="center"/>
                </w:tcPr>
                <w:p w14:paraId="2938932A">
                  <w:pPr>
                    <w:pStyle w:val="70"/>
                    <w:spacing w:line="240" w:lineRule="auto"/>
                    <w:rPr>
                      <w:rFonts w:hint="eastAsia" w:ascii="Times New Roman" w:hAnsi="Times New Roman" w:eastAsia="宋体" w:cs="Times New Roman"/>
                      <w:b/>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标题</w:t>
                  </w:r>
                </w:p>
              </w:tc>
              <w:tc>
                <w:tcPr>
                  <w:tcW w:w="2960" w:type="dxa"/>
                  <w:tcBorders>
                    <w:tl2br w:val="nil"/>
                    <w:tr2bl w:val="nil"/>
                  </w:tcBorders>
                  <w:shd w:val="clear" w:color="auto" w:fill="auto"/>
                  <w:noWrap w:val="0"/>
                  <w:vAlign w:val="center"/>
                </w:tcPr>
                <w:p w14:paraId="1B65AE66">
                  <w:pPr>
                    <w:pStyle w:val="70"/>
                    <w:spacing w:line="240" w:lineRule="auto"/>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内容</w:t>
                  </w:r>
                </w:p>
              </w:tc>
              <w:tc>
                <w:tcPr>
                  <w:tcW w:w="1735" w:type="dxa"/>
                  <w:tcBorders>
                    <w:tl2br w:val="nil"/>
                    <w:tr2bl w:val="nil"/>
                  </w:tcBorders>
                  <w:shd w:val="clear" w:color="auto" w:fill="auto"/>
                  <w:noWrap w:val="0"/>
                  <w:vAlign w:val="center"/>
                </w:tcPr>
                <w:p w14:paraId="0BFD187E">
                  <w:pPr>
                    <w:pStyle w:val="70"/>
                    <w:spacing w:line="240" w:lineRule="auto"/>
                    <w:rPr>
                      <w:rFonts w:hint="eastAsia" w:ascii="Times New Roman" w:hAnsi="Times New Roman" w:eastAsia="宋体" w:cs="Times New Roman"/>
                      <w:b/>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本项目情况</w:t>
                  </w:r>
                </w:p>
              </w:tc>
              <w:tc>
                <w:tcPr>
                  <w:tcW w:w="735" w:type="dxa"/>
                  <w:tcBorders>
                    <w:tl2br w:val="nil"/>
                    <w:tr2bl w:val="nil"/>
                  </w:tcBorders>
                  <w:shd w:val="clear" w:color="auto" w:fill="auto"/>
                  <w:noWrap w:val="0"/>
                  <w:vAlign w:val="center"/>
                </w:tcPr>
                <w:p w14:paraId="65C5443E">
                  <w:pPr>
                    <w:pStyle w:val="70"/>
                    <w:spacing w:line="240" w:lineRule="auto"/>
                    <w:rPr>
                      <w:rFonts w:hint="eastAsia" w:ascii="Times New Roman" w:hAnsi="Times New Roman" w:eastAsia="宋体" w:cs="Times New Roman"/>
                      <w:b/>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符合性</w:t>
                  </w:r>
                </w:p>
              </w:tc>
            </w:tr>
            <w:tr w14:paraId="0DA960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696" w:type="dxa"/>
                  <w:vMerge w:val="restart"/>
                  <w:tcBorders>
                    <w:tl2br w:val="nil"/>
                    <w:tr2bl w:val="nil"/>
                  </w:tcBorders>
                  <w:noWrap w:val="0"/>
                  <w:vAlign w:val="center"/>
                </w:tcPr>
                <w:p w14:paraId="3065EF16">
                  <w:pPr>
                    <w:pStyle w:val="70"/>
                    <w:spacing w:line="240" w:lineRule="auto"/>
                    <w:jc w:val="both"/>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川东北经济区</w:t>
                  </w:r>
                </w:p>
              </w:tc>
              <w:tc>
                <w:tcPr>
                  <w:tcW w:w="855" w:type="dxa"/>
                  <w:tcBorders>
                    <w:tl2br w:val="nil"/>
                    <w:tr2bl w:val="nil"/>
                  </w:tcBorders>
                  <w:noWrap w:val="0"/>
                  <w:vAlign w:val="center"/>
                </w:tcPr>
                <w:p w14:paraId="6E3EC9DF">
                  <w:pPr>
                    <w:pStyle w:val="70"/>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区域特点</w:t>
                  </w:r>
                </w:p>
              </w:tc>
              <w:tc>
                <w:tcPr>
                  <w:tcW w:w="2960" w:type="dxa"/>
                  <w:tcBorders>
                    <w:tl2br w:val="nil"/>
                    <w:tr2bl w:val="nil"/>
                  </w:tcBorders>
                  <w:noWrap w:val="0"/>
                  <w:vAlign w:val="center"/>
                </w:tcPr>
                <w:p w14:paraId="5C6C2E70">
                  <w:pPr>
                    <w:pStyle w:val="70"/>
                    <w:spacing w:line="240" w:lineRule="auto"/>
                    <w:jc w:val="both"/>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南充、达州、广安、广元、巴中5市内大部分区域属于省级层面重点开发区，是一般管控单元的集中分布区域。该区域发展定位为东向北向出川综合交通枢纽和川渝陕甘结合部区域经济中心。</w:t>
                  </w:r>
                </w:p>
              </w:tc>
              <w:tc>
                <w:tcPr>
                  <w:tcW w:w="1735" w:type="dxa"/>
                  <w:tcBorders>
                    <w:tl2br w:val="nil"/>
                    <w:tr2bl w:val="nil"/>
                  </w:tcBorders>
                  <w:noWrap w:val="0"/>
                  <w:vAlign w:val="center"/>
                </w:tcPr>
                <w:p w14:paraId="26ED9A29">
                  <w:pPr>
                    <w:pStyle w:val="18"/>
                    <w:bidi w:val="0"/>
                    <w:spacing w:line="240" w:lineRule="auto"/>
                    <w:ind w:left="0" w:leftChars="0" w:firstLine="0" w:firstLineChars="0"/>
                    <w:jc w:val="cente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t>项目位于四川巴中经开区，属于工业重点管控单元。</w:t>
                  </w:r>
                </w:p>
              </w:tc>
              <w:tc>
                <w:tcPr>
                  <w:tcW w:w="735" w:type="dxa"/>
                  <w:tcBorders>
                    <w:tl2br w:val="nil"/>
                    <w:tr2bl w:val="nil"/>
                  </w:tcBorders>
                  <w:noWrap w:val="0"/>
                  <w:vAlign w:val="center"/>
                </w:tcPr>
                <w:p w14:paraId="54765C0C">
                  <w:pPr>
                    <w:pStyle w:val="18"/>
                    <w:bidi w:val="0"/>
                    <w:spacing w:line="240" w:lineRule="auto"/>
                    <w:ind w:left="0" w:leftChars="0" w:firstLine="0" w:firstLineChars="0"/>
                    <w:jc w:val="cente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t>/</w:t>
                  </w:r>
                </w:p>
              </w:tc>
            </w:tr>
            <w:tr w14:paraId="004FDA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44" w:hRule="atLeast"/>
                <w:jc w:val="center"/>
              </w:trPr>
              <w:tc>
                <w:tcPr>
                  <w:tcW w:w="696" w:type="dxa"/>
                  <w:vMerge w:val="continue"/>
                  <w:tcBorders>
                    <w:tl2br w:val="nil"/>
                    <w:tr2bl w:val="nil"/>
                  </w:tcBorders>
                  <w:noWrap w:val="0"/>
                  <w:vAlign w:val="center"/>
                </w:tcPr>
                <w:p w14:paraId="6BD9791A">
                  <w:pPr>
                    <w:pStyle w:val="70"/>
                    <w:spacing w:line="240" w:lineRule="auto"/>
                    <w:jc w:val="both"/>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855" w:type="dxa"/>
                  <w:tcBorders>
                    <w:tl2br w:val="nil"/>
                    <w:tr2bl w:val="nil"/>
                  </w:tcBorders>
                  <w:noWrap w:val="0"/>
                  <w:vAlign w:val="center"/>
                </w:tcPr>
                <w:p w14:paraId="418F840E">
                  <w:pPr>
                    <w:pStyle w:val="70"/>
                    <w:spacing w:line="240" w:lineRule="auto"/>
                    <w:jc w:val="both"/>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发展定位与目标</w:t>
                  </w:r>
                </w:p>
              </w:tc>
              <w:tc>
                <w:tcPr>
                  <w:tcW w:w="2960" w:type="dxa"/>
                  <w:tcBorders>
                    <w:tl2br w:val="nil"/>
                    <w:tr2bl w:val="nil"/>
                  </w:tcBorders>
                  <w:noWrap w:val="0"/>
                  <w:vAlign w:val="center"/>
                </w:tcPr>
                <w:p w14:paraId="14635A78">
                  <w:pPr>
                    <w:pStyle w:val="70"/>
                    <w:spacing w:line="240" w:lineRule="auto"/>
                    <w:jc w:val="both"/>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围绕做强支撑更有力的次级增长极，对省域经济副中心、区域中心城市、其他市（州）以及国省新区、各类高新区经开区提出明确要求；围绕推动欠发达地区跨越发展，提出加快补齐发展短板，巩固拓展脱贫攻坚成果，增强脱贫群众内生发展动力，形成先发带后发、先富帮后富的区域发展新格局。同时大力推动成渝地区双城经济圈建设，进一步加强与重庆方面全方位协作，强化双核联动、双圈互动，突出成渝主轴、南北两翼，合力打造带动全国高质量发展的重要增长极和新的动力源。</w:t>
                  </w:r>
                </w:p>
              </w:tc>
              <w:tc>
                <w:tcPr>
                  <w:tcW w:w="1735" w:type="dxa"/>
                  <w:tcBorders>
                    <w:tl2br w:val="nil"/>
                    <w:tr2bl w:val="nil"/>
                  </w:tcBorders>
                  <w:noWrap w:val="0"/>
                  <w:vAlign w:val="center"/>
                </w:tcPr>
                <w:p w14:paraId="572FF3E4">
                  <w:pPr>
                    <w:pStyle w:val="18"/>
                    <w:bidi w:val="0"/>
                    <w:spacing w:line="240" w:lineRule="auto"/>
                    <w:ind w:left="0" w:leftChars="0" w:firstLine="0" w:firstLineChars="0"/>
                    <w:jc w:val="cente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t>项目建成后能带动当地经济发展，符合区域发展定位与目标</w:t>
                  </w:r>
                  <w:r>
                    <w:rPr>
                      <w:rFonts w:hint="eastAsia" w:cs="Times New Roman"/>
                      <w:color w:val="000000" w:themeColor="text1"/>
                      <w:kern w:val="0"/>
                      <w:sz w:val="21"/>
                      <w:szCs w:val="21"/>
                      <w:lang w:val="en-US" w:eastAsia="zh-CN" w:bidi="ar-SA"/>
                      <w14:textFill>
                        <w14:solidFill>
                          <w14:schemeClr w14:val="tx1"/>
                        </w14:solidFill>
                      </w14:textFill>
                    </w:rPr>
                    <w:t>。</w:t>
                  </w:r>
                </w:p>
              </w:tc>
              <w:tc>
                <w:tcPr>
                  <w:tcW w:w="735" w:type="dxa"/>
                  <w:tcBorders>
                    <w:tl2br w:val="nil"/>
                    <w:tr2bl w:val="nil"/>
                  </w:tcBorders>
                  <w:noWrap w:val="0"/>
                  <w:vAlign w:val="center"/>
                </w:tcPr>
                <w:p w14:paraId="15CF36E5">
                  <w:pPr>
                    <w:pStyle w:val="18"/>
                    <w:bidi w:val="0"/>
                    <w:spacing w:line="240" w:lineRule="auto"/>
                    <w:ind w:left="0" w:leftChars="0" w:firstLine="0" w:firstLineChars="0"/>
                    <w:jc w:val="cente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t>符合</w:t>
                  </w:r>
                </w:p>
              </w:tc>
            </w:tr>
            <w:tr w14:paraId="786A03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44" w:hRule="atLeast"/>
                <w:jc w:val="center"/>
              </w:trPr>
              <w:tc>
                <w:tcPr>
                  <w:tcW w:w="696" w:type="dxa"/>
                  <w:vMerge w:val="continue"/>
                  <w:tcBorders>
                    <w:tl2br w:val="nil"/>
                    <w:tr2bl w:val="nil"/>
                  </w:tcBorders>
                  <w:noWrap w:val="0"/>
                  <w:vAlign w:val="center"/>
                </w:tcPr>
                <w:p w14:paraId="13D5E28A">
                  <w:pPr>
                    <w:pStyle w:val="70"/>
                    <w:spacing w:line="240" w:lineRule="auto"/>
                    <w:jc w:val="both"/>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855" w:type="dxa"/>
                  <w:tcBorders>
                    <w:tl2br w:val="nil"/>
                    <w:tr2bl w:val="nil"/>
                  </w:tcBorders>
                  <w:noWrap w:val="0"/>
                  <w:vAlign w:val="center"/>
                </w:tcPr>
                <w:p w14:paraId="51B53444">
                  <w:pPr>
                    <w:pStyle w:val="70"/>
                    <w:spacing w:line="240" w:lineRule="auto"/>
                    <w:jc w:val="both"/>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区域突出生态环境问题</w:t>
                  </w:r>
                </w:p>
              </w:tc>
              <w:tc>
                <w:tcPr>
                  <w:tcW w:w="2960" w:type="dxa"/>
                  <w:tcBorders>
                    <w:tl2br w:val="nil"/>
                    <w:tr2bl w:val="nil"/>
                  </w:tcBorders>
                  <w:noWrap w:val="0"/>
                  <w:vAlign w:val="center"/>
                </w:tcPr>
                <w:p w14:paraId="109C3226">
                  <w:pPr>
                    <w:pStyle w:val="70"/>
                    <w:spacing w:line="240" w:lineRule="auto"/>
                    <w:jc w:val="both"/>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1、小流域污染问题突出，嘉陵江及渠江部分支流部分河段水环境承载力不足，乡镇污水基础设施建设滞后；出川断面多，水质要求高，保护压力大。2、区域嘉陵江流域存在输入性水环境风险问题。3、达州、广安大气污染问题须重视。</w:t>
                  </w:r>
                </w:p>
              </w:tc>
              <w:tc>
                <w:tcPr>
                  <w:tcW w:w="1735" w:type="dxa"/>
                  <w:vMerge w:val="restart"/>
                  <w:tcBorders>
                    <w:tl2br w:val="nil"/>
                    <w:tr2bl w:val="nil"/>
                  </w:tcBorders>
                  <w:noWrap w:val="0"/>
                  <w:vAlign w:val="center"/>
                </w:tcPr>
                <w:p w14:paraId="41C7A7E2">
                  <w:pPr>
                    <w:pStyle w:val="70"/>
                    <w:spacing w:line="240" w:lineRule="auto"/>
                    <w:jc w:val="both"/>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项目</w:t>
                  </w:r>
                  <w:r>
                    <w:rPr>
                      <w:rFonts w:hint="eastAsia" w:cs="Times New Roman"/>
                      <w:color w:val="000000" w:themeColor="text1"/>
                      <w:sz w:val="21"/>
                      <w:szCs w:val="21"/>
                      <w:lang w:val="en-US" w:eastAsia="zh-CN"/>
                      <w14:textFill>
                        <w14:solidFill>
                          <w14:schemeClr w14:val="tx1"/>
                        </w14:solidFill>
                      </w14:textFill>
                    </w:rPr>
                    <w:t>生产</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废水</w:t>
                  </w:r>
                  <w:r>
                    <w:rPr>
                      <w:rFonts w:hint="default" w:ascii="Times New Roman" w:hAnsi="Times New Roman" w:eastAsia="宋体" w:cs="Times New Roman"/>
                      <w:color w:val="000000" w:themeColor="text1"/>
                      <w:sz w:val="21"/>
                      <w:szCs w:val="21"/>
                      <w14:textFill>
                        <w14:solidFill>
                          <w14:schemeClr w14:val="tx1"/>
                        </w14:solidFill>
                      </w14:textFill>
                    </w:rPr>
                    <w:t>经</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厂区污水处理设备处理</w:t>
                  </w:r>
                  <w:r>
                    <w:rPr>
                      <w:rFonts w:hint="eastAsia" w:cs="Times New Roman"/>
                      <w:color w:val="000000" w:themeColor="text1"/>
                      <w:sz w:val="21"/>
                      <w:szCs w:val="21"/>
                      <w:lang w:val="en-US" w:eastAsia="zh-CN"/>
                      <w14:textFill>
                        <w14:solidFill>
                          <w14:schemeClr w14:val="tx1"/>
                        </w14:solidFill>
                      </w14:textFill>
                    </w:rPr>
                    <w:t>，处理后同生活污水和纯水制备浓水、反冲洗水、空压冷凝水经预处理池处理，处理后的废水</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通过</w:t>
                  </w:r>
                  <w:r>
                    <w:rPr>
                      <w:rFonts w:hint="default" w:ascii="Times New Roman" w:hAnsi="Times New Roman" w:eastAsia="宋体" w:cs="Times New Roman"/>
                      <w:color w:val="000000" w:themeColor="text1"/>
                      <w:sz w:val="21"/>
                      <w:szCs w:val="21"/>
                      <w14:textFill>
                        <w14:solidFill>
                          <w14:schemeClr w14:val="tx1"/>
                        </w14:solidFill>
                      </w14:textFill>
                    </w:rPr>
                    <w:t>市政管网送</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至</w:t>
                  </w:r>
                  <w:r>
                    <w:rPr>
                      <w:rFonts w:hint="default" w:ascii="Times New Roman" w:hAnsi="Times New Roman" w:eastAsia="宋体" w:cs="Times New Roman"/>
                      <w:color w:val="000000" w:themeColor="text1"/>
                      <w:sz w:val="21"/>
                      <w:szCs w:val="21"/>
                      <w14:textFill>
                        <w14:solidFill>
                          <w14:schemeClr w14:val="tx1"/>
                        </w14:solidFill>
                      </w14:textFill>
                    </w:rPr>
                    <w:t>经开区污水处理厂处理达标</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后</w:t>
                  </w:r>
                  <w:r>
                    <w:rPr>
                      <w:rFonts w:hint="default" w:ascii="Times New Roman" w:hAnsi="Times New Roman" w:eastAsia="宋体" w:cs="Times New Roman"/>
                      <w:color w:val="000000" w:themeColor="text1"/>
                      <w:sz w:val="21"/>
                      <w:szCs w:val="21"/>
                      <w14:textFill>
                        <w14:solidFill>
                          <w14:schemeClr w14:val="tx1"/>
                        </w14:solidFill>
                      </w14:textFill>
                    </w:rPr>
                    <w:t>排放</w:t>
                  </w:r>
                  <w:r>
                    <w:rPr>
                      <w:rFonts w:hint="default" w:ascii="Times New Roman" w:hAnsi="Times New Roman" w:eastAsia="宋体" w:cs="Times New Roman"/>
                      <w:color w:val="000000" w:themeColor="text1"/>
                      <w:sz w:val="21"/>
                      <w:szCs w:val="21"/>
                      <w:lang w:eastAsia="zh-CN"/>
                      <w14:textFill>
                        <w14:solidFill>
                          <w14:schemeClr w14:val="tx1"/>
                        </w14:solidFill>
                      </w14:textFill>
                    </w:rPr>
                    <w:t>。</w:t>
                  </w:r>
                </w:p>
              </w:tc>
              <w:tc>
                <w:tcPr>
                  <w:tcW w:w="735" w:type="dxa"/>
                  <w:tcBorders>
                    <w:tl2br w:val="nil"/>
                    <w:tr2bl w:val="nil"/>
                  </w:tcBorders>
                  <w:noWrap w:val="0"/>
                  <w:vAlign w:val="center"/>
                </w:tcPr>
                <w:p w14:paraId="03E1C4D0">
                  <w:pPr>
                    <w:pStyle w:val="70"/>
                    <w:spacing w:line="240" w:lineRule="auto"/>
                    <w:jc w:val="both"/>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符合</w:t>
                  </w:r>
                </w:p>
              </w:tc>
            </w:tr>
            <w:tr w14:paraId="3D0856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44" w:hRule="atLeast"/>
                <w:jc w:val="center"/>
              </w:trPr>
              <w:tc>
                <w:tcPr>
                  <w:tcW w:w="696" w:type="dxa"/>
                  <w:vMerge w:val="continue"/>
                  <w:tcBorders>
                    <w:tl2br w:val="nil"/>
                    <w:tr2bl w:val="nil"/>
                  </w:tcBorders>
                  <w:noWrap w:val="0"/>
                  <w:vAlign w:val="center"/>
                </w:tcPr>
                <w:p w14:paraId="224989A3">
                  <w:pPr>
                    <w:pStyle w:val="70"/>
                    <w:spacing w:line="240" w:lineRule="auto"/>
                    <w:jc w:val="both"/>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855" w:type="dxa"/>
                  <w:tcBorders>
                    <w:tl2br w:val="nil"/>
                    <w:tr2bl w:val="nil"/>
                  </w:tcBorders>
                  <w:noWrap w:val="0"/>
                  <w:vAlign w:val="center"/>
                </w:tcPr>
                <w:p w14:paraId="158FBEF5">
                  <w:pPr>
                    <w:pStyle w:val="70"/>
                    <w:spacing w:line="240" w:lineRule="auto"/>
                    <w:jc w:val="both"/>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总体管控要求</w:t>
                  </w:r>
                </w:p>
              </w:tc>
              <w:tc>
                <w:tcPr>
                  <w:tcW w:w="2960" w:type="dxa"/>
                  <w:tcBorders>
                    <w:tl2br w:val="nil"/>
                    <w:tr2bl w:val="nil"/>
                  </w:tcBorders>
                  <w:noWrap w:val="0"/>
                  <w:vAlign w:val="center"/>
                </w:tcPr>
                <w:p w14:paraId="2A57FB3F">
                  <w:pPr>
                    <w:pStyle w:val="70"/>
                    <w:spacing w:line="240" w:lineRule="auto"/>
                    <w:jc w:val="both"/>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1、控制农村面源污染，提高污水收集处理率，加快乡镇污水处理基础设施建设。2、建设流域水环境风险联防联控体系。提高大气污染治理水平。</w:t>
                  </w:r>
                </w:p>
              </w:tc>
              <w:tc>
                <w:tcPr>
                  <w:tcW w:w="1735" w:type="dxa"/>
                  <w:vMerge w:val="continue"/>
                  <w:tcBorders>
                    <w:tl2br w:val="nil"/>
                    <w:tr2bl w:val="nil"/>
                  </w:tcBorders>
                  <w:noWrap w:val="0"/>
                  <w:vAlign w:val="center"/>
                </w:tcPr>
                <w:p w14:paraId="4EC698FF">
                  <w:pPr>
                    <w:pStyle w:val="70"/>
                    <w:spacing w:line="240" w:lineRule="auto"/>
                    <w:jc w:val="both"/>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735" w:type="dxa"/>
                  <w:tcBorders>
                    <w:tl2br w:val="nil"/>
                    <w:tr2bl w:val="nil"/>
                  </w:tcBorders>
                  <w:noWrap w:val="0"/>
                  <w:vAlign w:val="center"/>
                </w:tcPr>
                <w:p w14:paraId="3C95731F">
                  <w:pPr>
                    <w:pStyle w:val="70"/>
                    <w:spacing w:line="240" w:lineRule="auto"/>
                    <w:jc w:val="both"/>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符合</w:t>
                  </w:r>
                </w:p>
              </w:tc>
            </w:tr>
          </w:tbl>
          <w:p w14:paraId="1B4F9948">
            <w:pPr>
              <w:pStyle w:val="66"/>
              <w:keepNext w:val="0"/>
              <w:keepLines w:val="0"/>
              <w:pageBreakBefore w:val="0"/>
              <w:widowControl w:val="0"/>
              <w:kinsoku/>
              <w:wordWrap/>
              <w:overflowPunct/>
              <w:topLinePunct w:val="0"/>
              <w:autoSpaceDE w:val="0"/>
              <w:autoSpaceDN w:val="0"/>
              <w:bidi w:val="0"/>
              <w:adjustRightInd w:val="0"/>
              <w:snapToGrid w:val="0"/>
              <w:spacing w:line="360" w:lineRule="auto"/>
              <w:textAlignment w:val="auto"/>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综上，本项目与川东北经济区管控要求相符合。</w:t>
            </w:r>
          </w:p>
          <w:p w14:paraId="42C23B7E">
            <w:pPr>
              <w:pStyle w:val="66"/>
              <w:keepNext w:val="0"/>
              <w:keepLines w:val="0"/>
              <w:pageBreakBefore w:val="0"/>
              <w:widowControl w:val="0"/>
              <w:numPr>
                <w:ilvl w:val="0"/>
                <w:numId w:val="2"/>
              </w:numPr>
              <w:kinsoku/>
              <w:wordWrap/>
              <w:overflowPunct/>
              <w:topLinePunct w:val="0"/>
              <w:autoSpaceDE w:val="0"/>
              <w:autoSpaceDN w:val="0"/>
              <w:bidi w:val="0"/>
              <w:adjustRightInd w:val="0"/>
              <w:snapToGrid w:val="0"/>
              <w:spacing w:line="360" w:lineRule="auto"/>
              <w:ind w:firstLine="480" w:firstLineChars="200"/>
              <w:textAlignment w:val="auto"/>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生态环境准入清单</w:t>
            </w:r>
          </w:p>
          <w:p w14:paraId="1FE01748">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both"/>
              <w:textAlignment w:val="auto"/>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pPr>
          </w:p>
          <w:p w14:paraId="0834599C">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both"/>
              <w:textAlignment w:val="auto"/>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pPr>
          </w:p>
          <w:p w14:paraId="12636BDD">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both"/>
              <w:textAlignment w:val="auto"/>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pPr>
          </w:p>
          <w:p w14:paraId="0EB4B2AF">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both"/>
              <w:textAlignment w:val="auto"/>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pPr>
          </w:p>
          <w:p w14:paraId="5E75BBB6">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both"/>
              <w:textAlignment w:val="auto"/>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pPr>
          </w:p>
          <w:p w14:paraId="3DC9C9E0">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both"/>
              <w:textAlignment w:val="auto"/>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pPr>
          </w:p>
          <w:p w14:paraId="51DE0658">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both"/>
              <w:textAlignment w:val="auto"/>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pPr>
          </w:p>
          <w:p w14:paraId="599BA0E4">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left="0" w:leftChars="0" w:firstLine="0" w:firstLineChars="0"/>
              <w:jc w:val="both"/>
              <w:textAlignment w:val="auto"/>
              <w:rPr>
                <w:rFonts w:hint="default" w:ascii="Times New Roman" w:hAnsi="Times New Roman" w:eastAsia="宋体" w:cs="Times New Roman"/>
                <w:color w:val="000000" w:themeColor="text1"/>
                <w:spacing w:val="-6"/>
                <w:sz w:val="24"/>
                <w:highlight w:val="none"/>
                <w:lang w:val="en-US" w:eastAsia="zh-CN"/>
                <w14:textFill>
                  <w14:solidFill>
                    <w14:schemeClr w14:val="tx1"/>
                  </w14:solidFill>
                </w14:textFill>
              </w:rPr>
            </w:pPr>
          </w:p>
        </w:tc>
      </w:tr>
    </w:tbl>
    <w:p w14:paraId="7B91CEFF">
      <w:pPr>
        <w:pStyle w:val="37"/>
        <w:jc w:val="center"/>
        <w:outlineLvl w:val="9"/>
        <w:rPr>
          <w:rFonts w:hint="eastAsia" w:ascii="黑体" w:hAnsi="黑体" w:eastAsia="黑体"/>
          <w:snapToGrid w:val="0"/>
          <w:color w:val="auto"/>
          <w:sz w:val="30"/>
          <w:szCs w:val="30"/>
        </w:rPr>
        <w:sectPr>
          <w:footerReference r:id="rId5" w:type="default"/>
          <w:pgSz w:w="11906" w:h="16838"/>
          <w:pgMar w:top="1701" w:right="1531" w:bottom="1701" w:left="1531" w:header="851" w:footer="1021" w:gutter="0"/>
          <w:pgNumType w:start="1"/>
          <w:cols w:space="720" w:num="1"/>
          <w:docGrid w:linePitch="312" w:charSpace="0"/>
        </w:sectPr>
      </w:pPr>
    </w:p>
    <w:p w14:paraId="4839E0F3">
      <w:pPr>
        <w:pStyle w:val="68"/>
        <w:rPr>
          <w:rFonts w:hint="default" w:ascii="Times New Roman" w:hAnsi="Times New Roman" w:eastAsia="宋体" w:cs="Times New Roman"/>
          <w:b/>
          <w:bCs/>
          <w:color w:val="auto"/>
        </w:rPr>
      </w:pPr>
      <w:r>
        <w:rPr>
          <w:rFonts w:hint="eastAsia" w:ascii="Times New Roman" w:hAnsi="Times New Roman" w:eastAsia="宋体" w:cs="Times New Roman"/>
          <w:b/>
          <w:bCs/>
          <w:color w:val="auto"/>
        </w:rPr>
        <w:t>表1-</w:t>
      </w:r>
      <w:r>
        <w:rPr>
          <w:rFonts w:hint="eastAsia" w:eastAsia="宋体" w:cs="Times New Roman"/>
          <w:b/>
          <w:bCs/>
          <w:color w:val="auto"/>
          <w:lang w:val="en-US" w:eastAsia="zh-CN"/>
        </w:rPr>
        <w:t>6</w:t>
      </w:r>
      <w:r>
        <w:rPr>
          <w:rFonts w:hint="eastAsia" w:ascii="Times New Roman" w:hAnsi="Times New Roman" w:eastAsia="宋体" w:cs="Times New Roman"/>
          <w:b/>
          <w:bCs/>
          <w:color w:val="auto"/>
        </w:rPr>
        <w:t xml:space="preserve">  本项目与</w:t>
      </w:r>
      <w:r>
        <w:rPr>
          <w:rFonts w:hint="eastAsia" w:ascii="Times New Roman" w:hAnsi="Times New Roman" w:eastAsia="宋体" w:cs="Times New Roman"/>
          <w:b/>
          <w:bCs/>
          <w:color w:val="auto"/>
          <w:lang w:val="en-US" w:eastAsia="zh-CN"/>
        </w:rPr>
        <w:t>生态环境准入清单</w:t>
      </w:r>
      <w:r>
        <w:rPr>
          <w:rFonts w:hint="eastAsia" w:ascii="Times New Roman" w:hAnsi="Times New Roman" w:eastAsia="宋体" w:cs="Times New Roman"/>
          <w:b/>
          <w:bCs/>
          <w:color w:val="auto"/>
        </w:rPr>
        <w:t>的符合性分析</w:t>
      </w:r>
    </w:p>
    <w:tbl>
      <w:tblPr>
        <w:tblStyle w:val="42"/>
        <w:tblW w:w="0" w:type="auto"/>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016"/>
        <w:gridCol w:w="1370"/>
        <w:gridCol w:w="1547"/>
        <w:gridCol w:w="1710"/>
        <w:gridCol w:w="3403"/>
        <w:gridCol w:w="2677"/>
        <w:gridCol w:w="929"/>
      </w:tblGrid>
      <w:tr w14:paraId="7C30B7C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046" w:type="dxa"/>
            <w:gridSpan w:val="5"/>
            <w:vAlign w:val="center"/>
          </w:tcPr>
          <w:p w14:paraId="702559B5">
            <w:pPr>
              <w:pStyle w:val="70"/>
              <w:spacing w:line="240" w:lineRule="auto"/>
              <w:rPr>
                <w:rFonts w:hint="eastAsia" w:ascii="Times New Roman" w:hAnsi="Times New Roman" w:eastAsia="宋体" w:cs="Times New Roman"/>
                <w:b/>
                <w:color w:val="auto"/>
                <w:sz w:val="21"/>
                <w:szCs w:val="21"/>
              </w:rPr>
            </w:pPr>
            <w:r>
              <w:rPr>
                <w:rFonts w:hint="eastAsia" w:ascii="Times New Roman" w:hAnsi="Times New Roman" w:eastAsia="宋体" w:cs="Times New Roman"/>
                <w:b/>
                <w:color w:val="auto"/>
                <w:sz w:val="21"/>
                <w:szCs w:val="21"/>
                <w:lang w:val="en-US" w:eastAsia="zh-CN"/>
              </w:rPr>
              <w:t>具体要求</w:t>
            </w:r>
          </w:p>
        </w:tc>
        <w:tc>
          <w:tcPr>
            <w:tcW w:w="2677" w:type="dxa"/>
            <w:vMerge w:val="restart"/>
            <w:vAlign w:val="center"/>
          </w:tcPr>
          <w:p w14:paraId="58D96077">
            <w:pPr>
              <w:widowControl w:val="0"/>
              <w:autoSpaceDE w:val="0"/>
              <w:autoSpaceDN w:val="0"/>
              <w:bidi w:val="0"/>
              <w:adjustRightInd w:val="0"/>
              <w:snapToGrid w:val="0"/>
              <w:spacing w:line="240" w:lineRule="auto"/>
              <w:jc w:val="center"/>
              <w:rPr>
                <w:rFonts w:hint="eastAsia" w:ascii="Times New Roman" w:hAnsi="Times New Roman" w:eastAsia="宋体" w:cs="Times New Roman"/>
                <w:b/>
                <w:color w:val="auto"/>
                <w:sz w:val="21"/>
                <w:szCs w:val="21"/>
              </w:rPr>
            </w:pPr>
            <w:r>
              <w:rPr>
                <w:rFonts w:hint="default" w:ascii="Times New Roman" w:hAnsi="Times New Roman" w:eastAsia="宋体" w:cs="Times New Roman"/>
                <w:b/>
                <w:color w:val="auto"/>
                <w:kern w:val="0"/>
                <w:sz w:val="21"/>
                <w:szCs w:val="21"/>
                <w:lang w:val="en-US" w:eastAsia="zh-CN" w:bidi="ar-SA"/>
              </w:rPr>
              <w:t>项目对应情况介绍</w:t>
            </w:r>
          </w:p>
        </w:tc>
        <w:tc>
          <w:tcPr>
            <w:tcW w:w="929" w:type="dxa"/>
            <w:vMerge w:val="restart"/>
            <w:vAlign w:val="center"/>
          </w:tcPr>
          <w:p w14:paraId="09979FF5">
            <w:pPr>
              <w:widowControl w:val="0"/>
              <w:autoSpaceDE w:val="0"/>
              <w:autoSpaceDN w:val="0"/>
              <w:bidi w:val="0"/>
              <w:adjustRightInd w:val="0"/>
              <w:snapToGrid w:val="0"/>
              <w:spacing w:line="240" w:lineRule="auto"/>
              <w:jc w:val="center"/>
              <w:rPr>
                <w:rFonts w:hint="eastAsia" w:ascii="Times New Roman" w:hAnsi="Times New Roman" w:eastAsia="宋体" w:cs="Times New Roman"/>
                <w:b/>
                <w:color w:val="auto"/>
                <w:sz w:val="21"/>
                <w:szCs w:val="21"/>
              </w:rPr>
            </w:pPr>
            <w:r>
              <w:rPr>
                <w:rFonts w:hint="default" w:ascii="Times New Roman" w:hAnsi="Times New Roman" w:eastAsia="宋体" w:cs="Times New Roman"/>
                <w:b/>
                <w:color w:val="auto"/>
                <w:kern w:val="0"/>
                <w:sz w:val="21"/>
                <w:szCs w:val="21"/>
                <w:lang w:val="en-US" w:eastAsia="zh-CN" w:bidi="ar-SA"/>
              </w:rPr>
              <w:t>符合性</w:t>
            </w:r>
          </w:p>
        </w:tc>
      </w:tr>
      <w:tr w14:paraId="5B97414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933" w:type="dxa"/>
            <w:gridSpan w:val="3"/>
            <w:vAlign w:val="center"/>
          </w:tcPr>
          <w:p w14:paraId="6B6ED52D">
            <w:pPr>
              <w:pStyle w:val="70"/>
              <w:spacing w:line="240" w:lineRule="auto"/>
              <w:rPr>
                <w:rFonts w:hint="default" w:ascii="Times New Roman" w:hAnsi="Times New Roman" w:eastAsia="宋体" w:cs="Times New Roman"/>
                <w:b/>
                <w:color w:val="auto"/>
                <w:kern w:val="0"/>
                <w:sz w:val="21"/>
                <w:szCs w:val="21"/>
                <w:lang w:val="en-US" w:eastAsia="zh-CN" w:bidi="ar-SA"/>
              </w:rPr>
            </w:pPr>
            <w:r>
              <w:rPr>
                <w:rFonts w:hint="default" w:ascii="Times New Roman" w:hAnsi="Times New Roman" w:eastAsia="宋体" w:cs="Times New Roman"/>
                <w:b/>
                <w:color w:val="auto"/>
                <w:kern w:val="0"/>
                <w:sz w:val="21"/>
                <w:szCs w:val="21"/>
                <w:lang w:val="en-US" w:eastAsia="zh-CN" w:bidi="ar-SA"/>
              </w:rPr>
              <w:t>类别</w:t>
            </w:r>
          </w:p>
        </w:tc>
        <w:tc>
          <w:tcPr>
            <w:tcW w:w="5113" w:type="dxa"/>
            <w:gridSpan w:val="2"/>
            <w:vAlign w:val="center"/>
          </w:tcPr>
          <w:p w14:paraId="372F39E5">
            <w:pPr>
              <w:pStyle w:val="70"/>
              <w:spacing w:line="240" w:lineRule="auto"/>
              <w:rPr>
                <w:rFonts w:hint="eastAsia" w:ascii="Times New Roman" w:hAnsi="Times New Roman" w:eastAsia="宋体" w:cs="Times New Roman"/>
                <w:color w:val="auto"/>
                <w:sz w:val="21"/>
                <w:szCs w:val="21"/>
              </w:rPr>
            </w:pPr>
            <w:r>
              <w:rPr>
                <w:rFonts w:hint="default" w:ascii="Times New Roman" w:hAnsi="Times New Roman" w:eastAsia="宋体" w:cs="Times New Roman"/>
                <w:b/>
                <w:color w:val="auto"/>
                <w:kern w:val="0"/>
                <w:sz w:val="21"/>
                <w:szCs w:val="21"/>
                <w:lang w:val="en-US" w:eastAsia="zh-CN" w:bidi="ar-SA"/>
              </w:rPr>
              <w:t>对应管控要求</w:t>
            </w:r>
          </w:p>
        </w:tc>
        <w:tc>
          <w:tcPr>
            <w:tcW w:w="2677" w:type="dxa"/>
            <w:vMerge w:val="continue"/>
            <w:vAlign w:val="center"/>
          </w:tcPr>
          <w:p w14:paraId="771559A1">
            <w:pPr>
              <w:pStyle w:val="70"/>
              <w:spacing w:line="240" w:lineRule="auto"/>
              <w:rPr>
                <w:rFonts w:hint="eastAsia" w:ascii="Times New Roman" w:hAnsi="Times New Roman" w:eastAsia="宋体" w:cs="Times New Roman"/>
                <w:color w:val="auto"/>
                <w:sz w:val="21"/>
                <w:szCs w:val="21"/>
              </w:rPr>
            </w:pPr>
          </w:p>
        </w:tc>
        <w:tc>
          <w:tcPr>
            <w:tcW w:w="929" w:type="dxa"/>
            <w:vMerge w:val="continue"/>
            <w:vAlign w:val="center"/>
          </w:tcPr>
          <w:p w14:paraId="688F1F74">
            <w:pPr>
              <w:pStyle w:val="70"/>
              <w:spacing w:line="240" w:lineRule="auto"/>
              <w:rPr>
                <w:rFonts w:hint="eastAsia" w:ascii="Times New Roman" w:hAnsi="Times New Roman" w:eastAsia="宋体" w:cs="Times New Roman"/>
                <w:color w:val="auto"/>
                <w:sz w:val="21"/>
                <w:szCs w:val="21"/>
              </w:rPr>
            </w:pPr>
          </w:p>
        </w:tc>
      </w:tr>
      <w:tr w14:paraId="5A11068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restart"/>
            <w:vAlign w:val="center"/>
          </w:tcPr>
          <w:p w14:paraId="2A0AFAFB">
            <w:pPr>
              <w:pStyle w:val="70"/>
              <w:spacing w:line="240" w:lineRule="auto"/>
              <w:jc w:val="center"/>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巴中市</w:t>
            </w:r>
          </w:p>
        </w:tc>
        <w:tc>
          <w:tcPr>
            <w:tcW w:w="1370" w:type="dxa"/>
            <w:vMerge w:val="restart"/>
            <w:vAlign w:val="center"/>
          </w:tcPr>
          <w:p w14:paraId="324E2BE7">
            <w:pPr>
              <w:pStyle w:val="70"/>
              <w:spacing w:line="240" w:lineRule="auto"/>
              <w:jc w:val="both"/>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巴州区+恩阳区+通江县+南江县+平昌县</w:t>
            </w:r>
          </w:p>
        </w:tc>
        <w:tc>
          <w:tcPr>
            <w:tcW w:w="1547" w:type="dxa"/>
            <w:vMerge w:val="restart"/>
            <w:vAlign w:val="center"/>
          </w:tcPr>
          <w:p w14:paraId="6E650315">
            <w:pPr>
              <w:pStyle w:val="70"/>
              <w:spacing w:line="240" w:lineRule="auto"/>
              <w:jc w:val="both"/>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空间布局约束</w:t>
            </w:r>
          </w:p>
        </w:tc>
        <w:tc>
          <w:tcPr>
            <w:tcW w:w="1710" w:type="dxa"/>
            <w:vAlign w:val="center"/>
          </w:tcPr>
          <w:p w14:paraId="4E5EE117">
            <w:pPr>
              <w:pStyle w:val="70"/>
              <w:spacing w:line="240" w:lineRule="auto"/>
              <w:jc w:val="both"/>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禁止开发建设活动的要求</w:t>
            </w:r>
          </w:p>
        </w:tc>
        <w:tc>
          <w:tcPr>
            <w:tcW w:w="3403" w:type="dxa"/>
            <w:vAlign w:val="center"/>
          </w:tcPr>
          <w:p w14:paraId="696F1A33">
            <w:pPr>
              <w:pStyle w:val="70"/>
              <w:spacing w:line="240" w:lineRule="auto"/>
              <w:jc w:val="both"/>
              <w:rPr>
                <w:rFonts w:hint="eastAsia" w:ascii="Times New Roman" w:hAnsi="Times New Roman" w:eastAsia="宋体" w:cs="Times New Roman"/>
                <w:color w:val="auto"/>
                <w:sz w:val="21"/>
                <w:szCs w:val="21"/>
                <w:lang w:eastAsia="zh-CN"/>
              </w:rPr>
            </w:pPr>
            <w:r>
              <w:rPr>
                <w:rFonts w:ascii="Times New Roman" w:hAnsi="Times New Roman" w:eastAsia="宋体" w:cs="Times New Roman"/>
                <w:color w:val="auto"/>
                <w:sz w:val="21"/>
                <w:szCs w:val="21"/>
              </w:rPr>
              <w:t>-禁止在长江干支流、重要湖泊岸线一公里范围内新建、扩建化工园区和化工项目。禁止在长江干流岸线三公里范围内和重要支流岸线一公里范围内新建、改建、扩建尾矿库（以提升安全、生态环境保护水平为目的的改建除外）。-禁止在长江流域河湖管理范围内倾倒、填埋、堆放、弃置、处理固体废物。-在禁燃区内禁止销售、燃用高污染燃料。禁燃区内禁止新建、扩建燃用高污染燃料的设施。-未通过认定的化工园区，不得新建、改扩建化工项目（安全、环保、节能和智能化改造项目除外），按属地原则依法依规妥善做好未通过认定化工园区及园内企业的转型、关闭、处置及监管工作</w:t>
            </w:r>
            <w:r>
              <w:rPr>
                <w:rFonts w:hint="eastAsia" w:ascii="Times New Roman" w:hAnsi="Times New Roman" w:eastAsia="宋体" w:cs="Times New Roman"/>
                <w:color w:val="auto"/>
                <w:sz w:val="21"/>
                <w:szCs w:val="21"/>
                <w:lang w:eastAsia="zh-CN"/>
              </w:rPr>
              <w:t>。</w:t>
            </w:r>
          </w:p>
        </w:tc>
        <w:tc>
          <w:tcPr>
            <w:tcW w:w="2677" w:type="dxa"/>
            <w:vAlign w:val="center"/>
          </w:tcPr>
          <w:p w14:paraId="7FCD4D98">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项目不属于</w:t>
            </w:r>
            <w:r>
              <w:rPr>
                <w:rFonts w:ascii="Times New Roman" w:hAnsi="Times New Roman" w:eastAsia="宋体" w:cs="Times New Roman"/>
                <w:color w:val="auto"/>
                <w:sz w:val="21"/>
                <w:szCs w:val="21"/>
              </w:rPr>
              <w:t>化工项目</w:t>
            </w:r>
            <w:r>
              <w:rPr>
                <w:rFonts w:hint="eastAsia" w:ascii="Times New Roman" w:hAnsi="Times New Roman" w:eastAsia="宋体" w:cs="Times New Roman"/>
                <w:color w:val="auto"/>
                <w:sz w:val="21"/>
                <w:szCs w:val="21"/>
                <w:lang w:val="en-US" w:eastAsia="zh-CN"/>
              </w:rPr>
              <w:t>及</w:t>
            </w:r>
            <w:r>
              <w:rPr>
                <w:rFonts w:ascii="Times New Roman" w:hAnsi="Times New Roman" w:eastAsia="宋体" w:cs="Times New Roman"/>
                <w:color w:val="auto"/>
                <w:sz w:val="21"/>
                <w:szCs w:val="21"/>
              </w:rPr>
              <w:t>尾矿库</w:t>
            </w:r>
            <w:r>
              <w:rPr>
                <w:rFonts w:hint="eastAsia" w:ascii="Times New Roman" w:hAnsi="Times New Roman" w:eastAsia="宋体" w:cs="Times New Roman"/>
                <w:color w:val="auto"/>
                <w:sz w:val="21"/>
                <w:szCs w:val="21"/>
                <w:lang w:val="en-US" w:eastAsia="zh-CN"/>
              </w:rPr>
              <w:t>项目，项目</w:t>
            </w:r>
            <w:r>
              <w:rPr>
                <w:rFonts w:hint="default" w:ascii="Times New Roman" w:hAnsi="Times New Roman" w:eastAsia="宋体" w:cs="Times New Roman"/>
                <w:color w:val="auto"/>
                <w:sz w:val="21"/>
                <w:szCs w:val="21"/>
                <w:lang w:val="en-US" w:eastAsia="zh-CN"/>
              </w:rPr>
              <w:t>固体废弃物均合理处置，</w:t>
            </w:r>
            <w:r>
              <w:rPr>
                <w:rFonts w:hint="eastAsia" w:eastAsia="宋体" w:cs="Times New Roman"/>
                <w:color w:val="auto"/>
                <w:sz w:val="21"/>
                <w:szCs w:val="21"/>
                <w:lang w:val="en-US" w:eastAsia="zh-CN"/>
              </w:rPr>
              <w:t>不涉及使用高污染燃料及</w:t>
            </w:r>
            <w:r>
              <w:rPr>
                <w:rFonts w:ascii="Times New Roman" w:hAnsi="Times New Roman" w:eastAsia="宋体" w:cs="Times New Roman"/>
                <w:color w:val="auto"/>
                <w:sz w:val="21"/>
                <w:szCs w:val="21"/>
              </w:rPr>
              <w:t>用高污染燃料的设施</w:t>
            </w:r>
            <w:r>
              <w:rPr>
                <w:rFonts w:hint="eastAsia" w:cs="Times New Roman"/>
                <w:color w:val="auto"/>
                <w:sz w:val="21"/>
                <w:szCs w:val="21"/>
                <w:lang w:eastAsia="zh-CN"/>
              </w:rPr>
              <w:t>。</w:t>
            </w:r>
          </w:p>
        </w:tc>
        <w:tc>
          <w:tcPr>
            <w:tcW w:w="929" w:type="dxa"/>
            <w:vAlign w:val="center"/>
          </w:tcPr>
          <w:p w14:paraId="222B360B">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r w14:paraId="780BCF9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634F5AAD">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05EE8BE1">
            <w:pPr>
              <w:pStyle w:val="70"/>
              <w:spacing w:line="240" w:lineRule="auto"/>
              <w:rPr>
                <w:rFonts w:hint="eastAsia" w:ascii="Times New Roman" w:hAnsi="Times New Roman" w:eastAsia="宋体" w:cs="Times New Roman"/>
                <w:color w:val="auto"/>
                <w:sz w:val="21"/>
                <w:szCs w:val="21"/>
              </w:rPr>
            </w:pPr>
          </w:p>
        </w:tc>
        <w:tc>
          <w:tcPr>
            <w:tcW w:w="1547" w:type="dxa"/>
            <w:vMerge w:val="continue"/>
            <w:vAlign w:val="center"/>
          </w:tcPr>
          <w:p w14:paraId="71D3BFF3">
            <w:pPr>
              <w:pStyle w:val="70"/>
              <w:spacing w:line="240" w:lineRule="auto"/>
              <w:rPr>
                <w:rFonts w:hint="eastAsia" w:ascii="Times New Roman" w:hAnsi="Times New Roman" w:eastAsia="宋体" w:cs="Times New Roman"/>
                <w:color w:val="auto"/>
                <w:sz w:val="21"/>
                <w:szCs w:val="21"/>
              </w:rPr>
            </w:pPr>
          </w:p>
        </w:tc>
        <w:tc>
          <w:tcPr>
            <w:tcW w:w="1710" w:type="dxa"/>
            <w:vAlign w:val="center"/>
          </w:tcPr>
          <w:p w14:paraId="418213DB">
            <w:pPr>
              <w:pStyle w:val="70"/>
              <w:spacing w:line="240" w:lineRule="auto"/>
              <w:jc w:val="both"/>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限制开发建设活动的要求</w:t>
            </w:r>
          </w:p>
        </w:tc>
        <w:tc>
          <w:tcPr>
            <w:tcW w:w="3403" w:type="dxa"/>
            <w:vAlign w:val="center"/>
          </w:tcPr>
          <w:p w14:paraId="7DA8F04A">
            <w:pPr>
              <w:pStyle w:val="70"/>
              <w:spacing w:line="240" w:lineRule="auto"/>
              <w:jc w:val="both"/>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-继续化解过剩产能，严禁钢铁、水泥、电解铝、平板玻璃等行业新增产能，对确有必要新建的必须实施等量或减量置换。-严格执行《矿产资源开采</w:t>
            </w:r>
            <w:r>
              <w:rPr>
                <w:rFonts w:hint="eastAsia" w:cs="Times New Roman"/>
                <w:color w:val="auto"/>
                <w:sz w:val="21"/>
                <w:szCs w:val="21"/>
                <w:lang w:eastAsia="zh-CN"/>
              </w:rPr>
              <w:t>登记</w:t>
            </w:r>
            <w:r>
              <w:rPr>
                <w:rFonts w:ascii="Times New Roman" w:hAnsi="Times New Roman" w:eastAsia="宋体" w:cs="Times New Roman"/>
                <w:color w:val="auto"/>
                <w:sz w:val="21"/>
                <w:szCs w:val="21"/>
              </w:rPr>
              <w:t>管理办法》的相关规定。</w:t>
            </w:r>
          </w:p>
        </w:tc>
        <w:tc>
          <w:tcPr>
            <w:tcW w:w="2677" w:type="dxa"/>
            <w:vAlign w:val="center"/>
          </w:tcPr>
          <w:p w14:paraId="288A5088">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项目不属于</w:t>
            </w:r>
            <w:r>
              <w:rPr>
                <w:rFonts w:ascii="Times New Roman" w:hAnsi="Times New Roman" w:eastAsia="宋体" w:cs="Times New Roman"/>
                <w:color w:val="auto"/>
                <w:sz w:val="21"/>
                <w:szCs w:val="21"/>
              </w:rPr>
              <w:t>钢铁、水泥、电解铝、平板玻璃等行业</w:t>
            </w:r>
            <w:r>
              <w:rPr>
                <w:rFonts w:hint="eastAsia" w:cs="Times New Roman"/>
                <w:color w:val="auto"/>
                <w:sz w:val="21"/>
                <w:szCs w:val="21"/>
                <w:lang w:eastAsia="zh-CN"/>
              </w:rPr>
              <w:t>。</w:t>
            </w:r>
          </w:p>
        </w:tc>
        <w:tc>
          <w:tcPr>
            <w:tcW w:w="929" w:type="dxa"/>
            <w:vAlign w:val="center"/>
          </w:tcPr>
          <w:p w14:paraId="00CE36EF">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r w14:paraId="6637030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402A75BA">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46E59F2B">
            <w:pPr>
              <w:pStyle w:val="70"/>
              <w:spacing w:line="240" w:lineRule="auto"/>
              <w:rPr>
                <w:rFonts w:hint="eastAsia" w:ascii="Times New Roman" w:hAnsi="Times New Roman" w:eastAsia="宋体" w:cs="Times New Roman"/>
                <w:color w:val="auto"/>
                <w:sz w:val="21"/>
                <w:szCs w:val="21"/>
              </w:rPr>
            </w:pPr>
          </w:p>
        </w:tc>
        <w:tc>
          <w:tcPr>
            <w:tcW w:w="1547" w:type="dxa"/>
            <w:vMerge w:val="continue"/>
            <w:vAlign w:val="center"/>
          </w:tcPr>
          <w:p w14:paraId="1BD96720">
            <w:pPr>
              <w:pStyle w:val="70"/>
              <w:spacing w:line="240" w:lineRule="auto"/>
              <w:rPr>
                <w:rFonts w:hint="eastAsia" w:ascii="Times New Roman" w:hAnsi="Times New Roman" w:eastAsia="宋体" w:cs="Times New Roman"/>
                <w:color w:val="auto"/>
                <w:sz w:val="21"/>
                <w:szCs w:val="21"/>
              </w:rPr>
            </w:pPr>
          </w:p>
        </w:tc>
        <w:tc>
          <w:tcPr>
            <w:tcW w:w="1710" w:type="dxa"/>
            <w:vAlign w:val="center"/>
          </w:tcPr>
          <w:p w14:paraId="2D7CD10F">
            <w:pPr>
              <w:pStyle w:val="70"/>
              <w:spacing w:line="240" w:lineRule="auto"/>
              <w:jc w:val="both"/>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允许开发建设活动的要求</w:t>
            </w:r>
          </w:p>
        </w:tc>
        <w:tc>
          <w:tcPr>
            <w:tcW w:w="3403" w:type="dxa"/>
            <w:vAlign w:val="center"/>
          </w:tcPr>
          <w:p w14:paraId="607A01C9">
            <w:pPr>
              <w:pStyle w:val="70"/>
              <w:spacing w:line="240" w:lineRule="auto"/>
              <w:jc w:val="both"/>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现有属于园区禁止引入产业门类的企业，原则上限制发展，污染物排放只降不增，允许以提升安全、生态环境保护水平为目的的改</w:t>
            </w:r>
            <w:bookmarkStart w:id="33" w:name="_GoBack"/>
            <w:bookmarkEnd w:id="33"/>
            <w:r>
              <w:rPr>
                <w:rFonts w:ascii="Times New Roman" w:hAnsi="Times New Roman" w:eastAsia="宋体" w:cs="Times New Roman"/>
                <w:color w:val="auto"/>
                <w:sz w:val="21"/>
                <w:szCs w:val="21"/>
              </w:rPr>
              <w:t>建，引导企业结合产业升级等适时搬迁。</w:t>
            </w:r>
          </w:p>
        </w:tc>
        <w:tc>
          <w:tcPr>
            <w:tcW w:w="2677" w:type="dxa"/>
            <w:vAlign w:val="center"/>
          </w:tcPr>
          <w:p w14:paraId="4FD2FD62">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项目属于园区</w:t>
            </w:r>
            <w:r>
              <w:rPr>
                <w:rFonts w:hint="default" w:ascii="Times New Roman" w:hAnsi="Times New Roman" w:eastAsia="宋体" w:cs="Times New Roman"/>
                <w:color w:val="auto"/>
                <w:sz w:val="21"/>
                <w:szCs w:val="21"/>
                <w:lang w:val="en-US" w:eastAsia="zh-CN"/>
              </w:rPr>
              <w:t>允许类项目</w:t>
            </w:r>
            <w:r>
              <w:rPr>
                <w:rFonts w:hint="eastAsia" w:cs="Times New Roman"/>
                <w:color w:val="auto"/>
                <w:sz w:val="21"/>
                <w:szCs w:val="21"/>
                <w:lang w:val="en-US" w:eastAsia="zh-CN"/>
              </w:rPr>
              <w:t>。</w:t>
            </w:r>
          </w:p>
        </w:tc>
        <w:tc>
          <w:tcPr>
            <w:tcW w:w="929" w:type="dxa"/>
            <w:vAlign w:val="center"/>
          </w:tcPr>
          <w:p w14:paraId="5BC633AF">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符合</w:t>
            </w:r>
          </w:p>
        </w:tc>
      </w:tr>
      <w:tr w14:paraId="6D5BEC4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107B4A85">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58491C80">
            <w:pPr>
              <w:pStyle w:val="70"/>
              <w:spacing w:line="240" w:lineRule="auto"/>
              <w:rPr>
                <w:rFonts w:hint="eastAsia" w:ascii="Times New Roman" w:hAnsi="Times New Roman" w:eastAsia="宋体" w:cs="Times New Roman"/>
                <w:color w:val="auto"/>
                <w:sz w:val="21"/>
                <w:szCs w:val="21"/>
              </w:rPr>
            </w:pPr>
          </w:p>
        </w:tc>
        <w:tc>
          <w:tcPr>
            <w:tcW w:w="1547" w:type="dxa"/>
            <w:vMerge w:val="continue"/>
            <w:vAlign w:val="center"/>
          </w:tcPr>
          <w:p w14:paraId="63D65BF0">
            <w:pPr>
              <w:pStyle w:val="70"/>
              <w:spacing w:line="240" w:lineRule="auto"/>
              <w:rPr>
                <w:rFonts w:hint="eastAsia" w:ascii="Times New Roman" w:hAnsi="Times New Roman" w:eastAsia="宋体" w:cs="Times New Roman"/>
                <w:color w:val="auto"/>
                <w:sz w:val="21"/>
                <w:szCs w:val="21"/>
              </w:rPr>
            </w:pPr>
          </w:p>
        </w:tc>
        <w:tc>
          <w:tcPr>
            <w:tcW w:w="1710" w:type="dxa"/>
            <w:vAlign w:val="center"/>
          </w:tcPr>
          <w:p w14:paraId="44FE9DEC">
            <w:pPr>
              <w:pStyle w:val="70"/>
              <w:spacing w:line="240" w:lineRule="auto"/>
              <w:jc w:val="both"/>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不符合空间布局要求活动的退出要求</w:t>
            </w:r>
          </w:p>
        </w:tc>
        <w:tc>
          <w:tcPr>
            <w:tcW w:w="3403" w:type="dxa"/>
            <w:vAlign w:val="center"/>
          </w:tcPr>
          <w:p w14:paraId="59AD2A4B">
            <w:pPr>
              <w:pStyle w:val="70"/>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2677" w:type="dxa"/>
            <w:vAlign w:val="center"/>
          </w:tcPr>
          <w:p w14:paraId="6813C56F">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929" w:type="dxa"/>
            <w:vAlign w:val="center"/>
          </w:tcPr>
          <w:p w14:paraId="536A2D31">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r>
      <w:tr w14:paraId="6244862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772DBFE2">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15E255E8">
            <w:pPr>
              <w:pStyle w:val="70"/>
              <w:spacing w:line="240" w:lineRule="auto"/>
              <w:rPr>
                <w:rFonts w:hint="eastAsia" w:ascii="Times New Roman" w:hAnsi="Times New Roman" w:eastAsia="宋体" w:cs="Times New Roman"/>
                <w:color w:val="auto"/>
                <w:sz w:val="21"/>
                <w:szCs w:val="21"/>
              </w:rPr>
            </w:pPr>
          </w:p>
        </w:tc>
        <w:tc>
          <w:tcPr>
            <w:tcW w:w="1547" w:type="dxa"/>
            <w:vMerge w:val="continue"/>
            <w:vAlign w:val="center"/>
          </w:tcPr>
          <w:p w14:paraId="16721556">
            <w:pPr>
              <w:pStyle w:val="70"/>
              <w:spacing w:line="240" w:lineRule="auto"/>
              <w:rPr>
                <w:rFonts w:hint="eastAsia" w:ascii="Times New Roman" w:hAnsi="Times New Roman" w:eastAsia="宋体" w:cs="Times New Roman"/>
                <w:color w:val="auto"/>
                <w:sz w:val="21"/>
                <w:szCs w:val="21"/>
              </w:rPr>
            </w:pPr>
          </w:p>
        </w:tc>
        <w:tc>
          <w:tcPr>
            <w:tcW w:w="1710" w:type="dxa"/>
            <w:vAlign w:val="center"/>
          </w:tcPr>
          <w:p w14:paraId="6C8F082E">
            <w:pPr>
              <w:pStyle w:val="70"/>
              <w:spacing w:line="240" w:lineRule="auto"/>
              <w:jc w:val="both"/>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其他空间布局约束要求</w:t>
            </w:r>
          </w:p>
        </w:tc>
        <w:tc>
          <w:tcPr>
            <w:tcW w:w="3403" w:type="dxa"/>
            <w:vAlign w:val="center"/>
          </w:tcPr>
          <w:p w14:paraId="237D1FD0">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2677" w:type="dxa"/>
            <w:vAlign w:val="center"/>
          </w:tcPr>
          <w:p w14:paraId="2B207951">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929" w:type="dxa"/>
            <w:vAlign w:val="center"/>
          </w:tcPr>
          <w:p w14:paraId="06C0160F">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r>
      <w:tr w14:paraId="0AA0E06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4D95D93F">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2021FAA3">
            <w:pPr>
              <w:pStyle w:val="70"/>
              <w:spacing w:line="240" w:lineRule="auto"/>
              <w:rPr>
                <w:rFonts w:hint="eastAsia" w:ascii="Times New Roman" w:hAnsi="Times New Roman" w:eastAsia="宋体" w:cs="Times New Roman"/>
                <w:color w:val="auto"/>
                <w:sz w:val="21"/>
                <w:szCs w:val="21"/>
              </w:rPr>
            </w:pPr>
          </w:p>
        </w:tc>
        <w:tc>
          <w:tcPr>
            <w:tcW w:w="1547" w:type="dxa"/>
            <w:vMerge w:val="restart"/>
            <w:vAlign w:val="center"/>
          </w:tcPr>
          <w:p w14:paraId="257A2F6C">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污染物排放管控</w:t>
            </w:r>
          </w:p>
        </w:tc>
        <w:tc>
          <w:tcPr>
            <w:tcW w:w="1710" w:type="dxa"/>
            <w:vAlign w:val="center"/>
          </w:tcPr>
          <w:p w14:paraId="59DA03BB">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允许排放量要求</w:t>
            </w:r>
          </w:p>
        </w:tc>
        <w:tc>
          <w:tcPr>
            <w:tcW w:w="3403" w:type="dxa"/>
            <w:vAlign w:val="center"/>
          </w:tcPr>
          <w:p w14:paraId="4CE6B19E">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（1）为达2025年及2035年环境空气质量目标，14个工业重点管控单元大气污染物允许排放量2025年为：PM</w:t>
            </w:r>
            <w:r>
              <w:rPr>
                <w:rFonts w:ascii="Times New Roman" w:hAnsi="Times New Roman" w:eastAsia="宋体" w:cs="Times New Roman"/>
                <w:color w:val="auto"/>
                <w:sz w:val="21"/>
                <w:szCs w:val="21"/>
                <w:vertAlign w:val="subscript"/>
              </w:rPr>
              <w:t>2.5</w:t>
            </w:r>
            <w:r>
              <w:rPr>
                <w:rFonts w:ascii="Times New Roman" w:hAnsi="Times New Roman" w:eastAsia="宋体" w:cs="Times New Roman"/>
                <w:color w:val="auto"/>
                <w:sz w:val="21"/>
                <w:szCs w:val="21"/>
              </w:rPr>
              <w:t>允许排放量4950吨、SO</w:t>
            </w:r>
            <w:r>
              <w:rPr>
                <w:rFonts w:ascii="Times New Roman" w:hAnsi="Times New Roman" w:eastAsia="宋体" w:cs="Times New Roman"/>
                <w:color w:val="auto"/>
                <w:sz w:val="21"/>
                <w:szCs w:val="21"/>
                <w:vertAlign w:val="subscript"/>
              </w:rPr>
              <w:t>2</w:t>
            </w:r>
            <w:r>
              <w:rPr>
                <w:rFonts w:ascii="Times New Roman" w:hAnsi="Times New Roman" w:eastAsia="宋体" w:cs="Times New Roman"/>
                <w:color w:val="auto"/>
                <w:sz w:val="21"/>
                <w:szCs w:val="21"/>
              </w:rPr>
              <w:t>允许排放量3502吨、NOx允许排放量8906吨、VOCs允许排放量12506吨，2035年为：PM</w:t>
            </w:r>
            <w:r>
              <w:rPr>
                <w:rFonts w:ascii="Times New Roman" w:hAnsi="Times New Roman" w:eastAsia="宋体" w:cs="Times New Roman"/>
                <w:color w:val="auto"/>
                <w:sz w:val="21"/>
                <w:szCs w:val="21"/>
                <w:vertAlign w:val="subscript"/>
              </w:rPr>
              <w:t>2.5</w:t>
            </w:r>
            <w:r>
              <w:rPr>
                <w:rFonts w:ascii="Times New Roman" w:hAnsi="Times New Roman" w:eastAsia="宋体" w:cs="Times New Roman"/>
                <w:color w:val="auto"/>
                <w:sz w:val="21"/>
                <w:szCs w:val="21"/>
              </w:rPr>
              <w:t>允许排放量4595吨、SO</w:t>
            </w:r>
            <w:r>
              <w:rPr>
                <w:rFonts w:ascii="Times New Roman" w:hAnsi="Times New Roman" w:eastAsia="宋体" w:cs="Times New Roman"/>
                <w:color w:val="auto"/>
                <w:sz w:val="21"/>
                <w:szCs w:val="21"/>
                <w:vertAlign w:val="subscript"/>
              </w:rPr>
              <w:t>2</w:t>
            </w:r>
            <w:r>
              <w:rPr>
                <w:rFonts w:ascii="Times New Roman" w:hAnsi="Times New Roman" w:eastAsia="宋体" w:cs="Times New Roman"/>
                <w:color w:val="auto"/>
                <w:sz w:val="21"/>
                <w:szCs w:val="21"/>
              </w:rPr>
              <w:t>允许排放量3133吨、NOx允许排放量8656吨、VOCs允许排放量12098吨。（2）为保证2025、2035年区域地表水控制断面达标，15个工业重点管控单元COD、氨氮、总磷允许排放量2025年控制在233465.09吨、2863.81吨、409.92吨以下，2035年控制在24638.35吨、3007.02吨、430.41吨以下。</w:t>
            </w:r>
          </w:p>
        </w:tc>
        <w:tc>
          <w:tcPr>
            <w:tcW w:w="2677" w:type="dxa"/>
            <w:vAlign w:val="center"/>
          </w:tcPr>
          <w:p w14:paraId="631E91B4">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项目位于四川巴中经开区内，污染物排放量均在允许排放量范围内</w:t>
            </w:r>
            <w:r>
              <w:rPr>
                <w:rFonts w:hint="eastAsia" w:cs="Times New Roman"/>
                <w:color w:val="auto"/>
                <w:sz w:val="21"/>
                <w:szCs w:val="21"/>
                <w:lang w:val="en-US" w:eastAsia="zh-CN"/>
              </w:rPr>
              <w:t>。</w:t>
            </w:r>
          </w:p>
        </w:tc>
        <w:tc>
          <w:tcPr>
            <w:tcW w:w="929" w:type="dxa"/>
            <w:vAlign w:val="center"/>
          </w:tcPr>
          <w:p w14:paraId="650A0A84">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符合</w:t>
            </w:r>
          </w:p>
        </w:tc>
      </w:tr>
      <w:tr w14:paraId="713A8DC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123BEF65">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3C35D596">
            <w:pPr>
              <w:pStyle w:val="70"/>
              <w:spacing w:line="240" w:lineRule="auto"/>
              <w:rPr>
                <w:rFonts w:hint="eastAsia" w:ascii="Times New Roman" w:hAnsi="Times New Roman" w:eastAsia="宋体" w:cs="Times New Roman"/>
                <w:color w:val="auto"/>
                <w:sz w:val="21"/>
                <w:szCs w:val="21"/>
              </w:rPr>
            </w:pPr>
          </w:p>
        </w:tc>
        <w:tc>
          <w:tcPr>
            <w:tcW w:w="1547" w:type="dxa"/>
            <w:vMerge w:val="continue"/>
            <w:vAlign w:val="center"/>
          </w:tcPr>
          <w:p w14:paraId="69682244">
            <w:pPr>
              <w:pStyle w:val="70"/>
              <w:spacing w:line="240" w:lineRule="auto"/>
              <w:rPr>
                <w:rFonts w:hint="eastAsia" w:ascii="Times New Roman" w:hAnsi="Times New Roman" w:eastAsia="宋体" w:cs="Times New Roman"/>
                <w:color w:val="auto"/>
                <w:sz w:val="21"/>
                <w:szCs w:val="21"/>
              </w:rPr>
            </w:pPr>
          </w:p>
        </w:tc>
        <w:tc>
          <w:tcPr>
            <w:tcW w:w="1710" w:type="dxa"/>
            <w:vAlign w:val="center"/>
          </w:tcPr>
          <w:p w14:paraId="5FD29AD7">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现有源提标升级改造</w:t>
            </w:r>
          </w:p>
        </w:tc>
        <w:tc>
          <w:tcPr>
            <w:tcW w:w="3403" w:type="dxa"/>
            <w:vAlign w:val="center"/>
          </w:tcPr>
          <w:p w14:paraId="66B2AF82">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-污水收集处理率达100%。-推进工业园区污水处理设施建设，确保园区工业废水达标排放。-完善园区及企业雨污分流系统，全面推进医药、化工等行业初期雨水收集处理，推动有条件的园区实施入园企业</w:t>
            </w:r>
            <w:r>
              <w:rPr>
                <w:rFonts w:hint="eastAsia" w:ascii="宋体" w:hAnsi="宋体" w:eastAsia="宋体" w:cs="宋体"/>
                <w:color w:val="auto"/>
                <w:sz w:val="21"/>
                <w:szCs w:val="21"/>
              </w:rPr>
              <w:t>“一企一管、明管输送、实时监测”</w:t>
            </w:r>
            <w:r>
              <w:rPr>
                <w:rFonts w:ascii="Times New Roman" w:hAnsi="Times New Roman" w:eastAsia="宋体" w:cs="Times New Roman"/>
                <w:color w:val="auto"/>
                <w:sz w:val="21"/>
                <w:szCs w:val="21"/>
              </w:rPr>
              <w:t>。加强企业废水预处理和排水管理，鼓励纳管企业与园区污水处理厂运营单位通过签订委托处理合同等方式协同处理废水。</w:t>
            </w:r>
          </w:p>
        </w:tc>
        <w:tc>
          <w:tcPr>
            <w:tcW w:w="2677" w:type="dxa"/>
            <w:vAlign w:val="center"/>
          </w:tcPr>
          <w:p w14:paraId="37724A1B">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项目实行雨污分流，</w:t>
            </w:r>
            <w:r>
              <w:rPr>
                <w:rFonts w:hint="eastAsia" w:ascii="Times New Roman" w:hAnsi="Times New Roman" w:eastAsia="宋体" w:cs="Times New Roman"/>
                <w:color w:val="auto"/>
                <w:sz w:val="21"/>
                <w:szCs w:val="21"/>
                <w:lang w:val="en-US" w:eastAsia="zh-CN"/>
              </w:rPr>
              <w:t>项目生活污水及生产废水收集率达100%，经处理</w:t>
            </w:r>
            <w:r>
              <w:rPr>
                <w:rFonts w:hint="eastAsia" w:cs="Times New Roman"/>
                <w:color w:val="auto"/>
                <w:sz w:val="21"/>
                <w:szCs w:val="21"/>
                <w:lang w:val="en-US" w:eastAsia="zh-CN"/>
              </w:rPr>
              <w:t>达到</w:t>
            </w:r>
            <w:r>
              <w:rPr>
                <w:rFonts w:hint="eastAsia" w:ascii="Times New Roman" w:hAnsi="Times New Roman" w:eastAsia="宋体" w:cs="Times New Roman"/>
                <w:color w:val="auto"/>
                <w:sz w:val="21"/>
                <w:szCs w:val="21"/>
                <w:lang w:val="en-US" w:eastAsia="zh-CN"/>
              </w:rPr>
              <w:t>巴中经开区污水处理厂进水水质标准后，排至经开区污水处理厂处理</w:t>
            </w:r>
            <w:r>
              <w:rPr>
                <w:rFonts w:hint="eastAsia" w:cs="Times New Roman"/>
                <w:color w:val="auto"/>
                <w:sz w:val="21"/>
                <w:szCs w:val="21"/>
                <w:lang w:val="en-US" w:eastAsia="zh-CN"/>
              </w:rPr>
              <w:t>。</w:t>
            </w:r>
          </w:p>
        </w:tc>
        <w:tc>
          <w:tcPr>
            <w:tcW w:w="929" w:type="dxa"/>
            <w:vAlign w:val="center"/>
          </w:tcPr>
          <w:p w14:paraId="7FDD04B3">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r w14:paraId="36372D0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016" w:type="dxa"/>
            <w:vMerge w:val="continue"/>
            <w:vAlign w:val="center"/>
          </w:tcPr>
          <w:p w14:paraId="39560531">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6BDC2AC4">
            <w:pPr>
              <w:pStyle w:val="70"/>
              <w:spacing w:line="240" w:lineRule="auto"/>
              <w:rPr>
                <w:rFonts w:hint="eastAsia" w:ascii="Times New Roman" w:hAnsi="Times New Roman" w:eastAsia="宋体" w:cs="Times New Roman"/>
                <w:color w:val="auto"/>
                <w:sz w:val="21"/>
                <w:szCs w:val="21"/>
              </w:rPr>
            </w:pPr>
          </w:p>
        </w:tc>
        <w:tc>
          <w:tcPr>
            <w:tcW w:w="1547" w:type="dxa"/>
            <w:vMerge w:val="continue"/>
            <w:vAlign w:val="center"/>
          </w:tcPr>
          <w:p w14:paraId="67BDB9FC">
            <w:pPr>
              <w:pStyle w:val="70"/>
              <w:spacing w:line="240" w:lineRule="auto"/>
              <w:rPr>
                <w:rFonts w:hint="eastAsia" w:ascii="Times New Roman" w:hAnsi="Times New Roman" w:eastAsia="宋体" w:cs="Times New Roman"/>
                <w:color w:val="auto"/>
                <w:sz w:val="21"/>
                <w:szCs w:val="21"/>
              </w:rPr>
            </w:pPr>
          </w:p>
        </w:tc>
        <w:tc>
          <w:tcPr>
            <w:tcW w:w="1710" w:type="dxa"/>
            <w:vAlign w:val="center"/>
          </w:tcPr>
          <w:p w14:paraId="5C4D8264">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其他污染物排放管控要求</w:t>
            </w:r>
          </w:p>
        </w:tc>
        <w:tc>
          <w:tcPr>
            <w:tcW w:w="3403" w:type="dxa"/>
            <w:vAlign w:val="center"/>
          </w:tcPr>
          <w:p w14:paraId="3A4837F9">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1.污染物排放绩效水平准入要求：-新、改、扩建涉及VOCs排放项目，从原辅材料和工艺过程大力推广使用低（无）VOCs含量的涂料、有机溶剂、胶黏剂、油墨等原辅材料，配套改进生产工艺。-重点对工业涂装、包装印刷、制鞋、电子信息、木材加工、化纤等重点行业实施源头替代。推进木质家具制造行业水性、紫外光固化等低挥发性涂料替代比例达到60%以上、水性胶粘剂替代比例达到100%，钢结构制造行业高固体分涂料替代比例达到50%以上，包装印刷企业低VOCs含量绿色原辅材料替代比例达到60%以上。-到2030年巴中中心城区污水处理率达到100%，工业废水排放达标率100%。2.化工园区应按照分类收集，分质处理的要求，配备专业化工生产废水集中处理设施（独立建设或依托骨干企业）及专管或明管输送的配套管网，化工生产废水纳管率达到100%。入河排污口设置应符合相关规定。3.重点行业建设项目应遵循重点</w:t>
            </w:r>
            <w:r>
              <w:rPr>
                <w:rFonts w:hint="eastAsia" w:ascii="宋体" w:hAnsi="宋体" w:eastAsia="宋体" w:cs="宋体"/>
                <w:color w:val="auto"/>
                <w:sz w:val="21"/>
                <w:szCs w:val="21"/>
              </w:rPr>
              <w:t>重金属污染物排放“等量替代”原则</w:t>
            </w:r>
            <w:r>
              <w:rPr>
                <w:rFonts w:ascii="Times New Roman" w:hAnsi="Times New Roman" w:eastAsia="宋体" w:cs="Times New Roman"/>
                <w:color w:val="auto"/>
                <w:sz w:val="21"/>
                <w:szCs w:val="21"/>
              </w:rPr>
              <w:t>。按国家规定，建设单位在提交环境影响评价文件时应明确重点重金属污染物排放总量及来源，无明确具体总量来源的，各级生态环境部门不得批准相关环境影响评价文件。重金属污染物排放总量替代管</w:t>
            </w:r>
            <w:r>
              <w:rPr>
                <w:rFonts w:hint="eastAsia" w:ascii="宋体" w:hAnsi="宋体" w:eastAsia="宋体" w:cs="宋体"/>
                <w:color w:val="auto"/>
                <w:sz w:val="21"/>
                <w:szCs w:val="21"/>
              </w:rPr>
              <w:t>理豁免的情形参见《四川省“十四五”重</w:t>
            </w:r>
            <w:r>
              <w:rPr>
                <w:rFonts w:ascii="Times New Roman" w:hAnsi="Times New Roman" w:eastAsia="宋体" w:cs="Times New Roman"/>
                <w:color w:val="auto"/>
                <w:sz w:val="21"/>
                <w:szCs w:val="21"/>
              </w:rPr>
              <w:t>金属污染防控工作方案》；重点行业、重点重金属的界定参见《四川</w:t>
            </w:r>
            <w:r>
              <w:rPr>
                <w:rFonts w:hint="eastAsia" w:ascii="宋体" w:hAnsi="宋体" w:eastAsia="宋体" w:cs="宋体"/>
                <w:color w:val="auto"/>
                <w:sz w:val="21"/>
                <w:szCs w:val="21"/>
              </w:rPr>
              <w:t>省“十四五”重金属污染防控工作方案</w:t>
            </w:r>
            <w:r>
              <w:rPr>
                <w:rFonts w:ascii="Times New Roman" w:hAnsi="Times New Roman" w:eastAsia="宋体" w:cs="Times New Roman"/>
                <w:color w:val="auto"/>
                <w:sz w:val="21"/>
                <w:szCs w:val="21"/>
              </w:rPr>
              <w:t>》。4.落实《四川省深入打好重污染天气消除、臭氧污染防治和柴油货车污染治理攻坚战实施方案》要求，推进重点行业超低排放改造和深度治理，加快实施低VOCs含量原辅材料替代，持续开展VOCs治理设施提级增效，强化VOCs无组织排放整治，加强非正常工况废气排放管控，推进涉VOCs产业集群治理提升，推进油品VOCs综合管控。</w:t>
            </w:r>
          </w:p>
        </w:tc>
        <w:tc>
          <w:tcPr>
            <w:tcW w:w="2677" w:type="dxa"/>
            <w:vAlign w:val="center"/>
          </w:tcPr>
          <w:p w14:paraId="683772C0">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w:t>
            </w:r>
            <w:r>
              <w:rPr>
                <w:rFonts w:hint="default" w:ascii="Times New Roman" w:hAnsi="Times New Roman" w:eastAsia="宋体" w:cs="Times New Roman"/>
                <w:color w:val="auto"/>
                <w:sz w:val="21"/>
                <w:szCs w:val="21"/>
                <w:lang w:val="en-US" w:eastAsia="zh-CN"/>
              </w:rPr>
              <w:t>项目涂布烘干工序产生的NMP废气经NMP回收处理装置（TA00</w:t>
            </w:r>
            <w:r>
              <w:rPr>
                <w:rFonts w:hint="eastAsia" w:cs="Times New Roman"/>
                <w:color w:val="auto"/>
                <w:sz w:val="21"/>
                <w:szCs w:val="21"/>
                <w:lang w:val="en-US" w:eastAsia="zh-CN"/>
              </w:rPr>
              <w:t>2</w:t>
            </w:r>
            <w:r>
              <w:rPr>
                <w:rFonts w:hint="default" w:ascii="Times New Roman" w:hAnsi="Times New Roman" w:eastAsia="宋体" w:cs="Times New Roman"/>
                <w:color w:val="auto"/>
                <w:sz w:val="21"/>
                <w:szCs w:val="21"/>
                <w:lang w:val="en-US" w:eastAsia="zh-CN"/>
              </w:rPr>
              <w:t>）处理后通过1根</w:t>
            </w:r>
            <w:r>
              <w:rPr>
                <w:rFonts w:hint="eastAsia" w:cs="Times New Roman"/>
                <w:color w:val="auto"/>
                <w:sz w:val="21"/>
                <w:szCs w:val="21"/>
                <w:lang w:val="en-US" w:eastAsia="zh-CN"/>
              </w:rPr>
              <w:t>25</w:t>
            </w:r>
            <w:r>
              <w:rPr>
                <w:rFonts w:hint="default" w:ascii="Times New Roman" w:hAnsi="Times New Roman" w:eastAsia="宋体" w:cs="Times New Roman"/>
                <w:color w:val="auto"/>
                <w:sz w:val="21"/>
                <w:szCs w:val="21"/>
                <w:lang w:val="en-US" w:eastAsia="zh-CN"/>
              </w:rPr>
              <w:t>m高排气筒（DA001）排放；电解液注液、</w:t>
            </w:r>
            <w:r>
              <w:rPr>
                <w:rFonts w:hint="eastAsia" w:cs="Times New Roman"/>
                <w:color w:val="auto"/>
                <w:sz w:val="21"/>
                <w:szCs w:val="21"/>
                <w:lang w:val="en-US" w:eastAsia="zh-CN"/>
              </w:rPr>
              <w:t>二封、电池拆解等工序产生的有机废气</w:t>
            </w:r>
            <w:r>
              <w:rPr>
                <w:rFonts w:hint="default" w:ascii="Times New Roman" w:hAnsi="Times New Roman" w:eastAsia="宋体" w:cs="Times New Roman"/>
                <w:color w:val="auto"/>
                <w:sz w:val="21"/>
                <w:szCs w:val="21"/>
                <w:lang w:val="en-US" w:eastAsia="zh-CN"/>
              </w:rPr>
              <w:t>经集气管道引至二级活性炭吸附装置（TA00</w:t>
            </w:r>
            <w:r>
              <w:rPr>
                <w:rFonts w:hint="eastAsia" w:cs="Times New Roman"/>
                <w:color w:val="auto"/>
                <w:sz w:val="21"/>
                <w:szCs w:val="21"/>
                <w:lang w:val="en-US" w:eastAsia="zh-CN"/>
              </w:rPr>
              <w:t>3</w:t>
            </w:r>
            <w:r>
              <w:rPr>
                <w:rFonts w:hint="default" w:ascii="Times New Roman" w:hAnsi="Times New Roman" w:eastAsia="宋体" w:cs="Times New Roman"/>
                <w:color w:val="auto"/>
                <w:sz w:val="21"/>
                <w:szCs w:val="21"/>
                <w:lang w:val="en-US" w:eastAsia="zh-CN"/>
              </w:rPr>
              <w:t>）处理后，一根</w:t>
            </w:r>
            <w:r>
              <w:rPr>
                <w:rFonts w:hint="eastAsia" w:cs="Times New Roman"/>
                <w:color w:val="auto"/>
                <w:sz w:val="21"/>
                <w:szCs w:val="21"/>
                <w:lang w:val="en-US" w:eastAsia="zh-CN"/>
              </w:rPr>
              <w:t>25</w:t>
            </w:r>
            <w:r>
              <w:rPr>
                <w:rFonts w:hint="default" w:ascii="Times New Roman" w:hAnsi="Times New Roman" w:eastAsia="宋体" w:cs="Times New Roman"/>
                <w:color w:val="auto"/>
                <w:sz w:val="21"/>
                <w:szCs w:val="21"/>
                <w:lang w:val="en-US" w:eastAsia="zh-CN"/>
              </w:rPr>
              <w:t>m排气筒（DA002）排放。</w:t>
            </w:r>
          </w:p>
          <w:p w14:paraId="600A906F">
            <w:pPr>
              <w:pStyle w:val="70"/>
              <w:spacing w:line="240" w:lineRule="auto"/>
              <w:rPr>
                <w:rFonts w:hint="default" w:cs="Times New Roman"/>
                <w:color w:val="000000" w:themeColor="text1"/>
                <w:sz w:val="21"/>
                <w:szCs w:val="21"/>
                <w:lang w:val="en-US" w:eastAsia="zh-CN"/>
                <w14:textFill>
                  <w14:solidFill>
                    <w14:schemeClr w14:val="tx1"/>
                  </w14:solidFill>
                </w14:textFill>
              </w:rPr>
            </w:pPr>
            <w:r>
              <w:rPr>
                <w:rFonts w:hint="eastAsia" w:cs="Times New Roman"/>
                <w:color w:val="auto"/>
                <w:sz w:val="21"/>
                <w:szCs w:val="21"/>
                <w:lang w:val="en-US" w:eastAsia="zh-CN"/>
              </w:rPr>
              <w:t>2.</w:t>
            </w:r>
            <w:r>
              <w:rPr>
                <w:rFonts w:hint="eastAsia" w:cs="Times New Roman"/>
                <w:color w:val="000000" w:themeColor="text1"/>
                <w:sz w:val="21"/>
                <w:szCs w:val="21"/>
                <w:lang w:val="en-US" w:eastAsia="zh-CN"/>
                <w14:textFill>
                  <w14:solidFill>
                    <w14:schemeClr w14:val="tx1"/>
                  </w14:solidFill>
                </w14:textFill>
              </w:rPr>
              <w:t>项目不属于化工项目。</w:t>
            </w:r>
          </w:p>
          <w:p w14:paraId="1CC15A41">
            <w:pPr>
              <w:pStyle w:val="70"/>
              <w:shd w:val="clear"/>
              <w:spacing w:line="240" w:lineRule="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3.本</w:t>
            </w:r>
            <w:r>
              <w:rPr>
                <w:rFonts w:hint="default" w:cs="Times New Roman"/>
                <w:color w:val="000000" w:themeColor="text1"/>
                <w:sz w:val="21"/>
                <w:szCs w:val="21"/>
                <w:highlight w:val="none"/>
                <w:lang w:val="en-US" w:eastAsia="zh-CN"/>
                <w14:textFill>
                  <w14:solidFill>
                    <w14:schemeClr w14:val="tx1"/>
                  </w14:solidFill>
                </w14:textFill>
              </w:rPr>
              <w:t>项目不涉及</w:t>
            </w:r>
            <w:r>
              <w:rPr>
                <w:rFonts w:hint="eastAsia" w:cs="Times New Roman"/>
                <w:color w:val="000000" w:themeColor="text1"/>
                <w:sz w:val="21"/>
                <w:szCs w:val="21"/>
                <w:highlight w:val="none"/>
                <w:lang w:val="en-US" w:eastAsia="zh-CN"/>
                <w14:textFill>
                  <w14:solidFill>
                    <w14:schemeClr w14:val="tx1"/>
                  </w14:solidFill>
                </w14:textFill>
              </w:rPr>
              <w:t>铅（</w:t>
            </w:r>
            <w:r>
              <w:rPr>
                <w:rFonts w:hint="default" w:cs="Times New Roman"/>
                <w:color w:val="000000" w:themeColor="text1"/>
                <w:sz w:val="21"/>
                <w:szCs w:val="21"/>
                <w:highlight w:val="none"/>
                <w:lang w:val="en-US" w:eastAsia="zh-CN"/>
                <w14:textFill>
                  <w14:solidFill>
                    <w14:schemeClr w14:val="tx1"/>
                  </w14:solidFill>
                </w14:textFill>
              </w:rPr>
              <w:t>Pb）、汞（Hg）、镉（Cd）、铬（Cr）、砷（As）、铊（Tl）和锑（Sb）</w:t>
            </w:r>
            <w:r>
              <w:rPr>
                <w:rFonts w:hint="eastAsia" w:cs="Times New Roman"/>
                <w:color w:val="000000" w:themeColor="text1"/>
                <w:sz w:val="21"/>
                <w:szCs w:val="21"/>
                <w:highlight w:val="none"/>
                <w:lang w:val="en-US" w:eastAsia="zh-CN"/>
                <w14:textFill>
                  <w14:solidFill>
                    <w14:schemeClr w14:val="tx1"/>
                  </w14:solidFill>
                </w14:textFill>
              </w:rPr>
              <w:t>等重金属排放</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p w14:paraId="7085483F">
            <w:pPr>
              <w:pStyle w:val="70"/>
              <w:shd w:val="clear"/>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4.</w:t>
            </w:r>
            <w:r>
              <w:rPr>
                <w:rFonts w:hint="default" w:ascii="Times New Roman" w:hAnsi="Times New Roman" w:eastAsia="宋体" w:cs="Times New Roman"/>
                <w:color w:val="auto"/>
                <w:sz w:val="21"/>
                <w:szCs w:val="21"/>
                <w:lang w:val="en-US" w:eastAsia="zh-CN"/>
              </w:rPr>
              <w:t>项目将严格落实VOCs治理管控措施，减少无组织排放</w:t>
            </w:r>
            <w:r>
              <w:rPr>
                <w:rFonts w:hint="eastAsia" w:cs="Times New Roman"/>
                <w:color w:val="auto"/>
                <w:sz w:val="21"/>
                <w:szCs w:val="21"/>
                <w:lang w:val="en-US" w:eastAsia="zh-CN"/>
              </w:rPr>
              <w:t>。</w:t>
            </w:r>
          </w:p>
        </w:tc>
        <w:tc>
          <w:tcPr>
            <w:tcW w:w="929" w:type="dxa"/>
            <w:vAlign w:val="center"/>
          </w:tcPr>
          <w:p w14:paraId="3F561FEE">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符合</w:t>
            </w:r>
          </w:p>
        </w:tc>
      </w:tr>
      <w:tr w14:paraId="1021A92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491032C0">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21DE5B67">
            <w:pPr>
              <w:pStyle w:val="70"/>
              <w:spacing w:line="240" w:lineRule="auto"/>
              <w:rPr>
                <w:rFonts w:hint="eastAsia" w:ascii="Times New Roman" w:hAnsi="Times New Roman" w:eastAsia="宋体" w:cs="Times New Roman"/>
                <w:color w:val="auto"/>
                <w:sz w:val="21"/>
                <w:szCs w:val="21"/>
              </w:rPr>
            </w:pPr>
          </w:p>
        </w:tc>
        <w:tc>
          <w:tcPr>
            <w:tcW w:w="1547" w:type="dxa"/>
            <w:vMerge w:val="restart"/>
            <w:vAlign w:val="center"/>
          </w:tcPr>
          <w:p w14:paraId="74051287">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环境风险防控</w:t>
            </w:r>
          </w:p>
        </w:tc>
        <w:tc>
          <w:tcPr>
            <w:tcW w:w="1710" w:type="dxa"/>
            <w:vAlign w:val="center"/>
          </w:tcPr>
          <w:p w14:paraId="345630CC">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联防联控要求</w:t>
            </w:r>
          </w:p>
        </w:tc>
        <w:tc>
          <w:tcPr>
            <w:tcW w:w="3403" w:type="dxa"/>
            <w:vAlign w:val="center"/>
          </w:tcPr>
          <w:p w14:paraId="30256713">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强化大气污染区域联防联控措施，实施重污染天气应急管控。修订重污染天气应急预案，动态更新污染源排放清单，落实重点企业错峰生产、压产限产、工地停工等强制性措施，有效减缓重污染天气影响。</w:t>
            </w:r>
          </w:p>
        </w:tc>
        <w:tc>
          <w:tcPr>
            <w:tcW w:w="2677" w:type="dxa"/>
            <w:vAlign w:val="center"/>
          </w:tcPr>
          <w:p w14:paraId="0BE2B3D0">
            <w:pPr>
              <w:pStyle w:val="18"/>
              <w:keepNext w:val="0"/>
              <w:keepLines w:val="0"/>
              <w:pageBreakBefore w:val="0"/>
              <w:widowControl w:val="0"/>
              <w:kinsoku/>
              <w:wordWrap/>
              <w:overflowPunct/>
              <w:topLinePunct w:val="0"/>
              <w:bidi w:val="0"/>
              <w:adjustRightInd/>
              <w:snapToGrid/>
              <w:spacing w:line="240" w:lineRule="auto"/>
              <w:ind w:left="0" w:leftChars="0" w:firstLine="0" w:firstLineChars="0"/>
              <w:jc w:val="both"/>
              <w:textAlignment w:val="auto"/>
              <w:rPr>
                <w:rFonts w:hint="eastAsia"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项目建设后，将按照巴中市重污染天气应急预案要求，严格落实区域错峰生产、压产限产等强制性措施</w:t>
            </w:r>
            <w:r>
              <w:rPr>
                <w:rFonts w:hint="eastAsia" w:cs="Times New Roman"/>
                <w:color w:val="auto"/>
                <w:kern w:val="0"/>
                <w:sz w:val="21"/>
                <w:szCs w:val="21"/>
                <w:lang w:val="en-US" w:eastAsia="zh-CN" w:bidi="ar-SA"/>
              </w:rPr>
              <w:t>。</w:t>
            </w:r>
          </w:p>
        </w:tc>
        <w:tc>
          <w:tcPr>
            <w:tcW w:w="929" w:type="dxa"/>
            <w:vAlign w:val="center"/>
          </w:tcPr>
          <w:p w14:paraId="2B9EEFDD">
            <w:pPr>
              <w:pStyle w:val="18"/>
              <w:keepNext w:val="0"/>
              <w:keepLines w:val="0"/>
              <w:pageBreakBefore w:val="0"/>
              <w:widowControl w:val="0"/>
              <w:kinsoku/>
              <w:wordWrap/>
              <w:overflowPunct/>
              <w:topLinePunct w:val="0"/>
              <w:bidi w:val="0"/>
              <w:adjustRightInd/>
              <w:snapToGrid/>
              <w:spacing w:line="240" w:lineRule="auto"/>
              <w:ind w:left="0" w:leftChars="0" w:firstLine="0" w:firstLineChars="0"/>
              <w:jc w:val="center"/>
              <w:textAlignment w:val="auto"/>
              <w:rPr>
                <w:rFonts w:hint="eastAsia"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符合</w:t>
            </w:r>
          </w:p>
        </w:tc>
      </w:tr>
      <w:tr w14:paraId="67091E4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642C7188">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5EF7E8FB">
            <w:pPr>
              <w:pStyle w:val="70"/>
              <w:spacing w:line="240" w:lineRule="auto"/>
              <w:rPr>
                <w:rFonts w:hint="eastAsia" w:ascii="Times New Roman" w:hAnsi="Times New Roman" w:eastAsia="宋体" w:cs="Times New Roman"/>
                <w:color w:val="auto"/>
                <w:sz w:val="21"/>
                <w:szCs w:val="21"/>
              </w:rPr>
            </w:pPr>
          </w:p>
        </w:tc>
        <w:tc>
          <w:tcPr>
            <w:tcW w:w="1547" w:type="dxa"/>
            <w:vMerge w:val="continue"/>
            <w:vAlign w:val="center"/>
          </w:tcPr>
          <w:p w14:paraId="56395251">
            <w:pPr>
              <w:pStyle w:val="70"/>
              <w:spacing w:line="240" w:lineRule="auto"/>
              <w:rPr>
                <w:rFonts w:hint="eastAsia" w:ascii="Times New Roman" w:hAnsi="Times New Roman" w:eastAsia="宋体" w:cs="Times New Roman"/>
                <w:color w:val="auto"/>
                <w:sz w:val="21"/>
                <w:szCs w:val="21"/>
              </w:rPr>
            </w:pPr>
          </w:p>
        </w:tc>
        <w:tc>
          <w:tcPr>
            <w:tcW w:w="1710" w:type="dxa"/>
            <w:vAlign w:val="center"/>
          </w:tcPr>
          <w:p w14:paraId="319386D6">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其他环境风险防控要求</w:t>
            </w:r>
          </w:p>
        </w:tc>
        <w:tc>
          <w:tcPr>
            <w:tcW w:w="3403" w:type="dxa"/>
            <w:vAlign w:val="center"/>
          </w:tcPr>
          <w:p w14:paraId="75EC1562">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涉及有毒有害、易燃易爆物质新建、改扩建项目，严控准入要求。-园区风险防控体系要求：构建三级环境风险防控体系，强化危化品泄漏应急处置措施，确保风险可控。针对化工园区进一步强化风险防控。化工园区应具有安全风险监控体系、建立生态环境监测监控体系、建立必要的突发环境事件应急体系。-有色金属冶炼、石油加工、化工、焦化、电镀、制革等行业企业拆除生产设施设备、构筑物和污染治理设施，要事先制定残留污染物清理和安全处置方案，要严格按照有关规定实施安全处理处置，防范拆除活动污染土壤。-已污染地块，应当依法开展土壤污染状况调查、治理与修复，符合相关环境质量要求后，方可进入用地程序。</w:t>
            </w:r>
          </w:p>
        </w:tc>
        <w:tc>
          <w:tcPr>
            <w:tcW w:w="2677" w:type="dxa"/>
            <w:vAlign w:val="center"/>
          </w:tcPr>
          <w:p w14:paraId="2094BCF2">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项目</w:t>
            </w:r>
            <w:r>
              <w:rPr>
                <w:rFonts w:hint="default" w:ascii="Times New Roman" w:hAnsi="Times New Roman" w:eastAsia="宋体" w:cs="Times New Roman"/>
                <w:color w:val="auto"/>
                <w:sz w:val="21"/>
                <w:szCs w:val="21"/>
                <w:lang w:val="en-US" w:eastAsia="zh-CN"/>
              </w:rPr>
              <w:t>为新建项目，在落实本报告提出的环境风险防控措施后，项目建设满足环境风险防控要求</w:t>
            </w:r>
            <w:r>
              <w:rPr>
                <w:rFonts w:hint="eastAsia" w:cs="Times New Roman"/>
                <w:color w:val="auto"/>
                <w:sz w:val="21"/>
                <w:szCs w:val="21"/>
                <w:lang w:val="en-US" w:eastAsia="zh-CN"/>
              </w:rPr>
              <w:t>。</w:t>
            </w:r>
          </w:p>
        </w:tc>
        <w:tc>
          <w:tcPr>
            <w:tcW w:w="929" w:type="dxa"/>
            <w:vAlign w:val="center"/>
          </w:tcPr>
          <w:p w14:paraId="74146E2D">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符合</w:t>
            </w:r>
          </w:p>
        </w:tc>
      </w:tr>
      <w:tr w14:paraId="0FF2B7D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07A29049">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688B8827">
            <w:pPr>
              <w:pStyle w:val="70"/>
              <w:spacing w:line="240" w:lineRule="auto"/>
              <w:rPr>
                <w:rFonts w:hint="eastAsia" w:ascii="Times New Roman" w:hAnsi="Times New Roman" w:eastAsia="宋体" w:cs="Times New Roman"/>
                <w:color w:val="auto"/>
                <w:sz w:val="21"/>
                <w:szCs w:val="21"/>
              </w:rPr>
            </w:pPr>
          </w:p>
        </w:tc>
        <w:tc>
          <w:tcPr>
            <w:tcW w:w="1547" w:type="dxa"/>
            <w:vMerge w:val="restart"/>
            <w:vAlign w:val="center"/>
          </w:tcPr>
          <w:p w14:paraId="2F3AE86F">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资源开发利用效率要求</w:t>
            </w:r>
          </w:p>
        </w:tc>
        <w:tc>
          <w:tcPr>
            <w:tcW w:w="1710" w:type="dxa"/>
            <w:vAlign w:val="center"/>
          </w:tcPr>
          <w:p w14:paraId="313A02AA">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水资源利用总量要求</w:t>
            </w:r>
          </w:p>
        </w:tc>
        <w:tc>
          <w:tcPr>
            <w:tcW w:w="3403" w:type="dxa"/>
            <w:vAlign w:val="center"/>
          </w:tcPr>
          <w:p w14:paraId="15253F10">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-到2022年，万元国内生产总值用水量、万元工业增加值用水量较2015年分别降低30%和28%。</w:t>
            </w:r>
          </w:p>
        </w:tc>
        <w:tc>
          <w:tcPr>
            <w:tcW w:w="2677" w:type="dxa"/>
            <w:vAlign w:val="center"/>
          </w:tcPr>
          <w:p w14:paraId="7EDE0C42">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929" w:type="dxa"/>
            <w:vAlign w:val="center"/>
          </w:tcPr>
          <w:p w14:paraId="74CDCD70">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2A32DF3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338EB11D">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56F963B5">
            <w:pPr>
              <w:pStyle w:val="70"/>
              <w:spacing w:line="240" w:lineRule="auto"/>
              <w:rPr>
                <w:rFonts w:hint="eastAsia" w:ascii="Times New Roman" w:hAnsi="Times New Roman" w:eastAsia="宋体" w:cs="Times New Roman"/>
                <w:color w:val="auto"/>
                <w:sz w:val="21"/>
                <w:szCs w:val="21"/>
              </w:rPr>
            </w:pPr>
          </w:p>
        </w:tc>
        <w:tc>
          <w:tcPr>
            <w:tcW w:w="1547" w:type="dxa"/>
            <w:vMerge w:val="continue"/>
            <w:vAlign w:val="center"/>
          </w:tcPr>
          <w:p w14:paraId="05099199">
            <w:pPr>
              <w:pStyle w:val="70"/>
              <w:spacing w:line="240" w:lineRule="auto"/>
              <w:rPr>
                <w:rFonts w:hint="eastAsia" w:ascii="Times New Roman" w:hAnsi="Times New Roman" w:eastAsia="宋体" w:cs="Times New Roman"/>
                <w:color w:val="auto"/>
                <w:sz w:val="21"/>
                <w:szCs w:val="21"/>
              </w:rPr>
            </w:pPr>
          </w:p>
        </w:tc>
        <w:tc>
          <w:tcPr>
            <w:tcW w:w="1710" w:type="dxa"/>
            <w:vAlign w:val="center"/>
          </w:tcPr>
          <w:p w14:paraId="6DDD508B">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地下水开采要求</w:t>
            </w:r>
          </w:p>
        </w:tc>
        <w:tc>
          <w:tcPr>
            <w:tcW w:w="3403" w:type="dxa"/>
            <w:vAlign w:val="center"/>
          </w:tcPr>
          <w:p w14:paraId="59359475">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-巴中市2025年地下水开采</w:t>
            </w:r>
            <w:r>
              <w:rPr>
                <w:rFonts w:hint="eastAsia" w:cs="Times New Roman"/>
                <w:color w:val="auto"/>
                <w:sz w:val="21"/>
                <w:szCs w:val="21"/>
                <w:lang w:eastAsia="zh-CN"/>
              </w:rPr>
              <w:t>控制</w:t>
            </w:r>
            <w:r>
              <w:rPr>
                <w:rFonts w:hint="eastAsia" w:ascii="Times New Roman" w:hAnsi="Times New Roman" w:eastAsia="宋体" w:cs="Times New Roman"/>
                <w:color w:val="auto"/>
                <w:sz w:val="21"/>
                <w:szCs w:val="21"/>
              </w:rPr>
              <w:t>量保持在1400万m</w:t>
            </w:r>
            <w:r>
              <w:rPr>
                <w:rFonts w:hint="eastAsia" w:ascii="Times New Roman" w:hAnsi="Times New Roman" w:eastAsia="宋体" w:cs="Times New Roman"/>
                <w:color w:val="auto"/>
                <w:sz w:val="21"/>
                <w:szCs w:val="21"/>
                <w:vertAlign w:val="superscript"/>
              </w:rPr>
              <w:t>3</w:t>
            </w:r>
            <w:r>
              <w:rPr>
                <w:rFonts w:hint="eastAsia" w:ascii="Times New Roman" w:hAnsi="Times New Roman" w:eastAsia="宋体" w:cs="Times New Roman"/>
                <w:color w:val="auto"/>
                <w:sz w:val="21"/>
                <w:szCs w:val="21"/>
              </w:rPr>
              <w:t>以内。-地下水开采量控制在可开采量的允许范围内，抑制用水过度增长。</w:t>
            </w:r>
          </w:p>
        </w:tc>
        <w:tc>
          <w:tcPr>
            <w:tcW w:w="2677" w:type="dxa"/>
            <w:vAlign w:val="center"/>
          </w:tcPr>
          <w:p w14:paraId="4031E3F7">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项目不涉及地下水开采。</w:t>
            </w:r>
          </w:p>
        </w:tc>
        <w:tc>
          <w:tcPr>
            <w:tcW w:w="929" w:type="dxa"/>
            <w:vAlign w:val="center"/>
          </w:tcPr>
          <w:p w14:paraId="6DCBA055">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符合</w:t>
            </w:r>
          </w:p>
        </w:tc>
      </w:tr>
      <w:tr w14:paraId="7601C18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016" w:type="dxa"/>
            <w:vMerge w:val="continue"/>
            <w:vAlign w:val="center"/>
          </w:tcPr>
          <w:p w14:paraId="005670AD">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6ECF3A3C">
            <w:pPr>
              <w:pStyle w:val="70"/>
              <w:spacing w:line="240" w:lineRule="auto"/>
              <w:rPr>
                <w:rFonts w:hint="eastAsia" w:ascii="Times New Roman" w:hAnsi="Times New Roman" w:eastAsia="宋体" w:cs="Times New Roman"/>
                <w:color w:val="auto"/>
                <w:sz w:val="21"/>
                <w:szCs w:val="21"/>
              </w:rPr>
            </w:pPr>
          </w:p>
        </w:tc>
        <w:tc>
          <w:tcPr>
            <w:tcW w:w="1547" w:type="dxa"/>
            <w:vMerge w:val="continue"/>
            <w:vAlign w:val="center"/>
          </w:tcPr>
          <w:p w14:paraId="75CC698D">
            <w:pPr>
              <w:pStyle w:val="70"/>
              <w:spacing w:line="240" w:lineRule="auto"/>
              <w:rPr>
                <w:rFonts w:hint="eastAsia" w:ascii="Times New Roman" w:hAnsi="Times New Roman" w:eastAsia="宋体" w:cs="Times New Roman"/>
                <w:color w:val="auto"/>
                <w:sz w:val="21"/>
                <w:szCs w:val="21"/>
              </w:rPr>
            </w:pPr>
          </w:p>
        </w:tc>
        <w:tc>
          <w:tcPr>
            <w:tcW w:w="1710" w:type="dxa"/>
            <w:vAlign w:val="center"/>
          </w:tcPr>
          <w:p w14:paraId="0DFE1290">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能源利用总量及效率要求</w:t>
            </w:r>
          </w:p>
        </w:tc>
        <w:tc>
          <w:tcPr>
            <w:tcW w:w="3403" w:type="dxa"/>
            <w:vAlign w:val="center"/>
          </w:tcPr>
          <w:p w14:paraId="460AD414">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新、改扩建项目污染能耗指标满足《四川省省级生态工业园区指标》综合类生态工业园区要求。-实施新建项目与煤炭消费总量控制挂钩机制，耗煤建设项目实行煤炭消耗等量减量替代。-提高煤炭利用效率和天然气利用占比，工业领域有序推进“煤改电”和有序推进“煤改气”。-全面淘汰每小时10蒸吨以下的燃煤锅炉；在供气管网覆盖不到的其他地区，改用电、新能源或洁净煤。-原则上不再新建35蒸吨/小时及以下的燃煤锅炉，推进县级及以上城市建成区淘汰35蒸吨/小时及以下燃煤锅炉，以工业余热、电厂热力、清洁能源等替代煤炭。对20蒸吨及以上燃煤锅炉实施脱硫改造，建设高效脱硫设施；对循环流化床锅炉以外的燃煤发电机组一律安装脱硫设施，对燃煤锅炉和工业锅炉现有除尘设施实施升级改造，确保达到新的排放标准和特别排放限值。</w:t>
            </w:r>
          </w:p>
        </w:tc>
        <w:tc>
          <w:tcPr>
            <w:tcW w:w="2677" w:type="dxa"/>
            <w:vAlign w:val="center"/>
          </w:tcPr>
          <w:p w14:paraId="6BDE297D">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项目能源为电能，不涉及燃煤锅炉。</w:t>
            </w:r>
          </w:p>
        </w:tc>
        <w:tc>
          <w:tcPr>
            <w:tcW w:w="929" w:type="dxa"/>
            <w:vAlign w:val="center"/>
          </w:tcPr>
          <w:p w14:paraId="4B49359D">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符合</w:t>
            </w:r>
          </w:p>
        </w:tc>
      </w:tr>
      <w:tr w14:paraId="1BC012B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016" w:type="dxa"/>
            <w:vMerge w:val="continue"/>
            <w:vAlign w:val="center"/>
          </w:tcPr>
          <w:p w14:paraId="1D757EDB">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4CC73712">
            <w:pPr>
              <w:pStyle w:val="70"/>
              <w:spacing w:line="240" w:lineRule="auto"/>
              <w:rPr>
                <w:rFonts w:hint="eastAsia" w:ascii="Times New Roman" w:hAnsi="Times New Roman" w:eastAsia="宋体" w:cs="Times New Roman"/>
                <w:color w:val="auto"/>
                <w:sz w:val="21"/>
                <w:szCs w:val="21"/>
              </w:rPr>
            </w:pPr>
          </w:p>
        </w:tc>
        <w:tc>
          <w:tcPr>
            <w:tcW w:w="1547" w:type="dxa"/>
            <w:vMerge w:val="continue"/>
            <w:vAlign w:val="center"/>
          </w:tcPr>
          <w:p w14:paraId="15EAFDDA">
            <w:pPr>
              <w:pStyle w:val="70"/>
              <w:spacing w:line="240" w:lineRule="auto"/>
              <w:rPr>
                <w:rFonts w:hint="eastAsia" w:ascii="Times New Roman" w:hAnsi="Times New Roman" w:eastAsia="宋体" w:cs="Times New Roman"/>
                <w:color w:val="auto"/>
                <w:sz w:val="21"/>
                <w:szCs w:val="21"/>
              </w:rPr>
            </w:pPr>
          </w:p>
        </w:tc>
        <w:tc>
          <w:tcPr>
            <w:tcW w:w="1710" w:type="dxa"/>
            <w:vAlign w:val="center"/>
          </w:tcPr>
          <w:p w14:paraId="2B4F8C05">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禁燃区要求</w:t>
            </w:r>
          </w:p>
        </w:tc>
        <w:tc>
          <w:tcPr>
            <w:tcW w:w="3403" w:type="dxa"/>
            <w:vAlign w:val="center"/>
          </w:tcPr>
          <w:p w14:paraId="26ECE9CF">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在禁燃区内禁止销售、燃用高污染燃料。禁燃区内禁止新建、扩建燃用高污染燃料的设施。已建成的，应当于2021年12月31日前改用天然气、页岩气、液化石油气、电或其他清洁能源。现有燃用高污染燃料燃用设施在拆除或改造前，有关单位（企业）应当采取措施，确保大气污染物排放达到国家规定标准。</w:t>
            </w:r>
          </w:p>
        </w:tc>
        <w:tc>
          <w:tcPr>
            <w:tcW w:w="2677" w:type="dxa"/>
            <w:vAlign w:val="center"/>
          </w:tcPr>
          <w:p w14:paraId="4B2D56AD">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项目不涉及</w:t>
            </w:r>
            <w:r>
              <w:rPr>
                <w:rFonts w:hint="eastAsia" w:ascii="Times New Roman" w:hAnsi="Times New Roman" w:eastAsia="宋体" w:cs="Times New Roman"/>
                <w:color w:val="auto"/>
                <w:sz w:val="21"/>
                <w:szCs w:val="21"/>
              </w:rPr>
              <w:t>销售、燃用高污染燃料</w:t>
            </w:r>
            <w:r>
              <w:rPr>
                <w:rFonts w:hint="eastAsia" w:ascii="Times New Roman" w:hAnsi="Times New Roman" w:eastAsia="宋体" w:cs="Times New Roman"/>
                <w:color w:val="auto"/>
                <w:sz w:val="21"/>
                <w:szCs w:val="21"/>
                <w:lang w:val="en-US" w:eastAsia="zh-CN"/>
              </w:rPr>
              <w:t>及使用</w:t>
            </w:r>
            <w:r>
              <w:rPr>
                <w:rFonts w:hint="eastAsia" w:ascii="Times New Roman" w:hAnsi="Times New Roman" w:eastAsia="宋体" w:cs="Times New Roman"/>
                <w:color w:val="auto"/>
                <w:sz w:val="21"/>
                <w:szCs w:val="21"/>
              </w:rPr>
              <w:t>高污染燃料的设施</w:t>
            </w:r>
            <w:r>
              <w:rPr>
                <w:rFonts w:hint="eastAsia" w:cs="Times New Roman"/>
                <w:color w:val="auto"/>
                <w:sz w:val="21"/>
                <w:szCs w:val="21"/>
                <w:lang w:eastAsia="zh-CN"/>
              </w:rPr>
              <w:t>。</w:t>
            </w:r>
          </w:p>
        </w:tc>
        <w:tc>
          <w:tcPr>
            <w:tcW w:w="929" w:type="dxa"/>
            <w:vAlign w:val="center"/>
          </w:tcPr>
          <w:p w14:paraId="7727431E">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符合</w:t>
            </w:r>
          </w:p>
        </w:tc>
      </w:tr>
      <w:tr w14:paraId="51AAF68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016" w:type="dxa"/>
            <w:vMerge w:val="continue"/>
            <w:vAlign w:val="center"/>
          </w:tcPr>
          <w:p w14:paraId="6F5090C6">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75075852">
            <w:pPr>
              <w:pStyle w:val="70"/>
              <w:spacing w:line="240" w:lineRule="auto"/>
              <w:rPr>
                <w:rFonts w:hint="eastAsia" w:ascii="Times New Roman" w:hAnsi="Times New Roman" w:eastAsia="宋体" w:cs="Times New Roman"/>
                <w:color w:val="auto"/>
                <w:sz w:val="21"/>
                <w:szCs w:val="21"/>
              </w:rPr>
            </w:pPr>
          </w:p>
        </w:tc>
        <w:tc>
          <w:tcPr>
            <w:tcW w:w="1547" w:type="dxa"/>
            <w:vMerge w:val="continue"/>
            <w:vAlign w:val="center"/>
          </w:tcPr>
          <w:p w14:paraId="0263FFDD">
            <w:pPr>
              <w:pStyle w:val="70"/>
              <w:spacing w:line="240" w:lineRule="auto"/>
              <w:rPr>
                <w:rFonts w:hint="eastAsia" w:ascii="Times New Roman" w:hAnsi="Times New Roman" w:eastAsia="宋体" w:cs="Times New Roman"/>
                <w:color w:val="auto"/>
                <w:sz w:val="21"/>
                <w:szCs w:val="21"/>
              </w:rPr>
            </w:pPr>
          </w:p>
        </w:tc>
        <w:tc>
          <w:tcPr>
            <w:tcW w:w="1710" w:type="dxa"/>
            <w:vAlign w:val="center"/>
          </w:tcPr>
          <w:p w14:paraId="77542A94">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其他资源利用效率要求</w:t>
            </w:r>
          </w:p>
        </w:tc>
        <w:tc>
          <w:tcPr>
            <w:tcW w:w="3403" w:type="dxa"/>
            <w:vAlign w:val="center"/>
          </w:tcPr>
          <w:p w14:paraId="4B87C57C">
            <w:pPr>
              <w:pStyle w:val="70"/>
              <w:spacing w:line="240" w:lineRule="auto"/>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rPr>
              <w:t>到2025年，巴中市万元工业增加值用水降低至22.4m</w:t>
            </w:r>
            <w:r>
              <w:rPr>
                <w:rFonts w:hint="eastAsia" w:ascii="Times New Roman" w:hAnsi="Times New Roman" w:eastAsia="宋体" w:cs="Times New Roman"/>
                <w:color w:val="auto"/>
                <w:sz w:val="21"/>
                <w:szCs w:val="21"/>
                <w:vertAlign w:val="superscript"/>
              </w:rPr>
              <w:t>3</w:t>
            </w:r>
            <w:r>
              <w:rPr>
                <w:rFonts w:hint="eastAsia" w:ascii="Times New Roman" w:hAnsi="Times New Roman" w:eastAsia="宋体" w:cs="Times New Roman"/>
                <w:color w:val="auto"/>
                <w:sz w:val="21"/>
                <w:szCs w:val="21"/>
              </w:rPr>
              <w:t>，工业用水重复利用率达到75.5%以上；到2030年，巴中市万元工业增加值用水量降低到17.1m</w:t>
            </w:r>
            <w:r>
              <w:rPr>
                <w:rFonts w:hint="eastAsia" w:ascii="Times New Roman" w:hAnsi="Times New Roman" w:eastAsia="宋体" w:cs="Times New Roman"/>
                <w:color w:val="auto"/>
                <w:sz w:val="21"/>
                <w:szCs w:val="21"/>
                <w:vertAlign w:val="superscript"/>
              </w:rPr>
              <w:t>3</w:t>
            </w:r>
            <w:r>
              <w:rPr>
                <w:rFonts w:hint="eastAsia" w:ascii="Times New Roman" w:hAnsi="Times New Roman" w:eastAsia="宋体" w:cs="Times New Roman"/>
                <w:color w:val="auto"/>
                <w:sz w:val="21"/>
                <w:szCs w:val="21"/>
              </w:rPr>
              <w:t>，工业用水重复利用率达到81.3%以上。-新、改扩建项目污染水耗指标满足《四川省省级生态工业园区指标》综合类生态工业园区要求。-鼓励引导新建、改建、扩建工业园区应当按照有关要求统筹建设工业废水集中处理和回用设施，适时推进企业间串联用水、分质用水、一水多用，实现水循环梯级优化利用和废水集中处理回用，创建节水型工业园区。-鼓励火力发电、钢铁、纺织、造纸、石化和化工、食品和发酵等高耗水企业对废水进行深度处理回用，降低单位产品耗水量。火电、石化、钢铁、有色、造纸、印染等高耗水行业项目具备使用再生水条件但未有效利用的，要严格控制新增取水许可</w:t>
            </w:r>
            <w:r>
              <w:rPr>
                <w:rFonts w:hint="eastAsia" w:ascii="Times New Roman" w:hAnsi="Times New Roman" w:eastAsia="宋体" w:cs="Times New Roman"/>
                <w:color w:val="auto"/>
                <w:sz w:val="21"/>
                <w:szCs w:val="21"/>
                <w:lang w:eastAsia="zh-CN"/>
              </w:rPr>
              <w:t>。</w:t>
            </w:r>
          </w:p>
        </w:tc>
        <w:tc>
          <w:tcPr>
            <w:tcW w:w="2677" w:type="dxa"/>
            <w:vAlign w:val="center"/>
          </w:tcPr>
          <w:p w14:paraId="5AD99C5A">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项目</w:t>
            </w:r>
            <w:r>
              <w:rPr>
                <w:rFonts w:hint="default" w:ascii="Times New Roman" w:hAnsi="Times New Roman" w:eastAsia="宋体" w:cs="Times New Roman"/>
                <w:color w:val="auto"/>
                <w:sz w:val="21"/>
                <w:szCs w:val="21"/>
                <w:lang w:val="en-US" w:eastAsia="zh-CN"/>
              </w:rPr>
              <w:t>使用</w:t>
            </w:r>
            <w:r>
              <w:rPr>
                <w:rFonts w:hint="eastAsia" w:ascii="Times New Roman" w:hAnsi="Times New Roman" w:eastAsia="宋体" w:cs="Times New Roman"/>
                <w:color w:val="auto"/>
                <w:sz w:val="21"/>
                <w:szCs w:val="21"/>
                <w:lang w:val="en-US" w:eastAsia="zh-CN"/>
              </w:rPr>
              <w:t>电为</w:t>
            </w:r>
            <w:r>
              <w:rPr>
                <w:rFonts w:hint="default" w:ascii="Times New Roman" w:hAnsi="Times New Roman" w:eastAsia="宋体" w:cs="Times New Roman"/>
                <w:color w:val="auto"/>
                <w:sz w:val="21"/>
                <w:szCs w:val="21"/>
                <w:lang w:val="en-US" w:eastAsia="zh-CN"/>
              </w:rPr>
              <w:t>清洁能源，不涉及燃煤锅炉、焚烧秸秆和垃圾。</w:t>
            </w:r>
            <w:r>
              <w:rPr>
                <w:rFonts w:hint="eastAsia" w:ascii="Times New Roman" w:hAnsi="Times New Roman" w:eastAsia="宋体" w:cs="Times New Roman"/>
                <w:color w:val="auto"/>
                <w:sz w:val="21"/>
                <w:szCs w:val="21"/>
                <w:lang w:val="en-US" w:eastAsia="zh-CN"/>
              </w:rPr>
              <w:t>污染水耗指标满足《四川省省级生态工业园区指标》综合类生态工业园区要求</w:t>
            </w:r>
            <w:r>
              <w:rPr>
                <w:rFonts w:hint="eastAsia"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不</w:t>
            </w:r>
            <w:r>
              <w:rPr>
                <w:rFonts w:hint="eastAsia" w:cs="Times New Roman"/>
                <w:color w:val="auto"/>
                <w:sz w:val="21"/>
                <w:szCs w:val="21"/>
                <w:lang w:val="en-US" w:eastAsia="zh-CN"/>
              </w:rPr>
              <w:t>属于</w:t>
            </w:r>
            <w:r>
              <w:rPr>
                <w:rFonts w:hint="eastAsia" w:ascii="Times New Roman" w:hAnsi="Times New Roman" w:eastAsia="宋体" w:cs="Times New Roman"/>
                <w:color w:val="auto"/>
                <w:sz w:val="21"/>
                <w:szCs w:val="21"/>
                <w:lang w:val="en-US" w:eastAsia="zh-CN"/>
              </w:rPr>
              <w:t>火力发电、钢铁、纺织、造纸、石化和化工、食品和发酵等高耗水企业</w:t>
            </w:r>
            <w:r>
              <w:rPr>
                <w:rFonts w:hint="eastAsia" w:cs="Times New Roman"/>
                <w:color w:val="auto"/>
                <w:sz w:val="21"/>
                <w:szCs w:val="21"/>
                <w:lang w:val="en-US" w:eastAsia="zh-CN"/>
              </w:rPr>
              <w:t>。</w:t>
            </w:r>
          </w:p>
        </w:tc>
        <w:tc>
          <w:tcPr>
            <w:tcW w:w="929" w:type="dxa"/>
            <w:vAlign w:val="center"/>
          </w:tcPr>
          <w:p w14:paraId="0CAE14D7">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r w14:paraId="58D84B1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386" w:type="dxa"/>
            <w:gridSpan w:val="2"/>
            <w:vMerge w:val="restart"/>
            <w:vAlign w:val="center"/>
          </w:tcPr>
          <w:p w14:paraId="7187DD28">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巴州区</w:t>
            </w:r>
          </w:p>
        </w:tc>
        <w:tc>
          <w:tcPr>
            <w:tcW w:w="1547" w:type="dxa"/>
            <w:vMerge w:val="restart"/>
            <w:vAlign w:val="center"/>
          </w:tcPr>
          <w:p w14:paraId="16EBC75C">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空间布局约束</w:t>
            </w:r>
          </w:p>
        </w:tc>
        <w:tc>
          <w:tcPr>
            <w:tcW w:w="1710" w:type="dxa"/>
            <w:vAlign w:val="center"/>
          </w:tcPr>
          <w:p w14:paraId="20354D05">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限制开发建设活动的要求</w:t>
            </w:r>
          </w:p>
        </w:tc>
        <w:tc>
          <w:tcPr>
            <w:tcW w:w="3403" w:type="dxa"/>
            <w:vAlign w:val="center"/>
          </w:tcPr>
          <w:p w14:paraId="40513950">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w:t>
            </w:r>
          </w:p>
        </w:tc>
        <w:tc>
          <w:tcPr>
            <w:tcW w:w="2677" w:type="dxa"/>
            <w:vAlign w:val="center"/>
          </w:tcPr>
          <w:p w14:paraId="34F51A60">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929" w:type="dxa"/>
            <w:vAlign w:val="center"/>
          </w:tcPr>
          <w:p w14:paraId="721D99DE">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1892748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386" w:type="dxa"/>
            <w:gridSpan w:val="2"/>
            <w:vMerge w:val="continue"/>
            <w:vAlign w:val="center"/>
          </w:tcPr>
          <w:p w14:paraId="3F1D5A19">
            <w:pPr>
              <w:pStyle w:val="70"/>
              <w:spacing w:line="240" w:lineRule="auto"/>
              <w:rPr>
                <w:rFonts w:hint="eastAsia" w:ascii="Times New Roman" w:hAnsi="Times New Roman" w:eastAsia="宋体" w:cs="Times New Roman"/>
                <w:color w:val="auto"/>
                <w:sz w:val="21"/>
                <w:szCs w:val="21"/>
              </w:rPr>
            </w:pPr>
          </w:p>
        </w:tc>
        <w:tc>
          <w:tcPr>
            <w:tcW w:w="1547" w:type="dxa"/>
            <w:vMerge w:val="continue"/>
            <w:vAlign w:val="center"/>
          </w:tcPr>
          <w:p w14:paraId="725EA361">
            <w:pPr>
              <w:pStyle w:val="70"/>
              <w:spacing w:line="240" w:lineRule="auto"/>
              <w:rPr>
                <w:rFonts w:hint="eastAsia" w:ascii="Times New Roman" w:hAnsi="Times New Roman" w:eastAsia="宋体" w:cs="Times New Roman"/>
                <w:color w:val="auto"/>
                <w:sz w:val="21"/>
                <w:szCs w:val="21"/>
              </w:rPr>
            </w:pPr>
          </w:p>
        </w:tc>
        <w:tc>
          <w:tcPr>
            <w:tcW w:w="1710" w:type="dxa"/>
            <w:vAlign w:val="center"/>
          </w:tcPr>
          <w:p w14:paraId="1549B141">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限制开发建设活动的要求</w:t>
            </w:r>
          </w:p>
        </w:tc>
        <w:tc>
          <w:tcPr>
            <w:tcW w:w="3403" w:type="dxa"/>
            <w:vAlign w:val="center"/>
          </w:tcPr>
          <w:p w14:paraId="07B2C346">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2677" w:type="dxa"/>
            <w:vAlign w:val="center"/>
          </w:tcPr>
          <w:p w14:paraId="553BF44D">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929" w:type="dxa"/>
            <w:vAlign w:val="center"/>
          </w:tcPr>
          <w:p w14:paraId="1E1A31FD">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73C4FDC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386" w:type="dxa"/>
            <w:gridSpan w:val="2"/>
            <w:vMerge w:val="continue"/>
            <w:vAlign w:val="center"/>
          </w:tcPr>
          <w:p w14:paraId="64B35C6F">
            <w:pPr>
              <w:pStyle w:val="70"/>
              <w:spacing w:line="240" w:lineRule="auto"/>
              <w:rPr>
                <w:rFonts w:hint="eastAsia" w:ascii="Times New Roman" w:hAnsi="Times New Roman" w:eastAsia="宋体" w:cs="Times New Roman"/>
                <w:color w:val="auto"/>
                <w:sz w:val="21"/>
                <w:szCs w:val="21"/>
              </w:rPr>
            </w:pPr>
          </w:p>
        </w:tc>
        <w:tc>
          <w:tcPr>
            <w:tcW w:w="1547" w:type="dxa"/>
            <w:vMerge w:val="continue"/>
            <w:vAlign w:val="center"/>
          </w:tcPr>
          <w:p w14:paraId="6A1DA151">
            <w:pPr>
              <w:pStyle w:val="70"/>
              <w:spacing w:line="240" w:lineRule="auto"/>
              <w:rPr>
                <w:rFonts w:hint="eastAsia" w:ascii="Times New Roman" w:hAnsi="Times New Roman" w:eastAsia="宋体" w:cs="Times New Roman"/>
                <w:color w:val="auto"/>
                <w:sz w:val="21"/>
                <w:szCs w:val="21"/>
              </w:rPr>
            </w:pPr>
          </w:p>
        </w:tc>
        <w:tc>
          <w:tcPr>
            <w:tcW w:w="1710" w:type="dxa"/>
            <w:vAlign w:val="center"/>
          </w:tcPr>
          <w:p w14:paraId="57924C6D">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允许开发建设活动的要求</w:t>
            </w:r>
          </w:p>
        </w:tc>
        <w:tc>
          <w:tcPr>
            <w:tcW w:w="3403" w:type="dxa"/>
            <w:vAlign w:val="center"/>
          </w:tcPr>
          <w:p w14:paraId="0721BC62">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2677" w:type="dxa"/>
            <w:vAlign w:val="center"/>
          </w:tcPr>
          <w:p w14:paraId="6B30652D">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929" w:type="dxa"/>
            <w:vAlign w:val="center"/>
          </w:tcPr>
          <w:p w14:paraId="5B494A00">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2F896AE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386" w:type="dxa"/>
            <w:gridSpan w:val="2"/>
            <w:vMerge w:val="continue"/>
            <w:vAlign w:val="center"/>
          </w:tcPr>
          <w:p w14:paraId="3B4A87C6">
            <w:pPr>
              <w:pStyle w:val="70"/>
              <w:spacing w:line="240" w:lineRule="auto"/>
              <w:rPr>
                <w:rFonts w:hint="eastAsia" w:ascii="Times New Roman" w:hAnsi="Times New Roman" w:eastAsia="宋体" w:cs="Times New Roman"/>
                <w:color w:val="auto"/>
                <w:sz w:val="21"/>
                <w:szCs w:val="21"/>
              </w:rPr>
            </w:pPr>
          </w:p>
        </w:tc>
        <w:tc>
          <w:tcPr>
            <w:tcW w:w="1547" w:type="dxa"/>
            <w:vMerge w:val="continue"/>
            <w:vAlign w:val="center"/>
          </w:tcPr>
          <w:p w14:paraId="1724050A">
            <w:pPr>
              <w:pStyle w:val="70"/>
              <w:spacing w:line="240" w:lineRule="auto"/>
              <w:rPr>
                <w:rFonts w:hint="eastAsia" w:ascii="Times New Roman" w:hAnsi="Times New Roman" w:eastAsia="宋体" w:cs="Times New Roman"/>
                <w:color w:val="auto"/>
                <w:sz w:val="21"/>
                <w:szCs w:val="21"/>
              </w:rPr>
            </w:pPr>
          </w:p>
        </w:tc>
        <w:tc>
          <w:tcPr>
            <w:tcW w:w="1710" w:type="dxa"/>
            <w:vAlign w:val="center"/>
          </w:tcPr>
          <w:p w14:paraId="6BE2F436">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不符合空间布局要求活动的退出要求</w:t>
            </w:r>
          </w:p>
        </w:tc>
        <w:tc>
          <w:tcPr>
            <w:tcW w:w="3403" w:type="dxa"/>
            <w:vAlign w:val="center"/>
          </w:tcPr>
          <w:p w14:paraId="4C498190">
            <w:pPr>
              <w:pStyle w:val="70"/>
              <w:spacing w:line="240" w:lineRule="auto"/>
              <w:rPr>
                <w:rFonts w:hint="eastAsia" w:ascii="Times New Roman" w:hAnsi="Times New Roman" w:eastAsia="宋体"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-加强流域水污染防治，推进流域水生态环境修复与治理；-加强城市精细化管理，提升市民对环境的幸福感、获得感。</w:t>
            </w:r>
          </w:p>
        </w:tc>
        <w:tc>
          <w:tcPr>
            <w:tcW w:w="2677" w:type="dxa"/>
            <w:vAlign w:val="center"/>
          </w:tcPr>
          <w:p w14:paraId="100329C4">
            <w:pPr>
              <w:pStyle w:val="70"/>
              <w:spacing w:line="240" w:lineRule="auto"/>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项目</w:t>
            </w:r>
            <w:r>
              <w:rPr>
                <w:rFonts w:hint="eastAsia" w:cs="Times New Roman"/>
                <w:color w:val="000000" w:themeColor="text1"/>
                <w:sz w:val="21"/>
                <w:szCs w:val="21"/>
                <w:lang w:val="en-US" w:eastAsia="zh-CN"/>
                <w14:textFill>
                  <w14:solidFill>
                    <w14:schemeClr w14:val="tx1"/>
                  </w14:solidFill>
                </w14:textFill>
              </w:rPr>
              <w:t>生产</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废水</w:t>
            </w:r>
            <w:r>
              <w:rPr>
                <w:rFonts w:hint="default" w:ascii="Times New Roman" w:hAnsi="Times New Roman" w:eastAsia="宋体" w:cs="Times New Roman"/>
                <w:color w:val="000000" w:themeColor="text1"/>
                <w:sz w:val="21"/>
                <w:szCs w:val="21"/>
                <w14:textFill>
                  <w14:solidFill>
                    <w14:schemeClr w14:val="tx1"/>
                  </w14:solidFill>
                </w14:textFill>
              </w:rPr>
              <w:t>经</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厂区污水处理设备处理</w:t>
            </w:r>
            <w:r>
              <w:rPr>
                <w:rFonts w:hint="eastAsia" w:cs="Times New Roman"/>
                <w:color w:val="000000" w:themeColor="text1"/>
                <w:sz w:val="21"/>
                <w:szCs w:val="21"/>
                <w:lang w:val="en-US" w:eastAsia="zh-CN"/>
                <w14:textFill>
                  <w14:solidFill>
                    <w14:schemeClr w14:val="tx1"/>
                  </w14:solidFill>
                </w14:textFill>
              </w:rPr>
              <w:t>，同生活污水和纯水制备浓水、反冲洗水、空压冷凝水经预处理池处理，处理后的废水</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通过</w:t>
            </w:r>
            <w:r>
              <w:rPr>
                <w:rFonts w:hint="default" w:ascii="Times New Roman" w:hAnsi="Times New Roman" w:eastAsia="宋体" w:cs="Times New Roman"/>
                <w:color w:val="000000" w:themeColor="text1"/>
                <w:sz w:val="21"/>
                <w:szCs w:val="21"/>
                <w14:textFill>
                  <w14:solidFill>
                    <w14:schemeClr w14:val="tx1"/>
                  </w14:solidFill>
                </w14:textFill>
              </w:rPr>
              <w:t>市政管网送</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至</w:t>
            </w:r>
            <w:r>
              <w:rPr>
                <w:rFonts w:hint="default" w:ascii="Times New Roman" w:hAnsi="Times New Roman" w:eastAsia="宋体" w:cs="Times New Roman"/>
                <w:color w:val="000000" w:themeColor="text1"/>
                <w:sz w:val="21"/>
                <w:szCs w:val="21"/>
                <w14:textFill>
                  <w14:solidFill>
                    <w14:schemeClr w14:val="tx1"/>
                  </w14:solidFill>
                </w14:textFill>
              </w:rPr>
              <w:t>经开区污水处理厂处理达标</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后</w:t>
            </w:r>
            <w:r>
              <w:rPr>
                <w:rFonts w:hint="default" w:ascii="Times New Roman" w:hAnsi="Times New Roman" w:eastAsia="宋体" w:cs="Times New Roman"/>
                <w:color w:val="000000" w:themeColor="text1"/>
                <w:sz w:val="21"/>
                <w:szCs w:val="21"/>
                <w14:textFill>
                  <w14:solidFill>
                    <w14:schemeClr w14:val="tx1"/>
                  </w14:solidFill>
                </w14:textFill>
              </w:rPr>
              <w:t>排放</w:t>
            </w:r>
            <w:r>
              <w:rPr>
                <w:rFonts w:hint="eastAsia" w:cs="Times New Roman"/>
                <w:color w:val="000000" w:themeColor="text1"/>
                <w:sz w:val="21"/>
                <w:szCs w:val="21"/>
                <w:lang w:eastAsia="zh-CN"/>
                <w14:textFill>
                  <w14:solidFill>
                    <w14:schemeClr w14:val="tx1"/>
                  </w14:solidFill>
                </w14:textFill>
              </w:rPr>
              <w:t>。</w:t>
            </w:r>
          </w:p>
        </w:tc>
        <w:tc>
          <w:tcPr>
            <w:tcW w:w="929" w:type="dxa"/>
            <w:vAlign w:val="center"/>
          </w:tcPr>
          <w:p w14:paraId="2D853D1F">
            <w:pPr>
              <w:pStyle w:val="70"/>
              <w:spacing w:line="240" w:lineRule="auto"/>
              <w:rPr>
                <w:rFonts w:hint="eastAsia"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符合</w:t>
            </w:r>
          </w:p>
        </w:tc>
      </w:tr>
      <w:tr w14:paraId="2E35271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386" w:type="dxa"/>
            <w:gridSpan w:val="2"/>
            <w:vMerge w:val="continue"/>
            <w:vAlign w:val="center"/>
          </w:tcPr>
          <w:p w14:paraId="3C70BB23">
            <w:pPr>
              <w:pStyle w:val="70"/>
              <w:spacing w:line="240" w:lineRule="auto"/>
              <w:rPr>
                <w:rFonts w:hint="eastAsia" w:ascii="Times New Roman" w:hAnsi="Times New Roman" w:eastAsia="宋体" w:cs="Times New Roman"/>
                <w:color w:val="auto"/>
                <w:sz w:val="21"/>
                <w:szCs w:val="21"/>
              </w:rPr>
            </w:pPr>
          </w:p>
        </w:tc>
        <w:tc>
          <w:tcPr>
            <w:tcW w:w="1547" w:type="dxa"/>
            <w:vMerge w:val="continue"/>
            <w:vAlign w:val="center"/>
          </w:tcPr>
          <w:p w14:paraId="57C0B92B">
            <w:pPr>
              <w:pStyle w:val="70"/>
              <w:spacing w:line="240" w:lineRule="auto"/>
              <w:rPr>
                <w:rFonts w:hint="eastAsia" w:ascii="Times New Roman" w:hAnsi="Times New Roman" w:eastAsia="宋体" w:cs="Times New Roman"/>
                <w:color w:val="auto"/>
                <w:sz w:val="21"/>
                <w:szCs w:val="21"/>
              </w:rPr>
            </w:pPr>
          </w:p>
        </w:tc>
        <w:tc>
          <w:tcPr>
            <w:tcW w:w="1710" w:type="dxa"/>
            <w:vAlign w:val="center"/>
          </w:tcPr>
          <w:p w14:paraId="6E85A621">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其他空间布局约束要求</w:t>
            </w:r>
          </w:p>
        </w:tc>
        <w:tc>
          <w:tcPr>
            <w:tcW w:w="3403" w:type="dxa"/>
            <w:vAlign w:val="center"/>
          </w:tcPr>
          <w:p w14:paraId="7A36F9DB">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2677" w:type="dxa"/>
            <w:vAlign w:val="center"/>
          </w:tcPr>
          <w:p w14:paraId="762C1E19">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929" w:type="dxa"/>
            <w:vAlign w:val="center"/>
          </w:tcPr>
          <w:p w14:paraId="58FF312F">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2ABFE2C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386" w:type="dxa"/>
            <w:gridSpan w:val="2"/>
            <w:vMerge w:val="continue"/>
            <w:vAlign w:val="center"/>
          </w:tcPr>
          <w:p w14:paraId="469F1E38">
            <w:pPr>
              <w:pStyle w:val="70"/>
              <w:spacing w:line="240" w:lineRule="auto"/>
              <w:rPr>
                <w:rFonts w:hint="eastAsia" w:ascii="Times New Roman" w:hAnsi="Times New Roman" w:eastAsia="宋体" w:cs="Times New Roman"/>
                <w:color w:val="auto"/>
                <w:sz w:val="21"/>
                <w:szCs w:val="21"/>
              </w:rPr>
            </w:pPr>
          </w:p>
        </w:tc>
        <w:tc>
          <w:tcPr>
            <w:tcW w:w="1547" w:type="dxa"/>
            <w:vMerge w:val="restart"/>
            <w:vAlign w:val="center"/>
          </w:tcPr>
          <w:p w14:paraId="0EE63198">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污染物排放管控</w:t>
            </w:r>
          </w:p>
        </w:tc>
        <w:tc>
          <w:tcPr>
            <w:tcW w:w="1710" w:type="dxa"/>
            <w:vAlign w:val="center"/>
          </w:tcPr>
          <w:p w14:paraId="4090221C">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现有源提标升级改造</w:t>
            </w:r>
          </w:p>
        </w:tc>
        <w:tc>
          <w:tcPr>
            <w:tcW w:w="3403" w:type="dxa"/>
            <w:vAlign w:val="center"/>
          </w:tcPr>
          <w:p w14:paraId="5D2C0671">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2677" w:type="dxa"/>
            <w:vAlign w:val="center"/>
          </w:tcPr>
          <w:p w14:paraId="58558379">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929" w:type="dxa"/>
            <w:vAlign w:val="center"/>
          </w:tcPr>
          <w:p w14:paraId="04CBD57B">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1C077E6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386" w:type="dxa"/>
            <w:gridSpan w:val="2"/>
            <w:vMerge w:val="continue"/>
            <w:vAlign w:val="center"/>
          </w:tcPr>
          <w:p w14:paraId="50E7BF5C">
            <w:pPr>
              <w:pStyle w:val="70"/>
              <w:spacing w:line="240" w:lineRule="auto"/>
              <w:rPr>
                <w:rFonts w:hint="eastAsia" w:ascii="Times New Roman" w:hAnsi="Times New Roman" w:eastAsia="宋体" w:cs="Times New Roman"/>
                <w:color w:val="auto"/>
                <w:sz w:val="21"/>
                <w:szCs w:val="21"/>
              </w:rPr>
            </w:pPr>
          </w:p>
        </w:tc>
        <w:tc>
          <w:tcPr>
            <w:tcW w:w="1547" w:type="dxa"/>
            <w:vMerge w:val="continue"/>
            <w:vAlign w:val="center"/>
          </w:tcPr>
          <w:p w14:paraId="2464B261">
            <w:pPr>
              <w:pStyle w:val="70"/>
              <w:spacing w:line="240" w:lineRule="auto"/>
              <w:rPr>
                <w:rFonts w:hint="eastAsia" w:ascii="Times New Roman" w:hAnsi="Times New Roman" w:eastAsia="宋体" w:cs="Times New Roman"/>
                <w:color w:val="auto"/>
                <w:sz w:val="21"/>
                <w:szCs w:val="21"/>
              </w:rPr>
            </w:pPr>
          </w:p>
        </w:tc>
        <w:tc>
          <w:tcPr>
            <w:tcW w:w="1710" w:type="dxa"/>
            <w:vAlign w:val="center"/>
          </w:tcPr>
          <w:p w14:paraId="2BF41005">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新增源等量或倍量替代</w:t>
            </w:r>
          </w:p>
        </w:tc>
        <w:tc>
          <w:tcPr>
            <w:tcW w:w="3403" w:type="dxa"/>
            <w:vAlign w:val="center"/>
          </w:tcPr>
          <w:p w14:paraId="441FBBB5">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-加强工业园区内和园区外企业污染排放监管，</w:t>
            </w:r>
            <w:r>
              <w:rPr>
                <w:rFonts w:hint="eastAsia" w:ascii="宋体" w:hAnsi="宋体" w:eastAsia="宋体" w:cs="宋体"/>
                <w:color w:val="auto"/>
                <w:sz w:val="21"/>
                <w:szCs w:val="21"/>
              </w:rPr>
              <w:t>推进“散乱污”企业整治；-强化扬尘源、燃烧源和移</w:t>
            </w:r>
            <w:r>
              <w:rPr>
                <w:rFonts w:ascii="Times New Roman" w:hAnsi="Times New Roman" w:eastAsia="宋体" w:cs="Times New Roman"/>
                <w:color w:val="auto"/>
                <w:sz w:val="21"/>
                <w:szCs w:val="21"/>
              </w:rPr>
              <w:t>动源等大气污染防治。</w:t>
            </w:r>
          </w:p>
        </w:tc>
        <w:tc>
          <w:tcPr>
            <w:tcW w:w="2677" w:type="dxa"/>
            <w:vAlign w:val="center"/>
          </w:tcPr>
          <w:p w14:paraId="07B7FB9F">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项目位于工业园区内，不属于“</w:t>
            </w:r>
            <w:r>
              <w:rPr>
                <w:rFonts w:hint="eastAsia" w:ascii="宋体" w:hAnsi="宋体" w:eastAsia="宋体" w:cs="宋体"/>
                <w:color w:val="auto"/>
                <w:sz w:val="21"/>
                <w:szCs w:val="21"/>
              </w:rPr>
              <w:t>散乱污”企业</w:t>
            </w:r>
            <w:r>
              <w:rPr>
                <w:rFonts w:hint="eastAsia" w:ascii="宋体" w:hAnsi="宋体" w:cs="宋体"/>
                <w:color w:val="auto"/>
                <w:sz w:val="21"/>
                <w:szCs w:val="21"/>
                <w:lang w:eastAsia="zh-CN"/>
              </w:rPr>
              <w:t>，</w:t>
            </w:r>
            <w:r>
              <w:rPr>
                <w:rFonts w:hint="eastAsia" w:ascii="宋体" w:hAnsi="宋体" w:cs="宋体"/>
                <w:color w:val="auto"/>
                <w:sz w:val="21"/>
                <w:szCs w:val="21"/>
                <w:lang w:val="en-US" w:eastAsia="zh-CN"/>
              </w:rPr>
              <w:t>且项目所在区域为达标区，项目新增源等量替代。</w:t>
            </w:r>
          </w:p>
        </w:tc>
        <w:tc>
          <w:tcPr>
            <w:tcW w:w="929" w:type="dxa"/>
            <w:vAlign w:val="center"/>
          </w:tcPr>
          <w:p w14:paraId="3E6CFE59">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符合</w:t>
            </w:r>
          </w:p>
        </w:tc>
      </w:tr>
      <w:tr w14:paraId="6DB8624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386" w:type="dxa"/>
            <w:gridSpan w:val="2"/>
            <w:vMerge w:val="continue"/>
            <w:vAlign w:val="center"/>
          </w:tcPr>
          <w:p w14:paraId="25858669">
            <w:pPr>
              <w:pStyle w:val="70"/>
              <w:spacing w:line="240" w:lineRule="auto"/>
              <w:rPr>
                <w:rFonts w:hint="eastAsia" w:ascii="Times New Roman" w:hAnsi="Times New Roman" w:eastAsia="宋体" w:cs="Times New Roman"/>
                <w:color w:val="auto"/>
                <w:sz w:val="21"/>
                <w:szCs w:val="21"/>
              </w:rPr>
            </w:pPr>
          </w:p>
        </w:tc>
        <w:tc>
          <w:tcPr>
            <w:tcW w:w="1547" w:type="dxa"/>
            <w:vMerge w:val="continue"/>
            <w:vAlign w:val="center"/>
          </w:tcPr>
          <w:p w14:paraId="444200ED">
            <w:pPr>
              <w:pStyle w:val="70"/>
              <w:spacing w:line="240" w:lineRule="auto"/>
              <w:rPr>
                <w:rFonts w:hint="eastAsia" w:ascii="Times New Roman" w:hAnsi="Times New Roman" w:eastAsia="宋体" w:cs="Times New Roman"/>
                <w:color w:val="auto"/>
                <w:sz w:val="21"/>
                <w:szCs w:val="21"/>
              </w:rPr>
            </w:pPr>
          </w:p>
        </w:tc>
        <w:tc>
          <w:tcPr>
            <w:tcW w:w="1710" w:type="dxa"/>
            <w:vAlign w:val="center"/>
          </w:tcPr>
          <w:p w14:paraId="6E42916D">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新增源排放标准限值</w:t>
            </w:r>
          </w:p>
        </w:tc>
        <w:tc>
          <w:tcPr>
            <w:tcW w:w="3403" w:type="dxa"/>
            <w:vAlign w:val="center"/>
          </w:tcPr>
          <w:p w14:paraId="6FEE9B7B">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w:t>
            </w:r>
          </w:p>
        </w:tc>
        <w:tc>
          <w:tcPr>
            <w:tcW w:w="2677" w:type="dxa"/>
            <w:vAlign w:val="center"/>
          </w:tcPr>
          <w:p w14:paraId="48C3D783">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929" w:type="dxa"/>
            <w:vAlign w:val="center"/>
          </w:tcPr>
          <w:p w14:paraId="7EE9C1E5">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5049FAD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386" w:type="dxa"/>
            <w:gridSpan w:val="2"/>
            <w:vMerge w:val="continue"/>
            <w:vAlign w:val="center"/>
          </w:tcPr>
          <w:p w14:paraId="778C7A57">
            <w:pPr>
              <w:pStyle w:val="70"/>
              <w:spacing w:line="240" w:lineRule="auto"/>
              <w:rPr>
                <w:rFonts w:hint="eastAsia" w:ascii="Times New Roman" w:hAnsi="Times New Roman" w:eastAsia="宋体" w:cs="Times New Roman"/>
                <w:color w:val="auto"/>
                <w:sz w:val="21"/>
                <w:szCs w:val="21"/>
              </w:rPr>
            </w:pPr>
          </w:p>
        </w:tc>
        <w:tc>
          <w:tcPr>
            <w:tcW w:w="1547" w:type="dxa"/>
            <w:vMerge w:val="continue"/>
            <w:vAlign w:val="center"/>
          </w:tcPr>
          <w:p w14:paraId="0F99067D">
            <w:pPr>
              <w:pStyle w:val="70"/>
              <w:spacing w:line="240" w:lineRule="auto"/>
              <w:rPr>
                <w:rFonts w:hint="eastAsia" w:ascii="Times New Roman" w:hAnsi="Times New Roman" w:eastAsia="宋体" w:cs="Times New Roman"/>
                <w:color w:val="auto"/>
                <w:sz w:val="21"/>
                <w:szCs w:val="21"/>
              </w:rPr>
            </w:pPr>
          </w:p>
        </w:tc>
        <w:tc>
          <w:tcPr>
            <w:tcW w:w="1710" w:type="dxa"/>
            <w:vAlign w:val="center"/>
          </w:tcPr>
          <w:p w14:paraId="3B38C30D">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污染物排放绩效水平准入要求</w:t>
            </w:r>
          </w:p>
        </w:tc>
        <w:tc>
          <w:tcPr>
            <w:tcW w:w="3403" w:type="dxa"/>
            <w:vAlign w:val="center"/>
          </w:tcPr>
          <w:p w14:paraId="1C42E36C">
            <w:pPr>
              <w:pStyle w:val="70"/>
              <w:spacing w:line="240" w:lineRule="auto"/>
              <w:rPr>
                <w:rFonts w:hint="eastAsia" w:ascii="Times New Roman" w:hAnsi="Times New Roman" w:eastAsia="宋体"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强化建筑垃圾、生活垃圾、餐厨垃圾综合利用和无害化处置及危险废物环境风险管控。</w:t>
            </w:r>
          </w:p>
        </w:tc>
        <w:tc>
          <w:tcPr>
            <w:tcW w:w="2677" w:type="dxa"/>
            <w:vAlign w:val="center"/>
          </w:tcPr>
          <w:p w14:paraId="516FEC0A">
            <w:pPr>
              <w:pStyle w:val="70"/>
              <w:spacing w:line="240" w:lineRule="auto"/>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项目施工期建筑垃圾拉运至政府指定场地堆放；营运期</w:t>
            </w:r>
            <w:r>
              <w:rPr>
                <w:rFonts w:hint="default" w:ascii="Times New Roman" w:hAnsi="Times New Roman" w:eastAsia="宋体" w:cs="Times New Roman"/>
                <w:color w:val="000000" w:themeColor="text1"/>
                <w:sz w:val="21"/>
                <w:szCs w:val="21"/>
                <w14:textFill>
                  <w14:solidFill>
                    <w14:schemeClr w14:val="tx1"/>
                  </w14:solidFill>
                </w14:textFill>
              </w:rPr>
              <w:t>生活垃圾</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交由环卫部门统一清运；</w:t>
            </w:r>
            <w:r>
              <w:rPr>
                <w:rFonts w:hint="default" w:ascii="Times New Roman" w:hAnsi="Times New Roman" w:eastAsia="宋体" w:cs="Times New Roman"/>
                <w:color w:val="000000" w:themeColor="text1"/>
                <w:sz w:val="21"/>
                <w:szCs w:val="21"/>
                <w14:textFill>
                  <w14:solidFill>
                    <w14:schemeClr w14:val="tx1"/>
                  </w14:solidFill>
                </w14:textFill>
              </w:rPr>
              <w:t>危险废物</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交由资质单位处理，评价要求营运期加强</w:t>
            </w:r>
            <w:r>
              <w:rPr>
                <w:rFonts w:hint="default" w:ascii="Times New Roman" w:hAnsi="Times New Roman" w:eastAsia="宋体" w:cs="Times New Roman"/>
                <w:color w:val="000000" w:themeColor="text1"/>
                <w:sz w:val="21"/>
                <w:szCs w:val="21"/>
                <w14:textFill>
                  <w14:solidFill>
                    <w14:schemeClr w14:val="tx1"/>
                  </w14:solidFill>
                </w14:textFill>
              </w:rPr>
              <w:t>危险废物环境风险管控</w:t>
            </w:r>
            <w:r>
              <w:rPr>
                <w:rFonts w:hint="eastAsia" w:cs="Times New Roman"/>
                <w:color w:val="000000" w:themeColor="text1"/>
                <w:sz w:val="21"/>
                <w:szCs w:val="21"/>
                <w:lang w:eastAsia="zh-CN"/>
                <w14:textFill>
                  <w14:solidFill>
                    <w14:schemeClr w14:val="tx1"/>
                  </w14:solidFill>
                </w14:textFill>
              </w:rPr>
              <w:t>。</w:t>
            </w:r>
          </w:p>
        </w:tc>
        <w:tc>
          <w:tcPr>
            <w:tcW w:w="929" w:type="dxa"/>
            <w:vAlign w:val="center"/>
          </w:tcPr>
          <w:p w14:paraId="6D8D1D27">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r w14:paraId="40E657E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386" w:type="dxa"/>
            <w:gridSpan w:val="2"/>
            <w:vMerge w:val="continue"/>
            <w:vAlign w:val="center"/>
          </w:tcPr>
          <w:p w14:paraId="6E1CAE31">
            <w:pPr>
              <w:pStyle w:val="70"/>
              <w:spacing w:line="240" w:lineRule="auto"/>
              <w:rPr>
                <w:rFonts w:hint="eastAsia" w:ascii="Times New Roman" w:hAnsi="Times New Roman" w:eastAsia="宋体" w:cs="Times New Roman"/>
                <w:color w:val="auto"/>
                <w:sz w:val="21"/>
                <w:szCs w:val="21"/>
              </w:rPr>
            </w:pPr>
          </w:p>
        </w:tc>
        <w:tc>
          <w:tcPr>
            <w:tcW w:w="1547" w:type="dxa"/>
            <w:vMerge w:val="continue"/>
            <w:vAlign w:val="center"/>
          </w:tcPr>
          <w:p w14:paraId="38DD4165">
            <w:pPr>
              <w:pStyle w:val="70"/>
              <w:spacing w:line="240" w:lineRule="auto"/>
              <w:rPr>
                <w:rFonts w:hint="eastAsia" w:ascii="Times New Roman" w:hAnsi="Times New Roman" w:eastAsia="宋体" w:cs="Times New Roman"/>
                <w:color w:val="auto"/>
                <w:sz w:val="21"/>
                <w:szCs w:val="21"/>
              </w:rPr>
            </w:pPr>
          </w:p>
        </w:tc>
        <w:tc>
          <w:tcPr>
            <w:tcW w:w="1710" w:type="dxa"/>
            <w:vAlign w:val="center"/>
          </w:tcPr>
          <w:p w14:paraId="5F0D4D14">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其他污染物排放管控要求</w:t>
            </w:r>
          </w:p>
        </w:tc>
        <w:tc>
          <w:tcPr>
            <w:tcW w:w="3403" w:type="dxa"/>
            <w:vAlign w:val="center"/>
          </w:tcPr>
          <w:p w14:paraId="55207F11">
            <w:pPr>
              <w:pStyle w:val="70"/>
              <w:spacing w:line="240" w:lineRule="auto"/>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w:t>
            </w:r>
          </w:p>
        </w:tc>
        <w:tc>
          <w:tcPr>
            <w:tcW w:w="2677" w:type="dxa"/>
            <w:vAlign w:val="center"/>
          </w:tcPr>
          <w:p w14:paraId="24AE5EEA">
            <w:pPr>
              <w:pStyle w:val="70"/>
              <w:spacing w:line="240" w:lineRule="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c>
          <w:tcPr>
            <w:tcW w:w="929" w:type="dxa"/>
            <w:vAlign w:val="center"/>
          </w:tcPr>
          <w:p w14:paraId="4AE9DC67">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415A68A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386" w:type="dxa"/>
            <w:gridSpan w:val="2"/>
            <w:vMerge w:val="continue"/>
            <w:vAlign w:val="center"/>
          </w:tcPr>
          <w:p w14:paraId="70DCA30C">
            <w:pPr>
              <w:pStyle w:val="70"/>
              <w:spacing w:line="240" w:lineRule="auto"/>
              <w:rPr>
                <w:rFonts w:hint="eastAsia" w:ascii="Times New Roman" w:hAnsi="Times New Roman" w:eastAsia="宋体" w:cs="Times New Roman"/>
                <w:color w:val="auto"/>
                <w:sz w:val="21"/>
                <w:szCs w:val="21"/>
              </w:rPr>
            </w:pPr>
          </w:p>
        </w:tc>
        <w:tc>
          <w:tcPr>
            <w:tcW w:w="1547" w:type="dxa"/>
            <w:vAlign w:val="center"/>
          </w:tcPr>
          <w:p w14:paraId="0ECAF3CB">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环境风险防控</w:t>
            </w:r>
          </w:p>
        </w:tc>
        <w:tc>
          <w:tcPr>
            <w:tcW w:w="1710" w:type="dxa"/>
            <w:vAlign w:val="center"/>
          </w:tcPr>
          <w:p w14:paraId="2FA6B85C">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w:t>
            </w:r>
          </w:p>
        </w:tc>
        <w:tc>
          <w:tcPr>
            <w:tcW w:w="3403" w:type="dxa"/>
            <w:vAlign w:val="center"/>
          </w:tcPr>
          <w:p w14:paraId="6AF880B7">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w:t>
            </w:r>
          </w:p>
        </w:tc>
        <w:tc>
          <w:tcPr>
            <w:tcW w:w="2677" w:type="dxa"/>
            <w:vAlign w:val="center"/>
          </w:tcPr>
          <w:p w14:paraId="15E6EE85">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929" w:type="dxa"/>
            <w:vAlign w:val="center"/>
          </w:tcPr>
          <w:p w14:paraId="6327B3E9">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6E058DF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386" w:type="dxa"/>
            <w:gridSpan w:val="2"/>
            <w:vMerge w:val="continue"/>
            <w:vAlign w:val="center"/>
          </w:tcPr>
          <w:p w14:paraId="5F1CACC8">
            <w:pPr>
              <w:pStyle w:val="70"/>
              <w:spacing w:line="240" w:lineRule="auto"/>
              <w:rPr>
                <w:rFonts w:hint="eastAsia" w:ascii="Times New Roman" w:hAnsi="Times New Roman" w:eastAsia="宋体" w:cs="Times New Roman"/>
                <w:color w:val="auto"/>
                <w:sz w:val="21"/>
                <w:szCs w:val="21"/>
              </w:rPr>
            </w:pPr>
          </w:p>
        </w:tc>
        <w:tc>
          <w:tcPr>
            <w:tcW w:w="1547" w:type="dxa"/>
            <w:vAlign w:val="center"/>
          </w:tcPr>
          <w:p w14:paraId="094AD2A8">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资源开发利用效率要求</w:t>
            </w:r>
          </w:p>
        </w:tc>
        <w:tc>
          <w:tcPr>
            <w:tcW w:w="1710" w:type="dxa"/>
            <w:vAlign w:val="center"/>
          </w:tcPr>
          <w:p w14:paraId="44A13574">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w:t>
            </w:r>
          </w:p>
        </w:tc>
        <w:tc>
          <w:tcPr>
            <w:tcW w:w="3403" w:type="dxa"/>
            <w:vAlign w:val="center"/>
          </w:tcPr>
          <w:p w14:paraId="6857D1FA">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w:t>
            </w:r>
          </w:p>
        </w:tc>
        <w:tc>
          <w:tcPr>
            <w:tcW w:w="2677" w:type="dxa"/>
            <w:vAlign w:val="center"/>
          </w:tcPr>
          <w:p w14:paraId="738A07B8">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929" w:type="dxa"/>
            <w:vAlign w:val="center"/>
          </w:tcPr>
          <w:p w14:paraId="097F8BEF">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7370258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restart"/>
            <w:vAlign w:val="center"/>
          </w:tcPr>
          <w:p w14:paraId="124479E7">
            <w:pPr>
              <w:pStyle w:val="70"/>
              <w:spacing w:line="240" w:lineRule="auto"/>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ZH51190220006</w:t>
            </w:r>
          </w:p>
          <w:p w14:paraId="65CAADC5">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四川巴中经济开发区（核心区块、金堂区块）</w:t>
            </w:r>
          </w:p>
        </w:tc>
        <w:tc>
          <w:tcPr>
            <w:tcW w:w="1370" w:type="dxa"/>
            <w:vMerge w:val="restart"/>
            <w:vAlign w:val="center"/>
          </w:tcPr>
          <w:p w14:paraId="103DB5D3">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重点管控单元</w:t>
            </w:r>
          </w:p>
        </w:tc>
        <w:tc>
          <w:tcPr>
            <w:tcW w:w="1547" w:type="dxa"/>
            <w:vMerge w:val="restart"/>
            <w:vAlign w:val="center"/>
          </w:tcPr>
          <w:p w14:paraId="29D6A326">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空间布局约束</w:t>
            </w:r>
          </w:p>
        </w:tc>
        <w:tc>
          <w:tcPr>
            <w:tcW w:w="1710" w:type="dxa"/>
            <w:vAlign w:val="center"/>
          </w:tcPr>
          <w:p w14:paraId="60ADD94C">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禁止开发建设活动的要求</w:t>
            </w:r>
          </w:p>
        </w:tc>
        <w:tc>
          <w:tcPr>
            <w:tcW w:w="3403" w:type="dxa"/>
            <w:vAlign w:val="center"/>
          </w:tcPr>
          <w:p w14:paraId="632F2EC8">
            <w:pPr>
              <w:pStyle w:val="70"/>
              <w:spacing w:line="240" w:lineRule="auto"/>
              <w:rPr>
                <w:rFonts w:hint="eastAsia" w:ascii="Times New Roman" w:hAnsi="Times New Roman" w:eastAsia="宋体" w:cs="Times New Roman"/>
                <w:color w:val="auto"/>
                <w:sz w:val="21"/>
                <w:szCs w:val="21"/>
                <w:lang w:eastAsia="zh-CN"/>
              </w:rPr>
            </w:pPr>
            <w:r>
              <w:rPr>
                <w:rFonts w:ascii="Times New Roman" w:hAnsi="Times New Roman" w:eastAsia="宋体" w:cs="Times New Roman"/>
                <w:color w:val="auto"/>
                <w:sz w:val="21"/>
                <w:szCs w:val="21"/>
              </w:rPr>
              <w:t>（1）禁止引入专业电镀；禁止引入排放含铅、汞、镉、铬、砷废水的项目。（2）禁止引入化学原药制造发酵制药类项目。（3）禁止引入黑色金属和有色金属冶炼类项目。（4）禁止引入多晶硅制造、基础化学原料制造、农药、合成材料制造、炸药及火工和烟火产品制造类项目。（5）禁止引入危化品仓储项目。（6）禁止引入含焙烧和锻炼工序的非金属制品制造类项目。（7）在禁燃区内禁止销售、燃用高污染燃料。禁燃区内禁止新建、扩建燃用高污染燃料的设施</w:t>
            </w:r>
            <w:r>
              <w:rPr>
                <w:rFonts w:hint="eastAsia" w:cs="Times New Roman"/>
                <w:color w:val="auto"/>
                <w:sz w:val="21"/>
                <w:szCs w:val="21"/>
                <w:lang w:eastAsia="zh-CN"/>
              </w:rPr>
              <w:t>。</w:t>
            </w:r>
            <w:r>
              <w:rPr>
                <w:rFonts w:ascii="Times New Roman" w:hAnsi="Times New Roman" w:eastAsia="宋体" w:cs="Times New Roman"/>
                <w:color w:val="auto"/>
                <w:sz w:val="21"/>
                <w:szCs w:val="21"/>
              </w:rPr>
              <w:t>（8）其他执行工业重点管控单元总体准入要求</w:t>
            </w:r>
            <w:r>
              <w:rPr>
                <w:rFonts w:hint="eastAsia" w:ascii="Times New Roman" w:hAnsi="Times New Roman" w:eastAsia="宋体" w:cs="Times New Roman"/>
                <w:color w:val="auto"/>
                <w:sz w:val="21"/>
                <w:szCs w:val="21"/>
                <w:lang w:eastAsia="zh-CN"/>
              </w:rPr>
              <w:t>。</w:t>
            </w:r>
          </w:p>
        </w:tc>
        <w:tc>
          <w:tcPr>
            <w:tcW w:w="2677" w:type="dxa"/>
            <w:vAlign w:val="center"/>
          </w:tcPr>
          <w:p w14:paraId="149F04D0">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项目不涉及电镀工业，不涉及</w:t>
            </w:r>
            <w:r>
              <w:rPr>
                <w:rFonts w:ascii="Times New Roman" w:hAnsi="Times New Roman" w:eastAsia="宋体" w:cs="Times New Roman"/>
                <w:color w:val="auto"/>
                <w:sz w:val="21"/>
                <w:szCs w:val="21"/>
              </w:rPr>
              <w:t>排放含铅、汞、镉、铬、砷废水</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lang w:val="en-US" w:eastAsia="zh-CN"/>
              </w:rPr>
              <w:t>不属于</w:t>
            </w:r>
            <w:r>
              <w:rPr>
                <w:rFonts w:ascii="Times New Roman" w:hAnsi="Times New Roman" w:eastAsia="宋体" w:cs="Times New Roman"/>
                <w:color w:val="auto"/>
                <w:sz w:val="21"/>
                <w:szCs w:val="21"/>
              </w:rPr>
              <w:t>化学原药制造发酵制药类</w:t>
            </w:r>
            <w:r>
              <w:rPr>
                <w:rFonts w:hint="eastAsia" w:ascii="Times New Roman" w:hAnsi="Times New Roman" w:eastAsia="宋体" w:cs="Times New Roman"/>
                <w:color w:val="auto"/>
                <w:sz w:val="21"/>
                <w:szCs w:val="21"/>
                <w:lang w:eastAsia="zh-CN"/>
              </w:rPr>
              <w:t>、</w:t>
            </w:r>
            <w:r>
              <w:rPr>
                <w:rFonts w:ascii="Times New Roman" w:hAnsi="Times New Roman" w:eastAsia="宋体" w:cs="Times New Roman"/>
                <w:color w:val="auto"/>
                <w:sz w:val="21"/>
                <w:szCs w:val="21"/>
              </w:rPr>
              <w:t>多晶硅制造、基础化学原料制造、农药、合成材料制造、炸药及火工和烟火产品制造类</w:t>
            </w:r>
            <w:r>
              <w:rPr>
                <w:rFonts w:hint="eastAsia" w:ascii="Times New Roman" w:hAnsi="Times New Roman" w:eastAsia="宋体" w:cs="Times New Roman"/>
                <w:color w:val="auto"/>
                <w:sz w:val="21"/>
                <w:szCs w:val="21"/>
                <w:lang w:eastAsia="zh-CN"/>
              </w:rPr>
              <w:t>、</w:t>
            </w:r>
            <w:r>
              <w:rPr>
                <w:rFonts w:ascii="Times New Roman" w:hAnsi="Times New Roman" w:eastAsia="宋体" w:cs="Times New Roman"/>
                <w:color w:val="auto"/>
                <w:sz w:val="21"/>
                <w:szCs w:val="21"/>
              </w:rPr>
              <w:t>危化品仓储</w:t>
            </w:r>
            <w:r>
              <w:rPr>
                <w:rFonts w:hint="eastAsia" w:ascii="Times New Roman" w:hAnsi="Times New Roman" w:eastAsia="宋体" w:cs="Times New Roman"/>
                <w:color w:val="auto"/>
                <w:sz w:val="21"/>
                <w:szCs w:val="21"/>
                <w:lang w:eastAsia="zh-CN"/>
              </w:rPr>
              <w:t>、</w:t>
            </w:r>
            <w:r>
              <w:rPr>
                <w:rFonts w:ascii="Times New Roman" w:hAnsi="Times New Roman" w:eastAsia="宋体" w:cs="Times New Roman"/>
                <w:color w:val="auto"/>
                <w:sz w:val="21"/>
                <w:szCs w:val="21"/>
              </w:rPr>
              <w:t>含焙烧和锻炼工序的非金属制品制造类项目</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lang w:val="en-US" w:eastAsia="zh-CN"/>
              </w:rPr>
              <w:t>不涉及使用高污染燃料剂高污染燃料的设施</w:t>
            </w:r>
            <w:r>
              <w:rPr>
                <w:rFonts w:hint="eastAsia" w:cs="Times New Roman"/>
                <w:color w:val="auto"/>
                <w:sz w:val="21"/>
                <w:szCs w:val="21"/>
                <w:lang w:val="en-US" w:eastAsia="zh-CN"/>
              </w:rPr>
              <w:t>。</w:t>
            </w:r>
          </w:p>
        </w:tc>
        <w:tc>
          <w:tcPr>
            <w:tcW w:w="929" w:type="dxa"/>
            <w:vAlign w:val="center"/>
          </w:tcPr>
          <w:p w14:paraId="21268756">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符合</w:t>
            </w:r>
          </w:p>
        </w:tc>
      </w:tr>
      <w:tr w14:paraId="7B59B34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759551E2">
            <w:pPr>
              <w:pStyle w:val="70"/>
              <w:spacing w:line="240" w:lineRule="auto"/>
              <w:rPr>
                <w:rFonts w:ascii="Times New Roman" w:hAnsi="Times New Roman" w:eastAsia="宋体" w:cs="Times New Roman"/>
                <w:color w:val="auto"/>
                <w:sz w:val="21"/>
                <w:szCs w:val="21"/>
              </w:rPr>
            </w:pPr>
          </w:p>
        </w:tc>
        <w:tc>
          <w:tcPr>
            <w:tcW w:w="1370" w:type="dxa"/>
            <w:vMerge w:val="continue"/>
            <w:vAlign w:val="center"/>
          </w:tcPr>
          <w:p w14:paraId="21ECC7CD">
            <w:pPr>
              <w:pStyle w:val="70"/>
              <w:spacing w:line="240" w:lineRule="auto"/>
              <w:rPr>
                <w:rFonts w:ascii="Times New Roman" w:hAnsi="Times New Roman" w:eastAsia="宋体" w:cs="Times New Roman"/>
                <w:color w:val="auto"/>
                <w:sz w:val="21"/>
                <w:szCs w:val="21"/>
              </w:rPr>
            </w:pPr>
          </w:p>
        </w:tc>
        <w:tc>
          <w:tcPr>
            <w:tcW w:w="1547" w:type="dxa"/>
            <w:vMerge w:val="continue"/>
            <w:vAlign w:val="center"/>
          </w:tcPr>
          <w:p w14:paraId="7A8960C9">
            <w:pPr>
              <w:pStyle w:val="70"/>
              <w:spacing w:line="240" w:lineRule="auto"/>
              <w:rPr>
                <w:rFonts w:ascii="Times New Roman" w:hAnsi="Times New Roman" w:eastAsia="宋体" w:cs="Times New Roman"/>
                <w:color w:val="auto"/>
                <w:sz w:val="21"/>
                <w:szCs w:val="21"/>
              </w:rPr>
            </w:pPr>
          </w:p>
        </w:tc>
        <w:tc>
          <w:tcPr>
            <w:tcW w:w="1710" w:type="dxa"/>
            <w:vAlign w:val="center"/>
          </w:tcPr>
          <w:p w14:paraId="108D03DA">
            <w:pPr>
              <w:pStyle w:val="70"/>
              <w:spacing w:line="240" w:lineRule="auto"/>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限制开发建设活动的要求</w:t>
            </w:r>
          </w:p>
        </w:tc>
        <w:tc>
          <w:tcPr>
            <w:tcW w:w="3403" w:type="dxa"/>
            <w:vAlign w:val="center"/>
          </w:tcPr>
          <w:p w14:paraId="2F7314E0">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执行工业重点管控单元普适性管控要求。</w:t>
            </w:r>
          </w:p>
        </w:tc>
        <w:tc>
          <w:tcPr>
            <w:tcW w:w="2677" w:type="dxa"/>
            <w:vAlign w:val="center"/>
          </w:tcPr>
          <w:p w14:paraId="61DD7D1B">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项目符合工业重点管控单元总体准入要求</w:t>
            </w:r>
          </w:p>
        </w:tc>
        <w:tc>
          <w:tcPr>
            <w:tcW w:w="929" w:type="dxa"/>
            <w:vAlign w:val="center"/>
          </w:tcPr>
          <w:p w14:paraId="688006A5">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符合</w:t>
            </w:r>
          </w:p>
        </w:tc>
      </w:tr>
      <w:tr w14:paraId="35B4223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762EF88F">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3E0D9EDB">
            <w:pPr>
              <w:pStyle w:val="70"/>
              <w:spacing w:line="240" w:lineRule="auto"/>
              <w:rPr>
                <w:rFonts w:hint="eastAsia" w:ascii="Times New Roman" w:hAnsi="Times New Roman" w:eastAsia="宋体" w:cs="Times New Roman"/>
                <w:color w:val="auto"/>
                <w:sz w:val="21"/>
                <w:szCs w:val="21"/>
              </w:rPr>
            </w:pPr>
          </w:p>
        </w:tc>
        <w:tc>
          <w:tcPr>
            <w:tcW w:w="1547" w:type="dxa"/>
            <w:vMerge w:val="continue"/>
            <w:vAlign w:val="center"/>
          </w:tcPr>
          <w:p w14:paraId="2BAE47E0">
            <w:pPr>
              <w:pStyle w:val="70"/>
              <w:spacing w:line="240" w:lineRule="auto"/>
              <w:rPr>
                <w:rFonts w:hint="eastAsia" w:ascii="Times New Roman" w:hAnsi="Times New Roman" w:eastAsia="宋体" w:cs="Times New Roman"/>
                <w:color w:val="auto"/>
                <w:sz w:val="21"/>
                <w:szCs w:val="21"/>
              </w:rPr>
            </w:pPr>
          </w:p>
        </w:tc>
        <w:tc>
          <w:tcPr>
            <w:tcW w:w="1710" w:type="dxa"/>
            <w:vAlign w:val="center"/>
          </w:tcPr>
          <w:p w14:paraId="5E253FA8">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允许开发建设活动的要求</w:t>
            </w:r>
          </w:p>
        </w:tc>
        <w:tc>
          <w:tcPr>
            <w:tcW w:w="3403" w:type="dxa"/>
            <w:vAlign w:val="center"/>
          </w:tcPr>
          <w:p w14:paraId="0D45BDBF">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2677" w:type="dxa"/>
            <w:vAlign w:val="center"/>
          </w:tcPr>
          <w:p w14:paraId="536ED64A">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929" w:type="dxa"/>
            <w:vAlign w:val="center"/>
          </w:tcPr>
          <w:p w14:paraId="2EE1F643">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74EA3FD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619E08C0">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588CAB23">
            <w:pPr>
              <w:pStyle w:val="70"/>
              <w:spacing w:line="240" w:lineRule="auto"/>
              <w:rPr>
                <w:rFonts w:hint="eastAsia" w:ascii="Times New Roman" w:hAnsi="Times New Roman" w:eastAsia="宋体" w:cs="Times New Roman"/>
                <w:color w:val="auto"/>
                <w:sz w:val="21"/>
                <w:szCs w:val="21"/>
              </w:rPr>
            </w:pPr>
          </w:p>
        </w:tc>
        <w:tc>
          <w:tcPr>
            <w:tcW w:w="1547" w:type="dxa"/>
            <w:vMerge w:val="continue"/>
            <w:vAlign w:val="center"/>
          </w:tcPr>
          <w:p w14:paraId="6B9DEBF1">
            <w:pPr>
              <w:pStyle w:val="70"/>
              <w:spacing w:line="240" w:lineRule="auto"/>
              <w:rPr>
                <w:rFonts w:hint="eastAsia" w:ascii="Times New Roman" w:hAnsi="Times New Roman" w:eastAsia="宋体" w:cs="Times New Roman"/>
                <w:color w:val="auto"/>
                <w:sz w:val="21"/>
                <w:szCs w:val="21"/>
              </w:rPr>
            </w:pPr>
          </w:p>
        </w:tc>
        <w:tc>
          <w:tcPr>
            <w:tcW w:w="1710" w:type="dxa"/>
            <w:vAlign w:val="center"/>
          </w:tcPr>
          <w:p w14:paraId="1595029A">
            <w:pPr>
              <w:pStyle w:val="70"/>
              <w:spacing w:line="240" w:lineRule="auto"/>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不符合空间布局要求活动的退出要求</w:t>
            </w:r>
          </w:p>
        </w:tc>
        <w:tc>
          <w:tcPr>
            <w:tcW w:w="3403" w:type="dxa"/>
            <w:vAlign w:val="center"/>
          </w:tcPr>
          <w:p w14:paraId="6EBE8DD8">
            <w:pPr>
              <w:pStyle w:val="70"/>
              <w:spacing w:line="240" w:lineRule="auto"/>
              <w:rPr>
                <w:rFonts w:hint="eastAsia"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rPr>
              <w:t>执行工业重点管控单元普适性管控要求。</w:t>
            </w:r>
          </w:p>
        </w:tc>
        <w:tc>
          <w:tcPr>
            <w:tcW w:w="2677" w:type="dxa"/>
            <w:vAlign w:val="center"/>
          </w:tcPr>
          <w:p w14:paraId="729A1E33">
            <w:pPr>
              <w:pStyle w:val="70"/>
              <w:spacing w:line="240" w:lineRule="auto"/>
              <w:rPr>
                <w:rFonts w:hint="eastAsia"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项目符合工业重点管控单元总体准入要求</w:t>
            </w:r>
          </w:p>
        </w:tc>
        <w:tc>
          <w:tcPr>
            <w:tcW w:w="929" w:type="dxa"/>
            <w:vAlign w:val="center"/>
          </w:tcPr>
          <w:p w14:paraId="754D1656">
            <w:pPr>
              <w:pStyle w:val="70"/>
              <w:spacing w:line="240" w:lineRule="auto"/>
              <w:rPr>
                <w:rFonts w:hint="eastAsia" w:ascii="Times New Roman" w:hAnsi="Times New Roman" w:eastAsia="宋体" w:cs="Times New Roman"/>
                <w:color w:val="auto"/>
                <w:sz w:val="21"/>
                <w:szCs w:val="21"/>
              </w:rPr>
            </w:pPr>
            <w:r>
              <w:rPr>
                <w:rFonts w:hint="eastAsia" w:cs="Times New Roman"/>
                <w:color w:val="auto"/>
                <w:sz w:val="21"/>
                <w:szCs w:val="21"/>
                <w:lang w:val="en-US" w:eastAsia="zh-CN"/>
              </w:rPr>
              <w:t>符合</w:t>
            </w:r>
          </w:p>
        </w:tc>
      </w:tr>
      <w:tr w14:paraId="5789F95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53A427CB">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3CCA2D48">
            <w:pPr>
              <w:pStyle w:val="70"/>
              <w:spacing w:line="240" w:lineRule="auto"/>
              <w:rPr>
                <w:rFonts w:hint="eastAsia" w:ascii="Times New Roman" w:hAnsi="Times New Roman" w:eastAsia="宋体" w:cs="Times New Roman"/>
                <w:color w:val="auto"/>
                <w:sz w:val="21"/>
                <w:szCs w:val="21"/>
              </w:rPr>
            </w:pPr>
          </w:p>
        </w:tc>
        <w:tc>
          <w:tcPr>
            <w:tcW w:w="1547" w:type="dxa"/>
            <w:vMerge w:val="continue"/>
            <w:vAlign w:val="center"/>
          </w:tcPr>
          <w:p w14:paraId="16477535">
            <w:pPr>
              <w:pStyle w:val="70"/>
              <w:spacing w:line="240" w:lineRule="auto"/>
              <w:rPr>
                <w:rFonts w:hint="eastAsia" w:ascii="Times New Roman" w:hAnsi="Times New Roman" w:eastAsia="宋体" w:cs="Times New Roman"/>
                <w:color w:val="auto"/>
                <w:sz w:val="21"/>
                <w:szCs w:val="21"/>
              </w:rPr>
            </w:pPr>
          </w:p>
        </w:tc>
        <w:tc>
          <w:tcPr>
            <w:tcW w:w="1710" w:type="dxa"/>
            <w:vAlign w:val="center"/>
          </w:tcPr>
          <w:p w14:paraId="0A8602B3">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其他空间布局约束要求</w:t>
            </w:r>
          </w:p>
        </w:tc>
        <w:tc>
          <w:tcPr>
            <w:tcW w:w="3403" w:type="dxa"/>
            <w:vAlign w:val="center"/>
          </w:tcPr>
          <w:p w14:paraId="742EA862">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2677" w:type="dxa"/>
            <w:vAlign w:val="center"/>
          </w:tcPr>
          <w:p w14:paraId="641F2674">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929" w:type="dxa"/>
            <w:vAlign w:val="center"/>
          </w:tcPr>
          <w:p w14:paraId="4E8C101C">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64762D0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4774C61D">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7F98C556">
            <w:pPr>
              <w:pStyle w:val="70"/>
              <w:spacing w:line="240" w:lineRule="auto"/>
              <w:rPr>
                <w:rFonts w:hint="eastAsia" w:ascii="Times New Roman" w:hAnsi="Times New Roman" w:eastAsia="宋体" w:cs="Times New Roman"/>
                <w:color w:val="auto"/>
                <w:sz w:val="21"/>
                <w:szCs w:val="21"/>
              </w:rPr>
            </w:pPr>
          </w:p>
        </w:tc>
        <w:tc>
          <w:tcPr>
            <w:tcW w:w="1547" w:type="dxa"/>
            <w:vMerge w:val="restart"/>
            <w:vAlign w:val="center"/>
          </w:tcPr>
          <w:p w14:paraId="615C5DEF">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污染物排放管控</w:t>
            </w:r>
          </w:p>
        </w:tc>
        <w:tc>
          <w:tcPr>
            <w:tcW w:w="1710" w:type="dxa"/>
            <w:vAlign w:val="center"/>
          </w:tcPr>
          <w:p w14:paraId="56C01F26">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现有源提标升级改造</w:t>
            </w:r>
          </w:p>
        </w:tc>
        <w:tc>
          <w:tcPr>
            <w:tcW w:w="3403" w:type="dxa"/>
            <w:vAlign w:val="center"/>
          </w:tcPr>
          <w:p w14:paraId="6893EF7F">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执行工业重点管控单元普适性管控要求。</w:t>
            </w:r>
          </w:p>
        </w:tc>
        <w:tc>
          <w:tcPr>
            <w:tcW w:w="2677" w:type="dxa"/>
            <w:vAlign w:val="center"/>
          </w:tcPr>
          <w:p w14:paraId="2FBF9321">
            <w:pPr>
              <w:pStyle w:val="70"/>
              <w:spacing w:line="240" w:lineRule="auto"/>
              <w:rPr>
                <w:rFonts w:hint="eastAsia"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项目符合工业重点管控单元总体准入要求</w:t>
            </w:r>
          </w:p>
        </w:tc>
        <w:tc>
          <w:tcPr>
            <w:tcW w:w="929" w:type="dxa"/>
            <w:vAlign w:val="center"/>
          </w:tcPr>
          <w:p w14:paraId="47A93BF5">
            <w:pPr>
              <w:pStyle w:val="70"/>
              <w:spacing w:line="240" w:lineRule="auto"/>
              <w:rPr>
                <w:rFonts w:hint="eastAsia" w:ascii="Times New Roman" w:hAnsi="Times New Roman" w:eastAsia="宋体" w:cs="Times New Roman"/>
                <w:color w:val="auto"/>
                <w:sz w:val="21"/>
                <w:szCs w:val="21"/>
              </w:rPr>
            </w:pPr>
            <w:r>
              <w:rPr>
                <w:rFonts w:hint="eastAsia" w:cs="Times New Roman"/>
                <w:color w:val="auto"/>
                <w:sz w:val="21"/>
                <w:szCs w:val="21"/>
                <w:lang w:val="en-US" w:eastAsia="zh-CN"/>
              </w:rPr>
              <w:t>符合</w:t>
            </w:r>
          </w:p>
        </w:tc>
      </w:tr>
      <w:tr w14:paraId="1398182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12533624">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24A76AE1">
            <w:pPr>
              <w:pStyle w:val="70"/>
              <w:spacing w:line="240" w:lineRule="auto"/>
              <w:rPr>
                <w:rFonts w:hint="eastAsia" w:ascii="Times New Roman" w:hAnsi="Times New Roman" w:eastAsia="宋体" w:cs="Times New Roman"/>
                <w:color w:val="auto"/>
                <w:sz w:val="21"/>
                <w:szCs w:val="21"/>
              </w:rPr>
            </w:pPr>
          </w:p>
        </w:tc>
        <w:tc>
          <w:tcPr>
            <w:tcW w:w="1547" w:type="dxa"/>
            <w:vMerge w:val="continue"/>
            <w:vAlign w:val="center"/>
          </w:tcPr>
          <w:p w14:paraId="622A86E2">
            <w:pPr>
              <w:pStyle w:val="70"/>
              <w:spacing w:line="240" w:lineRule="auto"/>
              <w:rPr>
                <w:rFonts w:hint="eastAsia" w:ascii="Times New Roman" w:hAnsi="Times New Roman" w:eastAsia="宋体" w:cs="Times New Roman"/>
                <w:color w:val="auto"/>
                <w:sz w:val="21"/>
                <w:szCs w:val="21"/>
              </w:rPr>
            </w:pPr>
          </w:p>
        </w:tc>
        <w:tc>
          <w:tcPr>
            <w:tcW w:w="1710" w:type="dxa"/>
            <w:vAlign w:val="center"/>
          </w:tcPr>
          <w:p w14:paraId="50822971">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新增源等量或倍量替代</w:t>
            </w:r>
          </w:p>
        </w:tc>
        <w:tc>
          <w:tcPr>
            <w:tcW w:w="3403" w:type="dxa"/>
            <w:vAlign w:val="center"/>
          </w:tcPr>
          <w:p w14:paraId="006CC74D">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执行工业重点管控单元普适性管控要求。</w:t>
            </w:r>
          </w:p>
        </w:tc>
        <w:tc>
          <w:tcPr>
            <w:tcW w:w="2677" w:type="dxa"/>
            <w:vAlign w:val="center"/>
          </w:tcPr>
          <w:p w14:paraId="22E84BBC">
            <w:pPr>
              <w:pStyle w:val="70"/>
              <w:spacing w:line="240" w:lineRule="auto"/>
              <w:rPr>
                <w:rFonts w:hint="eastAsia"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项目符合工业重点管控单元总体准入要求</w:t>
            </w:r>
          </w:p>
        </w:tc>
        <w:tc>
          <w:tcPr>
            <w:tcW w:w="929" w:type="dxa"/>
            <w:vAlign w:val="center"/>
          </w:tcPr>
          <w:p w14:paraId="77F63F0E">
            <w:pPr>
              <w:pStyle w:val="70"/>
              <w:spacing w:line="240" w:lineRule="auto"/>
              <w:rPr>
                <w:rFonts w:hint="eastAsia" w:ascii="Times New Roman" w:hAnsi="Times New Roman" w:eastAsia="宋体" w:cs="Times New Roman"/>
                <w:color w:val="auto"/>
                <w:sz w:val="21"/>
                <w:szCs w:val="21"/>
              </w:rPr>
            </w:pPr>
            <w:r>
              <w:rPr>
                <w:rFonts w:hint="eastAsia" w:cs="Times New Roman"/>
                <w:color w:val="auto"/>
                <w:sz w:val="21"/>
                <w:szCs w:val="21"/>
                <w:lang w:val="en-US" w:eastAsia="zh-CN"/>
              </w:rPr>
              <w:t>符合</w:t>
            </w:r>
          </w:p>
        </w:tc>
      </w:tr>
      <w:tr w14:paraId="0175601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3D3E99D0">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136284C9">
            <w:pPr>
              <w:pStyle w:val="70"/>
              <w:spacing w:line="240" w:lineRule="auto"/>
              <w:rPr>
                <w:rFonts w:hint="eastAsia" w:ascii="Times New Roman" w:hAnsi="Times New Roman" w:eastAsia="宋体" w:cs="Times New Roman"/>
                <w:color w:val="auto"/>
                <w:sz w:val="21"/>
                <w:szCs w:val="21"/>
              </w:rPr>
            </w:pPr>
          </w:p>
        </w:tc>
        <w:tc>
          <w:tcPr>
            <w:tcW w:w="1547" w:type="dxa"/>
            <w:vMerge w:val="continue"/>
            <w:vAlign w:val="center"/>
          </w:tcPr>
          <w:p w14:paraId="03B84623">
            <w:pPr>
              <w:pStyle w:val="70"/>
              <w:spacing w:line="240" w:lineRule="auto"/>
              <w:rPr>
                <w:rFonts w:hint="eastAsia" w:ascii="Times New Roman" w:hAnsi="Times New Roman" w:eastAsia="宋体" w:cs="Times New Roman"/>
                <w:color w:val="auto"/>
                <w:sz w:val="21"/>
                <w:szCs w:val="21"/>
              </w:rPr>
            </w:pPr>
          </w:p>
        </w:tc>
        <w:tc>
          <w:tcPr>
            <w:tcW w:w="1710" w:type="dxa"/>
            <w:vAlign w:val="center"/>
          </w:tcPr>
          <w:p w14:paraId="112C04FC">
            <w:pPr>
              <w:pStyle w:val="70"/>
              <w:spacing w:line="240" w:lineRule="auto"/>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新增源排放标准限值</w:t>
            </w:r>
          </w:p>
        </w:tc>
        <w:tc>
          <w:tcPr>
            <w:tcW w:w="3403" w:type="dxa"/>
            <w:vAlign w:val="center"/>
          </w:tcPr>
          <w:p w14:paraId="6E4651E3">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执行工业重点管控单元普适性管控要求。</w:t>
            </w:r>
          </w:p>
        </w:tc>
        <w:tc>
          <w:tcPr>
            <w:tcW w:w="2677" w:type="dxa"/>
            <w:vAlign w:val="center"/>
          </w:tcPr>
          <w:p w14:paraId="67F2A5AC">
            <w:pPr>
              <w:pStyle w:val="70"/>
              <w:spacing w:line="240" w:lineRule="auto"/>
              <w:rPr>
                <w:rFonts w:hint="eastAsia"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项目符合工业重点管控单元总体准入要求</w:t>
            </w:r>
          </w:p>
        </w:tc>
        <w:tc>
          <w:tcPr>
            <w:tcW w:w="929" w:type="dxa"/>
            <w:vAlign w:val="center"/>
          </w:tcPr>
          <w:p w14:paraId="3065A18B">
            <w:pPr>
              <w:pStyle w:val="70"/>
              <w:spacing w:line="240" w:lineRule="auto"/>
              <w:rPr>
                <w:rFonts w:hint="eastAsia" w:ascii="Times New Roman" w:hAnsi="Times New Roman" w:eastAsia="宋体" w:cs="Times New Roman"/>
                <w:color w:val="auto"/>
                <w:sz w:val="21"/>
                <w:szCs w:val="21"/>
              </w:rPr>
            </w:pPr>
            <w:r>
              <w:rPr>
                <w:rFonts w:hint="eastAsia" w:cs="Times New Roman"/>
                <w:color w:val="auto"/>
                <w:sz w:val="21"/>
                <w:szCs w:val="21"/>
                <w:lang w:val="en-US" w:eastAsia="zh-CN"/>
              </w:rPr>
              <w:t>符合</w:t>
            </w:r>
          </w:p>
        </w:tc>
      </w:tr>
      <w:tr w14:paraId="1C2F9B6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13781FC4">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055A6EC5">
            <w:pPr>
              <w:pStyle w:val="70"/>
              <w:spacing w:line="240" w:lineRule="auto"/>
              <w:rPr>
                <w:rFonts w:hint="eastAsia" w:ascii="Times New Roman" w:hAnsi="Times New Roman" w:eastAsia="宋体" w:cs="Times New Roman"/>
                <w:color w:val="auto"/>
                <w:sz w:val="21"/>
                <w:szCs w:val="21"/>
              </w:rPr>
            </w:pPr>
          </w:p>
        </w:tc>
        <w:tc>
          <w:tcPr>
            <w:tcW w:w="1547" w:type="dxa"/>
            <w:vMerge w:val="continue"/>
            <w:vAlign w:val="center"/>
          </w:tcPr>
          <w:p w14:paraId="7B0665AE">
            <w:pPr>
              <w:pStyle w:val="70"/>
              <w:spacing w:line="240" w:lineRule="auto"/>
              <w:rPr>
                <w:rFonts w:hint="eastAsia" w:ascii="Times New Roman" w:hAnsi="Times New Roman" w:eastAsia="宋体" w:cs="Times New Roman"/>
                <w:color w:val="auto"/>
                <w:sz w:val="21"/>
                <w:szCs w:val="21"/>
              </w:rPr>
            </w:pPr>
          </w:p>
        </w:tc>
        <w:tc>
          <w:tcPr>
            <w:tcW w:w="1710" w:type="dxa"/>
            <w:vAlign w:val="center"/>
          </w:tcPr>
          <w:p w14:paraId="4B4E7AC1">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污染物排放绩效水平准入要求</w:t>
            </w:r>
          </w:p>
        </w:tc>
        <w:tc>
          <w:tcPr>
            <w:tcW w:w="3403" w:type="dxa"/>
            <w:vAlign w:val="center"/>
          </w:tcPr>
          <w:p w14:paraId="07A0071A">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（1）食品饮料重点行业项目新建应参考巴</w:t>
            </w:r>
            <w:r>
              <w:rPr>
                <w:rFonts w:hint="eastAsia" w:ascii="宋体" w:hAnsi="宋体" w:eastAsia="宋体" w:cs="宋体"/>
                <w:color w:val="auto"/>
                <w:sz w:val="21"/>
                <w:szCs w:val="21"/>
              </w:rPr>
              <w:t>中市“三线一单”生态环境分区管控中食品饮料行业环境绩效准入门槛，对食品饮料产</w:t>
            </w:r>
            <w:r>
              <w:rPr>
                <w:rFonts w:ascii="Times New Roman" w:hAnsi="Times New Roman" w:eastAsia="宋体" w:cs="Times New Roman"/>
                <w:color w:val="auto"/>
                <w:sz w:val="21"/>
                <w:szCs w:val="21"/>
              </w:rPr>
              <w:t>业中的白酒行业和肉制品加工行业执行GB27631-2011行业标准和《清洁生产评价指标体系肉制品加工业》（DB11</w:t>
            </w:r>
            <w:r>
              <w:rPr>
                <w:rFonts w:hint="eastAsia" w:cs="Times New Roman"/>
                <w:color w:val="auto"/>
                <w:sz w:val="21"/>
                <w:szCs w:val="21"/>
                <w:lang w:val="en-US" w:eastAsia="zh-CN"/>
              </w:rPr>
              <w:t>/</w:t>
            </w:r>
            <w:r>
              <w:rPr>
                <w:rFonts w:ascii="Times New Roman" w:hAnsi="Times New Roman" w:eastAsia="宋体" w:cs="Times New Roman"/>
                <w:color w:val="auto"/>
                <w:sz w:val="21"/>
                <w:szCs w:val="21"/>
              </w:rPr>
              <w:t>T 1405-2017）二级标准，单位产品废水量≤14m</w:t>
            </w:r>
            <w:r>
              <w:rPr>
                <w:rFonts w:ascii="Times New Roman" w:hAnsi="Times New Roman" w:eastAsia="宋体" w:cs="Times New Roman"/>
                <w:color w:val="auto"/>
                <w:sz w:val="21"/>
                <w:szCs w:val="21"/>
                <w:vertAlign w:val="superscript"/>
              </w:rPr>
              <w:t>3</w:t>
            </w:r>
            <w:r>
              <w:rPr>
                <w:rFonts w:hint="eastAsia" w:ascii="Times New Roman" w:hAnsi="Times New Roman" w:eastAsia="宋体" w:cs="Times New Roman"/>
                <w:color w:val="auto"/>
                <w:sz w:val="21"/>
                <w:szCs w:val="21"/>
                <w:lang w:val="en-US" w:eastAsia="zh-CN"/>
              </w:rPr>
              <w:t>/</w:t>
            </w:r>
            <w:r>
              <w:rPr>
                <w:rFonts w:ascii="Times New Roman" w:hAnsi="Times New Roman" w:eastAsia="宋体" w:cs="Times New Roman"/>
                <w:color w:val="auto"/>
                <w:sz w:val="21"/>
                <w:szCs w:val="21"/>
              </w:rPr>
              <w:t>t，单位产品化学需氧量（CODCr）产生量≤16.1kg</w:t>
            </w:r>
            <w:r>
              <w:rPr>
                <w:rFonts w:hint="eastAsia" w:ascii="Times New Roman" w:hAnsi="Times New Roman" w:eastAsia="宋体" w:cs="Times New Roman"/>
                <w:color w:val="auto"/>
                <w:sz w:val="21"/>
                <w:szCs w:val="21"/>
                <w:lang w:val="en-US" w:eastAsia="zh-CN"/>
              </w:rPr>
              <w:t>/</w:t>
            </w:r>
            <w:r>
              <w:rPr>
                <w:rFonts w:ascii="Times New Roman" w:hAnsi="Times New Roman" w:eastAsia="宋体" w:cs="Times New Roman"/>
                <w:color w:val="auto"/>
                <w:sz w:val="21"/>
                <w:szCs w:val="21"/>
              </w:rPr>
              <w:t>t、单位产品氨氮（NH3-N）≤0.65kg</w:t>
            </w:r>
            <w:r>
              <w:rPr>
                <w:rFonts w:hint="eastAsia" w:ascii="Times New Roman" w:hAnsi="Times New Roman" w:eastAsia="宋体" w:cs="Times New Roman"/>
                <w:color w:val="auto"/>
                <w:sz w:val="21"/>
                <w:szCs w:val="21"/>
                <w:lang w:val="en-US" w:eastAsia="zh-CN"/>
              </w:rPr>
              <w:t>/</w:t>
            </w:r>
            <w:r>
              <w:rPr>
                <w:rFonts w:ascii="Times New Roman" w:hAnsi="Times New Roman" w:eastAsia="宋体" w:cs="Times New Roman"/>
                <w:color w:val="auto"/>
                <w:sz w:val="21"/>
                <w:szCs w:val="21"/>
              </w:rPr>
              <w:t>t</w:t>
            </w:r>
            <w:r>
              <w:rPr>
                <w:rFonts w:hint="eastAsia" w:cs="Times New Roman"/>
                <w:color w:val="auto"/>
                <w:sz w:val="21"/>
                <w:szCs w:val="21"/>
                <w:lang w:eastAsia="zh-CN"/>
              </w:rPr>
              <w:t>。</w:t>
            </w:r>
            <w:r>
              <w:rPr>
                <w:rFonts w:ascii="Times New Roman" w:hAnsi="Times New Roman" w:eastAsia="宋体" w:cs="Times New Roman"/>
                <w:color w:val="auto"/>
                <w:sz w:val="21"/>
                <w:szCs w:val="21"/>
              </w:rPr>
              <w:t>（2）入园企业排污</w:t>
            </w:r>
            <w:r>
              <w:rPr>
                <w:rFonts w:hint="eastAsia" w:ascii="宋体" w:hAnsi="宋体" w:eastAsia="宋体" w:cs="宋体"/>
                <w:color w:val="auto"/>
                <w:sz w:val="21"/>
                <w:szCs w:val="21"/>
              </w:rPr>
              <w:t>强度无万元工业增加值不得大于“废</w:t>
            </w:r>
            <w:r>
              <w:rPr>
                <w:rFonts w:ascii="Times New Roman" w:hAnsi="Times New Roman" w:eastAsia="宋体" w:cs="Times New Roman"/>
                <w:color w:val="auto"/>
                <w:sz w:val="21"/>
                <w:szCs w:val="21"/>
              </w:rPr>
              <w:t>水量：0.036m</w:t>
            </w:r>
            <w:r>
              <w:rPr>
                <w:rFonts w:ascii="Times New Roman" w:hAnsi="Times New Roman" w:eastAsia="宋体" w:cs="Times New Roman"/>
                <w:color w:val="auto"/>
                <w:sz w:val="21"/>
                <w:szCs w:val="21"/>
                <w:vertAlign w:val="superscript"/>
              </w:rPr>
              <w:t>3</w:t>
            </w:r>
            <w:r>
              <w:rPr>
                <w:rFonts w:hint="eastAsia" w:ascii="Times New Roman" w:hAnsi="Times New Roman" w:eastAsia="宋体" w:cs="Times New Roman"/>
                <w:color w:val="auto"/>
                <w:sz w:val="21"/>
                <w:szCs w:val="21"/>
                <w:lang w:val="en-US" w:eastAsia="zh-CN"/>
              </w:rPr>
              <w:t>/</w:t>
            </w:r>
            <w:r>
              <w:rPr>
                <w:rFonts w:ascii="Times New Roman" w:hAnsi="Times New Roman" w:eastAsia="宋体" w:cs="Times New Roman"/>
                <w:color w:val="auto"/>
                <w:sz w:val="21"/>
                <w:szCs w:val="21"/>
              </w:rPr>
              <w:t>万元工业增加值、COD：0.018kg</w:t>
            </w:r>
            <w:r>
              <w:rPr>
                <w:rFonts w:hint="eastAsia" w:ascii="Times New Roman" w:hAnsi="Times New Roman" w:eastAsia="宋体" w:cs="Times New Roman"/>
                <w:color w:val="auto"/>
                <w:sz w:val="21"/>
                <w:szCs w:val="21"/>
                <w:lang w:val="en-US" w:eastAsia="zh-CN"/>
              </w:rPr>
              <w:t>/</w:t>
            </w:r>
            <w:r>
              <w:rPr>
                <w:rFonts w:ascii="Times New Roman" w:hAnsi="Times New Roman" w:eastAsia="宋体" w:cs="Times New Roman"/>
                <w:color w:val="auto"/>
                <w:sz w:val="21"/>
                <w:szCs w:val="21"/>
              </w:rPr>
              <w:t>万元工业增加值、NH</w:t>
            </w:r>
            <w:r>
              <w:rPr>
                <w:rFonts w:ascii="Times New Roman" w:hAnsi="Times New Roman" w:eastAsia="宋体" w:cs="Times New Roman"/>
                <w:color w:val="auto"/>
                <w:sz w:val="21"/>
                <w:szCs w:val="21"/>
                <w:vertAlign w:val="subscript"/>
              </w:rPr>
              <w:t>3</w:t>
            </w:r>
            <w:r>
              <w:rPr>
                <w:rFonts w:ascii="Times New Roman" w:hAnsi="Times New Roman" w:eastAsia="宋体" w:cs="Times New Roman"/>
                <w:color w:val="auto"/>
                <w:sz w:val="21"/>
                <w:szCs w:val="21"/>
              </w:rPr>
              <w:t>-N：0.0018kg</w:t>
            </w:r>
            <w:r>
              <w:rPr>
                <w:rFonts w:hint="eastAsia" w:ascii="Times New Roman" w:hAnsi="Times New Roman" w:eastAsia="宋体" w:cs="Times New Roman"/>
                <w:color w:val="auto"/>
                <w:sz w:val="21"/>
                <w:szCs w:val="21"/>
                <w:lang w:val="en-US" w:eastAsia="zh-CN"/>
              </w:rPr>
              <w:t>/</w:t>
            </w:r>
            <w:r>
              <w:rPr>
                <w:rFonts w:ascii="Times New Roman" w:hAnsi="Times New Roman" w:eastAsia="宋体" w:cs="Times New Roman"/>
                <w:color w:val="auto"/>
                <w:sz w:val="21"/>
                <w:szCs w:val="21"/>
              </w:rPr>
              <w:t>万元工业增加值、TP：0.00018kg</w:t>
            </w:r>
            <w:r>
              <w:rPr>
                <w:rFonts w:hint="eastAsia" w:ascii="Times New Roman" w:hAnsi="Times New Roman" w:eastAsia="宋体" w:cs="Times New Roman"/>
                <w:color w:val="auto"/>
                <w:sz w:val="21"/>
                <w:szCs w:val="21"/>
                <w:lang w:val="en-US" w:eastAsia="zh-CN"/>
              </w:rPr>
              <w:t>/</w:t>
            </w:r>
            <w:r>
              <w:rPr>
                <w:rFonts w:ascii="Times New Roman" w:hAnsi="Times New Roman" w:eastAsia="宋体" w:cs="Times New Roman"/>
                <w:color w:val="auto"/>
                <w:sz w:val="21"/>
                <w:szCs w:val="21"/>
              </w:rPr>
              <w:t>万元工业增加</w:t>
            </w:r>
            <w:r>
              <w:rPr>
                <w:rFonts w:hint="eastAsia" w:ascii="宋体" w:hAnsi="宋体" w:eastAsia="宋体" w:cs="宋体"/>
                <w:color w:val="auto"/>
                <w:sz w:val="21"/>
                <w:szCs w:val="21"/>
              </w:rPr>
              <w:t>值”</w:t>
            </w:r>
            <w:r>
              <w:rPr>
                <w:rFonts w:ascii="Times New Roman" w:hAnsi="Times New Roman" w:eastAsia="宋体" w:cs="Times New Roman"/>
                <w:color w:val="auto"/>
                <w:sz w:val="21"/>
                <w:szCs w:val="21"/>
              </w:rPr>
              <w:t>。（3）执行工业重点管控单元总体准入要求。</w:t>
            </w:r>
          </w:p>
        </w:tc>
        <w:tc>
          <w:tcPr>
            <w:tcW w:w="2677" w:type="dxa"/>
            <w:vAlign w:val="center"/>
          </w:tcPr>
          <w:p w14:paraId="6A8B4346">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项目不属于食品饮料行业</w:t>
            </w:r>
          </w:p>
        </w:tc>
        <w:tc>
          <w:tcPr>
            <w:tcW w:w="929" w:type="dxa"/>
            <w:vAlign w:val="center"/>
          </w:tcPr>
          <w:p w14:paraId="0F3DEEA1">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符合</w:t>
            </w:r>
          </w:p>
        </w:tc>
      </w:tr>
      <w:tr w14:paraId="45C4E32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2F8AE81F">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0D7C7A46">
            <w:pPr>
              <w:pStyle w:val="70"/>
              <w:spacing w:line="240" w:lineRule="auto"/>
              <w:rPr>
                <w:rFonts w:hint="eastAsia" w:ascii="Times New Roman" w:hAnsi="Times New Roman" w:eastAsia="宋体" w:cs="Times New Roman"/>
                <w:color w:val="auto"/>
                <w:sz w:val="21"/>
                <w:szCs w:val="21"/>
              </w:rPr>
            </w:pPr>
          </w:p>
        </w:tc>
        <w:tc>
          <w:tcPr>
            <w:tcW w:w="1547" w:type="dxa"/>
            <w:vMerge w:val="continue"/>
            <w:vAlign w:val="center"/>
          </w:tcPr>
          <w:p w14:paraId="043CC31D">
            <w:pPr>
              <w:pStyle w:val="70"/>
              <w:spacing w:line="240" w:lineRule="auto"/>
              <w:rPr>
                <w:rFonts w:hint="eastAsia" w:ascii="Times New Roman" w:hAnsi="Times New Roman" w:eastAsia="宋体" w:cs="Times New Roman"/>
                <w:color w:val="auto"/>
                <w:sz w:val="21"/>
                <w:szCs w:val="21"/>
              </w:rPr>
            </w:pPr>
          </w:p>
        </w:tc>
        <w:tc>
          <w:tcPr>
            <w:tcW w:w="1710" w:type="dxa"/>
            <w:vAlign w:val="center"/>
          </w:tcPr>
          <w:p w14:paraId="0E0617E6">
            <w:pPr>
              <w:pStyle w:val="70"/>
              <w:spacing w:line="240" w:lineRule="auto"/>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其他污染物排放管控要求</w:t>
            </w:r>
          </w:p>
        </w:tc>
        <w:tc>
          <w:tcPr>
            <w:tcW w:w="3403" w:type="dxa"/>
            <w:vAlign w:val="center"/>
          </w:tcPr>
          <w:p w14:paraId="4B345CAA">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2677" w:type="dxa"/>
            <w:vAlign w:val="center"/>
          </w:tcPr>
          <w:p w14:paraId="674AEE91">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929" w:type="dxa"/>
            <w:vAlign w:val="center"/>
          </w:tcPr>
          <w:p w14:paraId="5E5AFC16">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3F1F88F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0D240A92">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1A4DD295">
            <w:pPr>
              <w:pStyle w:val="70"/>
              <w:spacing w:line="240" w:lineRule="auto"/>
              <w:rPr>
                <w:rFonts w:hint="eastAsia" w:ascii="Times New Roman" w:hAnsi="Times New Roman" w:eastAsia="宋体" w:cs="Times New Roman"/>
                <w:color w:val="auto"/>
                <w:sz w:val="21"/>
                <w:szCs w:val="21"/>
              </w:rPr>
            </w:pPr>
          </w:p>
        </w:tc>
        <w:tc>
          <w:tcPr>
            <w:tcW w:w="1547" w:type="dxa"/>
            <w:vMerge w:val="restart"/>
            <w:vAlign w:val="center"/>
          </w:tcPr>
          <w:p w14:paraId="64376DBE">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环境风险防控</w:t>
            </w:r>
          </w:p>
        </w:tc>
        <w:tc>
          <w:tcPr>
            <w:tcW w:w="1710" w:type="dxa"/>
            <w:vAlign w:val="center"/>
          </w:tcPr>
          <w:p w14:paraId="19AD9A94">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严格管控类农用地管控要求</w:t>
            </w:r>
          </w:p>
        </w:tc>
        <w:tc>
          <w:tcPr>
            <w:tcW w:w="3403" w:type="dxa"/>
            <w:vAlign w:val="center"/>
          </w:tcPr>
          <w:p w14:paraId="35E91B55">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执行工业重点管控单元普适性管控要求。</w:t>
            </w:r>
          </w:p>
        </w:tc>
        <w:tc>
          <w:tcPr>
            <w:tcW w:w="2677" w:type="dxa"/>
            <w:vAlign w:val="center"/>
          </w:tcPr>
          <w:p w14:paraId="5912A466">
            <w:pPr>
              <w:pStyle w:val="70"/>
              <w:spacing w:line="240" w:lineRule="auto"/>
              <w:rPr>
                <w:rFonts w:hint="eastAsia"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项目符合工业重点管控单元总体准入要求</w:t>
            </w:r>
          </w:p>
        </w:tc>
        <w:tc>
          <w:tcPr>
            <w:tcW w:w="929" w:type="dxa"/>
            <w:vAlign w:val="center"/>
          </w:tcPr>
          <w:p w14:paraId="50412BCE">
            <w:pPr>
              <w:pStyle w:val="70"/>
              <w:spacing w:line="240" w:lineRule="auto"/>
              <w:rPr>
                <w:rFonts w:hint="eastAsia" w:ascii="Times New Roman" w:hAnsi="Times New Roman" w:eastAsia="宋体" w:cs="Times New Roman"/>
                <w:color w:val="auto"/>
                <w:sz w:val="21"/>
                <w:szCs w:val="21"/>
              </w:rPr>
            </w:pPr>
            <w:r>
              <w:rPr>
                <w:rFonts w:hint="eastAsia" w:cs="Times New Roman"/>
                <w:color w:val="auto"/>
                <w:sz w:val="21"/>
                <w:szCs w:val="21"/>
                <w:lang w:val="en-US" w:eastAsia="zh-CN"/>
              </w:rPr>
              <w:t>符合</w:t>
            </w:r>
          </w:p>
        </w:tc>
      </w:tr>
      <w:tr w14:paraId="3D2601D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7FA02A3D">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4D07B2BD">
            <w:pPr>
              <w:pStyle w:val="70"/>
              <w:spacing w:line="240" w:lineRule="auto"/>
              <w:rPr>
                <w:rFonts w:hint="eastAsia" w:ascii="Times New Roman" w:hAnsi="Times New Roman" w:eastAsia="宋体" w:cs="Times New Roman"/>
                <w:color w:val="auto"/>
                <w:sz w:val="21"/>
                <w:szCs w:val="21"/>
              </w:rPr>
            </w:pPr>
          </w:p>
        </w:tc>
        <w:tc>
          <w:tcPr>
            <w:tcW w:w="1547" w:type="dxa"/>
            <w:vMerge w:val="continue"/>
            <w:vAlign w:val="center"/>
          </w:tcPr>
          <w:p w14:paraId="4BDD799E">
            <w:pPr>
              <w:pStyle w:val="70"/>
              <w:spacing w:line="240" w:lineRule="auto"/>
              <w:rPr>
                <w:rFonts w:ascii="Times New Roman" w:hAnsi="Times New Roman" w:eastAsia="宋体" w:cs="Times New Roman"/>
                <w:color w:val="auto"/>
                <w:sz w:val="21"/>
                <w:szCs w:val="21"/>
              </w:rPr>
            </w:pPr>
          </w:p>
        </w:tc>
        <w:tc>
          <w:tcPr>
            <w:tcW w:w="1710" w:type="dxa"/>
            <w:vAlign w:val="center"/>
          </w:tcPr>
          <w:p w14:paraId="16C02661">
            <w:pPr>
              <w:pStyle w:val="70"/>
              <w:spacing w:line="240" w:lineRule="auto"/>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安全利用类农用地管控要求</w:t>
            </w:r>
          </w:p>
        </w:tc>
        <w:tc>
          <w:tcPr>
            <w:tcW w:w="3403" w:type="dxa"/>
            <w:vAlign w:val="center"/>
          </w:tcPr>
          <w:p w14:paraId="6224673C">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执行工业重点管控单元普适性管控要求。</w:t>
            </w:r>
          </w:p>
        </w:tc>
        <w:tc>
          <w:tcPr>
            <w:tcW w:w="2677" w:type="dxa"/>
            <w:vAlign w:val="center"/>
          </w:tcPr>
          <w:p w14:paraId="538401DA">
            <w:pPr>
              <w:pStyle w:val="70"/>
              <w:spacing w:line="240" w:lineRule="auto"/>
              <w:rPr>
                <w:rFonts w:hint="eastAsia"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项目符合工业重点管控单元总体准入要求</w:t>
            </w:r>
          </w:p>
        </w:tc>
        <w:tc>
          <w:tcPr>
            <w:tcW w:w="929" w:type="dxa"/>
            <w:vAlign w:val="center"/>
          </w:tcPr>
          <w:p w14:paraId="279B4BD2">
            <w:pPr>
              <w:pStyle w:val="70"/>
              <w:spacing w:line="240" w:lineRule="auto"/>
              <w:rPr>
                <w:rFonts w:hint="eastAsia" w:ascii="Times New Roman" w:hAnsi="Times New Roman" w:eastAsia="宋体" w:cs="Times New Roman"/>
                <w:color w:val="auto"/>
                <w:sz w:val="21"/>
                <w:szCs w:val="21"/>
              </w:rPr>
            </w:pPr>
            <w:r>
              <w:rPr>
                <w:rFonts w:hint="eastAsia" w:cs="Times New Roman"/>
                <w:color w:val="auto"/>
                <w:sz w:val="21"/>
                <w:szCs w:val="21"/>
                <w:lang w:val="en-US" w:eastAsia="zh-CN"/>
              </w:rPr>
              <w:t>符合</w:t>
            </w:r>
          </w:p>
        </w:tc>
      </w:tr>
      <w:tr w14:paraId="4ABD7FB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1C617B43">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3AAFA32C">
            <w:pPr>
              <w:pStyle w:val="70"/>
              <w:spacing w:line="240" w:lineRule="auto"/>
              <w:rPr>
                <w:rFonts w:hint="eastAsia" w:ascii="Times New Roman" w:hAnsi="Times New Roman" w:eastAsia="宋体" w:cs="Times New Roman"/>
                <w:color w:val="auto"/>
                <w:sz w:val="21"/>
                <w:szCs w:val="21"/>
              </w:rPr>
            </w:pPr>
          </w:p>
        </w:tc>
        <w:tc>
          <w:tcPr>
            <w:tcW w:w="1547" w:type="dxa"/>
            <w:vMerge w:val="continue"/>
            <w:vAlign w:val="center"/>
          </w:tcPr>
          <w:p w14:paraId="3EB86DC4">
            <w:pPr>
              <w:pStyle w:val="70"/>
              <w:spacing w:line="240" w:lineRule="auto"/>
              <w:rPr>
                <w:rFonts w:ascii="Times New Roman" w:hAnsi="Times New Roman" w:eastAsia="宋体" w:cs="Times New Roman"/>
                <w:color w:val="auto"/>
                <w:sz w:val="21"/>
                <w:szCs w:val="21"/>
              </w:rPr>
            </w:pPr>
          </w:p>
        </w:tc>
        <w:tc>
          <w:tcPr>
            <w:tcW w:w="1710" w:type="dxa"/>
            <w:vAlign w:val="center"/>
          </w:tcPr>
          <w:p w14:paraId="12A958D5">
            <w:pPr>
              <w:pStyle w:val="70"/>
              <w:spacing w:line="240" w:lineRule="auto"/>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污染地块管控要求</w:t>
            </w:r>
          </w:p>
        </w:tc>
        <w:tc>
          <w:tcPr>
            <w:tcW w:w="3403" w:type="dxa"/>
            <w:vAlign w:val="center"/>
          </w:tcPr>
          <w:p w14:paraId="5EA2E8B4">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执行工业重点管控单元普适性管控要求。</w:t>
            </w:r>
          </w:p>
        </w:tc>
        <w:tc>
          <w:tcPr>
            <w:tcW w:w="2677" w:type="dxa"/>
            <w:vAlign w:val="center"/>
          </w:tcPr>
          <w:p w14:paraId="19C05417">
            <w:pPr>
              <w:pStyle w:val="70"/>
              <w:spacing w:line="240" w:lineRule="auto"/>
              <w:rPr>
                <w:rFonts w:hint="eastAsia"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项目符合工业重点管控单元总体准入要求</w:t>
            </w:r>
          </w:p>
        </w:tc>
        <w:tc>
          <w:tcPr>
            <w:tcW w:w="929" w:type="dxa"/>
            <w:vAlign w:val="center"/>
          </w:tcPr>
          <w:p w14:paraId="1508710F">
            <w:pPr>
              <w:pStyle w:val="70"/>
              <w:spacing w:line="240" w:lineRule="auto"/>
              <w:rPr>
                <w:rFonts w:hint="eastAsia" w:ascii="Times New Roman" w:hAnsi="Times New Roman" w:eastAsia="宋体" w:cs="Times New Roman"/>
                <w:color w:val="auto"/>
                <w:sz w:val="21"/>
                <w:szCs w:val="21"/>
              </w:rPr>
            </w:pPr>
            <w:r>
              <w:rPr>
                <w:rFonts w:hint="eastAsia" w:cs="Times New Roman"/>
                <w:color w:val="auto"/>
                <w:sz w:val="21"/>
                <w:szCs w:val="21"/>
                <w:lang w:val="en-US" w:eastAsia="zh-CN"/>
              </w:rPr>
              <w:t>符合</w:t>
            </w:r>
          </w:p>
        </w:tc>
      </w:tr>
      <w:tr w14:paraId="4D876D1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05A1D65D">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42677A6A">
            <w:pPr>
              <w:pStyle w:val="70"/>
              <w:spacing w:line="240" w:lineRule="auto"/>
              <w:rPr>
                <w:rFonts w:hint="eastAsia" w:ascii="Times New Roman" w:hAnsi="Times New Roman" w:eastAsia="宋体" w:cs="Times New Roman"/>
                <w:color w:val="auto"/>
                <w:sz w:val="21"/>
                <w:szCs w:val="21"/>
              </w:rPr>
            </w:pPr>
          </w:p>
        </w:tc>
        <w:tc>
          <w:tcPr>
            <w:tcW w:w="1547" w:type="dxa"/>
            <w:vMerge w:val="continue"/>
            <w:vAlign w:val="center"/>
          </w:tcPr>
          <w:p w14:paraId="11361E53">
            <w:pPr>
              <w:pStyle w:val="70"/>
              <w:spacing w:line="240" w:lineRule="auto"/>
              <w:rPr>
                <w:rFonts w:ascii="Times New Roman" w:hAnsi="Times New Roman" w:eastAsia="宋体" w:cs="Times New Roman"/>
                <w:color w:val="auto"/>
                <w:sz w:val="21"/>
                <w:szCs w:val="21"/>
              </w:rPr>
            </w:pPr>
          </w:p>
        </w:tc>
        <w:tc>
          <w:tcPr>
            <w:tcW w:w="1710" w:type="dxa"/>
            <w:vAlign w:val="center"/>
          </w:tcPr>
          <w:p w14:paraId="44F8FFB0">
            <w:pPr>
              <w:pStyle w:val="70"/>
              <w:spacing w:line="240" w:lineRule="auto"/>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园区环境风险防控要求</w:t>
            </w:r>
          </w:p>
        </w:tc>
        <w:tc>
          <w:tcPr>
            <w:tcW w:w="3403" w:type="dxa"/>
            <w:vAlign w:val="center"/>
          </w:tcPr>
          <w:p w14:paraId="5ECA3C95">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（1）园区与城区和居住区接壤的地块，禁止引入环境风险潜势大于</w:t>
            </w:r>
            <w:r>
              <w:rPr>
                <w:rFonts w:hint="eastAsia" w:cs="Times New Roman"/>
                <w:color w:val="auto"/>
                <w:sz w:val="21"/>
                <w:szCs w:val="21"/>
                <w:lang w:eastAsia="zh-CN"/>
              </w:rPr>
              <w:t>Ⅲ级</w:t>
            </w:r>
            <w:r>
              <w:rPr>
                <w:rFonts w:ascii="Times New Roman" w:hAnsi="Times New Roman" w:eastAsia="宋体" w:cs="Times New Roman"/>
                <w:color w:val="auto"/>
                <w:sz w:val="21"/>
                <w:szCs w:val="21"/>
              </w:rPr>
              <w:t>及以上的项目。（2）金堂区块应考虑环境风险的区域联合防控，建立污</w:t>
            </w:r>
            <w:r>
              <w:rPr>
                <w:rFonts w:hint="eastAsia" w:ascii="宋体" w:hAnsi="宋体" w:eastAsia="宋体" w:cs="宋体"/>
                <w:color w:val="auto"/>
                <w:sz w:val="21"/>
                <w:szCs w:val="21"/>
              </w:rPr>
              <w:t>染源头、过程处理和最终排放的“三级防控”机制。高度重视园区环境安全工作，构建“企业-园区-流域”三级防控体</w:t>
            </w:r>
            <w:r>
              <w:rPr>
                <w:rFonts w:ascii="Times New Roman" w:hAnsi="Times New Roman" w:eastAsia="宋体" w:cs="Times New Roman"/>
                <w:color w:val="auto"/>
                <w:sz w:val="21"/>
                <w:szCs w:val="21"/>
              </w:rPr>
              <w:t>系，实</w:t>
            </w:r>
            <w:r>
              <w:rPr>
                <w:rFonts w:hint="eastAsia" w:ascii="宋体" w:hAnsi="宋体" w:eastAsia="宋体" w:cs="宋体"/>
                <w:color w:val="auto"/>
                <w:sz w:val="21"/>
                <w:szCs w:val="21"/>
              </w:rPr>
              <w:t>现“事故废水不出涉事企业、不出园区管网、不进园区周边水系”</w:t>
            </w:r>
            <w:r>
              <w:rPr>
                <w:rFonts w:ascii="Times New Roman" w:hAnsi="Times New Roman" w:eastAsia="宋体" w:cs="Times New Roman"/>
                <w:color w:val="auto"/>
                <w:sz w:val="21"/>
                <w:szCs w:val="21"/>
              </w:rPr>
              <w:t>的风险防控目标。（3）其余执行工业重点管控单元总体准入要求。</w:t>
            </w:r>
          </w:p>
        </w:tc>
        <w:tc>
          <w:tcPr>
            <w:tcW w:w="2677" w:type="dxa"/>
            <w:vAlign w:val="center"/>
          </w:tcPr>
          <w:p w14:paraId="4793D2B7">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项目位于四川巴中经济开发区的核心区，与城区和居住区不接壤</w:t>
            </w:r>
            <w:r>
              <w:rPr>
                <w:rFonts w:hint="eastAsia"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经分析，项目建设符合工业重点管控单元总体准入要求。</w:t>
            </w:r>
          </w:p>
        </w:tc>
        <w:tc>
          <w:tcPr>
            <w:tcW w:w="929" w:type="dxa"/>
            <w:vAlign w:val="center"/>
          </w:tcPr>
          <w:p w14:paraId="6F4CAC6D">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r w14:paraId="2362043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76997109">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781A9EEA">
            <w:pPr>
              <w:pStyle w:val="70"/>
              <w:spacing w:line="240" w:lineRule="auto"/>
              <w:rPr>
                <w:rFonts w:hint="eastAsia" w:ascii="Times New Roman" w:hAnsi="Times New Roman" w:eastAsia="宋体" w:cs="Times New Roman"/>
                <w:color w:val="auto"/>
                <w:sz w:val="21"/>
                <w:szCs w:val="21"/>
              </w:rPr>
            </w:pPr>
          </w:p>
        </w:tc>
        <w:tc>
          <w:tcPr>
            <w:tcW w:w="1547" w:type="dxa"/>
            <w:vMerge w:val="continue"/>
            <w:vAlign w:val="center"/>
          </w:tcPr>
          <w:p w14:paraId="60C721C2">
            <w:pPr>
              <w:pStyle w:val="70"/>
              <w:spacing w:line="240" w:lineRule="auto"/>
              <w:rPr>
                <w:rFonts w:ascii="Times New Roman" w:hAnsi="Times New Roman" w:eastAsia="宋体" w:cs="Times New Roman"/>
                <w:color w:val="auto"/>
                <w:sz w:val="21"/>
                <w:szCs w:val="21"/>
              </w:rPr>
            </w:pPr>
          </w:p>
        </w:tc>
        <w:tc>
          <w:tcPr>
            <w:tcW w:w="1710" w:type="dxa"/>
            <w:vAlign w:val="center"/>
          </w:tcPr>
          <w:p w14:paraId="3C637E71">
            <w:pPr>
              <w:pStyle w:val="70"/>
              <w:spacing w:line="240" w:lineRule="auto"/>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企业环境风险防控要求</w:t>
            </w:r>
          </w:p>
        </w:tc>
        <w:tc>
          <w:tcPr>
            <w:tcW w:w="3403" w:type="dxa"/>
            <w:vAlign w:val="center"/>
          </w:tcPr>
          <w:p w14:paraId="633FD63C">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执行工业重点管控单元普适性管控要求。</w:t>
            </w:r>
          </w:p>
        </w:tc>
        <w:tc>
          <w:tcPr>
            <w:tcW w:w="2677" w:type="dxa"/>
            <w:vAlign w:val="center"/>
          </w:tcPr>
          <w:p w14:paraId="606D7B1E">
            <w:pPr>
              <w:pStyle w:val="70"/>
              <w:spacing w:line="240" w:lineRule="auto"/>
              <w:rPr>
                <w:rFonts w:hint="eastAsia"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项目符合工业重点管控单元总体准入要求</w:t>
            </w:r>
          </w:p>
        </w:tc>
        <w:tc>
          <w:tcPr>
            <w:tcW w:w="929" w:type="dxa"/>
            <w:vAlign w:val="center"/>
          </w:tcPr>
          <w:p w14:paraId="06B00C32">
            <w:pPr>
              <w:pStyle w:val="70"/>
              <w:spacing w:line="240" w:lineRule="auto"/>
              <w:rPr>
                <w:rFonts w:hint="eastAsia" w:ascii="Times New Roman" w:hAnsi="Times New Roman" w:eastAsia="宋体" w:cs="Times New Roman"/>
                <w:color w:val="auto"/>
                <w:sz w:val="21"/>
                <w:szCs w:val="21"/>
              </w:rPr>
            </w:pPr>
            <w:r>
              <w:rPr>
                <w:rFonts w:hint="eastAsia" w:cs="Times New Roman"/>
                <w:color w:val="auto"/>
                <w:sz w:val="21"/>
                <w:szCs w:val="21"/>
                <w:lang w:val="en-US" w:eastAsia="zh-CN"/>
              </w:rPr>
              <w:t>符合</w:t>
            </w:r>
          </w:p>
        </w:tc>
      </w:tr>
      <w:tr w14:paraId="1FA4811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4EFF510F">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3EEB2804">
            <w:pPr>
              <w:pStyle w:val="70"/>
              <w:spacing w:line="240" w:lineRule="auto"/>
              <w:rPr>
                <w:rFonts w:hint="eastAsia" w:ascii="Times New Roman" w:hAnsi="Times New Roman" w:eastAsia="宋体" w:cs="Times New Roman"/>
                <w:color w:val="auto"/>
                <w:sz w:val="21"/>
                <w:szCs w:val="21"/>
              </w:rPr>
            </w:pPr>
          </w:p>
        </w:tc>
        <w:tc>
          <w:tcPr>
            <w:tcW w:w="1547" w:type="dxa"/>
            <w:vMerge w:val="continue"/>
            <w:vAlign w:val="center"/>
          </w:tcPr>
          <w:p w14:paraId="799EA2BF">
            <w:pPr>
              <w:pStyle w:val="70"/>
              <w:spacing w:line="240" w:lineRule="auto"/>
              <w:rPr>
                <w:rFonts w:ascii="Times New Roman" w:hAnsi="Times New Roman" w:eastAsia="宋体" w:cs="Times New Roman"/>
                <w:color w:val="auto"/>
                <w:sz w:val="21"/>
                <w:szCs w:val="21"/>
              </w:rPr>
            </w:pPr>
          </w:p>
        </w:tc>
        <w:tc>
          <w:tcPr>
            <w:tcW w:w="1710" w:type="dxa"/>
            <w:vAlign w:val="center"/>
          </w:tcPr>
          <w:p w14:paraId="67021AC7">
            <w:pPr>
              <w:pStyle w:val="70"/>
              <w:spacing w:line="240" w:lineRule="auto"/>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其他环境风险防控要求</w:t>
            </w:r>
          </w:p>
        </w:tc>
        <w:tc>
          <w:tcPr>
            <w:tcW w:w="3403" w:type="dxa"/>
            <w:vAlign w:val="center"/>
          </w:tcPr>
          <w:p w14:paraId="2A891AA3">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2677" w:type="dxa"/>
            <w:vAlign w:val="center"/>
          </w:tcPr>
          <w:p w14:paraId="55E17996">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929" w:type="dxa"/>
            <w:vAlign w:val="center"/>
          </w:tcPr>
          <w:p w14:paraId="555963E9">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599D5F8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60E7BE6A">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10DDE6BE">
            <w:pPr>
              <w:pStyle w:val="70"/>
              <w:spacing w:line="240" w:lineRule="auto"/>
              <w:rPr>
                <w:rFonts w:hint="eastAsia" w:ascii="Times New Roman" w:hAnsi="Times New Roman" w:eastAsia="宋体" w:cs="Times New Roman"/>
                <w:color w:val="auto"/>
                <w:sz w:val="21"/>
                <w:szCs w:val="21"/>
              </w:rPr>
            </w:pPr>
          </w:p>
        </w:tc>
        <w:tc>
          <w:tcPr>
            <w:tcW w:w="1547" w:type="dxa"/>
            <w:vMerge w:val="restart"/>
            <w:vAlign w:val="center"/>
          </w:tcPr>
          <w:p w14:paraId="0E19F750">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资源开发利用效率要求</w:t>
            </w:r>
          </w:p>
        </w:tc>
        <w:tc>
          <w:tcPr>
            <w:tcW w:w="1710" w:type="dxa"/>
            <w:vAlign w:val="center"/>
          </w:tcPr>
          <w:p w14:paraId="2A57A2E6">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水资源利用效率要求</w:t>
            </w:r>
          </w:p>
        </w:tc>
        <w:tc>
          <w:tcPr>
            <w:tcW w:w="3403" w:type="dxa"/>
            <w:vAlign w:val="center"/>
          </w:tcPr>
          <w:p w14:paraId="619CD67D">
            <w:pPr>
              <w:pStyle w:val="70"/>
              <w:spacing w:line="240" w:lineRule="auto"/>
              <w:rPr>
                <w:rFonts w:hint="eastAsia" w:ascii="Times New Roman" w:hAnsi="Times New Roman" w:eastAsia="宋体" w:cs="Times New Roman"/>
                <w:color w:val="auto"/>
                <w:sz w:val="21"/>
                <w:szCs w:val="21"/>
                <w:lang w:eastAsia="zh-CN"/>
              </w:rPr>
            </w:pPr>
            <w:r>
              <w:rPr>
                <w:rFonts w:ascii="Times New Roman" w:hAnsi="Times New Roman" w:eastAsia="宋体" w:cs="Times New Roman"/>
                <w:color w:val="auto"/>
                <w:sz w:val="21"/>
                <w:szCs w:val="21"/>
              </w:rPr>
              <w:t>执行工业重点管控单元普适性管控要求</w:t>
            </w:r>
            <w:r>
              <w:rPr>
                <w:rFonts w:hint="eastAsia" w:ascii="Times New Roman" w:hAnsi="Times New Roman" w:eastAsia="宋体" w:cs="Times New Roman"/>
                <w:color w:val="auto"/>
                <w:sz w:val="21"/>
                <w:szCs w:val="21"/>
                <w:lang w:eastAsia="zh-CN"/>
              </w:rPr>
              <w:t>。</w:t>
            </w:r>
          </w:p>
        </w:tc>
        <w:tc>
          <w:tcPr>
            <w:tcW w:w="2677" w:type="dxa"/>
            <w:vAlign w:val="center"/>
          </w:tcPr>
          <w:p w14:paraId="5130D006">
            <w:pPr>
              <w:pStyle w:val="70"/>
              <w:spacing w:line="240" w:lineRule="auto"/>
              <w:rPr>
                <w:rFonts w:hint="eastAsia"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项目符合工业重点管控单元总体准入要求</w:t>
            </w:r>
          </w:p>
        </w:tc>
        <w:tc>
          <w:tcPr>
            <w:tcW w:w="929" w:type="dxa"/>
            <w:vAlign w:val="center"/>
          </w:tcPr>
          <w:p w14:paraId="1289912E">
            <w:pPr>
              <w:pStyle w:val="70"/>
              <w:spacing w:line="240" w:lineRule="auto"/>
              <w:rPr>
                <w:rFonts w:hint="eastAsia" w:ascii="Times New Roman" w:hAnsi="Times New Roman" w:eastAsia="宋体" w:cs="Times New Roman"/>
                <w:color w:val="auto"/>
                <w:sz w:val="21"/>
                <w:szCs w:val="21"/>
              </w:rPr>
            </w:pPr>
            <w:r>
              <w:rPr>
                <w:rFonts w:hint="eastAsia" w:cs="Times New Roman"/>
                <w:color w:val="auto"/>
                <w:sz w:val="21"/>
                <w:szCs w:val="21"/>
                <w:lang w:val="en-US" w:eastAsia="zh-CN"/>
              </w:rPr>
              <w:t>符合</w:t>
            </w:r>
          </w:p>
        </w:tc>
      </w:tr>
      <w:tr w14:paraId="7C16A99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549BB94E">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21E67225">
            <w:pPr>
              <w:pStyle w:val="70"/>
              <w:spacing w:line="240" w:lineRule="auto"/>
              <w:rPr>
                <w:rFonts w:hint="eastAsia" w:ascii="Times New Roman" w:hAnsi="Times New Roman" w:eastAsia="宋体" w:cs="Times New Roman"/>
                <w:color w:val="auto"/>
                <w:sz w:val="21"/>
                <w:szCs w:val="21"/>
              </w:rPr>
            </w:pPr>
          </w:p>
        </w:tc>
        <w:tc>
          <w:tcPr>
            <w:tcW w:w="1547" w:type="dxa"/>
            <w:vMerge w:val="continue"/>
            <w:vAlign w:val="center"/>
          </w:tcPr>
          <w:p w14:paraId="1E77919B">
            <w:pPr>
              <w:pStyle w:val="70"/>
              <w:spacing w:line="240" w:lineRule="auto"/>
              <w:rPr>
                <w:rFonts w:hint="eastAsia" w:ascii="Times New Roman" w:hAnsi="Times New Roman" w:eastAsia="宋体" w:cs="Times New Roman"/>
                <w:color w:val="auto"/>
                <w:sz w:val="21"/>
                <w:szCs w:val="21"/>
              </w:rPr>
            </w:pPr>
          </w:p>
        </w:tc>
        <w:tc>
          <w:tcPr>
            <w:tcW w:w="1710" w:type="dxa"/>
            <w:vAlign w:val="center"/>
          </w:tcPr>
          <w:p w14:paraId="269B81A6">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地下水开采要求</w:t>
            </w:r>
          </w:p>
        </w:tc>
        <w:tc>
          <w:tcPr>
            <w:tcW w:w="3403" w:type="dxa"/>
            <w:vAlign w:val="center"/>
          </w:tcPr>
          <w:p w14:paraId="5794D70D">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执行工业重点管控单元普适性管控要求。</w:t>
            </w:r>
          </w:p>
        </w:tc>
        <w:tc>
          <w:tcPr>
            <w:tcW w:w="2677" w:type="dxa"/>
            <w:vAlign w:val="center"/>
          </w:tcPr>
          <w:p w14:paraId="5008B9B1">
            <w:pPr>
              <w:pStyle w:val="70"/>
              <w:spacing w:line="240" w:lineRule="auto"/>
              <w:rPr>
                <w:rFonts w:hint="eastAsia"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项目符合工业重点管控单元总体准入要求</w:t>
            </w:r>
          </w:p>
        </w:tc>
        <w:tc>
          <w:tcPr>
            <w:tcW w:w="929" w:type="dxa"/>
            <w:vAlign w:val="center"/>
          </w:tcPr>
          <w:p w14:paraId="2921359C">
            <w:pPr>
              <w:pStyle w:val="70"/>
              <w:spacing w:line="240" w:lineRule="auto"/>
              <w:rPr>
                <w:rFonts w:hint="eastAsia" w:ascii="Times New Roman" w:hAnsi="Times New Roman" w:eastAsia="宋体" w:cs="Times New Roman"/>
                <w:color w:val="auto"/>
                <w:sz w:val="21"/>
                <w:szCs w:val="21"/>
              </w:rPr>
            </w:pPr>
            <w:r>
              <w:rPr>
                <w:rFonts w:hint="eastAsia" w:cs="Times New Roman"/>
                <w:color w:val="auto"/>
                <w:sz w:val="21"/>
                <w:szCs w:val="21"/>
                <w:lang w:val="en-US" w:eastAsia="zh-CN"/>
              </w:rPr>
              <w:t>符合</w:t>
            </w:r>
          </w:p>
        </w:tc>
      </w:tr>
      <w:tr w14:paraId="644044B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652A0664">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3996B1D2">
            <w:pPr>
              <w:pStyle w:val="70"/>
              <w:spacing w:line="240" w:lineRule="auto"/>
              <w:rPr>
                <w:rFonts w:hint="eastAsia" w:ascii="Times New Roman" w:hAnsi="Times New Roman" w:eastAsia="宋体" w:cs="Times New Roman"/>
                <w:color w:val="auto"/>
                <w:sz w:val="21"/>
                <w:szCs w:val="21"/>
              </w:rPr>
            </w:pPr>
          </w:p>
        </w:tc>
        <w:tc>
          <w:tcPr>
            <w:tcW w:w="1547" w:type="dxa"/>
            <w:vMerge w:val="continue"/>
            <w:vAlign w:val="center"/>
          </w:tcPr>
          <w:p w14:paraId="350AA69F">
            <w:pPr>
              <w:pStyle w:val="70"/>
              <w:spacing w:line="240" w:lineRule="auto"/>
              <w:rPr>
                <w:rFonts w:hint="eastAsia" w:ascii="Times New Roman" w:hAnsi="Times New Roman" w:eastAsia="宋体" w:cs="Times New Roman"/>
                <w:color w:val="auto"/>
                <w:sz w:val="21"/>
                <w:szCs w:val="21"/>
              </w:rPr>
            </w:pPr>
          </w:p>
        </w:tc>
        <w:tc>
          <w:tcPr>
            <w:tcW w:w="1710" w:type="dxa"/>
            <w:vAlign w:val="center"/>
          </w:tcPr>
          <w:p w14:paraId="78C277AB">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能源利用效率要求</w:t>
            </w:r>
          </w:p>
        </w:tc>
        <w:tc>
          <w:tcPr>
            <w:tcW w:w="3403" w:type="dxa"/>
            <w:vAlign w:val="center"/>
          </w:tcPr>
          <w:p w14:paraId="49B7CE31">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执行工业重点管控单元普适性管控要求。</w:t>
            </w:r>
          </w:p>
        </w:tc>
        <w:tc>
          <w:tcPr>
            <w:tcW w:w="2677" w:type="dxa"/>
            <w:vAlign w:val="center"/>
          </w:tcPr>
          <w:p w14:paraId="30030AFA">
            <w:pPr>
              <w:pStyle w:val="70"/>
              <w:spacing w:line="240" w:lineRule="auto"/>
              <w:rPr>
                <w:rFonts w:hint="eastAsia"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项目符合工业重点管控单元总体准入要求</w:t>
            </w:r>
          </w:p>
        </w:tc>
        <w:tc>
          <w:tcPr>
            <w:tcW w:w="929" w:type="dxa"/>
            <w:vAlign w:val="center"/>
          </w:tcPr>
          <w:p w14:paraId="78FF5084">
            <w:pPr>
              <w:pStyle w:val="70"/>
              <w:spacing w:line="240" w:lineRule="auto"/>
              <w:rPr>
                <w:rFonts w:hint="eastAsia" w:ascii="Times New Roman" w:hAnsi="Times New Roman" w:eastAsia="宋体" w:cs="Times New Roman"/>
                <w:color w:val="auto"/>
                <w:sz w:val="21"/>
                <w:szCs w:val="21"/>
              </w:rPr>
            </w:pPr>
            <w:r>
              <w:rPr>
                <w:rFonts w:hint="eastAsia" w:cs="Times New Roman"/>
                <w:color w:val="auto"/>
                <w:sz w:val="21"/>
                <w:szCs w:val="21"/>
                <w:lang w:val="en-US" w:eastAsia="zh-CN"/>
              </w:rPr>
              <w:t>符合</w:t>
            </w:r>
          </w:p>
        </w:tc>
      </w:tr>
      <w:tr w14:paraId="2386474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2016" w:type="dxa"/>
            <w:vMerge w:val="continue"/>
            <w:vAlign w:val="center"/>
          </w:tcPr>
          <w:p w14:paraId="5FC11518">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43CAAA31">
            <w:pPr>
              <w:pStyle w:val="70"/>
              <w:spacing w:line="240" w:lineRule="auto"/>
              <w:rPr>
                <w:rFonts w:hint="eastAsia" w:ascii="Times New Roman" w:hAnsi="Times New Roman" w:eastAsia="宋体" w:cs="Times New Roman"/>
                <w:color w:val="auto"/>
                <w:sz w:val="21"/>
                <w:szCs w:val="21"/>
              </w:rPr>
            </w:pPr>
          </w:p>
        </w:tc>
        <w:tc>
          <w:tcPr>
            <w:tcW w:w="1547" w:type="dxa"/>
            <w:vMerge w:val="continue"/>
            <w:vAlign w:val="center"/>
          </w:tcPr>
          <w:p w14:paraId="749A97A1">
            <w:pPr>
              <w:pStyle w:val="70"/>
              <w:spacing w:line="240" w:lineRule="auto"/>
              <w:rPr>
                <w:rFonts w:hint="eastAsia" w:ascii="Times New Roman" w:hAnsi="Times New Roman" w:eastAsia="宋体" w:cs="Times New Roman"/>
                <w:color w:val="auto"/>
                <w:sz w:val="21"/>
                <w:szCs w:val="21"/>
              </w:rPr>
            </w:pPr>
          </w:p>
        </w:tc>
        <w:tc>
          <w:tcPr>
            <w:tcW w:w="1710" w:type="dxa"/>
            <w:vAlign w:val="center"/>
          </w:tcPr>
          <w:p w14:paraId="5A760C9D">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其他资源利用效率要求</w:t>
            </w:r>
          </w:p>
        </w:tc>
        <w:tc>
          <w:tcPr>
            <w:tcW w:w="3403" w:type="dxa"/>
            <w:vAlign w:val="center"/>
          </w:tcPr>
          <w:p w14:paraId="17A9706D">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2677" w:type="dxa"/>
            <w:vAlign w:val="center"/>
          </w:tcPr>
          <w:p w14:paraId="24B2EA4E">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929" w:type="dxa"/>
            <w:vAlign w:val="center"/>
          </w:tcPr>
          <w:p w14:paraId="18D0071A">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35744CD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restart"/>
            <w:vAlign w:val="center"/>
          </w:tcPr>
          <w:p w14:paraId="7E808D3A">
            <w:pPr>
              <w:pStyle w:val="70"/>
              <w:spacing w:line="240" w:lineRule="auto"/>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YS5119023110001</w:t>
            </w:r>
          </w:p>
          <w:p w14:paraId="1FFD8B01">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巴州区其他区域</w:t>
            </w:r>
          </w:p>
        </w:tc>
        <w:tc>
          <w:tcPr>
            <w:tcW w:w="1370" w:type="dxa"/>
            <w:vMerge w:val="restart"/>
            <w:vAlign w:val="center"/>
          </w:tcPr>
          <w:p w14:paraId="324EF864">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一般管控区</w:t>
            </w:r>
          </w:p>
        </w:tc>
        <w:tc>
          <w:tcPr>
            <w:tcW w:w="1547" w:type="dxa"/>
            <w:vAlign w:val="center"/>
          </w:tcPr>
          <w:p w14:paraId="223A4E59">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空间布局约束</w:t>
            </w:r>
          </w:p>
        </w:tc>
        <w:tc>
          <w:tcPr>
            <w:tcW w:w="1710" w:type="dxa"/>
            <w:vAlign w:val="center"/>
          </w:tcPr>
          <w:p w14:paraId="6E887FF4">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3403" w:type="dxa"/>
            <w:vAlign w:val="center"/>
          </w:tcPr>
          <w:p w14:paraId="1E62757E">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2677" w:type="dxa"/>
            <w:vAlign w:val="center"/>
          </w:tcPr>
          <w:p w14:paraId="4D146C91">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929" w:type="dxa"/>
            <w:vAlign w:val="center"/>
          </w:tcPr>
          <w:p w14:paraId="0E9E0F63">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40D18EE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21613FF1">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17EB3F8C">
            <w:pPr>
              <w:pStyle w:val="70"/>
              <w:spacing w:line="240" w:lineRule="auto"/>
              <w:rPr>
                <w:rFonts w:hint="eastAsia" w:ascii="Times New Roman" w:hAnsi="Times New Roman" w:eastAsia="宋体" w:cs="Times New Roman"/>
                <w:color w:val="auto"/>
                <w:sz w:val="21"/>
                <w:szCs w:val="21"/>
              </w:rPr>
            </w:pPr>
          </w:p>
        </w:tc>
        <w:tc>
          <w:tcPr>
            <w:tcW w:w="1547" w:type="dxa"/>
            <w:vAlign w:val="center"/>
          </w:tcPr>
          <w:p w14:paraId="49AC9081">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污染物排放管控</w:t>
            </w:r>
          </w:p>
        </w:tc>
        <w:tc>
          <w:tcPr>
            <w:tcW w:w="1710" w:type="dxa"/>
            <w:vAlign w:val="center"/>
          </w:tcPr>
          <w:p w14:paraId="589814E8">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3403" w:type="dxa"/>
            <w:vAlign w:val="center"/>
          </w:tcPr>
          <w:p w14:paraId="2CC22367">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2677" w:type="dxa"/>
            <w:vAlign w:val="center"/>
          </w:tcPr>
          <w:p w14:paraId="0C9F1B6A">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929" w:type="dxa"/>
            <w:vAlign w:val="center"/>
          </w:tcPr>
          <w:p w14:paraId="3A3691EE">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385F4CA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578F9694">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2F58A7DB">
            <w:pPr>
              <w:pStyle w:val="70"/>
              <w:spacing w:line="240" w:lineRule="auto"/>
              <w:rPr>
                <w:rFonts w:hint="eastAsia" w:ascii="Times New Roman" w:hAnsi="Times New Roman" w:eastAsia="宋体" w:cs="Times New Roman"/>
                <w:color w:val="auto"/>
                <w:sz w:val="21"/>
                <w:szCs w:val="21"/>
              </w:rPr>
            </w:pPr>
          </w:p>
        </w:tc>
        <w:tc>
          <w:tcPr>
            <w:tcW w:w="1547" w:type="dxa"/>
            <w:vAlign w:val="center"/>
          </w:tcPr>
          <w:p w14:paraId="3E40DA2F">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环境风险防控</w:t>
            </w:r>
          </w:p>
        </w:tc>
        <w:tc>
          <w:tcPr>
            <w:tcW w:w="1710" w:type="dxa"/>
            <w:vAlign w:val="center"/>
          </w:tcPr>
          <w:p w14:paraId="1544C657">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3403" w:type="dxa"/>
            <w:vAlign w:val="center"/>
          </w:tcPr>
          <w:p w14:paraId="70ABAD2A">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2677" w:type="dxa"/>
            <w:vAlign w:val="center"/>
          </w:tcPr>
          <w:p w14:paraId="6D96BCEB">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929" w:type="dxa"/>
            <w:vAlign w:val="center"/>
          </w:tcPr>
          <w:p w14:paraId="3D940FD1">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28EFD41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3488DDFB">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67E43F51">
            <w:pPr>
              <w:pStyle w:val="70"/>
              <w:spacing w:line="240" w:lineRule="auto"/>
              <w:rPr>
                <w:rFonts w:hint="eastAsia" w:ascii="Times New Roman" w:hAnsi="Times New Roman" w:eastAsia="宋体" w:cs="Times New Roman"/>
                <w:color w:val="auto"/>
                <w:sz w:val="21"/>
                <w:szCs w:val="21"/>
              </w:rPr>
            </w:pPr>
          </w:p>
        </w:tc>
        <w:tc>
          <w:tcPr>
            <w:tcW w:w="1547" w:type="dxa"/>
            <w:vAlign w:val="center"/>
          </w:tcPr>
          <w:p w14:paraId="649996CF">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资源开发利用效率要求</w:t>
            </w:r>
          </w:p>
        </w:tc>
        <w:tc>
          <w:tcPr>
            <w:tcW w:w="1710" w:type="dxa"/>
            <w:vAlign w:val="center"/>
          </w:tcPr>
          <w:p w14:paraId="7E47D9C0">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3403" w:type="dxa"/>
            <w:vAlign w:val="center"/>
          </w:tcPr>
          <w:p w14:paraId="1482CA4D">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2677" w:type="dxa"/>
            <w:vAlign w:val="center"/>
          </w:tcPr>
          <w:p w14:paraId="10F099D3">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929" w:type="dxa"/>
            <w:vAlign w:val="center"/>
          </w:tcPr>
          <w:p w14:paraId="52A9DAD9">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218C231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restart"/>
            <w:vAlign w:val="center"/>
          </w:tcPr>
          <w:p w14:paraId="77557E0D">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YS5119022210002巴河-巴州区-金碑-控制单元</w:t>
            </w:r>
          </w:p>
        </w:tc>
        <w:tc>
          <w:tcPr>
            <w:tcW w:w="1370" w:type="dxa"/>
            <w:vMerge w:val="restart"/>
            <w:vAlign w:val="center"/>
          </w:tcPr>
          <w:p w14:paraId="248A5430">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重点管控区</w:t>
            </w:r>
          </w:p>
        </w:tc>
        <w:tc>
          <w:tcPr>
            <w:tcW w:w="1547" w:type="dxa"/>
            <w:vAlign w:val="center"/>
          </w:tcPr>
          <w:p w14:paraId="4264F01C">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空间布局约束</w:t>
            </w:r>
          </w:p>
        </w:tc>
        <w:tc>
          <w:tcPr>
            <w:tcW w:w="1710" w:type="dxa"/>
            <w:vAlign w:val="center"/>
          </w:tcPr>
          <w:p w14:paraId="2F37F6CE">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限制开发建设活动的要求</w:t>
            </w:r>
          </w:p>
        </w:tc>
        <w:tc>
          <w:tcPr>
            <w:tcW w:w="3403" w:type="dxa"/>
            <w:vAlign w:val="center"/>
          </w:tcPr>
          <w:p w14:paraId="1CDB8C1B">
            <w:pPr>
              <w:pStyle w:val="70"/>
              <w:spacing w:line="240" w:lineRule="auto"/>
              <w:rPr>
                <w:rFonts w:hint="eastAsia" w:ascii="Times New Roman" w:hAnsi="Times New Roman" w:eastAsia="宋体" w:cs="Times New Roman"/>
                <w:color w:val="auto"/>
                <w:sz w:val="21"/>
                <w:szCs w:val="21"/>
                <w:lang w:eastAsia="zh-CN"/>
              </w:rPr>
            </w:pPr>
            <w:r>
              <w:rPr>
                <w:rFonts w:ascii="Times New Roman" w:hAnsi="Times New Roman" w:eastAsia="宋体" w:cs="Times New Roman"/>
                <w:color w:val="auto"/>
                <w:sz w:val="21"/>
                <w:szCs w:val="21"/>
              </w:rPr>
              <w:t>严控磷铵、黄磷等产业违规新增产能。加快退出不符合产业政策和环保要求、不满足安全生产条件的涉磷企业</w:t>
            </w:r>
            <w:r>
              <w:rPr>
                <w:rFonts w:hint="eastAsia" w:ascii="Times New Roman" w:hAnsi="Times New Roman" w:eastAsia="宋体" w:cs="Times New Roman"/>
                <w:color w:val="auto"/>
                <w:sz w:val="21"/>
                <w:szCs w:val="21"/>
                <w:lang w:eastAsia="zh-CN"/>
              </w:rPr>
              <w:t>。</w:t>
            </w:r>
          </w:p>
        </w:tc>
        <w:tc>
          <w:tcPr>
            <w:tcW w:w="2677" w:type="dxa"/>
            <w:vAlign w:val="center"/>
          </w:tcPr>
          <w:p w14:paraId="3B2FD085">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项目不涉及磷铵、黄磷，不属于</w:t>
            </w:r>
            <w:r>
              <w:rPr>
                <w:rFonts w:ascii="Times New Roman" w:hAnsi="Times New Roman" w:eastAsia="宋体" w:cs="Times New Roman"/>
                <w:color w:val="auto"/>
                <w:sz w:val="21"/>
                <w:szCs w:val="21"/>
              </w:rPr>
              <w:t>涉磷企业</w:t>
            </w:r>
            <w:r>
              <w:rPr>
                <w:rFonts w:hint="eastAsia" w:cs="Times New Roman"/>
                <w:color w:val="auto"/>
                <w:sz w:val="21"/>
                <w:szCs w:val="21"/>
                <w:lang w:eastAsia="zh-CN"/>
              </w:rPr>
              <w:t>。</w:t>
            </w:r>
          </w:p>
        </w:tc>
        <w:tc>
          <w:tcPr>
            <w:tcW w:w="929" w:type="dxa"/>
            <w:vAlign w:val="center"/>
          </w:tcPr>
          <w:p w14:paraId="7561754B">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符合</w:t>
            </w:r>
          </w:p>
        </w:tc>
      </w:tr>
      <w:tr w14:paraId="59C2C70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445DFDBD">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54996A0F">
            <w:pPr>
              <w:pStyle w:val="70"/>
              <w:spacing w:line="240" w:lineRule="auto"/>
              <w:rPr>
                <w:rFonts w:hint="eastAsia" w:ascii="Times New Roman" w:hAnsi="Times New Roman" w:eastAsia="宋体" w:cs="Times New Roman"/>
                <w:color w:val="auto"/>
                <w:sz w:val="21"/>
                <w:szCs w:val="21"/>
              </w:rPr>
            </w:pPr>
          </w:p>
        </w:tc>
        <w:tc>
          <w:tcPr>
            <w:tcW w:w="1547" w:type="dxa"/>
            <w:vAlign w:val="center"/>
          </w:tcPr>
          <w:p w14:paraId="29950CC2">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污染物排放管控</w:t>
            </w:r>
          </w:p>
        </w:tc>
        <w:tc>
          <w:tcPr>
            <w:tcW w:w="1710" w:type="dxa"/>
            <w:vAlign w:val="center"/>
          </w:tcPr>
          <w:p w14:paraId="1823DBD4">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新增源等量或倍量替代</w:t>
            </w:r>
          </w:p>
        </w:tc>
        <w:tc>
          <w:tcPr>
            <w:tcW w:w="3403" w:type="dxa"/>
            <w:vAlign w:val="center"/>
          </w:tcPr>
          <w:p w14:paraId="3F5C5615">
            <w:pPr>
              <w:pStyle w:val="70"/>
              <w:spacing w:line="240" w:lineRule="auto"/>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1、深入实施工业企业污水处理设施升级改造，全面实现工业废水达标排放。2、强化工业集聚区污水治理，推进工业污水集中处理设施及配套收集系统建设与提标升级改造，大力推进现有污水收集、处理设施问题排查及整治；完善园区及企业雨污分流系统，全面推进医药、化工等行业初期雨水收集处理，推动</w:t>
            </w:r>
            <w:r>
              <w:rPr>
                <w:rFonts w:hint="eastAsia" w:ascii="宋体" w:hAnsi="宋体" w:eastAsia="宋体" w:cs="宋体"/>
                <w:color w:val="000000" w:themeColor="text1"/>
                <w:sz w:val="21"/>
                <w:szCs w:val="21"/>
                <w14:textFill>
                  <w14:solidFill>
                    <w14:schemeClr w14:val="tx1"/>
                  </w14:solidFill>
                </w14:textFill>
              </w:rPr>
              <w:t>有条件的园区实施入园企业“一企一管、明管输送、实时监测”</w:t>
            </w:r>
            <w:r>
              <w:rPr>
                <w:rFonts w:ascii="Times New Roman" w:hAnsi="Times New Roman" w:eastAsia="宋体" w:cs="Times New Roman"/>
                <w:color w:val="000000" w:themeColor="text1"/>
                <w:sz w:val="21"/>
                <w:szCs w:val="21"/>
                <w14:textFill>
                  <w14:solidFill>
                    <w14:schemeClr w14:val="tx1"/>
                  </w14:solidFill>
                </w14:textFill>
              </w:rPr>
              <w:t>。3、加强工业园区集中污水处理设施运行监管</w:t>
            </w:r>
            <w:r>
              <w:rPr>
                <w:rFonts w:hint="eastAsia" w:cs="Times New Roman"/>
                <w:color w:val="000000" w:themeColor="text1"/>
                <w:sz w:val="21"/>
                <w:szCs w:val="21"/>
                <w:lang w:eastAsia="zh-CN"/>
                <w14:textFill>
                  <w14:solidFill>
                    <w14:schemeClr w14:val="tx1"/>
                  </w14:solidFill>
                </w14:textFill>
              </w:rPr>
              <w:t>，加</w:t>
            </w:r>
            <w:r>
              <w:rPr>
                <w:rFonts w:ascii="Times New Roman" w:hAnsi="Times New Roman" w:eastAsia="宋体" w:cs="Times New Roman"/>
                <w:color w:val="000000" w:themeColor="text1"/>
                <w:sz w:val="21"/>
                <w:szCs w:val="21"/>
                <w14:textFill>
                  <w14:solidFill>
                    <w14:schemeClr w14:val="tx1"/>
                  </w14:solidFill>
                </w14:textFill>
              </w:rPr>
              <w:t>强企业废水预处理和排水管理，鼓励纳管企业与园区污水处理厂运营单位通过签订委托处理合同等方式协同处理废水。4、加强新化学物质环境管理，严格执行《新化学物质环境管理登记办法</w:t>
            </w:r>
            <w:r>
              <w:rPr>
                <w:rFonts w:hint="eastAsia" w:ascii="宋体" w:hAnsi="宋体" w:eastAsia="宋体" w:cs="宋体"/>
                <w:color w:val="000000" w:themeColor="text1"/>
                <w:sz w:val="21"/>
                <w:szCs w:val="21"/>
                <w14:textFill>
                  <w14:solidFill>
                    <w14:schemeClr w14:val="tx1"/>
                  </w14:solidFill>
                </w14:textFill>
              </w:rPr>
              <w:t>》,落实企业新化学物质环境风险防控主体责任。落实国家《优先控制化学</w:t>
            </w:r>
            <w:r>
              <w:rPr>
                <w:rFonts w:ascii="Times New Roman" w:hAnsi="Times New Roman" w:eastAsia="宋体" w:cs="Times New Roman"/>
                <w:color w:val="000000" w:themeColor="text1"/>
                <w:sz w:val="21"/>
                <w:szCs w:val="21"/>
                <w14:textFill>
                  <w14:solidFill>
                    <w14:schemeClr w14:val="tx1"/>
                  </w14:solidFill>
                </w14:textFill>
              </w:rPr>
              <w:t>品名录（第一批）》《优先控制化学品名录（第二批）》《重点管控新污染物清单（2023年版）》环境风险管控措施</w:t>
            </w:r>
            <w:r>
              <w:rPr>
                <w:rFonts w:hint="eastAsia" w:ascii="Times New Roman" w:hAnsi="Times New Roman" w:eastAsia="宋体" w:cs="Times New Roman"/>
                <w:color w:val="000000" w:themeColor="text1"/>
                <w:sz w:val="21"/>
                <w:szCs w:val="21"/>
                <w:lang w:eastAsia="zh-CN"/>
                <w14:textFill>
                  <w14:solidFill>
                    <w14:schemeClr w14:val="tx1"/>
                  </w14:solidFill>
                </w14:textFill>
              </w:rPr>
              <w:t>。</w:t>
            </w:r>
          </w:p>
        </w:tc>
        <w:tc>
          <w:tcPr>
            <w:tcW w:w="2677" w:type="dxa"/>
            <w:vAlign w:val="center"/>
          </w:tcPr>
          <w:p w14:paraId="2A5D6ED5">
            <w:pPr>
              <w:pStyle w:val="70"/>
              <w:spacing w:line="240" w:lineRule="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项目</w:t>
            </w:r>
            <w:r>
              <w:rPr>
                <w:rFonts w:hint="eastAsia" w:cs="Times New Roman"/>
                <w:color w:val="000000" w:themeColor="text1"/>
                <w:sz w:val="21"/>
                <w:szCs w:val="21"/>
                <w:lang w:val="en-US" w:eastAsia="zh-CN"/>
                <w14:textFill>
                  <w14:solidFill>
                    <w14:schemeClr w14:val="tx1"/>
                  </w14:solidFill>
                </w14:textFill>
              </w:rPr>
              <w:t>生产</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废水</w:t>
            </w:r>
            <w:r>
              <w:rPr>
                <w:rFonts w:hint="default" w:ascii="Times New Roman" w:hAnsi="Times New Roman" w:eastAsia="宋体" w:cs="Times New Roman"/>
                <w:color w:val="000000" w:themeColor="text1"/>
                <w:sz w:val="21"/>
                <w:szCs w:val="21"/>
                <w14:textFill>
                  <w14:solidFill>
                    <w14:schemeClr w14:val="tx1"/>
                  </w14:solidFill>
                </w14:textFill>
              </w:rPr>
              <w:t>经</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厂区污水处理设备处理</w:t>
            </w:r>
            <w:r>
              <w:rPr>
                <w:rFonts w:hint="eastAsia" w:cs="Times New Roman"/>
                <w:color w:val="000000" w:themeColor="text1"/>
                <w:sz w:val="21"/>
                <w:szCs w:val="21"/>
                <w:lang w:val="en-US" w:eastAsia="zh-CN"/>
                <w14:textFill>
                  <w14:solidFill>
                    <w14:schemeClr w14:val="tx1"/>
                  </w14:solidFill>
                </w14:textFill>
              </w:rPr>
              <w:t>，同生活污水和纯水制备浓水、反冲洗水、空压冷凝水经预处理池处理，处理后的废水</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通过</w:t>
            </w:r>
            <w:r>
              <w:rPr>
                <w:rFonts w:hint="default" w:ascii="Times New Roman" w:hAnsi="Times New Roman" w:eastAsia="宋体" w:cs="Times New Roman"/>
                <w:color w:val="000000" w:themeColor="text1"/>
                <w:sz w:val="21"/>
                <w:szCs w:val="21"/>
                <w14:textFill>
                  <w14:solidFill>
                    <w14:schemeClr w14:val="tx1"/>
                  </w14:solidFill>
                </w14:textFill>
              </w:rPr>
              <w:t>市政管网送</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至</w:t>
            </w:r>
            <w:r>
              <w:rPr>
                <w:rFonts w:hint="default" w:ascii="Times New Roman" w:hAnsi="Times New Roman" w:eastAsia="宋体" w:cs="Times New Roman"/>
                <w:color w:val="000000" w:themeColor="text1"/>
                <w:sz w:val="21"/>
                <w:szCs w:val="21"/>
                <w14:textFill>
                  <w14:solidFill>
                    <w14:schemeClr w14:val="tx1"/>
                  </w14:solidFill>
                </w14:textFill>
              </w:rPr>
              <w:t>经开区污水处理厂处理达标</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后</w:t>
            </w:r>
            <w:r>
              <w:rPr>
                <w:rFonts w:hint="default" w:ascii="Times New Roman" w:hAnsi="Times New Roman" w:eastAsia="宋体" w:cs="Times New Roman"/>
                <w:color w:val="000000" w:themeColor="text1"/>
                <w:sz w:val="21"/>
                <w:szCs w:val="21"/>
                <w14:textFill>
                  <w14:solidFill>
                    <w14:schemeClr w14:val="tx1"/>
                  </w14:solidFill>
                </w14:textFill>
              </w:rPr>
              <w:t>排放</w:t>
            </w:r>
            <w:r>
              <w:rPr>
                <w:rFonts w:hint="eastAsia" w:cs="Times New Roman"/>
                <w:color w:val="000000" w:themeColor="text1"/>
                <w:sz w:val="21"/>
                <w:szCs w:val="21"/>
                <w:lang w:eastAsia="zh-CN"/>
                <w14:textFill>
                  <w14:solidFill>
                    <w14:schemeClr w14:val="tx1"/>
                  </w14:solidFill>
                </w14:textFill>
              </w:rPr>
              <w:t>。</w:t>
            </w:r>
          </w:p>
        </w:tc>
        <w:tc>
          <w:tcPr>
            <w:tcW w:w="929" w:type="dxa"/>
            <w:vAlign w:val="center"/>
          </w:tcPr>
          <w:p w14:paraId="26156750">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符合</w:t>
            </w:r>
          </w:p>
        </w:tc>
      </w:tr>
      <w:tr w14:paraId="2A093C9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48FAC3BE">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5C211A86">
            <w:pPr>
              <w:pStyle w:val="70"/>
              <w:spacing w:line="240" w:lineRule="auto"/>
              <w:rPr>
                <w:rFonts w:hint="eastAsia" w:ascii="Times New Roman" w:hAnsi="Times New Roman" w:eastAsia="宋体" w:cs="Times New Roman"/>
                <w:color w:val="auto"/>
                <w:sz w:val="21"/>
                <w:szCs w:val="21"/>
              </w:rPr>
            </w:pPr>
          </w:p>
        </w:tc>
        <w:tc>
          <w:tcPr>
            <w:tcW w:w="1547" w:type="dxa"/>
            <w:vAlign w:val="center"/>
          </w:tcPr>
          <w:p w14:paraId="65BDDEF6">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环境风险防控</w:t>
            </w:r>
          </w:p>
        </w:tc>
        <w:tc>
          <w:tcPr>
            <w:tcW w:w="1710" w:type="dxa"/>
            <w:vAlign w:val="center"/>
          </w:tcPr>
          <w:p w14:paraId="7B5DE91B">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安全利用类农用地管控要求</w:t>
            </w:r>
          </w:p>
        </w:tc>
        <w:tc>
          <w:tcPr>
            <w:tcW w:w="3403" w:type="dxa"/>
            <w:vAlign w:val="center"/>
          </w:tcPr>
          <w:p w14:paraId="5FCAAC94">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加强高耗水行业用水定额管理，以水定产，严格控制高耗水新建、改建、扩建项目。</w:t>
            </w:r>
          </w:p>
        </w:tc>
        <w:tc>
          <w:tcPr>
            <w:tcW w:w="2677" w:type="dxa"/>
            <w:vAlign w:val="center"/>
          </w:tcPr>
          <w:p w14:paraId="1FACE7CD">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项目不属于高耗水行业</w:t>
            </w:r>
          </w:p>
        </w:tc>
        <w:tc>
          <w:tcPr>
            <w:tcW w:w="929" w:type="dxa"/>
            <w:vAlign w:val="center"/>
          </w:tcPr>
          <w:p w14:paraId="24D22DC6">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符合</w:t>
            </w:r>
          </w:p>
        </w:tc>
      </w:tr>
      <w:tr w14:paraId="768B8AC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4FA538B3">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4B3ADBEF">
            <w:pPr>
              <w:pStyle w:val="70"/>
              <w:spacing w:line="240" w:lineRule="auto"/>
              <w:rPr>
                <w:rFonts w:hint="eastAsia" w:ascii="Times New Roman" w:hAnsi="Times New Roman" w:eastAsia="宋体" w:cs="Times New Roman"/>
                <w:color w:val="auto"/>
                <w:sz w:val="21"/>
                <w:szCs w:val="21"/>
              </w:rPr>
            </w:pPr>
          </w:p>
        </w:tc>
        <w:tc>
          <w:tcPr>
            <w:tcW w:w="1547" w:type="dxa"/>
            <w:vAlign w:val="center"/>
          </w:tcPr>
          <w:p w14:paraId="612BCD8F">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资源开发利用效率要求</w:t>
            </w:r>
          </w:p>
        </w:tc>
        <w:tc>
          <w:tcPr>
            <w:tcW w:w="1710" w:type="dxa"/>
            <w:vAlign w:val="center"/>
          </w:tcPr>
          <w:p w14:paraId="570102FF">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3403" w:type="dxa"/>
            <w:vAlign w:val="center"/>
          </w:tcPr>
          <w:p w14:paraId="5133FC8F">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2677" w:type="dxa"/>
            <w:vAlign w:val="center"/>
          </w:tcPr>
          <w:p w14:paraId="192CEC2B">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929" w:type="dxa"/>
            <w:vAlign w:val="center"/>
          </w:tcPr>
          <w:p w14:paraId="302837FD">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28114AB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restart"/>
            <w:vAlign w:val="center"/>
          </w:tcPr>
          <w:p w14:paraId="4E5AD5EB">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YS5119022550001巴州区自然资源重点管控区</w:t>
            </w:r>
          </w:p>
        </w:tc>
        <w:tc>
          <w:tcPr>
            <w:tcW w:w="1370" w:type="dxa"/>
            <w:vMerge w:val="restart"/>
            <w:vAlign w:val="center"/>
          </w:tcPr>
          <w:p w14:paraId="102C2128">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重点管控区</w:t>
            </w:r>
          </w:p>
        </w:tc>
        <w:tc>
          <w:tcPr>
            <w:tcW w:w="1547" w:type="dxa"/>
            <w:vAlign w:val="center"/>
          </w:tcPr>
          <w:p w14:paraId="651F346B">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空间布局约束</w:t>
            </w:r>
          </w:p>
        </w:tc>
        <w:tc>
          <w:tcPr>
            <w:tcW w:w="1710" w:type="dxa"/>
            <w:vAlign w:val="center"/>
          </w:tcPr>
          <w:p w14:paraId="7EC3703B">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3403" w:type="dxa"/>
            <w:vAlign w:val="center"/>
          </w:tcPr>
          <w:p w14:paraId="0851E616">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2677" w:type="dxa"/>
            <w:vAlign w:val="center"/>
          </w:tcPr>
          <w:p w14:paraId="1BD49791">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929" w:type="dxa"/>
            <w:vAlign w:val="center"/>
          </w:tcPr>
          <w:p w14:paraId="6E424D01">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6C6E076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6091212C">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773B2CE1">
            <w:pPr>
              <w:pStyle w:val="70"/>
              <w:spacing w:line="240" w:lineRule="auto"/>
              <w:rPr>
                <w:rFonts w:hint="eastAsia" w:ascii="Times New Roman" w:hAnsi="Times New Roman" w:eastAsia="宋体" w:cs="Times New Roman"/>
                <w:color w:val="auto"/>
                <w:sz w:val="21"/>
                <w:szCs w:val="21"/>
              </w:rPr>
            </w:pPr>
          </w:p>
        </w:tc>
        <w:tc>
          <w:tcPr>
            <w:tcW w:w="1547" w:type="dxa"/>
            <w:vAlign w:val="center"/>
          </w:tcPr>
          <w:p w14:paraId="3A837560">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污染物排放管控</w:t>
            </w:r>
          </w:p>
        </w:tc>
        <w:tc>
          <w:tcPr>
            <w:tcW w:w="1710" w:type="dxa"/>
            <w:vAlign w:val="center"/>
          </w:tcPr>
          <w:p w14:paraId="4CD73829">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3403" w:type="dxa"/>
            <w:vAlign w:val="center"/>
          </w:tcPr>
          <w:p w14:paraId="7E4DFF86">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2677" w:type="dxa"/>
            <w:vAlign w:val="center"/>
          </w:tcPr>
          <w:p w14:paraId="2C406D67">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929" w:type="dxa"/>
            <w:vAlign w:val="center"/>
          </w:tcPr>
          <w:p w14:paraId="3E473E84">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6EA4975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7E336381">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5795A483">
            <w:pPr>
              <w:pStyle w:val="70"/>
              <w:spacing w:line="240" w:lineRule="auto"/>
              <w:rPr>
                <w:rFonts w:hint="eastAsia" w:ascii="Times New Roman" w:hAnsi="Times New Roman" w:eastAsia="宋体" w:cs="Times New Roman"/>
                <w:color w:val="auto"/>
                <w:sz w:val="21"/>
                <w:szCs w:val="21"/>
              </w:rPr>
            </w:pPr>
          </w:p>
        </w:tc>
        <w:tc>
          <w:tcPr>
            <w:tcW w:w="1547" w:type="dxa"/>
            <w:vAlign w:val="center"/>
          </w:tcPr>
          <w:p w14:paraId="2A385D27">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环境风险防控</w:t>
            </w:r>
          </w:p>
        </w:tc>
        <w:tc>
          <w:tcPr>
            <w:tcW w:w="1710" w:type="dxa"/>
            <w:vAlign w:val="center"/>
          </w:tcPr>
          <w:p w14:paraId="530E7E2E">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污染地块管控要求</w:t>
            </w:r>
          </w:p>
        </w:tc>
        <w:tc>
          <w:tcPr>
            <w:tcW w:w="3403" w:type="dxa"/>
            <w:vAlign w:val="center"/>
          </w:tcPr>
          <w:p w14:paraId="0338AC5A">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土地资源开发利用量不得超过土地资源利用上线控制性指标。</w:t>
            </w:r>
          </w:p>
        </w:tc>
        <w:tc>
          <w:tcPr>
            <w:tcW w:w="2677" w:type="dxa"/>
            <w:vAlign w:val="center"/>
          </w:tcPr>
          <w:p w14:paraId="164A855F">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项目位于工业园区内，用地性质为工业用地。</w:t>
            </w:r>
          </w:p>
        </w:tc>
        <w:tc>
          <w:tcPr>
            <w:tcW w:w="929" w:type="dxa"/>
            <w:vAlign w:val="center"/>
          </w:tcPr>
          <w:p w14:paraId="0C0891D5">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符合</w:t>
            </w:r>
          </w:p>
        </w:tc>
      </w:tr>
      <w:tr w14:paraId="6270211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2016" w:type="dxa"/>
            <w:vMerge w:val="continue"/>
            <w:vAlign w:val="center"/>
          </w:tcPr>
          <w:p w14:paraId="69F40F66">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40F18761">
            <w:pPr>
              <w:pStyle w:val="70"/>
              <w:spacing w:line="240" w:lineRule="auto"/>
              <w:rPr>
                <w:rFonts w:hint="eastAsia" w:ascii="Times New Roman" w:hAnsi="Times New Roman" w:eastAsia="宋体" w:cs="Times New Roman"/>
                <w:color w:val="auto"/>
                <w:sz w:val="21"/>
                <w:szCs w:val="21"/>
              </w:rPr>
            </w:pPr>
          </w:p>
        </w:tc>
        <w:tc>
          <w:tcPr>
            <w:tcW w:w="1547" w:type="dxa"/>
            <w:vAlign w:val="center"/>
          </w:tcPr>
          <w:p w14:paraId="184F3B68">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资源开发利用效率要求</w:t>
            </w:r>
          </w:p>
        </w:tc>
        <w:tc>
          <w:tcPr>
            <w:tcW w:w="1710" w:type="dxa"/>
            <w:vAlign w:val="center"/>
          </w:tcPr>
          <w:p w14:paraId="03D0AE05">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3403" w:type="dxa"/>
            <w:vAlign w:val="center"/>
          </w:tcPr>
          <w:p w14:paraId="6C0E742D">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2677" w:type="dxa"/>
            <w:vAlign w:val="center"/>
          </w:tcPr>
          <w:p w14:paraId="25CD95CA">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929" w:type="dxa"/>
            <w:vAlign w:val="center"/>
          </w:tcPr>
          <w:p w14:paraId="742A4574">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53C3122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restart"/>
            <w:vAlign w:val="center"/>
          </w:tcPr>
          <w:p w14:paraId="7F87173D">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YS5119022310005四川巴中经开区（核心区块、金堂区块）</w:t>
            </w:r>
          </w:p>
        </w:tc>
        <w:tc>
          <w:tcPr>
            <w:tcW w:w="1370" w:type="dxa"/>
            <w:vMerge w:val="restart"/>
            <w:vAlign w:val="center"/>
          </w:tcPr>
          <w:p w14:paraId="02BEEC00">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重点管控区</w:t>
            </w:r>
          </w:p>
        </w:tc>
        <w:tc>
          <w:tcPr>
            <w:tcW w:w="1547" w:type="dxa"/>
            <w:vAlign w:val="center"/>
          </w:tcPr>
          <w:p w14:paraId="6D1E98C0">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空间布局约束</w:t>
            </w:r>
          </w:p>
        </w:tc>
        <w:tc>
          <w:tcPr>
            <w:tcW w:w="1710" w:type="dxa"/>
            <w:vAlign w:val="center"/>
          </w:tcPr>
          <w:p w14:paraId="314E4B14">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3403" w:type="dxa"/>
            <w:vAlign w:val="center"/>
          </w:tcPr>
          <w:p w14:paraId="780DDFF0">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2677" w:type="dxa"/>
            <w:vAlign w:val="center"/>
          </w:tcPr>
          <w:p w14:paraId="4F56119E">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929" w:type="dxa"/>
            <w:vAlign w:val="center"/>
          </w:tcPr>
          <w:p w14:paraId="670D1334">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02B76C0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2971E1B3">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5D367CB2">
            <w:pPr>
              <w:pStyle w:val="70"/>
              <w:spacing w:line="240" w:lineRule="auto"/>
              <w:rPr>
                <w:rFonts w:hint="eastAsia" w:ascii="Times New Roman" w:hAnsi="Times New Roman" w:eastAsia="宋体" w:cs="Times New Roman"/>
                <w:color w:val="auto"/>
                <w:sz w:val="21"/>
                <w:szCs w:val="21"/>
              </w:rPr>
            </w:pPr>
          </w:p>
        </w:tc>
        <w:tc>
          <w:tcPr>
            <w:tcW w:w="1547" w:type="dxa"/>
            <w:vAlign w:val="center"/>
          </w:tcPr>
          <w:p w14:paraId="3FCD970A">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污染物排放管控</w:t>
            </w:r>
          </w:p>
        </w:tc>
        <w:tc>
          <w:tcPr>
            <w:tcW w:w="1710" w:type="dxa"/>
            <w:vAlign w:val="center"/>
          </w:tcPr>
          <w:p w14:paraId="14166772">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新增源等量或倍量替代</w:t>
            </w:r>
          </w:p>
        </w:tc>
        <w:tc>
          <w:tcPr>
            <w:tcW w:w="3403" w:type="dxa"/>
            <w:vAlign w:val="center"/>
          </w:tcPr>
          <w:p w14:paraId="03D377EE">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1、全面淘汰10蒸吨小时及以下燃煤锅炉，原则上不再新建35蒸吨小时及以下的燃煤锅炉，推进县级及以上城市建成区淘汰35蒸吨小时及以下燃煤锅炉，以工业余热、电厂热力、清洁能源等替代煤炭。
2、加快推进火电、钢铁、铸造（含烧结、球团、高炉工序）水泥、焦化行业燃煤锅炉和工业炉窑超低排放改造及深度治理。稳步实施陶瓷、玻璃、铁合金、有色、砖瓦等行业企业深度治理，推进工业炉窑煤改电（气）和低氮燃烧改造。全面加强钢铁、建材、有色、焦化、铸造重点行业无组织排放治理。生物质锅炉采用专用锅炉，配套布袋等高效除尘设施，禁止掺烧煤炭、垃圾等其他物料。</w:t>
            </w:r>
          </w:p>
        </w:tc>
        <w:tc>
          <w:tcPr>
            <w:tcW w:w="2677" w:type="dxa"/>
            <w:vAlign w:val="center"/>
          </w:tcPr>
          <w:p w14:paraId="6307B119">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项目不使用锅炉，不属于</w:t>
            </w:r>
            <w:r>
              <w:rPr>
                <w:rFonts w:ascii="Times New Roman" w:hAnsi="Times New Roman" w:eastAsia="宋体" w:cs="Times New Roman"/>
                <w:color w:val="auto"/>
                <w:sz w:val="21"/>
                <w:szCs w:val="21"/>
              </w:rPr>
              <w:t>陶瓷、玻璃、铁合金、有色、砖瓦</w:t>
            </w:r>
            <w:r>
              <w:rPr>
                <w:rFonts w:hint="eastAsia" w:ascii="Times New Roman" w:hAnsi="Times New Roman" w:eastAsia="宋体" w:cs="Times New Roman"/>
                <w:color w:val="auto"/>
                <w:sz w:val="21"/>
                <w:szCs w:val="21"/>
                <w:lang w:eastAsia="zh-CN"/>
              </w:rPr>
              <w:t>、</w:t>
            </w:r>
            <w:r>
              <w:rPr>
                <w:rFonts w:ascii="Times New Roman" w:hAnsi="Times New Roman" w:eastAsia="宋体" w:cs="Times New Roman"/>
                <w:color w:val="auto"/>
                <w:sz w:val="21"/>
                <w:szCs w:val="21"/>
              </w:rPr>
              <w:t>钢铁、建材、焦化、铸造等行业</w:t>
            </w:r>
            <w:r>
              <w:rPr>
                <w:rFonts w:hint="eastAsia" w:cs="Times New Roman"/>
                <w:color w:val="auto"/>
                <w:sz w:val="21"/>
                <w:szCs w:val="21"/>
                <w:lang w:eastAsia="zh-CN"/>
              </w:rPr>
              <w:t>。</w:t>
            </w:r>
          </w:p>
        </w:tc>
        <w:tc>
          <w:tcPr>
            <w:tcW w:w="929" w:type="dxa"/>
            <w:vAlign w:val="center"/>
          </w:tcPr>
          <w:p w14:paraId="3FC63760">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r w14:paraId="05DEA22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38AB99AC">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1B09DE12">
            <w:pPr>
              <w:pStyle w:val="70"/>
              <w:spacing w:line="240" w:lineRule="auto"/>
              <w:rPr>
                <w:rFonts w:hint="eastAsia" w:ascii="Times New Roman" w:hAnsi="Times New Roman" w:eastAsia="宋体" w:cs="Times New Roman"/>
                <w:color w:val="auto"/>
                <w:sz w:val="21"/>
                <w:szCs w:val="21"/>
              </w:rPr>
            </w:pPr>
          </w:p>
        </w:tc>
        <w:tc>
          <w:tcPr>
            <w:tcW w:w="1547" w:type="dxa"/>
            <w:vMerge w:val="restart"/>
            <w:vAlign w:val="center"/>
          </w:tcPr>
          <w:p w14:paraId="11621A02">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环境风险防控</w:t>
            </w:r>
          </w:p>
        </w:tc>
        <w:tc>
          <w:tcPr>
            <w:tcW w:w="1710" w:type="dxa"/>
            <w:vAlign w:val="center"/>
          </w:tcPr>
          <w:p w14:paraId="775827DB">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严格管控类农用地管控要求</w:t>
            </w:r>
          </w:p>
        </w:tc>
        <w:tc>
          <w:tcPr>
            <w:tcW w:w="3403" w:type="dxa"/>
            <w:vAlign w:val="center"/>
          </w:tcPr>
          <w:p w14:paraId="5A2CD9E0">
            <w:pPr>
              <w:pStyle w:val="70"/>
              <w:spacing w:line="240" w:lineRule="auto"/>
              <w:rPr>
                <w:rFonts w:hint="eastAsia" w:ascii="Times New Roman" w:hAnsi="Times New Roman" w:eastAsia="宋体" w:cs="Times New Roman"/>
                <w:color w:val="auto"/>
                <w:sz w:val="21"/>
                <w:szCs w:val="21"/>
                <w:lang w:eastAsia="zh-CN"/>
              </w:rPr>
            </w:pPr>
            <w:r>
              <w:rPr>
                <w:rFonts w:ascii="Times New Roman" w:hAnsi="Times New Roman" w:eastAsia="宋体" w:cs="Times New Roman"/>
                <w:color w:val="auto"/>
                <w:sz w:val="21"/>
                <w:szCs w:val="21"/>
              </w:rPr>
              <w:t>加快实施低VOCs含量原辅材料替代。持续开展VOCs治理设施提级增效，对采用单一低温等离子、光氧化、光催化以及非水溶性VOCs废气采用单一喷淋吸收等治理技术且无法稳定达标的，加快推进升级改造。强化VOCs无组织排放整治。石化、化工等行业加强非正常工况废气排放管控。推进涉VOCs产业集群治理提升</w:t>
            </w:r>
            <w:r>
              <w:rPr>
                <w:rFonts w:hint="eastAsia" w:ascii="Times New Roman" w:hAnsi="Times New Roman" w:eastAsia="宋体" w:cs="Times New Roman"/>
                <w:color w:val="auto"/>
                <w:sz w:val="21"/>
                <w:szCs w:val="21"/>
                <w:lang w:eastAsia="zh-CN"/>
              </w:rPr>
              <w:t>。</w:t>
            </w:r>
          </w:p>
        </w:tc>
        <w:tc>
          <w:tcPr>
            <w:tcW w:w="2677" w:type="dxa"/>
            <w:vMerge w:val="restart"/>
            <w:vAlign w:val="center"/>
          </w:tcPr>
          <w:p w14:paraId="76003C64">
            <w:pPr>
              <w:pStyle w:val="70"/>
              <w:spacing w:line="240" w:lineRule="auto"/>
              <w:rPr>
                <w:rFonts w:hint="eastAsia" w:ascii="Times New Roman" w:hAnsi="Times New Roman" w:eastAsia="宋体" w:cs="Times New Roman"/>
                <w:color w:val="auto"/>
                <w:sz w:val="21"/>
                <w:szCs w:val="21"/>
              </w:rPr>
            </w:pPr>
            <w:r>
              <w:rPr>
                <w:rFonts w:hint="eastAsia" w:cs="Times New Roman"/>
                <w:color w:val="auto"/>
                <w:sz w:val="21"/>
                <w:szCs w:val="21"/>
                <w:lang w:val="en-US" w:eastAsia="zh-CN"/>
              </w:rPr>
              <w:t>项目不属于石化、化工等行业，</w:t>
            </w:r>
            <w:r>
              <w:rPr>
                <w:rFonts w:hint="default" w:ascii="Times New Roman" w:hAnsi="Times New Roman" w:eastAsia="宋体" w:cs="Times New Roman"/>
                <w:color w:val="auto"/>
                <w:sz w:val="21"/>
                <w:szCs w:val="21"/>
                <w:lang w:val="en-US" w:eastAsia="zh-CN"/>
              </w:rPr>
              <w:t>项目涂布烘干工序产生的NMP废气经NMP回收处理装置（TA00</w:t>
            </w:r>
            <w:r>
              <w:rPr>
                <w:rFonts w:hint="eastAsia" w:cs="Times New Roman"/>
                <w:color w:val="auto"/>
                <w:sz w:val="21"/>
                <w:szCs w:val="21"/>
                <w:lang w:val="en-US" w:eastAsia="zh-CN"/>
              </w:rPr>
              <w:t>2</w:t>
            </w:r>
            <w:r>
              <w:rPr>
                <w:rFonts w:hint="default" w:ascii="Times New Roman" w:hAnsi="Times New Roman" w:eastAsia="宋体" w:cs="Times New Roman"/>
                <w:color w:val="auto"/>
                <w:sz w:val="21"/>
                <w:szCs w:val="21"/>
                <w:lang w:val="en-US" w:eastAsia="zh-CN"/>
              </w:rPr>
              <w:t>）处理后通过1根</w:t>
            </w:r>
            <w:r>
              <w:rPr>
                <w:rFonts w:hint="eastAsia" w:cs="Times New Roman"/>
                <w:color w:val="auto"/>
                <w:sz w:val="21"/>
                <w:szCs w:val="21"/>
                <w:lang w:val="en-US" w:eastAsia="zh-CN"/>
              </w:rPr>
              <w:t>25</w:t>
            </w:r>
            <w:r>
              <w:rPr>
                <w:rFonts w:hint="default" w:ascii="Times New Roman" w:hAnsi="Times New Roman" w:eastAsia="宋体" w:cs="Times New Roman"/>
                <w:color w:val="auto"/>
                <w:sz w:val="21"/>
                <w:szCs w:val="21"/>
                <w:lang w:val="en-US" w:eastAsia="zh-CN"/>
              </w:rPr>
              <w:t>m高排气筒（DA001）排放；电解液注液、</w:t>
            </w:r>
            <w:r>
              <w:rPr>
                <w:rFonts w:hint="eastAsia" w:cs="Times New Roman"/>
                <w:color w:val="auto"/>
                <w:sz w:val="21"/>
                <w:szCs w:val="21"/>
                <w:lang w:val="en-US" w:eastAsia="zh-CN"/>
              </w:rPr>
              <w:t>二封、电池拆解等工序产生的有机废气</w:t>
            </w:r>
            <w:r>
              <w:rPr>
                <w:rFonts w:hint="default" w:ascii="Times New Roman" w:hAnsi="Times New Roman" w:eastAsia="宋体" w:cs="Times New Roman"/>
                <w:color w:val="auto"/>
                <w:sz w:val="21"/>
                <w:szCs w:val="21"/>
                <w:lang w:val="en-US" w:eastAsia="zh-CN"/>
              </w:rPr>
              <w:t>经</w:t>
            </w:r>
            <w:r>
              <w:rPr>
                <w:rFonts w:hint="eastAsia" w:cs="Times New Roman"/>
                <w:color w:val="auto"/>
                <w:sz w:val="21"/>
                <w:szCs w:val="21"/>
                <w:lang w:val="en-US" w:eastAsia="zh-CN"/>
              </w:rPr>
              <w:t>收集后</w:t>
            </w:r>
            <w:r>
              <w:rPr>
                <w:rFonts w:hint="default" w:ascii="Times New Roman" w:hAnsi="Times New Roman" w:eastAsia="宋体" w:cs="Times New Roman"/>
                <w:color w:val="auto"/>
                <w:sz w:val="21"/>
                <w:szCs w:val="21"/>
                <w:lang w:val="en-US" w:eastAsia="zh-CN"/>
              </w:rPr>
              <w:t>引至二级活性炭吸附装置（TA00</w:t>
            </w:r>
            <w:r>
              <w:rPr>
                <w:rFonts w:hint="eastAsia" w:cs="Times New Roman"/>
                <w:color w:val="auto"/>
                <w:sz w:val="21"/>
                <w:szCs w:val="21"/>
                <w:lang w:val="en-US" w:eastAsia="zh-CN"/>
              </w:rPr>
              <w:t>3</w:t>
            </w:r>
            <w:r>
              <w:rPr>
                <w:rFonts w:hint="default" w:ascii="Times New Roman" w:hAnsi="Times New Roman" w:eastAsia="宋体" w:cs="Times New Roman"/>
                <w:color w:val="auto"/>
                <w:sz w:val="21"/>
                <w:szCs w:val="21"/>
                <w:lang w:val="en-US" w:eastAsia="zh-CN"/>
              </w:rPr>
              <w:t>）处理后，一根</w:t>
            </w:r>
            <w:r>
              <w:rPr>
                <w:rFonts w:hint="eastAsia" w:cs="Times New Roman"/>
                <w:color w:val="auto"/>
                <w:sz w:val="21"/>
                <w:szCs w:val="21"/>
                <w:lang w:val="en-US" w:eastAsia="zh-CN"/>
              </w:rPr>
              <w:t>25</w:t>
            </w:r>
            <w:r>
              <w:rPr>
                <w:rFonts w:hint="default" w:ascii="Times New Roman" w:hAnsi="Times New Roman" w:eastAsia="宋体" w:cs="Times New Roman"/>
                <w:color w:val="auto"/>
                <w:sz w:val="21"/>
                <w:szCs w:val="21"/>
                <w:lang w:val="en-US" w:eastAsia="zh-CN"/>
              </w:rPr>
              <w:t>m排气筒（DA002）排放</w:t>
            </w:r>
            <w:r>
              <w:rPr>
                <w:rFonts w:hint="eastAsia" w:cs="Times New Roman"/>
                <w:color w:val="auto"/>
                <w:sz w:val="21"/>
                <w:szCs w:val="21"/>
                <w:lang w:val="en-US" w:eastAsia="zh-CN"/>
              </w:rPr>
              <w:t>；拆解废气产生量极少，无组织排放。</w:t>
            </w:r>
          </w:p>
        </w:tc>
        <w:tc>
          <w:tcPr>
            <w:tcW w:w="929" w:type="dxa"/>
            <w:vMerge w:val="restart"/>
            <w:vAlign w:val="center"/>
          </w:tcPr>
          <w:p w14:paraId="4FA9F67C">
            <w:pPr>
              <w:pStyle w:val="70"/>
              <w:spacing w:line="240" w:lineRule="auto"/>
              <w:rPr>
                <w:rFonts w:hint="eastAsia" w:ascii="Times New Roman" w:hAnsi="Times New Roman" w:eastAsia="宋体" w:cs="Times New Roman"/>
                <w:color w:val="auto"/>
                <w:sz w:val="21"/>
                <w:szCs w:val="21"/>
              </w:rPr>
            </w:pPr>
            <w:r>
              <w:rPr>
                <w:rFonts w:hint="eastAsia" w:cs="Times New Roman"/>
                <w:color w:val="auto"/>
                <w:sz w:val="21"/>
                <w:szCs w:val="21"/>
                <w:lang w:val="en-US" w:eastAsia="zh-CN"/>
              </w:rPr>
              <w:t>符合</w:t>
            </w:r>
          </w:p>
        </w:tc>
      </w:tr>
      <w:tr w14:paraId="6C0F1D5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736D1851">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4D2B97BA">
            <w:pPr>
              <w:pStyle w:val="70"/>
              <w:spacing w:line="240" w:lineRule="auto"/>
              <w:rPr>
                <w:rFonts w:hint="eastAsia" w:ascii="Times New Roman" w:hAnsi="Times New Roman" w:eastAsia="宋体" w:cs="Times New Roman"/>
                <w:color w:val="auto"/>
                <w:sz w:val="21"/>
                <w:szCs w:val="21"/>
              </w:rPr>
            </w:pPr>
          </w:p>
        </w:tc>
        <w:tc>
          <w:tcPr>
            <w:tcW w:w="1547" w:type="dxa"/>
            <w:vMerge w:val="continue"/>
            <w:vAlign w:val="center"/>
          </w:tcPr>
          <w:p w14:paraId="716E86EF">
            <w:pPr>
              <w:pStyle w:val="70"/>
              <w:spacing w:line="240" w:lineRule="auto"/>
              <w:rPr>
                <w:rFonts w:hint="eastAsia" w:ascii="Times New Roman" w:hAnsi="Times New Roman" w:eastAsia="宋体" w:cs="Times New Roman"/>
                <w:color w:val="auto"/>
                <w:sz w:val="21"/>
                <w:szCs w:val="21"/>
              </w:rPr>
            </w:pPr>
          </w:p>
        </w:tc>
        <w:tc>
          <w:tcPr>
            <w:tcW w:w="1710" w:type="dxa"/>
            <w:vAlign w:val="center"/>
          </w:tcPr>
          <w:p w14:paraId="62F99364">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企业环境风险防控要求</w:t>
            </w:r>
          </w:p>
        </w:tc>
        <w:tc>
          <w:tcPr>
            <w:tcW w:w="3403" w:type="dxa"/>
            <w:vAlign w:val="center"/>
          </w:tcPr>
          <w:p w14:paraId="379BF184">
            <w:pPr>
              <w:pStyle w:val="70"/>
              <w:spacing w:line="240" w:lineRule="auto"/>
              <w:rPr>
                <w:rFonts w:hint="eastAsia" w:ascii="Times New Roman" w:hAnsi="Times New Roman" w:eastAsia="宋体" w:cs="Times New Roman"/>
                <w:color w:val="auto"/>
                <w:sz w:val="21"/>
                <w:szCs w:val="21"/>
                <w:lang w:eastAsia="zh-CN"/>
              </w:rPr>
            </w:pPr>
            <w:r>
              <w:rPr>
                <w:rFonts w:ascii="Times New Roman" w:hAnsi="Times New Roman" w:eastAsia="宋体" w:cs="Times New Roman"/>
                <w:color w:val="auto"/>
                <w:sz w:val="21"/>
                <w:szCs w:val="21"/>
              </w:rPr>
              <w:t>加快实施低VOCs含量原辅材料替代。持续开展VOCs治理设施提级增效，对采用单一低温等离子、光氧化、光催化以及非水溶性VOCs废气采用单一喷淋吸收等治理技术且无法稳定达标的，加快推进升级改造。强化VOCs无组织排放整治。石化、化工等行业加强非正常工况废气排放管控。推进涉VOCs产业集群治理提升</w:t>
            </w:r>
            <w:r>
              <w:rPr>
                <w:rFonts w:hint="eastAsia" w:ascii="Times New Roman" w:hAnsi="Times New Roman" w:eastAsia="宋体" w:cs="Times New Roman"/>
                <w:color w:val="auto"/>
                <w:sz w:val="21"/>
                <w:szCs w:val="21"/>
                <w:lang w:eastAsia="zh-CN"/>
              </w:rPr>
              <w:t>。</w:t>
            </w:r>
          </w:p>
        </w:tc>
        <w:tc>
          <w:tcPr>
            <w:tcW w:w="2677" w:type="dxa"/>
            <w:vMerge w:val="continue"/>
            <w:vAlign w:val="center"/>
          </w:tcPr>
          <w:p w14:paraId="518EF2BD">
            <w:pPr>
              <w:pStyle w:val="70"/>
              <w:spacing w:line="240" w:lineRule="auto"/>
              <w:rPr>
                <w:rFonts w:hint="eastAsia" w:ascii="Times New Roman" w:hAnsi="Times New Roman" w:eastAsia="宋体" w:cs="Times New Roman"/>
                <w:color w:val="auto"/>
                <w:sz w:val="21"/>
                <w:szCs w:val="21"/>
              </w:rPr>
            </w:pPr>
          </w:p>
        </w:tc>
        <w:tc>
          <w:tcPr>
            <w:tcW w:w="929" w:type="dxa"/>
            <w:vMerge w:val="continue"/>
            <w:vAlign w:val="center"/>
          </w:tcPr>
          <w:p w14:paraId="7409EDDD">
            <w:pPr>
              <w:pStyle w:val="70"/>
              <w:spacing w:line="240" w:lineRule="auto"/>
              <w:rPr>
                <w:rFonts w:hint="eastAsia" w:ascii="Times New Roman" w:hAnsi="Times New Roman" w:eastAsia="宋体" w:cs="Times New Roman"/>
                <w:color w:val="auto"/>
                <w:sz w:val="21"/>
                <w:szCs w:val="21"/>
              </w:rPr>
            </w:pPr>
          </w:p>
        </w:tc>
      </w:tr>
      <w:tr w14:paraId="1B8FAF8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6A0A71AC">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4CC3556F">
            <w:pPr>
              <w:pStyle w:val="70"/>
              <w:spacing w:line="240" w:lineRule="auto"/>
              <w:rPr>
                <w:rFonts w:hint="eastAsia" w:ascii="Times New Roman" w:hAnsi="Times New Roman" w:eastAsia="宋体" w:cs="Times New Roman"/>
                <w:color w:val="auto"/>
                <w:sz w:val="21"/>
                <w:szCs w:val="21"/>
              </w:rPr>
            </w:pPr>
          </w:p>
        </w:tc>
        <w:tc>
          <w:tcPr>
            <w:tcW w:w="1547" w:type="dxa"/>
            <w:vAlign w:val="center"/>
          </w:tcPr>
          <w:p w14:paraId="0C4C97E2">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资源开发利用效率要求</w:t>
            </w:r>
          </w:p>
        </w:tc>
        <w:tc>
          <w:tcPr>
            <w:tcW w:w="1710" w:type="dxa"/>
            <w:vAlign w:val="center"/>
          </w:tcPr>
          <w:p w14:paraId="4594FB3F">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3403" w:type="dxa"/>
            <w:vAlign w:val="center"/>
          </w:tcPr>
          <w:p w14:paraId="3FEC37AE">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2677" w:type="dxa"/>
            <w:vAlign w:val="center"/>
          </w:tcPr>
          <w:p w14:paraId="5EB3C34D">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929" w:type="dxa"/>
            <w:vAlign w:val="center"/>
          </w:tcPr>
          <w:p w14:paraId="6D919406">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1D428BF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restart"/>
            <w:vAlign w:val="center"/>
          </w:tcPr>
          <w:p w14:paraId="0BECEBCC">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YS5119022530001巴州区城镇开发边界</w:t>
            </w:r>
          </w:p>
        </w:tc>
        <w:tc>
          <w:tcPr>
            <w:tcW w:w="1370" w:type="dxa"/>
            <w:vMerge w:val="restart"/>
            <w:vAlign w:val="center"/>
          </w:tcPr>
          <w:p w14:paraId="334C61F3">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重点管控区</w:t>
            </w:r>
          </w:p>
        </w:tc>
        <w:tc>
          <w:tcPr>
            <w:tcW w:w="1547" w:type="dxa"/>
            <w:vAlign w:val="center"/>
          </w:tcPr>
          <w:p w14:paraId="0E5A80EF">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空间布局约束</w:t>
            </w:r>
          </w:p>
        </w:tc>
        <w:tc>
          <w:tcPr>
            <w:tcW w:w="1710" w:type="dxa"/>
            <w:vAlign w:val="center"/>
          </w:tcPr>
          <w:p w14:paraId="3FE1F200">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禁止开发建设活动的要求</w:t>
            </w:r>
          </w:p>
        </w:tc>
        <w:tc>
          <w:tcPr>
            <w:tcW w:w="3403" w:type="dxa"/>
            <w:vAlign w:val="center"/>
          </w:tcPr>
          <w:p w14:paraId="3D744318">
            <w:pPr>
              <w:pStyle w:val="70"/>
              <w:spacing w:line="240" w:lineRule="auto"/>
              <w:rPr>
                <w:rFonts w:hint="eastAsia" w:ascii="Times New Roman" w:hAnsi="Times New Roman" w:eastAsia="宋体" w:cs="Times New Roman"/>
                <w:color w:val="auto"/>
                <w:sz w:val="21"/>
                <w:szCs w:val="21"/>
              </w:rPr>
            </w:pPr>
            <w:r>
              <w:rPr>
                <w:rFonts w:hint="eastAsia" w:cs="Times New Roman"/>
                <w:color w:val="auto"/>
                <w:sz w:val="21"/>
                <w:szCs w:val="21"/>
                <w:lang w:val="en-US" w:eastAsia="zh-CN"/>
              </w:rPr>
              <w:t>1</w:t>
            </w:r>
            <w:r>
              <w:rPr>
                <w:rFonts w:ascii="Times New Roman" w:hAnsi="Times New Roman" w:eastAsia="宋体" w:cs="Times New Roman"/>
                <w:color w:val="auto"/>
                <w:sz w:val="21"/>
                <w:szCs w:val="21"/>
              </w:rPr>
              <w:t>.以城镇开发建设现状为基础，综合考虑资源承载能力、人口分布、经济布局、城乡统筹、城镇无序蔓延。科学预留一定比例的留白区，为未来发展留有开发空间。城镇建设和发展不得违法违规侵占河道、湖面、滩地。2.城镇开发边界调整报国土空间规划原审批机关审批。</w:t>
            </w:r>
          </w:p>
        </w:tc>
        <w:tc>
          <w:tcPr>
            <w:tcW w:w="2677" w:type="dxa"/>
            <w:vAlign w:val="center"/>
          </w:tcPr>
          <w:p w14:paraId="309896CD">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项目位于工业园区内，用地为工业用地。</w:t>
            </w:r>
          </w:p>
        </w:tc>
        <w:tc>
          <w:tcPr>
            <w:tcW w:w="929" w:type="dxa"/>
            <w:vAlign w:val="center"/>
          </w:tcPr>
          <w:p w14:paraId="2A584421">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符合</w:t>
            </w:r>
          </w:p>
        </w:tc>
      </w:tr>
      <w:tr w14:paraId="20DBEDA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185D320E">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75B3C69F">
            <w:pPr>
              <w:pStyle w:val="70"/>
              <w:spacing w:line="240" w:lineRule="auto"/>
              <w:rPr>
                <w:rFonts w:hint="eastAsia" w:ascii="Times New Roman" w:hAnsi="Times New Roman" w:eastAsia="宋体" w:cs="Times New Roman"/>
                <w:color w:val="auto"/>
                <w:sz w:val="21"/>
                <w:szCs w:val="21"/>
              </w:rPr>
            </w:pPr>
          </w:p>
        </w:tc>
        <w:tc>
          <w:tcPr>
            <w:tcW w:w="1547" w:type="dxa"/>
            <w:vAlign w:val="center"/>
          </w:tcPr>
          <w:p w14:paraId="21D1E7D6">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污染物排放管控</w:t>
            </w:r>
          </w:p>
        </w:tc>
        <w:tc>
          <w:tcPr>
            <w:tcW w:w="1710" w:type="dxa"/>
            <w:vAlign w:val="center"/>
          </w:tcPr>
          <w:p w14:paraId="06E27367">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3403" w:type="dxa"/>
            <w:vAlign w:val="center"/>
          </w:tcPr>
          <w:p w14:paraId="54AC9B68">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2677" w:type="dxa"/>
            <w:vAlign w:val="center"/>
          </w:tcPr>
          <w:p w14:paraId="3D160F41">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929" w:type="dxa"/>
            <w:vAlign w:val="center"/>
          </w:tcPr>
          <w:p w14:paraId="7EF3A1BD">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0CA7437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02AA086A">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616E8847">
            <w:pPr>
              <w:pStyle w:val="70"/>
              <w:spacing w:line="240" w:lineRule="auto"/>
              <w:rPr>
                <w:rFonts w:hint="eastAsia" w:ascii="Times New Roman" w:hAnsi="Times New Roman" w:eastAsia="宋体" w:cs="Times New Roman"/>
                <w:color w:val="auto"/>
                <w:sz w:val="21"/>
                <w:szCs w:val="21"/>
              </w:rPr>
            </w:pPr>
          </w:p>
        </w:tc>
        <w:tc>
          <w:tcPr>
            <w:tcW w:w="1547" w:type="dxa"/>
            <w:vAlign w:val="center"/>
          </w:tcPr>
          <w:p w14:paraId="4EDF5498">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环境风险防控</w:t>
            </w:r>
          </w:p>
        </w:tc>
        <w:tc>
          <w:tcPr>
            <w:tcW w:w="1710" w:type="dxa"/>
            <w:vAlign w:val="center"/>
          </w:tcPr>
          <w:p w14:paraId="5C8F36DD">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污染地块管控要求</w:t>
            </w:r>
          </w:p>
        </w:tc>
        <w:tc>
          <w:tcPr>
            <w:tcW w:w="3403" w:type="dxa"/>
            <w:vAlign w:val="center"/>
          </w:tcPr>
          <w:p w14:paraId="3C5F38E6">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土地资源开发利用量不得超过土地资源利用上线控制性指标</w:t>
            </w:r>
            <w:r>
              <w:rPr>
                <w:rFonts w:hint="eastAsia" w:ascii="Times New Roman" w:hAnsi="Times New Roman" w:eastAsia="宋体" w:cs="Times New Roman"/>
                <w:color w:val="auto"/>
                <w:sz w:val="21"/>
                <w:szCs w:val="21"/>
                <w:lang w:eastAsia="zh-CN"/>
              </w:rPr>
              <w:t>。</w:t>
            </w:r>
          </w:p>
        </w:tc>
        <w:tc>
          <w:tcPr>
            <w:tcW w:w="2677" w:type="dxa"/>
            <w:vAlign w:val="center"/>
          </w:tcPr>
          <w:p w14:paraId="0EE0734F">
            <w:pPr>
              <w:pStyle w:val="70"/>
              <w:spacing w:line="240" w:lineRule="auto"/>
              <w:rPr>
                <w:rFonts w:hint="eastAsia" w:ascii="Times New Roman" w:hAnsi="Times New Roman" w:eastAsia="宋体" w:cs="Times New Roman"/>
                <w:color w:val="auto"/>
                <w:sz w:val="21"/>
                <w:szCs w:val="21"/>
              </w:rPr>
            </w:pPr>
            <w:r>
              <w:rPr>
                <w:rFonts w:hint="eastAsia" w:cs="Times New Roman"/>
                <w:color w:val="auto"/>
                <w:sz w:val="21"/>
                <w:szCs w:val="21"/>
                <w:lang w:val="en-US" w:eastAsia="zh-CN"/>
              </w:rPr>
              <w:t>项目位于工业园区内，用地性质为工业用地。</w:t>
            </w:r>
          </w:p>
        </w:tc>
        <w:tc>
          <w:tcPr>
            <w:tcW w:w="929" w:type="dxa"/>
            <w:vAlign w:val="center"/>
          </w:tcPr>
          <w:p w14:paraId="4D11FE3C">
            <w:pPr>
              <w:pStyle w:val="70"/>
              <w:spacing w:line="240" w:lineRule="auto"/>
              <w:rPr>
                <w:rFonts w:hint="eastAsia" w:ascii="Times New Roman" w:hAnsi="Times New Roman" w:eastAsia="宋体" w:cs="Times New Roman"/>
                <w:color w:val="auto"/>
                <w:sz w:val="21"/>
                <w:szCs w:val="21"/>
              </w:rPr>
            </w:pPr>
            <w:r>
              <w:rPr>
                <w:rFonts w:hint="eastAsia" w:cs="Times New Roman"/>
                <w:color w:val="auto"/>
                <w:sz w:val="21"/>
                <w:szCs w:val="21"/>
                <w:lang w:val="en-US" w:eastAsia="zh-CN"/>
              </w:rPr>
              <w:t>符合</w:t>
            </w:r>
          </w:p>
        </w:tc>
      </w:tr>
      <w:tr w14:paraId="4AA328B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vMerge w:val="continue"/>
            <w:vAlign w:val="center"/>
          </w:tcPr>
          <w:p w14:paraId="6A7AC428">
            <w:pPr>
              <w:pStyle w:val="70"/>
              <w:spacing w:line="240" w:lineRule="auto"/>
              <w:rPr>
                <w:rFonts w:hint="eastAsia" w:ascii="Times New Roman" w:hAnsi="Times New Roman" w:eastAsia="宋体" w:cs="Times New Roman"/>
                <w:color w:val="auto"/>
                <w:sz w:val="21"/>
                <w:szCs w:val="21"/>
              </w:rPr>
            </w:pPr>
          </w:p>
        </w:tc>
        <w:tc>
          <w:tcPr>
            <w:tcW w:w="1370" w:type="dxa"/>
            <w:vMerge w:val="continue"/>
            <w:vAlign w:val="center"/>
          </w:tcPr>
          <w:p w14:paraId="6F709ACB">
            <w:pPr>
              <w:pStyle w:val="70"/>
              <w:spacing w:line="240" w:lineRule="auto"/>
              <w:rPr>
                <w:rFonts w:hint="eastAsia" w:ascii="Times New Roman" w:hAnsi="Times New Roman" w:eastAsia="宋体" w:cs="Times New Roman"/>
                <w:color w:val="auto"/>
                <w:sz w:val="21"/>
                <w:szCs w:val="21"/>
              </w:rPr>
            </w:pPr>
          </w:p>
        </w:tc>
        <w:tc>
          <w:tcPr>
            <w:tcW w:w="1547" w:type="dxa"/>
            <w:vAlign w:val="center"/>
          </w:tcPr>
          <w:p w14:paraId="7229EB6E">
            <w:pPr>
              <w:pStyle w:val="70"/>
              <w:spacing w:line="240" w:lineRule="auto"/>
              <w:rPr>
                <w:rFonts w:hint="eastAsia" w:ascii="Times New Roman" w:hAnsi="Times New Roman" w:eastAsia="宋体" w:cs="Times New Roman"/>
                <w:color w:val="auto"/>
                <w:sz w:val="21"/>
                <w:szCs w:val="21"/>
              </w:rPr>
            </w:pPr>
            <w:r>
              <w:rPr>
                <w:rFonts w:ascii="Times New Roman" w:hAnsi="Times New Roman" w:eastAsia="宋体" w:cs="Times New Roman"/>
                <w:color w:val="auto"/>
                <w:sz w:val="21"/>
                <w:szCs w:val="21"/>
              </w:rPr>
              <w:t>资源开发利用效率要求</w:t>
            </w:r>
          </w:p>
        </w:tc>
        <w:tc>
          <w:tcPr>
            <w:tcW w:w="1710" w:type="dxa"/>
            <w:vAlign w:val="center"/>
          </w:tcPr>
          <w:p w14:paraId="6F46F002">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3403" w:type="dxa"/>
            <w:vAlign w:val="center"/>
          </w:tcPr>
          <w:p w14:paraId="0FD6FD60">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2677" w:type="dxa"/>
            <w:vAlign w:val="center"/>
          </w:tcPr>
          <w:p w14:paraId="480B34C9">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929" w:type="dxa"/>
            <w:vAlign w:val="center"/>
          </w:tcPr>
          <w:p w14:paraId="49995CBC">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bl>
    <w:p w14:paraId="4A8BA545">
      <w:pPr>
        <w:pStyle w:val="66"/>
        <w:spacing w:line="360" w:lineRule="auto"/>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综上</w:t>
      </w:r>
      <w:r>
        <w:rPr>
          <w:rFonts w:hint="eastAsia"/>
          <w:color w:val="000000" w:themeColor="text1"/>
          <w14:textFill>
            <w14:solidFill>
              <w14:schemeClr w14:val="tx1"/>
            </w14:solidFill>
          </w14:textFill>
        </w:rPr>
        <w:t>，本项目与区域生态环境分区管控相关要求相符。</w:t>
      </w:r>
    </w:p>
    <w:p w14:paraId="4C16CB98">
      <w:pPr>
        <w:pStyle w:val="66"/>
        <w:spacing w:line="360" w:lineRule="auto"/>
        <w:rPr>
          <w:rFonts w:hint="eastAsia"/>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3、与《电池行业清洁生产评价指标体系》符合性分析</w:t>
      </w:r>
    </w:p>
    <w:p w14:paraId="73F58ABB">
      <w:pPr>
        <w:pStyle w:val="66"/>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ascii="宋体" w:hAnsi="宋体" w:eastAsia="宋体"/>
          <w:color w:val="000000" w:themeColor="text1"/>
          <w:sz w:val="24"/>
          <w:szCs w:val="24"/>
          <w:lang w:eastAsia="zh-CN"/>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为指导和推动电池企业依法实施清洁生产，提高资源利用率，减少和避免污染物的产生，保护和改善环境，</w:t>
      </w:r>
      <w:r>
        <w:rPr>
          <w:rFonts w:hint="eastAsia" w:ascii="TimesNewRomanPSMT" w:hAnsi="TimesNewRomanPSMT" w:eastAsia="TimesNewRomanPSMT"/>
          <w:color w:val="000000" w:themeColor="text1"/>
          <w:sz w:val="24"/>
          <w:szCs w:val="24"/>
          <w14:textFill>
            <w14:solidFill>
              <w14:schemeClr w14:val="tx1"/>
            </w14:solidFill>
          </w14:textFill>
        </w:rPr>
        <w:t>2015</w:t>
      </w:r>
      <w:r>
        <w:rPr>
          <w:rFonts w:hint="eastAsia" w:ascii="宋体" w:hAnsi="宋体" w:eastAsia="宋体"/>
          <w:color w:val="000000" w:themeColor="text1"/>
          <w:sz w:val="24"/>
          <w:szCs w:val="24"/>
          <w14:textFill>
            <w14:solidFill>
              <w14:schemeClr w14:val="tx1"/>
            </w14:solidFill>
          </w14:textFill>
        </w:rPr>
        <w:t>年</w:t>
      </w:r>
      <w:r>
        <w:rPr>
          <w:rFonts w:hint="eastAsia" w:ascii="TimesNewRomanPSMT" w:hAnsi="TimesNewRomanPSMT" w:eastAsia="TimesNewRomanPSMT"/>
          <w:color w:val="000000" w:themeColor="text1"/>
          <w:sz w:val="24"/>
          <w:szCs w:val="24"/>
          <w14:textFill>
            <w14:solidFill>
              <w14:schemeClr w14:val="tx1"/>
            </w14:solidFill>
          </w14:textFill>
        </w:rPr>
        <w:t>12</w:t>
      </w:r>
      <w:r>
        <w:rPr>
          <w:rFonts w:hint="eastAsia" w:ascii="宋体" w:hAnsi="宋体" w:eastAsia="宋体"/>
          <w:color w:val="000000" w:themeColor="text1"/>
          <w:sz w:val="24"/>
          <w:szCs w:val="24"/>
          <w14:textFill>
            <w14:solidFill>
              <w14:schemeClr w14:val="tx1"/>
            </w14:solidFill>
          </w14:textFill>
        </w:rPr>
        <w:t>月</w:t>
      </w:r>
      <w:r>
        <w:rPr>
          <w:rFonts w:hint="eastAsia" w:ascii="TimesNewRomanPSMT" w:hAnsi="TimesNewRomanPSMT" w:eastAsia="TimesNewRomanPSMT"/>
          <w:color w:val="000000" w:themeColor="text1"/>
          <w:sz w:val="24"/>
          <w:szCs w:val="24"/>
          <w14:textFill>
            <w14:solidFill>
              <w14:schemeClr w14:val="tx1"/>
            </w14:solidFill>
          </w14:textFill>
        </w:rPr>
        <w:t>31</w:t>
      </w:r>
      <w:r>
        <w:rPr>
          <w:rFonts w:hint="eastAsia" w:ascii="宋体" w:hAnsi="宋体" w:eastAsia="宋体"/>
          <w:color w:val="000000" w:themeColor="text1"/>
          <w:sz w:val="24"/>
          <w:szCs w:val="24"/>
          <w14:textFill>
            <w14:solidFill>
              <w14:schemeClr w14:val="tx1"/>
            </w14:solidFill>
          </w14:textFill>
        </w:rPr>
        <w:t>日发布了《电池行业清洁生产评价指标体系》。该指标体系依据综合评价所得分值将清洁生产等级划分为三级，</w:t>
      </w:r>
      <w:r>
        <w:rPr>
          <w:rFonts w:hint="eastAsia" w:ascii="TimesNewRomanPSMT" w:hAnsi="TimesNewRomanPSMT" w:eastAsia="TimesNewRomanPSMT"/>
          <w:color w:val="000000" w:themeColor="text1"/>
          <w:sz w:val="24"/>
          <w:szCs w:val="24"/>
          <w14:textFill>
            <w14:solidFill>
              <w14:schemeClr w14:val="tx1"/>
            </w14:solidFill>
          </w14:textFill>
        </w:rPr>
        <w:t>Ⅰ</w:t>
      </w:r>
      <w:r>
        <w:rPr>
          <w:rFonts w:hint="eastAsia" w:ascii="宋体" w:hAnsi="宋体" w:eastAsia="宋体"/>
          <w:color w:val="000000" w:themeColor="text1"/>
          <w:sz w:val="24"/>
          <w:szCs w:val="24"/>
          <w14:textFill>
            <w14:solidFill>
              <w14:schemeClr w14:val="tx1"/>
            </w14:solidFill>
          </w14:textFill>
        </w:rPr>
        <w:t>级为国际清洁生产领先水平；</w:t>
      </w:r>
      <w:r>
        <w:rPr>
          <w:rFonts w:hint="eastAsia" w:ascii="TimesNewRomanPSMT" w:hAnsi="TimesNewRomanPSMT" w:eastAsia="TimesNewRomanPSMT"/>
          <w:color w:val="000000" w:themeColor="text1"/>
          <w:sz w:val="24"/>
          <w:szCs w:val="24"/>
          <w14:textFill>
            <w14:solidFill>
              <w14:schemeClr w14:val="tx1"/>
            </w14:solidFill>
          </w14:textFill>
        </w:rPr>
        <w:t>Ⅱ</w:t>
      </w:r>
      <w:r>
        <w:rPr>
          <w:rFonts w:hint="eastAsia" w:ascii="宋体" w:hAnsi="宋体" w:eastAsia="宋体"/>
          <w:color w:val="000000" w:themeColor="text1"/>
          <w:sz w:val="24"/>
          <w:szCs w:val="24"/>
          <w14:textFill>
            <w14:solidFill>
              <w14:schemeClr w14:val="tx1"/>
            </w14:solidFill>
          </w14:textFill>
        </w:rPr>
        <w:t>级为国内清洁生产先进水平；</w:t>
      </w:r>
      <w:r>
        <w:rPr>
          <w:rFonts w:hint="eastAsia" w:ascii="TimesNewRomanPSMT" w:hAnsi="TimesNewRomanPSMT" w:eastAsia="TimesNewRomanPSMT"/>
          <w:color w:val="000000" w:themeColor="text1"/>
          <w:sz w:val="24"/>
          <w:szCs w:val="24"/>
          <w14:textFill>
            <w14:solidFill>
              <w14:schemeClr w14:val="tx1"/>
            </w14:solidFill>
          </w14:textFill>
        </w:rPr>
        <w:t>Ⅲ</w:t>
      </w:r>
      <w:r>
        <w:rPr>
          <w:rFonts w:hint="eastAsia" w:ascii="宋体" w:hAnsi="宋体" w:eastAsia="宋体"/>
          <w:color w:val="000000" w:themeColor="text1"/>
          <w:sz w:val="24"/>
          <w:szCs w:val="24"/>
          <w14:textFill>
            <w14:solidFill>
              <w14:schemeClr w14:val="tx1"/>
            </w14:solidFill>
          </w14:textFill>
        </w:rPr>
        <w:t>级为国内清洁生产基本水平。本项目为锂离子电池行业，与《电池行业清洁生产评价指标体系》的符合性分析见下表</w:t>
      </w:r>
      <w:r>
        <w:rPr>
          <w:rFonts w:hint="eastAsia" w:ascii="宋体" w:hAnsi="宋体" w:eastAsia="宋体"/>
          <w:color w:val="000000" w:themeColor="text1"/>
          <w:sz w:val="24"/>
          <w:szCs w:val="24"/>
          <w:lang w:eastAsia="zh-CN"/>
          <w14:textFill>
            <w14:solidFill>
              <w14:schemeClr w14:val="tx1"/>
            </w14:solidFill>
          </w14:textFill>
        </w:rPr>
        <w:t>。</w:t>
      </w:r>
    </w:p>
    <w:p w14:paraId="56064A5E">
      <w:pPr>
        <w:pStyle w:val="68"/>
        <w:rPr>
          <w:rFonts w:hint="default" w:ascii="Times New Roman" w:hAnsi="Times New Roman" w:eastAsia="宋体" w:cs="Times New Roman"/>
          <w:b/>
          <w:bCs/>
          <w:color w:val="000000" w:themeColor="text1"/>
          <w:lang w:val="en-US" w:eastAsia="zh-CN"/>
          <w14:textFill>
            <w14:solidFill>
              <w14:schemeClr w14:val="tx1"/>
            </w14:solidFill>
          </w14:textFill>
        </w:rPr>
      </w:pPr>
      <w:r>
        <w:rPr>
          <w:rFonts w:hint="eastAsia" w:ascii="Times New Roman" w:hAnsi="Times New Roman" w:eastAsia="宋体" w:cs="Times New Roman"/>
          <w:b/>
          <w:bCs/>
          <w:color w:val="000000" w:themeColor="text1"/>
          <w14:textFill>
            <w14:solidFill>
              <w14:schemeClr w14:val="tx1"/>
            </w14:solidFill>
          </w14:textFill>
        </w:rPr>
        <w:t>表1-</w:t>
      </w:r>
      <w:r>
        <w:rPr>
          <w:rFonts w:hint="eastAsia" w:eastAsia="宋体" w:cs="Times New Roman"/>
          <w:b/>
          <w:bCs/>
          <w:color w:val="000000" w:themeColor="text1"/>
          <w:lang w:val="en-US" w:eastAsia="zh-CN"/>
          <w14:textFill>
            <w14:solidFill>
              <w14:schemeClr w14:val="tx1"/>
            </w14:solidFill>
          </w14:textFill>
        </w:rPr>
        <w:t>7</w:t>
      </w:r>
      <w:r>
        <w:rPr>
          <w:rFonts w:hint="eastAsia" w:ascii="Times New Roman" w:hAnsi="Times New Roman" w:eastAsia="宋体" w:cs="Times New Roman"/>
          <w:b/>
          <w:bCs/>
          <w:color w:val="000000" w:themeColor="text1"/>
          <w14:textFill>
            <w14:solidFill>
              <w14:schemeClr w14:val="tx1"/>
            </w14:solidFill>
          </w14:textFill>
        </w:rPr>
        <w:t xml:space="preserve">  </w:t>
      </w:r>
      <w:r>
        <w:rPr>
          <w:rFonts w:hint="eastAsia" w:eastAsia="宋体" w:cs="Times New Roman"/>
          <w:b/>
          <w:bCs/>
          <w:color w:val="000000" w:themeColor="text1"/>
          <w:lang w:val="en-US" w:eastAsia="zh-CN"/>
          <w14:textFill>
            <w14:solidFill>
              <w14:schemeClr w14:val="tx1"/>
            </w14:solidFill>
          </w14:textFill>
        </w:rPr>
        <w:t>项目主要指标一览表</w:t>
      </w:r>
    </w:p>
    <w:tbl>
      <w:tblPr>
        <w:tblStyle w:val="42"/>
        <w:tblW w:w="13691" w:type="dxa"/>
        <w:tblInd w:w="-61"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55"/>
        <w:gridCol w:w="1011"/>
        <w:gridCol w:w="990"/>
        <w:gridCol w:w="1260"/>
        <w:gridCol w:w="1290"/>
        <w:gridCol w:w="1740"/>
        <w:gridCol w:w="1365"/>
        <w:gridCol w:w="1470"/>
        <w:gridCol w:w="1350"/>
        <w:gridCol w:w="2085"/>
        <w:gridCol w:w="675"/>
      </w:tblGrid>
      <w:tr w14:paraId="54472FD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455" w:type="dxa"/>
            <w:vAlign w:val="center"/>
          </w:tcPr>
          <w:p w14:paraId="7A875651">
            <w:pPr>
              <w:pStyle w:val="70"/>
              <w:spacing w:line="240" w:lineRule="auto"/>
              <w:rPr>
                <w:rFonts w:hint="default" w:cs="Times New Roman"/>
                <w:b/>
                <w:color w:val="000000" w:themeColor="text1"/>
                <w:sz w:val="21"/>
                <w:szCs w:val="21"/>
                <w:lang w:val="en-US" w:eastAsia="zh-CN"/>
                <w14:textFill>
                  <w14:solidFill>
                    <w14:schemeClr w14:val="tx1"/>
                  </w14:solidFill>
                </w14:textFill>
              </w:rPr>
            </w:pPr>
            <w:r>
              <w:rPr>
                <w:rFonts w:hint="eastAsia" w:cs="Times New Roman"/>
                <w:b/>
                <w:color w:val="000000" w:themeColor="text1"/>
                <w:sz w:val="21"/>
                <w:szCs w:val="21"/>
                <w:lang w:val="en-US" w:eastAsia="zh-CN"/>
                <w14:textFill>
                  <w14:solidFill>
                    <w14:schemeClr w14:val="tx1"/>
                  </w14:solidFill>
                </w14:textFill>
              </w:rPr>
              <w:t>序号</w:t>
            </w:r>
          </w:p>
        </w:tc>
        <w:tc>
          <w:tcPr>
            <w:tcW w:w="1011" w:type="dxa"/>
            <w:vAlign w:val="center"/>
          </w:tcPr>
          <w:p w14:paraId="4493C508">
            <w:pPr>
              <w:pStyle w:val="70"/>
              <w:spacing w:line="240" w:lineRule="auto"/>
              <w:rPr>
                <w:rFonts w:hint="default" w:cs="Times New Roman"/>
                <w:b/>
                <w:color w:val="000000" w:themeColor="text1"/>
                <w:sz w:val="21"/>
                <w:szCs w:val="21"/>
                <w:lang w:val="en-US" w:eastAsia="zh-CN"/>
                <w14:textFill>
                  <w14:solidFill>
                    <w14:schemeClr w14:val="tx1"/>
                  </w14:solidFill>
                </w14:textFill>
              </w:rPr>
            </w:pPr>
            <w:r>
              <w:rPr>
                <w:rFonts w:hint="eastAsia" w:cs="Times New Roman"/>
                <w:b/>
                <w:color w:val="000000" w:themeColor="text1"/>
                <w:sz w:val="21"/>
                <w:szCs w:val="21"/>
                <w:lang w:val="en-US" w:eastAsia="zh-CN"/>
                <w14:textFill>
                  <w14:solidFill>
                    <w14:schemeClr w14:val="tx1"/>
                  </w14:solidFill>
                </w14:textFill>
              </w:rPr>
              <w:t>一级指标</w:t>
            </w:r>
          </w:p>
        </w:tc>
        <w:tc>
          <w:tcPr>
            <w:tcW w:w="990" w:type="dxa"/>
            <w:vAlign w:val="center"/>
          </w:tcPr>
          <w:p w14:paraId="7293803F">
            <w:pPr>
              <w:pStyle w:val="70"/>
              <w:spacing w:line="240" w:lineRule="auto"/>
              <w:rPr>
                <w:rFonts w:hint="default" w:cs="Times New Roman"/>
                <w:b/>
                <w:color w:val="000000" w:themeColor="text1"/>
                <w:sz w:val="21"/>
                <w:szCs w:val="21"/>
                <w:lang w:val="en-US" w:eastAsia="zh-CN"/>
                <w14:textFill>
                  <w14:solidFill>
                    <w14:schemeClr w14:val="tx1"/>
                  </w14:solidFill>
                </w14:textFill>
              </w:rPr>
            </w:pPr>
            <w:r>
              <w:rPr>
                <w:rFonts w:hint="eastAsia" w:cs="Times New Roman"/>
                <w:b/>
                <w:color w:val="000000" w:themeColor="text1"/>
                <w:sz w:val="21"/>
                <w:szCs w:val="21"/>
                <w:lang w:val="en-US" w:eastAsia="zh-CN"/>
                <w14:textFill>
                  <w14:solidFill>
                    <w14:schemeClr w14:val="tx1"/>
                  </w14:solidFill>
                </w14:textFill>
              </w:rPr>
              <w:t>一级指标权重</w:t>
            </w:r>
          </w:p>
        </w:tc>
        <w:tc>
          <w:tcPr>
            <w:tcW w:w="1260" w:type="dxa"/>
            <w:vAlign w:val="center"/>
          </w:tcPr>
          <w:p w14:paraId="48A348A7">
            <w:pPr>
              <w:pStyle w:val="70"/>
              <w:spacing w:line="240" w:lineRule="auto"/>
              <w:rPr>
                <w:rFonts w:hint="default" w:cs="Times New Roman"/>
                <w:b/>
                <w:color w:val="000000" w:themeColor="text1"/>
                <w:sz w:val="21"/>
                <w:szCs w:val="21"/>
                <w:lang w:val="en-US" w:eastAsia="zh-CN"/>
                <w14:textFill>
                  <w14:solidFill>
                    <w14:schemeClr w14:val="tx1"/>
                  </w14:solidFill>
                </w14:textFill>
              </w:rPr>
            </w:pPr>
            <w:r>
              <w:rPr>
                <w:rFonts w:hint="eastAsia" w:cs="Times New Roman"/>
                <w:b/>
                <w:color w:val="000000" w:themeColor="text1"/>
                <w:sz w:val="21"/>
                <w:szCs w:val="21"/>
                <w:lang w:val="en-US" w:eastAsia="zh-CN"/>
                <w14:textFill>
                  <w14:solidFill>
                    <w14:schemeClr w14:val="tx1"/>
                  </w14:solidFill>
                </w14:textFill>
              </w:rPr>
              <w:t>二级指标</w:t>
            </w:r>
          </w:p>
        </w:tc>
        <w:tc>
          <w:tcPr>
            <w:tcW w:w="1290" w:type="dxa"/>
            <w:vAlign w:val="center"/>
          </w:tcPr>
          <w:p w14:paraId="328C14D0">
            <w:pPr>
              <w:pStyle w:val="70"/>
              <w:spacing w:line="240" w:lineRule="auto"/>
              <w:rPr>
                <w:rFonts w:hint="default" w:cs="Times New Roman"/>
                <w:b/>
                <w:color w:val="000000" w:themeColor="text1"/>
                <w:sz w:val="21"/>
                <w:szCs w:val="21"/>
                <w:lang w:val="en-US" w:eastAsia="zh-CN"/>
                <w14:textFill>
                  <w14:solidFill>
                    <w14:schemeClr w14:val="tx1"/>
                  </w14:solidFill>
                </w14:textFill>
              </w:rPr>
            </w:pPr>
            <w:r>
              <w:rPr>
                <w:rFonts w:hint="eastAsia" w:cs="Times New Roman"/>
                <w:b/>
                <w:color w:val="000000" w:themeColor="text1"/>
                <w:sz w:val="21"/>
                <w:szCs w:val="21"/>
                <w:lang w:val="en-US" w:eastAsia="zh-CN"/>
                <w14:textFill>
                  <w14:solidFill>
                    <w14:schemeClr w14:val="tx1"/>
                  </w14:solidFill>
                </w14:textFill>
              </w:rPr>
              <w:t>单位</w:t>
            </w:r>
          </w:p>
        </w:tc>
        <w:tc>
          <w:tcPr>
            <w:tcW w:w="1740" w:type="dxa"/>
            <w:vAlign w:val="center"/>
          </w:tcPr>
          <w:p w14:paraId="0D208BCB">
            <w:pPr>
              <w:pStyle w:val="70"/>
              <w:spacing w:line="240" w:lineRule="auto"/>
              <w:rPr>
                <w:rFonts w:hint="default" w:cs="Times New Roman"/>
                <w:b/>
                <w:color w:val="000000" w:themeColor="text1"/>
                <w:sz w:val="21"/>
                <w:szCs w:val="21"/>
                <w:lang w:val="en-US" w:eastAsia="zh-CN"/>
                <w14:textFill>
                  <w14:solidFill>
                    <w14:schemeClr w14:val="tx1"/>
                  </w14:solidFill>
                </w14:textFill>
              </w:rPr>
            </w:pPr>
            <w:r>
              <w:rPr>
                <w:rFonts w:hint="eastAsia" w:cs="Times New Roman"/>
                <w:b/>
                <w:color w:val="000000" w:themeColor="text1"/>
                <w:sz w:val="21"/>
                <w:szCs w:val="21"/>
                <w:lang w:val="en-US" w:eastAsia="zh-CN"/>
                <w14:textFill>
                  <w14:solidFill>
                    <w14:schemeClr w14:val="tx1"/>
                  </w14:solidFill>
                </w14:textFill>
              </w:rPr>
              <w:t>二级指标权重</w:t>
            </w:r>
          </w:p>
        </w:tc>
        <w:tc>
          <w:tcPr>
            <w:tcW w:w="1365" w:type="dxa"/>
            <w:vAlign w:val="center"/>
          </w:tcPr>
          <w:p w14:paraId="4C59DCB1">
            <w:pPr>
              <w:pStyle w:val="70"/>
              <w:spacing w:line="240" w:lineRule="auto"/>
              <w:rPr>
                <w:rFonts w:hint="default" w:cs="Times New Roman"/>
                <w:b/>
                <w:color w:val="000000" w:themeColor="text1"/>
                <w:sz w:val="21"/>
                <w:szCs w:val="21"/>
                <w:lang w:val="en-US" w:eastAsia="zh-CN"/>
                <w14:textFill>
                  <w14:solidFill>
                    <w14:schemeClr w14:val="tx1"/>
                  </w14:solidFill>
                </w14:textFill>
              </w:rPr>
            </w:pPr>
            <w:r>
              <w:rPr>
                <w:rFonts w:hint="eastAsia" w:cs="Times New Roman"/>
                <w:b/>
                <w:color w:val="000000" w:themeColor="text1"/>
                <w:sz w:val="21"/>
                <w:szCs w:val="21"/>
                <w:lang w:val="en-US" w:eastAsia="zh-CN"/>
                <w14:textFill>
                  <w14:solidFill>
                    <w14:schemeClr w14:val="tx1"/>
                  </w14:solidFill>
                </w14:textFill>
              </w:rPr>
              <w:t>Ⅰ级基准值</w:t>
            </w:r>
          </w:p>
        </w:tc>
        <w:tc>
          <w:tcPr>
            <w:tcW w:w="1470" w:type="dxa"/>
            <w:vAlign w:val="center"/>
          </w:tcPr>
          <w:p w14:paraId="26D1A1ED">
            <w:pPr>
              <w:pStyle w:val="70"/>
              <w:spacing w:line="240" w:lineRule="auto"/>
              <w:rPr>
                <w:rFonts w:hint="eastAsia" w:cs="Times New Roman"/>
                <w:b/>
                <w:color w:val="000000" w:themeColor="text1"/>
                <w:sz w:val="21"/>
                <w:szCs w:val="21"/>
                <w:lang w:val="en-US" w:eastAsia="zh-CN"/>
                <w14:textFill>
                  <w14:solidFill>
                    <w14:schemeClr w14:val="tx1"/>
                  </w14:solidFill>
                </w14:textFill>
              </w:rPr>
            </w:pPr>
            <w:r>
              <w:rPr>
                <w:rFonts w:hint="eastAsia" w:cs="Times New Roman"/>
                <w:b/>
                <w:color w:val="000000" w:themeColor="text1"/>
                <w:sz w:val="21"/>
                <w:szCs w:val="21"/>
                <w:lang w:val="en-US" w:eastAsia="zh-CN"/>
                <w14:textFill>
                  <w14:solidFill>
                    <w14:schemeClr w14:val="tx1"/>
                  </w14:solidFill>
                </w14:textFill>
              </w:rPr>
              <w:t>Ⅱ级基准值</w:t>
            </w:r>
          </w:p>
        </w:tc>
        <w:tc>
          <w:tcPr>
            <w:tcW w:w="1350" w:type="dxa"/>
            <w:vAlign w:val="center"/>
          </w:tcPr>
          <w:p w14:paraId="01E53F50">
            <w:pPr>
              <w:pStyle w:val="70"/>
              <w:spacing w:line="240" w:lineRule="auto"/>
              <w:rPr>
                <w:rFonts w:hint="eastAsia" w:cs="Times New Roman"/>
                <w:b/>
                <w:color w:val="000000" w:themeColor="text1"/>
                <w:sz w:val="21"/>
                <w:szCs w:val="21"/>
                <w:lang w:val="en-US" w:eastAsia="zh-CN"/>
                <w14:textFill>
                  <w14:solidFill>
                    <w14:schemeClr w14:val="tx1"/>
                  </w14:solidFill>
                </w14:textFill>
              </w:rPr>
            </w:pPr>
            <w:r>
              <w:rPr>
                <w:rFonts w:hint="eastAsia" w:cs="Times New Roman"/>
                <w:b/>
                <w:color w:val="000000" w:themeColor="text1"/>
                <w:sz w:val="21"/>
                <w:szCs w:val="21"/>
                <w:lang w:val="en-US" w:eastAsia="zh-CN"/>
                <w14:textFill>
                  <w14:solidFill>
                    <w14:schemeClr w14:val="tx1"/>
                  </w14:solidFill>
                </w14:textFill>
              </w:rPr>
              <w:t>Ⅲ级基准值</w:t>
            </w:r>
          </w:p>
        </w:tc>
        <w:tc>
          <w:tcPr>
            <w:tcW w:w="2085" w:type="dxa"/>
            <w:vAlign w:val="center"/>
          </w:tcPr>
          <w:p w14:paraId="669F03D5">
            <w:pPr>
              <w:pStyle w:val="70"/>
              <w:spacing w:line="240" w:lineRule="auto"/>
              <w:rPr>
                <w:rFonts w:hint="default" w:cs="Times New Roman"/>
                <w:b/>
                <w:color w:val="000000" w:themeColor="text1"/>
                <w:sz w:val="21"/>
                <w:szCs w:val="21"/>
                <w:lang w:val="en-US" w:eastAsia="zh-CN"/>
                <w14:textFill>
                  <w14:solidFill>
                    <w14:schemeClr w14:val="tx1"/>
                  </w14:solidFill>
                </w14:textFill>
              </w:rPr>
            </w:pPr>
            <w:r>
              <w:rPr>
                <w:rFonts w:hint="eastAsia" w:cs="Times New Roman"/>
                <w:b/>
                <w:color w:val="000000" w:themeColor="text1"/>
                <w:sz w:val="21"/>
                <w:szCs w:val="21"/>
                <w:lang w:val="en-US" w:eastAsia="zh-CN"/>
                <w14:textFill>
                  <w14:solidFill>
                    <w14:schemeClr w14:val="tx1"/>
                  </w14:solidFill>
                </w14:textFill>
              </w:rPr>
              <w:t>本项目情况</w:t>
            </w:r>
          </w:p>
        </w:tc>
        <w:tc>
          <w:tcPr>
            <w:tcW w:w="675" w:type="dxa"/>
            <w:vAlign w:val="center"/>
          </w:tcPr>
          <w:p w14:paraId="68C3D0F0">
            <w:pPr>
              <w:pStyle w:val="70"/>
              <w:spacing w:line="240" w:lineRule="auto"/>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eastAsia" w:cs="Times New Roman"/>
                <w:b/>
                <w:color w:val="000000" w:themeColor="text1"/>
                <w:sz w:val="21"/>
                <w:szCs w:val="21"/>
                <w:lang w:val="en-US" w:eastAsia="zh-CN"/>
                <w14:textFill>
                  <w14:solidFill>
                    <w14:schemeClr w14:val="tx1"/>
                  </w14:solidFill>
                </w14:textFill>
              </w:rPr>
              <w:t>得分</w:t>
            </w:r>
          </w:p>
        </w:tc>
      </w:tr>
      <w:tr w14:paraId="1D558AD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455" w:type="dxa"/>
            <w:vAlign w:val="center"/>
          </w:tcPr>
          <w:p w14:paraId="6BF9A2F5">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w:t>
            </w:r>
          </w:p>
        </w:tc>
        <w:tc>
          <w:tcPr>
            <w:tcW w:w="1011" w:type="dxa"/>
            <w:vMerge w:val="restart"/>
            <w:vAlign w:val="center"/>
          </w:tcPr>
          <w:p w14:paraId="758CC400">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生产工艺及设备要求</w:t>
            </w:r>
          </w:p>
        </w:tc>
        <w:tc>
          <w:tcPr>
            <w:tcW w:w="990" w:type="dxa"/>
            <w:vMerge w:val="restart"/>
            <w:vAlign w:val="center"/>
          </w:tcPr>
          <w:p w14:paraId="799AF87F">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0.2</w:t>
            </w:r>
          </w:p>
        </w:tc>
        <w:tc>
          <w:tcPr>
            <w:tcW w:w="2550" w:type="dxa"/>
            <w:gridSpan w:val="2"/>
            <w:vAlign w:val="center"/>
          </w:tcPr>
          <w:p w14:paraId="01A0BB4D">
            <w:pPr>
              <w:pStyle w:val="70"/>
              <w:spacing w:line="240" w:lineRule="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合浆</w:t>
            </w:r>
          </w:p>
        </w:tc>
        <w:tc>
          <w:tcPr>
            <w:tcW w:w="1740" w:type="dxa"/>
            <w:vAlign w:val="center"/>
          </w:tcPr>
          <w:p w14:paraId="6A7CC8A5">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0.1</w:t>
            </w:r>
          </w:p>
        </w:tc>
        <w:tc>
          <w:tcPr>
            <w:tcW w:w="4185" w:type="dxa"/>
            <w:gridSpan w:val="3"/>
            <w:vAlign w:val="center"/>
          </w:tcPr>
          <w:p w14:paraId="3C6507BD">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密闭进料</w:t>
            </w:r>
          </w:p>
        </w:tc>
        <w:tc>
          <w:tcPr>
            <w:tcW w:w="2085" w:type="dxa"/>
            <w:vAlign w:val="center"/>
          </w:tcPr>
          <w:p w14:paraId="41577F5B">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项目为密闭进料</w:t>
            </w:r>
          </w:p>
        </w:tc>
        <w:tc>
          <w:tcPr>
            <w:tcW w:w="675" w:type="dxa"/>
            <w:vAlign w:val="center"/>
          </w:tcPr>
          <w:p w14:paraId="04164E60">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w:t>
            </w:r>
          </w:p>
        </w:tc>
      </w:tr>
      <w:tr w14:paraId="00191A6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455" w:type="dxa"/>
            <w:vAlign w:val="center"/>
          </w:tcPr>
          <w:p w14:paraId="0757C7B2">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w:t>
            </w:r>
          </w:p>
        </w:tc>
        <w:tc>
          <w:tcPr>
            <w:tcW w:w="1011" w:type="dxa"/>
            <w:vMerge w:val="continue"/>
            <w:vAlign w:val="center"/>
          </w:tcPr>
          <w:p w14:paraId="268700D8">
            <w:pPr>
              <w:pStyle w:val="70"/>
              <w:spacing w:line="240" w:lineRule="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p>
        </w:tc>
        <w:tc>
          <w:tcPr>
            <w:tcW w:w="990" w:type="dxa"/>
            <w:vMerge w:val="continue"/>
            <w:vAlign w:val="center"/>
          </w:tcPr>
          <w:p w14:paraId="0F4EDEB5">
            <w:pPr>
              <w:pStyle w:val="70"/>
              <w:spacing w:line="240" w:lineRule="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p>
        </w:tc>
        <w:tc>
          <w:tcPr>
            <w:tcW w:w="2550" w:type="dxa"/>
            <w:gridSpan w:val="2"/>
            <w:vAlign w:val="center"/>
          </w:tcPr>
          <w:p w14:paraId="341818D5">
            <w:pPr>
              <w:pStyle w:val="70"/>
              <w:spacing w:line="240" w:lineRule="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涂布</w:t>
            </w:r>
          </w:p>
        </w:tc>
        <w:tc>
          <w:tcPr>
            <w:tcW w:w="1740" w:type="dxa"/>
            <w:vAlign w:val="center"/>
          </w:tcPr>
          <w:p w14:paraId="0FF74297">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0.5</w:t>
            </w:r>
          </w:p>
        </w:tc>
        <w:tc>
          <w:tcPr>
            <w:tcW w:w="2835" w:type="dxa"/>
            <w:gridSpan w:val="2"/>
            <w:vAlign w:val="center"/>
          </w:tcPr>
          <w:p w14:paraId="7AEA415F">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间歇式涂布</w:t>
            </w:r>
          </w:p>
        </w:tc>
        <w:tc>
          <w:tcPr>
            <w:tcW w:w="1350" w:type="dxa"/>
            <w:vAlign w:val="center"/>
          </w:tcPr>
          <w:p w14:paraId="7DD58214">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连续式涂布</w:t>
            </w:r>
          </w:p>
        </w:tc>
        <w:tc>
          <w:tcPr>
            <w:tcW w:w="2085" w:type="dxa"/>
            <w:vAlign w:val="center"/>
          </w:tcPr>
          <w:p w14:paraId="54BDE21B">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项目为连续式涂布</w:t>
            </w:r>
            <w:r>
              <w:rPr>
                <w:rFonts w:hint="eastAsia" w:ascii="宋体" w:hAnsi="宋体" w:eastAsia="宋体"/>
                <w:color w:val="000000" w:themeColor="text1"/>
                <w:sz w:val="21"/>
                <w:szCs w:val="21"/>
                <w14:textFill>
                  <w14:solidFill>
                    <w14:schemeClr w14:val="tx1"/>
                  </w14:solidFill>
                </w14:textFill>
              </w:rPr>
              <w:t>，达到</w:t>
            </w:r>
            <w:r>
              <w:rPr>
                <w:rFonts w:hint="eastAsia" w:ascii="TimesNewRomanPSMT" w:hAnsi="TimesNewRomanPSMT" w:eastAsia="TimesNewRomanPSMT"/>
                <w:color w:val="000000" w:themeColor="text1"/>
                <w:sz w:val="21"/>
                <w:szCs w:val="21"/>
                <w14:textFill>
                  <w14:solidFill>
                    <w14:schemeClr w14:val="tx1"/>
                  </w14:solidFill>
                </w14:textFill>
              </w:rPr>
              <w:t>Ⅲ</w:t>
            </w:r>
            <w:r>
              <w:rPr>
                <w:rFonts w:hint="eastAsia" w:ascii="宋体" w:hAnsi="宋体" w:eastAsia="宋体"/>
                <w:color w:val="000000" w:themeColor="text1"/>
                <w:sz w:val="21"/>
                <w:szCs w:val="21"/>
                <w14:textFill>
                  <w14:solidFill>
                    <w14:schemeClr w14:val="tx1"/>
                  </w14:solidFill>
                </w14:textFill>
              </w:rPr>
              <w:t>级基准值</w:t>
            </w:r>
          </w:p>
        </w:tc>
        <w:tc>
          <w:tcPr>
            <w:tcW w:w="675" w:type="dxa"/>
            <w:vAlign w:val="center"/>
          </w:tcPr>
          <w:p w14:paraId="11204C3C">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10</w:t>
            </w:r>
          </w:p>
        </w:tc>
      </w:tr>
      <w:tr w14:paraId="5499BA2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22" w:hRule="atLeast"/>
        </w:trPr>
        <w:tc>
          <w:tcPr>
            <w:tcW w:w="455" w:type="dxa"/>
            <w:vAlign w:val="center"/>
          </w:tcPr>
          <w:p w14:paraId="46A834C2">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3</w:t>
            </w:r>
          </w:p>
        </w:tc>
        <w:tc>
          <w:tcPr>
            <w:tcW w:w="1011" w:type="dxa"/>
            <w:vMerge w:val="continue"/>
            <w:vAlign w:val="center"/>
          </w:tcPr>
          <w:p w14:paraId="65713335">
            <w:pPr>
              <w:pStyle w:val="70"/>
              <w:spacing w:line="240" w:lineRule="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p>
        </w:tc>
        <w:tc>
          <w:tcPr>
            <w:tcW w:w="990" w:type="dxa"/>
            <w:vMerge w:val="continue"/>
            <w:vAlign w:val="center"/>
          </w:tcPr>
          <w:p w14:paraId="28E22C23">
            <w:pPr>
              <w:pStyle w:val="70"/>
              <w:spacing w:line="240" w:lineRule="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p>
        </w:tc>
        <w:tc>
          <w:tcPr>
            <w:tcW w:w="2550" w:type="dxa"/>
            <w:gridSpan w:val="2"/>
            <w:vAlign w:val="center"/>
          </w:tcPr>
          <w:p w14:paraId="0048D7AB">
            <w:pPr>
              <w:pStyle w:val="70"/>
              <w:spacing w:line="240" w:lineRule="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放电</w:t>
            </w:r>
          </w:p>
        </w:tc>
        <w:tc>
          <w:tcPr>
            <w:tcW w:w="1740" w:type="dxa"/>
            <w:vAlign w:val="center"/>
          </w:tcPr>
          <w:p w14:paraId="5EE465D8">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0.4</w:t>
            </w:r>
          </w:p>
        </w:tc>
        <w:tc>
          <w:tcPr>
            <w:tcW w:w="2835" w:type="dxa"/>
            <w:gridSpan w:val="2"/>
            <w:vAlign w:val="center"/>
          </w:tcPr>
          <w:p w14:paraId="23E0AE04">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能量回馈式</w:t>
            </w:r>
          </w:p>
        </w:tc>
        <w:tc>
          <w:tcPr>
            <w:tcW w:w="1350" w:type="dxa"/>
            <w:vAlign w:val="center"/>
          </w:tcPr>
          <w:p w14:paraId="7EA7DA99">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电阻消耗式</w:t>
            </w:r>
          </w:p>
        </w:tc>
        <w:tc>
          <w:tcPr>
            <w:tcW w:w="2085" w:type="dxa"/>
            <w:vAlign w:val="center"/>
          </w:tcPr>
          <w:p w14:paraId="680F3DEB">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项目为能量回馈放电，</w:t>
            </w:r>
            <w:r>
              <w:rPr>
                <w:rFonts w:hint="eastAsia" w:ascii="宋体" w:hAnsi="宋体" w:eastAsia="宋体"/>
                <w:color w:val="000000" w:themeColor="text1"/>
                <w:sz w:val="21"/>
                <w:szCs w:val="21"/>
                <w14:textFill>
                  <w14:solidFill>
                    <w14:schemeClr w14:val="tx1"/>
                  </w14:solidFill>
                </w14:textFill>
              </w:rPr>
              <w:t>达到</w:t>
            </w:r>
            <w:r>
              <w:rPr>
                <w:rFonts w:hint="eastAsia" w:ascii="TimesNewRomanPSMT" w:hAnsi="TimesNewRomanPSMT" w:eastAsia="TimesNewRomanPSMT"/>
                <w:color w:val="000000" w:themeColor="text1"/>
                <w:sz w:val="21"/>
                <w:szCs w:val="21"/>
                <w14:textFill>
                  <w14:solidFill>
                    <w14:schemeClr w14:val="tx1"/>
                  </w14:solidFill>
                </w14:textFill>
              </w:rPr>
              <w:t>I</w:t>
            </w:r>
            <w:r>
              <w:rPr>
                <w:rFonts w:hint="eastAsia" w:ascii="宋体" w:hAnsi="宋体" w:eastAsia="宋体"/>
                <w:color w:val="000000" w:themeColor="text1"/>
                <w:sz w:val="21"/>
                <w:szCs w:val="21"/>
                <w14:textFill>
                  <w14:solidFill>
                    <w14:schemeClr w14:val="tx1"/>
                  </w14:solidFill>
                </w14:textFill>
              </w:rPr>
              <w:t>级基准值</w:t>
            </w:r>
          </w:p>
        </w:tc>
        <w:tc>
          <w:tcPr>
            <w:tcW w:w="675" w:type="dxa"/>
            <w:vAlign w:val="center"/>
          </w:tcPr>
          <w:p w14:paraId="369D7BA4">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8</w:t>
            </w:r>
          </w:p>
        </w:tc>
      </w:tr>
      <w:tr w14:paraId="01B5C5E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455" w:type="dxa"/>
            <w:vAlign w:val="center"/>
          </w:tcPr>
          <w:p w14:paraId="68E33E4A">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4</w:t>
            </w:r>
          </w:p>
        </w:tc>
        <w:tc>
          <w:tcPr>
            <w:tcW w:w="1011" w:type="dxa"/>
            <w:vMerge w:val="restart"/>
            <w:vAlign w:val="center"/>
          </w:tcPr>
          <w:p w14:paraId="54252EA6">
            <w:pPr>
              <w:pStyle w:val="70"/>
              <w:spacing w:line="240" w:lineRule="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资源和能源消耗指标</w:t>
            </w:r>
          </w:p>
        </w:tc>
        <w:tc>
          <w:tcPr>
            <w:tcW w:w="990" w:type="dxa"/>
            <w:vMerge w:val="restart"/>
            <w:vAlign w:val="center"/>
          </w:tcPr>
          <w:p w14:paraId="0C2FA6CE">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0.3</w:t>
            </w:r>
          </w:p>
        </w:tc>
        <w:tc>
          <w:tcPr>
            <w:tcW w:w="1260" w:type="dxa"/>
            <w:vAlign w:val="center"/>
          </w:tcPr>
          <w:p w14:paraId="146F1F20">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r>
              <w:rPr>
                <w:rFonts w:hint="eastAsia" w:cs="Times New Roman"/>
                <w:color w:val="000000" w:themeColor="text1"/>
                <w:sz w:val="21"/>
                <w:szCs w:val="21"/>
                <w:lang w:val="en-US" w:eastAsia="zh-CN"/>
                <w14:textFill>
                  <w14:solidFill>
                    <w14:schemeClr w14:val="tx1"/>
                  </w14:solidFill>
                </w14:textFill>
              </w:rPr>
              <w:t>单位产品取水量</w:t>
            </w:r>
          </w:p>
        </w:tc>
        <w:tc>
          <w:tcPr>
            <w:tcW w:w="1290" w:type="dxa"/>
            <w:vAlign w:val="center"/>
          </w:tcPr>
          <w:p w14:paraId="5F20EA8B">
            <w:pPr>
              <w:pStyle w:val="70"/>
              <w:spacing w:line="240" w:lineRule="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m</w:t>
            </w:r>
            <w:r>
              <w:rPr>
                <w:rFonts w:hint="default" w:ascii="Times New Roman" w:hAnsi="Times New Roman" w:eastAsia="宋体" w:cs="Times New Roman"/>
                <w:color w:val="000000" w:themeColor="text1"/>
                <w:sz w:val="21"/>
                <w:szCs w:val="21"/>
                <w:vertAlign w:val="superscript"/>
                <w14:textFill>
                  <w14:solidFill>
                    <w14:schemeClr w14:val="tx1"/>
                  </w14:solidFill>
                </w14:textFill>
              </w:rPr>
              <w:t>3</w:t>
            </w:r>
            <w:r>
              <w:rPr>
                <w:rFonts w:hint="default" w:ascii="Times New Roman" w:hAnsi="Times New Roman" w:eastAsia="宋体" w:cs="Times New Roman"/>
                <w:color w:val="000000" w:themeColor="text1"/>
                <w:sz w:val="21"/>
                <w:szCs w:val="21"/>
                <w14:textFill>
                  <w14:solidFill>
                    <w14:schemeClr w14:val="tx1"/>
                  </w14:solidFill>
                </w14:textFill>
              </w:rPr>
              <w:t>/万Ah</w:t>
            </w:r>
          </w:p>
        </w:tc>
        <w:tc>
          <w:tcPr>
            <w:tcW w:w="1740" w:type="dxa"/>
            <w:vAlign w:val="center"/>
          </w:tcPr>
          <w:p w14:paraId="01E90092">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0.5</w:t>
            </w:r>
          </w:p>
        </w:tc>
        <w:tc>
          <w:tcPr>
            <w:tcW w:w="1365" w:type="dxa"/>
            <w:vAlign w:val="center"/>
          </w:tcPr>
          <w:p w14:paraId="3FE77943">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1.2</w:t>
            </w:r>
          </w:p>
        </w:tc>
        <w:tc>
          <w:tcPr>
            <w:tcW w:w="1470" w:type="dxa"/>
            <w:vAlign w:val="center"/>
          </w:tcPr>
          <w:p w14:paraId="10AA2D7B">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1.5</w:t>
            </w:r>
          </w:p>
        </w:tc>
        <w:tc>
          <w:tcPr>
            <w:tcW w:w="1350" w:type="dxa"/>
            <w:vAlign w:val="center"/>
          </w:tcPr>
          <w:p w14:paraId="004828E3">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1.8</w:t>
            </w:r>
          </w:p>
        </w:tc>
        <w:tc>
          <w:tcPr>
            <w:tcW w:w="2085" w:type="dxa"/>
            <w:vAlign w:val="center"/>
          </w:tcPr>
          <w:p w14:paraId="38ABCEFC">
            <w:pPr>
              <w:pStyle w:val="70"/>
              <w:spacing w:line="240" w:lineRule="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宋体" w:hAnsi="宋体" w:eastAsia="宋体"/>
                <w:color w:val="000000" w:themeColor="text1"/>
                <w:sz w:val="21"/>
                <w:szCs w:val="21"/>
                <w14:textFill>
                  <w14:solidFill>
                    <w14:schemeClr w14:val="tx1"/>
                  </w14:solidFill>
                </w14:textFill>
              </w:rPr>
              <w:t>本项目取水量</w:t>
            </w:r>
            <w:r>
              <w:rPr>
                <w:rFonts w:hint="eastAsia" w:ascii="TimesNewRomanPSMT" w:hAnsi="TimesNewRomanPSMT" w:eastAsia="宋体"/>
                <w:color w:val="000000" w:themeColor="text1"/>
                <w:sz w:val="21"/>
                <w:szCs w:val="21"/>
                <w:lang w:val="en-US" w:eastAsia="zh-CN"/>
                <w14:textFill>
                  <w14:solidFill>
                    <w14:schemeClr w14:val="tx1"/>
                  </w14:solidFill>
                </w14:textFill>
              </w:rPr>
              <w:t>8016</w:t>
            </w:r>
            <w:r>
              <w:rPr>
                <w:rFonts w:hint="eastAsia" w:ascii="TimesNewRomanPSMT" w:hAnsi="TimesNewRomanPSMT" w:eastAsia="TimesNewRomanPSMT"/>
                <w:color w:val="000000" w:themeColor="text1"/>
                <w:sz w:val="21"/>
                <w:szCs w:val="21"/>
                <w14:textFill>
                  <w14:solidFill>
                    <w14:schemeClr w14:val="tx1"/>
                  </w14:solidFill>
                </w14:textFill>
              </w:rPr>
              <w:t>m</w:t>
            </w:r>
            <w:r>
              <w:rPr>
                <w:rFonts w:hint="eastAsia" w:ascii="TimesNewRomanPSMT" w:hAnsi="TimesNewRomanPSMT" w:eastAsia="TimesNewRomanPSMT"/>
                <w:color w:val="000000" w:themeColor="text1"/>
                <w:sz w:val="21"/>
                <w:szCs w:val="21"/>
                <w:vertAlign w:val="superscript"/>
                <w14:textFill>
                  <w14:solidFill>
                    <w14:schemeClr w14:val="tx1"/>
                  </w14:solidFill>
                </w14:textFill>
              </w:rPr>
              <w:t>3</w:t>
            </w:r>
            <w:r>
              <w:rPr>
                <w:rFonts w:hint="eastAsia" w:ascii="TimesNewRomanPSMT" w:hAnsi="TimesNewRomanPSMT" w:eastAsia="TimesNewRomanPSMT"/>
                <w:color w:val="000000" w:themeColor="text1"/>
                <w:sz w:val="21"/>
                <w:szCs w:val="21"/>
                <w14:textFill>
                  <w14:solidFill>
                    <w14:schemeClr w14:val="tx1"/>
                  </w14:solidFill>
                </w14:textFill>
              </w:rPr>
              <w:t>/a</w:t>
            </w:r>
            <w:r>
              <w:rPr>
                <w:rFonts w:hint="eastAsia" w:ascii="宋体" w:hAnsi="宋体" w:eastAsia="宋体"/>
                <w:color w:val="000000" w:themeColor="text1"/>
                <w:sz w:val="21"/>
                <w:szCs w:val="21"/>
                <w14:textFill>
                  <w14:solidFill>
                    <w14:schemeClr w14:val="tx1"/>
                  </w14:solidFill>
                </w14:textFill>
              </w:rPr>
              <w:t>，则单位产品取水量为</w:t>
            </w:r>
            <w:r>
              <w:rPr>
                <w:rFonts w:hint="eastAsia" w:ascii="TimesNewRomanPSMT" w:hAnsi="TimesNewRomanPSMT" w:eastAsia="宋体"/>
                <w:color w:val="000000" w:themeColor="text1"/>
                <w:sz w:val="21"/>
                <w:szCs w:val="21"/>
                <w:lang w:val="en-US" w:eastAsia="zh-CN"/>
                <w14:textFill>
                  <w14:solidFill>
                    <w14:schemeClr w14:val="tx1"/>
                  </w14:solidFill>
                </w14:textFill>
              </w:rPr>
              <w:t>0.273</w:t>
            </w:r>
            <w:r>
              <w:rPr>
                <w:rFonts w:hint="eastAsia" w:ascii="TimesNewRomanPSMT" w:hAnsi="TimesNewRomanPSMT" w:eastAsia="TimesNewRomanPSMT"/>
                <w:color w:val="000000" w:themeColor="text1"/>
                <w:sz w:val="21"/>
                <w:szCs w:val="21"/>
                <w14:textFill>
                  <w14:solidFill>
                    <w14:schemeClr w14:val="tx1"/>
                  </w14:solidFill>
                </w14:textFill>
              </w:rPr>
              <w:t>m</w:t>
            </w:r>
            <w:r>
              <w:rPr>
                <w:rFonts w:hint="eastAsia" w:ascii="TimesNewRomanPSMT" w:hAnsi="TimesNewRomanPSMT" w:eastAsia="TimesNewRomanPSMT"/>
                <w:color w:val="000000" w:themeColor="text1"/>
                <w:sz w:val="21"/>
                <w:szCs w:val="21"/>
                <w:vertAlign w:val="superscript"/>
                <w14:textFill>
                  <w14:solidFill>
                    <w14:schemeClr w14:val="tx1"/>
                  </w14:solidFill>
                </w14:textFill>
              </w:rPr>
              <w:t>3</w:t>
            </w:r>
            <w:r>
              <w:rPr>
                <w:rFonts w:hint="eastAsia" w:ascii="TimesNewRomanPSMT" w:hAnsi="TimesNewRomanPSMT" w:eastAsia="TimesNewRomanPSMT"/>
                <w:color w:val="000000" w:themeColor="text1"/>
                <w:sz w:val="21"/>
                <w:szCs w:val="21"/>
                <w14:textFill>
                  <w14:solidFill>
                    <w14:schemeClr w14:val="tx1"/>
                  </w14:solidFill>
                </w14:textFill>
              </w:rPr>
              <w:t>/</w:t>
            </w:r>
            <w:r>
              <w:rPr>
                <w:rFonts w:hint="eastAsia" w:ascii="宋体" w:hAnsi="宋体" w:eastAsia="宋体"/>
                <w:color w:val="000000" w:themeColor="text1"/>
                <w:sz w:val="21"/>
                <w:szCs w:val="21"/>
                <w14:textFill>
                  <w14:solidFill>
                    <w14:schemeClr w14:val="tx1"/>
                  </w14:solidFill>
                </w14:textFill>
              </w:rPr>
              <w:t>万</w:t>
            </w:r>
            <w:r>
              <w:rPr>
                <w:rFonts w:hint="eastAsia" w:ascii="TimesNewRomanPSMT" w:hAnsi="TimesNewRomanPSMT" w:eastAsia="TimesNewRomanPSMT"/>
                <w:color w:val="000000" w:themeColor="text1"/>
                <w:sz w:val="21"/>
                <w:szCs w:val="21"/>
                <w14:textFill>
                  <w14:solidFill>
                    <w14:schemeClr w14:val="tx1"/>
                  </w14:solidFill>
                </w14:textFill>
              </w:rPr>
              <w:t>Ah</w:t>
            </w:r>
            <w:r>
              <w:rPr>
                <w:rFonts w:hint="eastAsia" w:ascii="宋体" w:hAnsi="宋体" w:eastAsia="宋体"/>
                <w:color w:val="000000" w:themeColor="text1"/>
                <w:sz w:val="21"/>
                <w:szCs w:val="21"/>
                <w14:textFill>
                  <w14:solidFill>
                    <w14:schemeClr w14:val="tx1"/>
                  </w14:solidFill>
                </w14:textFill>
              </w:rPr>
              <w:t>，</w:t>
            </w:r>
            <w:r>
              <w:rPr>
                <w:rFonts w:hint="eastAsia" w:ascii="宋体" w:hAnsi="宋体" w:eastAsia="宋体"/>
                <w:color w:val="FF0000"/>
                <w:sz w:val="21"/>
                <w:szCs w:val="21"/>
              </w:rPr>
              <w:t>达到</w:t>
            </w:r>
            <w:r>
              <w:rPr>
                <w:rFonts w:hint="eastAsia" w:ascii="TimesNewRomanPSMT" w:hAnsi="TimesNewRomanPSMT" w:eastAsia="TimesNewRomanPSMT"/>
                <w:color w:val="FF0000"/>
                <w:sz w:val="21"/>
                <w:szCs w:val="21"/>
              </w:rPr>
              <w:t>I</w:t>
            </w:r>
            <w:r>
              <w:rPr>
                <w:rFonts w:hint="eastAsia" w:ascii="宋体" w:hAnsi="宋体" w:eastAsia="宋体"/>
                <w:color w:val="FF0000"/>
                <w:sz w:val="21"/>
                <w:szCs w:val="21"/>
              </w:rPr>
              <w:t>级基准值</w:t>
            </w:r>
          </w:p>
        </w:tc>
        <w:tc>
          <w:tcPr>
            <w:tcW w:w="675" w:type="dxa"/>
            <w:vAlign w:val="center"/>
          </w:tcPr>
          <w:p w14:paraId="74851F78">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15</w:t>
            </w:r>
          </w:p>
        </w:tc>
      </w:tr>
      <w:tr w14:paraId="7EC490B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6" w:hRule="atLeast"/>
        </w:trPr>
        <w:tc>
          <w:tcPr>
            <w:tcW w:w="455" w:type="dxa"/>
            <w:vAlign w:val="center"/>
          </w:tcPr>
          <w:p w14:paraId="608B3C2A">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5</w:t>
            </w:r>
          </w:p>
        </w:tc>
        <w:tc>
          <w:tcPr>
            <w:tcW w:w="1011" w:type="dxa"/>
            <w:vMerge w:val="continue"/>
            <w:vAlign w:val="center"/>
          </w:tcPr>
          <w:p w14:paraId="7D4D315E">
            <w:pPr>
              <w:pStyle w:val="70"/>
              <w:spacing w:line="240" w:lineRule="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p>
        </w:tc>
        <w:tc>
          <w:tcPr>
            <w:tcW w:w="990" w:type="dxa"/>
            <w:vMerge w:val="continue"/>
            <w:vAlign w:val="center"/>
          </w:tcPr>
          <w:p w14:paraId="4830B34A">
            <w:pPr>
              <w:pStyle w:val="70"/>
              <w:spacing w:line="240" w:lineRule="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p>
        </w:tc>
        <w:tc>
          <w:tcPr>
            <w:tcW w:w="1260" w:type="dxa"/>
            <w:vAlign w:val="center"/>
          </w:tcPr>
          <w:p w14:paraId="0BF73938">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r>
              <w:rPr>
                <w:rFonts w:hint="eastAsia" w:cs="Times New Roman"/>
                <w:color w:val="000000" w:themeColor="text1"/>
                <w:sz w:val="21"/>
                <w:szCs w:val="21"/>
                <w:lang w:val="en-US" w:eastAsia="zh-CN"/>
                <w14:textFill>
                  <w14:solidFill>
                    <w14:schemeClr w14:val="tx1"/>
                  </w14:solidFill>
                </w14:textFill>
              </w:rPr>
              <w:t>单位产品综合能耗</w:t>
            </w:r>
          </w:p>
        </w:tc>
        <w:tc>
          <w:tcPr>
            <w:tcW w:w="1290" w:type="dxa"/>
            <w:vAlign w:val="center"/>
          </w:tcPr>
          <w:p w14:paraId="65BD1A92">
            <w:pPr>
              <w:pStyle w:val="70"/>
              <w:spacing w:line="240" w:lineRule="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kgce/万Ah</w:t>
            </w:r>
          </w:p>
        </w:tc>
        <w:tc>
          <w:tcPr>
            <w:tcW w:w="1740" w:type="dxa"/>
            <w:vAlign w:val="center"/>
          </w:tcPr>
          <w:p w14:paraId="03F36788">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0.5</w:t>
            </w:r>
          </w:p>
        </w:tc>
        <w:tc>
          <w:tcPr>
            <w:tcW w:w="1365" w:type="dxa"/>
            <w:vAlign w:val="center"/>
          </w:tcPr>
          <w:p w14:paraId="1D66AA5D">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350</w:t>
            </w:r>
          </w:p>
        </w:tc>
        <w:tc>
          <w:tcPr>
            <w:tcW w:w="1470" w:type="dxa"/>
            <w:vAlign w:val="center"/>
          </w:tcPr>
          <w:p w14:paraId="188E8BA5">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400</w:t>
            </w:r>
          </w:p>
        </w:tc>
        <w:tc>
          <w:tcPr>
            <w:tcW w:w="1350" w:type="dxa"/>
            <w:vAlign w:val="center"/>
          </w:tcPr>
          <w:p w14:paraId="72BEAAC5">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600</w:t>
            </w:r>
          </w:p>
        </w:tc>
        <w:tc>
          <w:tcPr>
            <w:tcW w:w="2085" w:type="dxa"/>
            <w:vAlign w:val="center"/>
          </w:tcPr>
          <w:p w14:paraId="0317831F">
            <w:pPr>
              <w:pStyle w:val="70"/>
              <w:spacing w:line="240" w:lineRule="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宋体" w:hAnsi="宋体" w:eastAsia="宋体"/>
                <w:color w:val="000000" w:themeColor="text1"/>
                <w:sz w:val="21"/>
                <w:szCs w:val="21"/>
                <w14:textFill>
                  <w14:solidFill>
                    <w14:schemeClr w14:val="tx1"/>
                  </w14:solidFill>
                </w14:textFill>
              </w:rPr>
              <w:t>根据节能报告，本项目单位产品综合能耗为</w:t>
            </w:r>
            <w:r>
              <w:rPr>
                <w:rFonts w:hint="eastAsia" w:ascii="TimesNewRomanPSMT" w:hAnsi="TimesNewRomanPSMT" w:eastAsia="宋体"/>
                <w:color w:val="000000" w:themeColor="text1"/>
                <w:sz w:val="21"/>
                <w:szCs w:val="21"/>
                <w:lang w:val="en-US" w:eastAsia="zh-CN"/>
                <w14:textFill>
                  <w14:solidFill>
                    <w14:schemeClr w14:val="tx1"/>
                  </w14:solidFill>
                </w14:textFill>
              </w:rPr>
              <w:t>172.95</w:t>
            </w:r>
            <w:r>
              <w:rPr>
                <w:rFonts w:hint="default" w:ascii="Times New Roman" w:hAnsi="Times New Roman" w:eastAsia="宋体" w:cs="Times New Roman"/>
                <w:color w:val="000000" w:themeColor="text1"/>
                <w:sz w:val="21"/>
                <w:szCs w:val="21"/>
                <w14:textFill>
                  <w14:solidFill>
                    <w14:schemeClr w14:val="tx1"/>
                  </w14:solidFill>
                </w14:textFill>
              </w:rPr>
              <w:t>kgce/万Ah</w:t>
            </w:r>
            <w:r>
              <w:rPr>
                <w:rFonts w:hint="eastAsia" w:ascii="宋体" w:hAnsi="宋体" w:eastAsia="宋体"/>
                <w:color w:val="000000" w:themeColor="text1"/>
                <w:sz w:val="21"/>
                <w:szCs w:val="21"/>
                <w14:textFill>
                  <w14:solidFill>
                    <w14:schemeClr w14:val="tx1"/>
                  </w14:solidFill>
                </w14:textFill>
              </w:rPr>
              <w:t>，</w:t>
            </w:r>
            <w:r>
              <w:rPr>
                <w:rFonts w:hint="eastAsia" w:ascii="宋体" w:hAnsi="宋体" w:eastAsia="宋体"/>
                <w:color w:val="FF0000"/>
                <w:sz w:val="21"/>
                <w:szCs w:val="21"/>
              </w:rPr>
              <w:t>达到</w:t>
            </w:r>
            <w:r>
              <w:rPr>
                <w:rFonts w:hint="eastAsia" w:ascii="TimesNewRomanPSMT" w:hAnsi="TimesNewRomanPSMT" w:eastAsia="TimesNewRomanPSMT"/>
                <w:color w:val="FF0000"/>
                <w:sz w:val="21"/>
                <w:szCs w:val="21"/>
              </w:rPr>
              <w:t>I</w:t>
            </w:r>
            <w:r>
              <w:rPr>
                <w:rFonts w:hint="eastAsia" w:ascii="宋体" w:hAnsi="宋体" w:eastAsia="宋体"/>
                <w:color w:val="FF0000"/>
                <w:sz w:val="21"/>
                <w:szCs w:val="21"/>
              </w:rPr>
              <w:t>级基准值</w:t>
            </w:r>
          </w:p>
        </w:tc>
        <w:tc>
          <w:tcPr>
            <w:tcW w:w="675" w:type="dxa"/>
            <w:vAlign w:val="center"/>
          </w:tcPr>
          <w:p w14:paraId="6FA71088">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15</w:t>
            </w:r>
          </w:p>
        </w:tc>
      </w:tr>
      <w:tr w14:paraId="257BED2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6" w:hRule="atLeast"/>
        </w:trPr>
        <w:tc>
          <w:tcPr>
            <w:tcW w:w="455" w:type="dxa"/>
            <w:vAlign w:val="center"/>
          </w:tcPr>
          <w:p w14:paraId="1B9BD773">
            <w:pPr>
              <w:pStyle w:val="70"/>
              <w:spacing w:line="240" w:lineRule="auto"/>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6</w:t>
            </w:r>
          </w:p>
        </w:tc>
        <w:tc>
          <w:tcPr>
            <w:tcW w:w="1011" w:type="dxa"/>
            <w:vMerge w:val="restart"/>
            <w:vAlign w:val="center"/>
          </w:tcPr>
          <w:p w14:paraId="0C0596CE">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资源综合利用指标</w:t>
            </w:r>
          </w:p>
        </w:tc>
        <w:tc>
          <w:tcPr>
            <w:tcW w:w="990" w:type="dxa"/>
            <w:vMerge w:val="restart"/>
            <w:vAlign w:val="center"/>
          </w:tcPr>
          <w:p w14:paraId="3795EB81">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0.1</w:t>
            </w:r>
          </w:p>
        </w:tc>
        <w:tc>
          <w:tcPr>
            <w:tcW w:w="1260" w:type="dxa"/>
            <w:vAlign w:val="center"/>
          </w:tcPr>
          <w:p w14:paraId="69868024">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水重复利用率</w:t>
            </w:r>
          </w:p>
        </w:tc>
        <w:tc>
          <w:tcPr>
            <w:tcW w:w="1290" w:type="dxa"/>
            <w:vAlign w:val="center"/>
          </w:tcPr>
          <w:p w14:paraId="36C7FBD1">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c>
          <w:tcPr>
            <w:tcW w:w="1740" w:type="dxa"/>
            <w:vAlign w:val="center"/>
          </w:tcPr>
          <w:p w14:paraId="3A91D005">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0.5</w:t>
            </w:r>
          </w:p>
        </w:tc>
        <w:tc>
          <w:tcPr>
            <w:tcW w:w="1365" w:type="dxa"/>
            <w:vAlign w:val="center"/>
          </w:tcPr>
          <w:p w14:paraId="18F40562">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80</w:t>
            </w:r>
          </w:p>
        </w:tc>
        <w:tc>
          <w:tcPr>
            <w:tcW w:w="1470" w:type="dxa"/>
            <w:vAlign w:val="center"/>
          </w:tcPr>
          <w:p w14:paraId="16FD6372">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75</w:t>
            </w:r>
          </w:p>
        </w:tc>
        <w:tc>
          <w:tcPr>
            <w:tcW w:w="1350" w:type="dxa"/>
            <w:vAlign w:val="center"/>
          </w:tcPr>
          <w:p w14:paraId="1A28E895">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70</w:t>
            </w:r>
          </w:p>
        </w:tc>
        <w:tc>
          <w:tcPr>
            <w:tcW w:w="2085" w:type="dxa"/>
            <w:vAlign w:val="center"/>
          </w:tcPr>
          <w:p w14:paraId="38ADDDCD">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项目废水经处理后外排</w:t>
            </w:r>
          </w:p>
        </w:tc>
        <w:tc>
          <w:tcPr>
            <w:tcW w:w="675" w:type="dxa"/>
            <w:vAlign w:val="center"/>
          </w:tcPr>
          <w:p w14:paraId="6A1BDE4D">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w:t>
            </w:r>
          </w:p>
        </w:tc>
      </w:tr>
      <w:tr w14:paraId="5CE1996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6" w:hRule="atLeast"/>
        </w:trPr>
        <w:tc>
          <w:tcPr>
            <w:tcW w:w="455" w:type="dxa"/>
            <w:vAlign w:val="center"/>
          </w:tcPr>
          <w:p w14:paraId="5FEAF43C">
            <w:pPr>
              <w:pStyle w:val="70"/>
              <w:spacing w:line="240" w:lineRule="auto"/>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7</w:t>
            </w:r>
          </w:p>
        </w:tc>
        <w:tc>
          <w:tcPr>
            <w:tcW w:w="1011" w:type="dxa"/>
            <w:vMerge w:val="continue"/>
            <w:vAlign w:val="center"/>
          </w:tcPr>
          <w:p w14:paraId="2153CC06">
            <w:pPr>
              <w:pStyle w:val="70"/>
              <w:spacing w:line="240" w:lineRule="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p>
        </w:tc>
        <w:tc>
          <w:tcPr>
            <w:tcW w:w="990" w:type="dxa"/>
            <w:vMerge w:val="continue"/>
            <w:vAlign w:val="center"/>
          </w:tcPr>
          <w:p w14:paraId="55434F7F">
            <w:pPr>
              <w:pStyle w:val="70"/>
              <w:spacing w:line="240" w:lineRule="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p>
        </w:tc>
        <w:tc>
          <w:tcPr>
            <w:tcW w:w="1260" w:type="dxa"/>
            <w:vAlign w:val="center"/>
          </w:tcPr>
          <w:p w14:paraId="5747C6CF">
            <w:pPr>
              <w:pStyle w:val="70"/>
              <w:spacing w:line="240" w:lineRule="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*NMP（N-甲基吡咯烷酮）回收率</w:t>
            </w:r>
          </w:p>
        </w:tc>
        <w:tc>
          <w:tcPr>
            <w:tcW w:w="1290" w:type="dxa"/>
            <w:vAlign w:val="center"/>
          </w:tcPr>
          <w:p w14:paraId="0279387C">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c>
          <w:tcPr>
            <w:tcW w:w="1740" w:type="dxa"/>
            <w:vAlign w:val="center"/>
          </w:tcPr>
          <w:p w14:paraId="78EDF7F6">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0.5</w:t>
            </w:r>
          </w:p>
        </w:tc>
        <w:tc>
          <w:tcPr>
            <w:tcW w:w="1365" w:type="dxa"/>
            <w:vAlign w:val="center"/>
          </w:tcPr>
          <w:p w14:paraId="7324A87D">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97</w:t>
            </w:r>
          </w:p>
        </w:tc>
        <w:tc>
          <w:tcPr>
            <w:tcW w:w="1470" w:type="dxa"/>
            <w:vAlign w:val="center"/>
          </w:tcPr>
          <w:p w14:paraId="2A9C8893">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95</w:t>
            </w:r>
          </w:p>
        </w:tc>
        <w:tc>
          <w:tcPr>
            <w:tcW w:w="1350" w:type="dxa"/>
            <w:vAlign w:val="center"/>
          </w:tcPr>
          <w:p w14:paraId="7426EBBC">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90</w:t>
            </w:r>
          </w:p>
        </w:tc>
        <w:tc>
          <w:tcPr>
            <w:tcW w:w="2085" w:type="dxa"/>
            <w:shd w:val="clear" w:color="auto" w:fill="auto"/>
            <w:vAlign w:val="center"/>
          </w:tcPr>
          <w:p w14:paraId="65976BAF">
            <w:pPr>
              <w:pStyle w:val="70"/>
              <w:spacing w:line="240" w:lineRule="auto"/>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ascii="宋体" w:hAnsi="宋体" w:eastAsia="宋体"/>
                <w:color w:val="000000" w:themeColor="text1"/>
                <w:sz w:val="21"/>
                <w:szCs w:val="21"/>
                <w14:textFill>
                  <w14:solidFill>
                    <w14:schemeClr w14:val="tx1"/>
                  </w14:solidFill>
                </w14:textFill>
              </w:rPr>
              <w:t>项目</w:t>
            </w:r>
            <w:r>
              <w:rPr>
                <w:rFonts w:hint="eastAsia" w:ascii="TimesNewRomanPSMT" w:hAnsi="TimesNewRomanPSMT" w:eastAsia="TimesNewRomanPSMT"/>
                <w:color w:val="000000" w:themeColor="text1"/>
                <w:sz w:val="21"/>
                <w:szCs w:val="21"/>
                <w14:textFill>
                  <w14:solidFill>
                    <w14:schemeClr w14:val="tx1"/>
                  </w14:solidFill>
                </w14:textFill>
              </w:rPr>
              <w:t>NMP</w:t>
            </w:r>
            <w:r>
              <w:rPr>
                <w:rFonts w:hint="eastAsia" w:ascii="宋体" w:hAnsi="宋体"/>
                <w:color w:val="000000" w:themeColor="text1"/>
                <w:sz w:val="21"/>
                <w:szCs w:val="21"/>
                <w:lang w:val="en-US" w:eastAsia="zh-CN"/>
                <w14:textFill>
                  <w14:solidFill>
                    <w14:schemeClr w14:val="tx1"/>
                  </w14:solidFill>
                </w14:textFill>
              </w:rPr>
              <w:t>经</w:t>
            </w:r>
            <w:r>
              <w:rPr>
                <w:rFonts w:hint="eastAsia" w:ascii="宋体" w:hAnsi="宋体" w:eastAsia="宋体"/>
                <w:color w:val="000000" w:themeColor="text1"/>
                <w:sz w:val="21"/>
                <w:szCs w:val="21"/>
                <w14:textFill>
                  <w14:solidFill>
                    <w14:schemeClr w14:val="tx1"/>
                  </w14:solidFill>
                </w14:textFill>
              </w:rPr>
              <w:t>涂布机排</w:t>
            </w:r>
            <w:r>
              <w:rPr>
                <w:rFonts w:hint="default" w:ascii="Times New Roman" w:hAnsi="Times New Roman" w:eastAsia="宋体" w:cs="Times New Roman"/>
                <w:color w:val="000000" w:themeColor="text1"/>
                <w:sz w:val="21"/>
                <w:szCs w:val="21"/>
                <w14:textFill>
                  <w14:solidFill>
                    <w14:schemeClr w14:val="tx1"/>
                  </w14:solidFill>
                </w14:textFill>
              </w:rPr>
              <w:t>风至转轮回收的总NMP回收率≥99%</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r>
              <w:rPr>
                <w:rFonts w:hint="eastAsia" w:ascii="宋体" w:hAnsi="宋体" w:eastAsia="宋体"/>
                <w:color w:val="000000" w:themeColor="text1"/>
                <w:sz w:val="21"/>
                <w:szCs w:val="21"/>
                <w14:textFill>
                  <w14:solidFill>
                    <w14:schemeClr w14:val="tx1"/>
                  </w14:solidFill>
                </w14:textFill>
              </w:rPr>
              <w:t>达到</w:t>
            </w:r>
            <w:r>
              <w:rPr>
                <w:rFonts w:hint="eastAsia" w:ascii="TimesNewRomanPSMT" w:hAnsi="TimesNewRomanPSMT" w:eastAsia="TimesNewRomanPSMT"/>
                <w:color w:val="000000" w:themeColor="text1"/>
                <w:sz w:val="21"/>
                <w:szCs w:val="21"/>
                <w14:textFill>
                  <w14:solidFill>
                    <w14:schemeClr w14:val="tx1"/>
                  </w14:solidFill>
                </w14:textFill>
              </w:rPr>
              <w:t>I</w:t>
            </w:r>
            <w:r>
              <w:rPr>
                <w:rFonts w:hint="eastAsia" w:ascii="宋体" w:hAnsi="宋体" w:eastAsia="宋体"/>
                <w:color w:val="000000" w:themeColor="text1"/>
                <w:sz w:val="21"/>
                <w:szCs w:val="21"/>
                <w14:textFill>
                  <w14:solidFill>
                    <w14:schemeClr w14:val="tx1"/>
                  </w14:solidFill>
                </w14:textFill>
              </w:rPr>
              <w:t>级基准值</w:t>
            </w:r>
          </w:p>
        </w:tc>
        <w:tc>
          <w:tcPr>
            <w:tcW w:w="675" w:type="dxa"/>
            <w:vAlign w:val="center"/>
          </w:tcPr>
          <w:p w14:paraId="64E5FA4A">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5</w:t>
            </w:r>
          </w:p>
        </w:tc>
      </w:tr>
      <w:tr w14:paraId="750AB57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6" w:hRule="atLeast"/>
        </w:trPr>
        <w:tc>
          <w:tcPr>
            <w:tcW w:w="455" w:type="dxa"/>
            <w:vAlign w:val="center"/>
          </w:tcPr>
          <w:p w14:paraId="5EFAE9FB">
            <w:pPr>
              <w:pStyle w:val="70"/>
              <w:spacing w:line="240" w:lineRule="auto"/>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8</w:t>
            </w:r>
          </w:p>
        </w:tc>
        <w:tc>
          <w:tcPr>
            <w:tcW w:w="1011" w:type="dxa"/>
            <w:vMerge w:val="restart"/>
            <w:vAlign w:val="center"/>
          </w:tcPr>
          <w:p w14:paraId="43DBE6B8">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污染物产生指标</w:t>
            </w:r>
          </w:p>
        </w:tc>
        <w:tc>
          <w:tcPr>
            <w:tcW w:w="990" w:type="dxa"/>
            <w:vMerge w:val="restart"/>
            <w:vAlign w:val="center"/>
          </w:tcPr>
          <w:p w14:paraId="3347CBB6">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0.2</w:t>
            </w:r>
          </w:p>
        </w:tc>
        <w:tc>
          <w:tcPr>
            <w:tcW w:w="1260" w:type="dxa"/>
            <w:vAlign w:val="center"/>
          </w:tcPr>
          <w:p w14:paraId="24518425">
            <w:pPr>
              <w:pStyle w:val="70"/>
              <w:spacing w:line="240" w:lineRule="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r>
              <w:rPr>
                <w:rFonts w:ascii="宋体" w:hAnsi="宋体" w:eastAsia="宋体" w:cs="宋体"/>
                <w:color w:val="000000" w:themeColor="text1"/>
                <w:sz w:val="21"/>
                <w:szCs w:val="21"/>
                <w14:textFill>
                  <w14:solidFill>
                    <w14:schemeClr w14:val="tx1"/>
                  </w14:solidFill>
                </w14:textFill>
              </w:rPr>
              <w:t>单位产品废水产生量</w:t>
            </w:r>
          </w:p>
        </w:tc>
        <w:tc>
          <w:tcPr>
            <w:tcW w:w="1290" w:type="dxa"/>
            <w:shd w:val="clear" w:color="auto" w:fill="auto"/>
            <w:vAlign w:val="center"/>
          </w:tcPr>
          <w:p w14:paraId="7768F662">
            <w:pPr>
              <w:pStyle w:val="70"/>
              <w:spacing w:line="240" w:lineRule="auto"/>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m</w:t>
            </w:r>
            <w:r>
              <w:rPr>
                <w:rFonts w:hint="default" w:ascii="Times New Roman" w:hAnsi="Times New Roman" w:eastAsia="宋体" w:cs="Times New Roman"/>
                <w:color w:val="000000" w:themeColor="text1"/>
                <w:sz w:val="21"/>
                <w:szCs w:val="21"/>
                <w:vertAlign w:val="superscript"/>
                <w14:textFill>
                  <w14:solidFill>
                    <w14:schemeClr w14:val="tx1"/>
                  </w14:solidFill>
                </w14:textFill>
              </w:rPr>
              <w:t>3</w:t>
            </w:r>
            <w:r>
              <w:rPr>
                <w:rFonts w:hint="default" w:ascii="Times New Roman" w:hAnsi="Times New Roman" w:eastAsia="宋体" w:cs="Times New Roman"/>
                <w:color w:val="000000" w:themeColor="text1"/>
                <w:sz w:val="21"/>
                <w:szCs w:val="21"/>
                <w14:textFill>
                  <w14:solidFill>
                    <w14:schemeClr w14:val="tx1"/>
                  </w14:solidFill>
                </w14:textFill>
              </w:rPr>
              <w:t>/万Ah</w:t>
            </w:r>
          </w:p>
        </w:tc>
        <w:tc>
          <w:tcPr>
            <w:tcW w:w="1740" w:type="dxa"/>
            <w:vAlign w:val="center"/>
          </w:tcPr>
          <w:p w14:paraId="3D6B5858">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0.5</w:t>
            </w:r>
          </w:p>
        </w:tc>
        <w:tc>
          <w:tcPr>
            <w:tcW w:w="1365" w:type="dxa"/>
            <w:vAlign w:val="center"/>
          </w:tcPr>
          <w:p w14:paraId="6538085A">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0.8</w:t>
            </w:r>
          </w:p>
        </w:tc>
        <w:tc>
          <w:tcPr>
            <w:tcW w:w="1470" w:type="dxa"/>
            <w:vAlign w:val="center"/>
          </w:tcPr>
          <w:p w14:paraId="44B29BFA">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1.0</w:t>
            </w:r>
          </w:p>
        </w:tc>
        <w:tc>
          <w:tcPr>
            <w:tcW w:w="1350" w:type="dxa"/>
            <w:vAlign w:val="center"/>
          </w:tcPr>
          <w:p w14:paraId="4EDB945A">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1.2</w:t>
            </w:r>
          </w:p>
        </w:tc>
        <w:tc>
          <w:tcPr>
            <w:tcW w:w="2085" w:type="dxa"/>
            <w:shd w:val="clear" w:color="auto" w:fill="auto"/>
            <w:vAlign w:val="center"/>
          </w:tcPr>
          <w:p w14:paraId="125CE134">
            <w:pPr>
              <w:pStyle w:val="70"/>
              <w:spacing w:line="240" w:lineRule="auto"/>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ascii="宋体" w:hAnsi="宋体" w:eastAsia="宋体"/>
                <w:color w:val="000000" w:themeColor="text1"/>
                <w:sz w:val="21"/>
                <w:szCs w:val="21"/>
                <w14:textFill>
                  <w14:solidFill>
                    <w14:schemeClr w14:val="tx1"/>
                  </w14:solidFill>
                </w14:textFill>
              </w:rPr>
              <w:t>本项目废水产生总量为</w:t>
            </w:r>
            <w:r>
              <w:rPr>
                <w:rFonts w:hint="eastAsia" w:ascii="TimesNewRomanPSMT" w:hAnsi="TimesNewRomanPSMT" w:eastAsia="宋体"/>
                <w:color w:val="000000" w:themeColor="text1"/>
                <w:sz w:val="21"/>
                <w:szCs w:val="21"/>
                <w:lang w:val="en-US" w:eastAsia="zh-CN"/>
                <w14:textFill>
                  <w14:solidFill>
                    <w14:schemeClr w14:val="tx1"/>
                  </w14:solidFill>
                </w14:textFill>
              </w:rPr>
              <w:t>3580.8</w:t>
            </w:r>
            <w:r>
              <w:rPr>
                <w:rFonts w:hint="eastAsia" w:ascii="TimesNewRomanPSMT" w:hAnsi="TimesNewRomanPSMT" w:eastAsia="TimesNewRomanPSMT"/>
                <w:color w:val="000000" w:themeColor="text1"/>
                <w:sz w:val="21"/>
                <w:szCs w:val="21"/>
                <w14:textFill>
                  <w14:solidFill>
                    <w14:schemeClr w14:val="tx1"/>
                  </w14:solidFill>
                </w14:textFill>
              </w:rPr>
              <w:t>m</w:t>
            </w:r>
            <w:r>
              <w:rPr>
                <w:rFonts w:hint="eastAsia" w:ascii="TimesNewRomanPSMT" w:hAnsi="TimesNewRomanPSMT" w:eastAsia="TimesNewRomanPSMT"/>
                <w:color w:val="000000" w:themeColor="text1"/>
                <w:sz w:val="21"/>
                <w:szCs w:val="21"/>
                <w:vertAlign w:val="superscript"/>
                <w14:textFill>
                  <w14:solidFill>
                    <w14:schemeClr w14:val="tx1"/>
                  </w14:solidFill>
                </w14:textFill>
              </w:rPr>
              <w:t>3</w:t>
            </w:r>
            <w:r>
              <w:rPr>
                <w:rFonts w:hint="eastAsia" w:ascii="TimesNewRomanPSMT" w:hAnsi="TimesNewRomanPSMT" w:eastAsia="TimesNewRomanPSMT"/>
                <w:color w:val="000000" w:themeColor="text1"/>
                <w:sz w:val="21"/>
                <w:szCs w:val="21"/>
                <w14:textFill>
                  <w14:solidFill>
                    <w14:schemeClr w14:val="tx1"/>
                  </w14:solidFill>
                </w14:textFill>
              </w:rPr>
              <w:t>/a</w:t>
            </w:r>
            <w:r>
              <w:rPr>
                <w:rFonts w:hint="eastAsia" w:ascii="宋体" w:hAnsi="宋体" w:eastAsia="宋体"/>
                <w:color w:val="000000" w:themeColor="text1"/>
                <w:sz w:val="21"/>
                <w:szCs w:val="21"/>
                <w14:textFill>
                  <w14:solidFill>
                    <w14:schemeClr w14:val="tx1"/>
                  </w14:solidFill>
                </w14:textFill>
              </w:rPr>
              <w:t>，单位产品废水产生量</w:t>
            </w:r>
            <w:r>
              <w:rPr>
                <w:rFonts w:hint="eastAsia" w:ascii="TimesNewRomanPSMT" w:hAnsi="TimesNewRomanPSMT" w:eastAsia="TimesNewRomanPSMT"/>
                <w:color w:val="000000" w:themeColor="text1"/>
                <w:sz w:val="21"/>
                <w:szCs w:val="21"/>
                <w14:textFill>
                  <w14:solidFill>
                    <w14:schemeClr w14:val="tx1"/>
                  </w14:solidFill>
                </w14:textFill>
              </w:rPr>
              <w:t>0.</w:t>
            </w:r>
            <w:r>
              <w:rPr>
                <w:rFonts w:hint="eastAsia" w:ascii="TimesNewRomanPSMT" w:hAnsi="TimesNewRomanPSMT" w:eastAsia="宋体"/>
                <w:color w:val="000000" w:themeColor="text1"/>
                <w:sz w:val="21"/>
                <w:szCs w:val="21"/>
                <w:lang w:val="en-US" w:eastAsia="zh-CN"/>
                <w14:textFill>
                  <w14:solidFill>
                    <w14:schemeClr w14:val="tx1"/>
                  </w14:solidFill>
                </w14:textFill>
              </w:rPr>
              <w:t>122</w:t>
            </w:r>
            <w:r>
              <w:rPr>
                <w:rFonts w:hint="eastAsia" w:ascii="TimesNewRomanPSMT" w:hAnsi="TimesNewRomanPSMT" w:eastAsia="TimesNewRomanPSMT"/>
                <w:color w:val="000000" w:themeColor="text1"/>
                <w:sz w:val="21"/>
                <w:szCs w:val="21"/>
                <w14:textFill>
                  <w14:solidFill>
                    <w14:schemeClr w14:val="tx1"/>
                  </w14:solidFill>
                </w14:textFill>
              </w:rPr>
              <w:t>m</w:t>
            </w:r>
            <w:r>
              <w:rPr>
                <w:rFonts w:hint="eastAsia" w:ascii="TimesNewRomanPSMT" w:hAnsi="TimesNewRomanPSMT" w:eastAsia="TimesNewRomanPSMT"/>
                <w:color w:val="000000" w:themeColor="text1"/>
                <w:sz w:val="21"/>
                <w:szCs w:val="21"/>
                <w:vertAlign w:val="superscript"/>
                <w14:textFill>
                  <w14:solidFill>
                    <w14:schemeClr w14:val="tx1"/>
                  </w14:solidFill>
                </w14:textFill>
              </w:rPr>
              <w:t>3</w:t>
            </w:r>
            <w:r>
              <w:rPr>
                <w:rFonts w:hint="eastAsia" w:ascii="TimesNewRomanPSMT" w:hAnsi="TimesNewRomanPSMT" w:eastAsia="TimesNewRomanPSMT"/>
                <w:color w:val="000000" w:themeColor="text1"/>
                <w:sz w:val="21"/>
                <w:szCs w:val="21"/>
                <w14:textFill>
                  <w14:solidFill>
                    <w14:schemeClr w14:val="tx1"/>
                  </w14:solidFill>
                </w14:textFill>
              </w:rPr>
              <w:t>/</w:t>
            </w:r>
            <w:r>
              <w:rPr>
                <w:rFonts w:hint="eastAsia" w:ascii="宋体" w:hAnsi="宋体" w:eastAsia="宋体"/>
                <w:color w:val="000000" w:themeColor="text1"/>
                <w:sz w:val="21"/>
                <w:szCs w:val="21"/>
                <w14:textFill>
                  <w14:solidFill>
                    <w14:schemeClr w14:val="tx1"/>
                  </w14:solidFill>
                </w14:textFill>
              </w:rPr>
              <w:t>万</w:t>
            </w:r>
            <w:r>
              <w:rPr>
                <w:rFonts w:hint="eastAsia" w:ascii="TimesNewRomanPSMT" w:hAnsi="TimesNewRomanPSMT" w:eastAsia="TimesNewRomanPSMT"/>
                <w:color w:val="000000" w:themeColor="text1"/>
                <w:sz w:val="21"/>
                <w:szCs w:val="21"/>
                <w14:textFill>
                  <w14:solidFill>
                    <w14:schemeClr w14:val="tx1"/>
                  </w14:solidFill>
                </w14:textFill>
              </w:rPr>
              <w:t>Ah</w:t>
            </w:r>
            <w:r>
              <w:rPr>
                <w:rFonts w:hint="eastAsia" w:cs="Times New Roman"/>
                <w:color w:val="000000" w:themeColor="text1"/>
                <w:sz w:val="21"/>
                <w:szCs w:val="21"/>
                <w:lang w:val="en-US" w:eastAsia="zh-CN"/>
                <w14:textFill>
                  <w14:solidFill>
                    <w14:schemeClr w14:val="tx1"/>
                  </w14:solidFill>
                </w14:textFill>
              </w:rPr>
              <w:t>，</w:t>
            </w:r>
            <w:r>
              <w:rPr>
                <w:rFonts w:hint="eastAsia" w:ascii="宋体" w:hAnsi="宋体" w:eastAsia="宋体"/>
                <w:color w:val="000000" w:themeColor="text1"/>
                <w:sz w:val="21"/>
                <w:szCs w:val="21"/>
                <w14:textFill>
                  <w14:solidFill>
                    <w14:schemeClr w14:val="tx1"/>
                  </w14:solidFill>
                </w14:textFill>
              </w:rPr>
              <w:t>达到</w:t>
            </w:r>
            <w:r>
              <w:rPr>
                <w:rFonts w:hint="eastAsia" w:ascii="TimesNewRomanPSMT" w:hAnsi="TimesNewRomanPSMT" w:eastAsia="TimesNewRomanPSMT"/>
                <w:color w:val="000000" w:themeColor="text1"/>
                <w:sz w:val="21"/>
                <w:szCs w:val="21"/>
                <w14:textFill>
                  <w14:solidFill>
                    <w14:schemeClr w14:val="tx1"/>
                  </w14:solidFill>
                </w14:textFill>
              </w:rPr>
              <w:t>I</w:t>
            </w:r>
            <w:r>
              <w:rPr>
                <w:rFonts w:hint="eastAsia" w:ascii="宋体" w:hAnsi="宋体" w:eastAsia="宋体"/>
                <w:color w:val="000000" w:themeColor="text1"/>
                <w:sz w:val="21"/>
                <w:szCs w:val="21"/>
                <w14:textFill>
                  <w14:solidFill>
                    <w14:schemeClr w14:val="tx1"/>
                  </w14:solidFill>
                </w14:textFill>
              </w:rPr>
              <w:t>级基准值</w:t>
            </w:r>
          </w:p>
        </w:tc>
        <w:tc>
          <w:tcPr>
            <w:tcW w:w="675" w:type="dxa"/>
            <w:vAlign w:val="center"/>
          </w:tcPr>
          <w:p w14:paraId="1A683C40">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10</w:t>
            </w:r>
          </w:p>
        </w:tc>
      </w:tr>
      <w:tr w14:paraId="1D73483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6" w:hRule="atLeast"/>
        </w:trPr>
        <w:tc>
          <w:tcPr>
            <w:tcW w:w="455" w:type="dxa"/>
            <w:vAlign w:val="center"/>
          </w:tcPr>
          <w:p w14:paraId="0A2645F9">
            <w:pPr>
              <w:pStyle w:val="70"/>
              <w:spacing w:line="240" w:lineRule="auto"/>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9</w:t>
            </w:r>
          </w:p>
        </w:tc>
        <w:tc>
          <w:tcPr>
            <w:tcW w:w="1011" w:type="dxa"/>
            <w:vMerge w:val="continue"/>
            <w:vAlign w:val="center"/>
          </w:tcPr>
          <w:p w14:paraId="269A3838">
            <w:pPr>
              <w:pStyle w:val="70"/>
              <w:spacing w:line="240" w:lineRule="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p>
        </w:tc>
        <w:tc>
          <w:tcPr>
            <w:tcW w:w="990" w:type="dxa"/>
            <w:vMerge w:val="continue"/>
            <w:vAlign w:val="center"/>
          </w:tcPr>
          <w:p w14:paraId="7F3AC296">
            <w:pPr>
              <w:pStyle w:val="70"/>
              <w:spacing w:line="240" w:lineRule="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p>
        </w:tc>
        <w:tc>
          <w:tcPr>
            <w:tcW w:w="1260" w:type="dxa"/>
            <w:vAlign w:val="center"/>
          </w:tcPr>
          <w:p w14:paraId="520C9FFC">
            <w:pPr>
              <w:pStyle w:val="70"/>
              <w:spacing w:line="240" w:lineRule="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r>
              <w:rPr>
                <w:rFonts w:ascii="宋体" w:hAnsi="宋体" w:eastAsia="宋体" w:cs="宋体"/>
                <w:color w:val="000000" w:themeColor="text1"/>
                <w:sz w:val="21"/>
                <w:szCs w:val="21"/>
                <w14:textFill>
                  <w14:solidFill>
                    <w14:schemeClr w14:val="tx1"/>
                  </w14:solidFill>
                </w14:textFill>
              </w:rPr>
              <w:t>单位</w:t>
            </w:r>
            <w:r>
              <w:rPr>
                <w:rFonts w:hint="default" w:ascii="Times New Roman" w:hAnsi="Times New Roman" w:eastAsia="宋体" w:cs="Times New Roman"/>
                <w:color w:val="000000" w:themeColor="text1"/>
                <w:sz w:val="21"/>
                <w:szCs w:val="21"/>
                <w14:textFill>
                  <w14:solidFill>
                    <w14:schemeClr w14:val="tx1"/>
                  </w14:solidFill>
                </w14:textFill>
              </w:rPr>
              <w:t>产品COD</w:t>
            </w:r>
            <w:r>
              <w:rPr>
                <w:rFonts w:hint="default" w:ascii="Times New Roman" w:hAnsi="Times New Roman" w:eastAsia="宋体" w:cs="Times New Roman"/>
                <w:color w:val="000000" w:themeColor="text1"/>
                <w:sz w:val="21"/>
                <w:szCs w:val="21"/>
                <w:vertAlign w:val="subscript"/>
                <w14:textFill>
                  <w14:solidFill>
                    <w14:schemeClr w14:val="tx1"/>
                  </w14:solidFill>
                </w14:textFill>
              </w:rPr>
              <w:t>Cr</w:t>
            </w:r>
            <w:r>
              <w:rPr>
                <w:rFonts w:ascii="宋体" w:hAnsi="宋体" w:eastAsia="宋体" w:cs="宋体"/>
                <w:color w:val="000000" w:themeColor="text1"/>
                <w:sz w:val="21"/>
                <w:szCs w:val="21"/>
                <w14:textFill>
                  <w14:solidFill>
                    <w14:schemeClr w14:val="tx1"/>
                  </w14:solidFill>
                </w14:textFill>
              </w:rPr>
              <w:t>产生量</w:t>
            </w:r>
          </w:p>
        </w:tc>
        <w:tc>
          <w:tcPr>
            <w:tcW w:w="1290" w:type="dxa"/>
            <w:shd w:val="clear" w:color="auto" w:fill="auto"/>
            <w:vAlign w:val="center"/>
          </w:tcPr>
          <w:p w14:paraId="2CB4AE3F">
            <w:pPr>
              <w:pStyle w:val="70"/>
              <w:spacing w:line="240" w:lineRule="auto"/>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kg/万Ah</w:t>
            </w:r>
          </w:p>
        </w:tc>
        <w:tc>
          <w:tcPr>
            <w:tcW w:w="1740" w:type="dxa"/>
            <w:vAlign w:val="center"/>
          </w:tcPr>
          <w:p w14:paraId="4AF6E718">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0.25</w:t>
            </w:r>
          </w:p>
        </w:tc>
        <w:tc>
          <w:tcPr>
            <w:tcW w:w="1365" w:type="dxa"/>
            <w:vAlign w:val="center"/>
          </w:tcPr>
          <w:p w14:paraId="1E8818DF">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0.2</w:t>
            </w:r>
          </w:p>
        </w:tc>
        <w:tc>
          <w:tcPr>
            <w:tcW w:w="1470" w:type="dxa"/>
            <w:vAlign w:val="center"/>
          </w:tcPr>
          <w:p w14:paraId="78B794D1">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0.25</w:t>
            </w:r>
          </w:p>
        </w:tc>
        <w:tc>
          <w:tcPr>
            <w:tcW w:w="1350" w:type="dxa"/>
            <w:vAlign w:val="center"/>
          </w:tcPr>
          <w:p w14:paraId="510420E4">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0.3</w:t>
            </w:r>
          </w:p>
        </w:tc>
        <w:tc>
          <w:tcPr>
            <w:tcW w:w="2085" w:type="dxa"/>
            <w:shd w:val="clear" w:color="auto" w:fill="auto"/>
            <w:vAlign w:val="center"/>
          </w:tcPr>
          <w:p w14:paraId="5D74A2D8">
            <w:pPr>
              <w:pStyle w:val="70"/>
              <w:spacing w:line="240" w:lineRule="auto"/>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ascii="宋体" w:hAnsi="宋体" w:eastAsia="宋体"/>
                <w:color w:val="000000" w:themeColor="text1"/>
                <w:sz w:val="21"/>
                <w:szCs w:val="21"/>
                <w14:textFill>
                  <w14:solidFill>
                    <w14:schemeClr w14:val="tx1"/>
                  </w14:solidFill>
                </w14:textFill>
              </w:rPr>
              <w:t>项目</w:t>
            </w:r>
            <w:r>
              <w:rPr>
                <w:rFonts w:hint="eastAsia" w:ascii="TimesNewRomanPSMT" w:hAnsi="TimesNewRomanPSMT" w:eastAsia="TimesNewRomanPSMT"/>
                <w:color w:val="000000" w:themeColor="text1"/>
                <w:sz w:val="21"/>
                <w:szCs w:val="21"/>
                <w14:textFill>
                  <w14:solidFill>
                    <w14:schemeClr w14:val="tx1"/>
                  </w14:solidFill>
                </w14:textFill>
              </w:rPr>
              <w:t>CODCr</w:t>
            </w:r>
            <w:r>
              <w:rPr>
                <w:rFonts w:hint="eastAsia" w:ascii="宋体" w:hAnsi="宋体" w:eastAsia="宋体"/>
                <w:color w:val="000000" w:themeColor="text1"/>
                <w:sz w:val="21"/>
                <w:szCs w:val="21"/>
                <w14:textFill>
                  <w14:solidFill>
                    <w14:schemeClr w14:val="tx1"/>
                  </w14:solidFill>
                </w14:textFill>
              </w:rPr>
              <w:t>产生总量</w:t>
            </w:r>
            <w:r>
              <w:rPr>
                <w:rFonts w:hint="eastAsia" w:ascii="Times New Roman" w:hAnsi="Times New Roman" w:cs="Times New Roman"/>
                <w:color w:val="000000" w:themeColor="text1"/>
                <w:sz w:val="21"/>
                <w:szCs w:val="21"/>
                <w:lang w:val="en-US" w:eastAsia="zh-CN"/>
                <w14:textFill>
                  <w14:solidFill>
                    <w14:schemeClr w14:val="tx1"/>
                  </w14:solidFill>
                </w14:textFill>
              </w:rPr>
              <w:t>1.201</w:t>
            </w:r>
            <w:r>
              <w:rPr>
                <w:rFonts w:hint="default" w:ascii="Times New Roman" w:hAnsi="Times New Roman" w:eastAsia="TimesNewRomanPSMT" w:cs="Times New Roman"/>
                <w:color w:val="000000" w:themeColor="text1"/>
                <w:sz w:val="21"/>
                <w:szCs w:val="21"/>
                <w14:textFill>
                  <w14:solidFill>
                    <w14:schemeClr w14:val="tx1"/>
                  </w14:solidFill>
                </w14:textFill>
              </w:rPr>
              <w:t>t/a</w:t>
            </w:r>
            <w:r>
              <w:rPr>
                <w:rFonts w:hint="eastAsia" w:ascii="宋体" w:hAnsi="宋体" w:eastAsia="宋体"/>
                <w:color w:val="000000" w:themeColor="text1"/>
                <w:sz w:val="21"/>
                <w:szCs w:val="21"/>
                <w14:textFill>
                  <w14:solidFill>
                    <w14:schemeClr w14:val="tx1"/>
                  </w14:solidFill>
                </w14:textFill>
              </w:rPr>
              <w:t>，则单位产品</w:t>
            </w:r>
            <w:r>
              <w:rPr>
                <w:rFonts w:hint="eastAsia" w:ascii="TimesNewRomanPSMT" w:hAnsi="TimesNewRomanPSMT" w:eastAsia="TimesNewRomanPSMT"/>
                <w:color w:val="000000" w:themeColor="text1"/>
                <w:sz w:val="21"/>
                <w:szCs w:val="21"/>
                <w14:textFill>
                  <w14:solidFill>
                    <w14:schemeClr w14:val="tx1"/>
                  </w14:solidFill>
                </w14:textFill>
              </w:rPr>
              <w:t>CODCr</w:t>
            </w:r>
            <w:r>
              <w:rPr>
                <w:rFonts w:hint="eastAsia" w:ascii="宋体" w:hAnsi="宋体" w:eastAsia="宋体"/>
                <w:color w:val="000000" w:themeColor="text1"/>
                <w:sz w:val="21"/>
                <w:szCs w:val="21"/>
                <w14:textFill>
                  <w14:solidFill>
                    <w14:schemeClr w14:val="tx1"/>
                  </w14:solidFill>
                </w14:textFill>
              </w:rPr>
              <w:t>产生量</w:t>
            </w:r>
            <w:r>
              <w:rPr>
                <w:rFonts w:hint="eastAsia" w:ascii="宋体" w:hAnsi="宋体"/>
                <w:color w:val="000000" w:themeColor="text1"/>
                <w:sz w:val="21"/>
                <w:szCs w:val="21"/>
                <w:lang w:val="en-US" w:eastAsia="zh-CN"/>
                <w14:textFill>
                  <w14:solidFill>
                    <w14:schemeClr w14:val="tx1"/>
                  </w14:solidFill>
                </w14:textFill>
              </w:rPr>
              <w:t>约为</w:t>
            </w:r>
            <w:r>
              <w:rPr>
                <w:rFonts w:hint="eastAsia" w:ascii="TimesNewRomanPSMT" w:hAnsi="TimesNewRomanPSMT" w:eastAsia="宋体"/>
                <w:color w:val="000000" w:themeColor="text1"/>
                <w:sz w:val="21"/>
                <w:szCs w:val="21"/>
                <w:lang w:val="en-US" w:eastAsia="zh-CN"/>
                <w14:textFill>
                  <w14:solidFill>
                    <w14:schemeClr w14:val="tx1"/>
                  </w14:solidFill>
                </w14:textFill>
              </w:rPr>
              <w:t>0.041</w:t>
            </w:r>
            <w:r>
              <w:rPr>
                <w:rFonts w:hint="eastAsia" w:ascii="TimesNewRomanPSMT" w:hAnsi="TimesNewRomanPSMT" w:eastAsia="TimesNewRomanPSMT"/>
                <w:color w:val="000000" w:themeColor="text1"/>
                <w:sz w:val="21"/>
                <w:szCs w:val="21"/>
                <w14:textFill>
                  <w14:solidFill>
                    <w14:schemeClr w14:val="tx1"/>
                  </w14:solidFill>
                </w14:textFill>
              </w:rPr>
              <w:t>kg/</w:t>
            </w:r>
            <w:r>
              <w:rPr>
                <w:rFonts w:hint="eastAsia" w:ascii="宋体" w:hAnsi="宋体" w:eastAsia="宋体"/>
                <w:color w:val="000000" w:themeColor="text1"/>
                <w:sz w:val="21"/>
                <w:szCs w:val="21"/>
                <w14:textFill>
                  <w14:solidFill>
                    <w14:schemeClr w14:val="tx1"/>
                  </w14:solidFill>
                </w14:textFill>
              </w:rPr>
              <w:t>万</w:t>
            </w:r>
            <w:r>
              <w:rPr>
                <w:rFonts w:hint="eastAsia" w:ascii="TimesNewRomanPSMT" w:hAnsi="TimesNewRomanPSMT" w:eastAsia="TimesNewRomanPSMT"/>
                <w:color w:val="000000" w:themeColor="text1"/>
                <w:sz w:val="21"/>
                <w:szCs w:val="21"/>
                <w14:textFill>
                  <w14:solidFill>
                    <w14:schemeClr w14:val="tx1"/>
                  </w14:solidFill>
                </w14:textFill>
              </w:rPr>
              <w:t>Ah</w:t>
            </w:r>
            <w:r>
              <w:rPr>
                <w:rFonts w:hint="eastAsia" w:ascii="宋体" w:hAnsi="宋体" w:eastAsia="宋体"/>
                <w:color w:val="000000" w:themeColor="text1"/>
                <w:sz w:val="21"/>
                <w:szCs w:val="21"/>
                <w14:textFill>
                  <w14:solidFill>
                    <w14:schemeClr w14:val="tx1"/>
                  </w14:solidFill>
                </w14:textFill>
              </w:rPr>
              <w:t>，达到</w:t>
            </w:r>
            <w:r>
              <w:rPr>
                <w:rFonts w:hint="eastAsia" w:ascii="TimesNewRomanPSMT" w:hAnsi="TimesNewRomanPSMT" w:eastAsia="TimesNewRomanPSMT"/>
                <w:color w:val="000000" w:themeColor="text1"/>
                <w:sz w:val="21"/>
                <w:szCs w:val="21"/>
                <w14:textFill>
                  <w14:solidFill>
                    <w14:schemeClr w14:val="tx1"/>
                  </w14:solidFill>
                </w14:textFill>
              </w:rPr>
              <w:t>Ⅰ</w:t>
            </w:r>
            <w:r>
              <w:rPr>
                <w:rFonts w:hint="eastAsia" w:ascii="宋体" w:hAnsi="宋体" w:eastAsia="宋体"/>
                <w:color w:val="000000" w:themeColor="text1"/>
                <w:sz w:val="21"/>
                <w:szCs w:val="21"/>
                <w14:textFill>
                  <w14:solidFill>
                    <w14:schemeClr w14:val="tx1"/>
                  </w14:solidFill>
                </w14:textFill>
              </w:rPr>
              <w:t>级基准值</w:t>
            </w:r>
          </w:p>
        </w:tc>
        <w:tc>
          <w:tcPr>
            <w:tcW w:w="675" w:type="dxa"/>
            <w:vAlign w:val="center"/>
          </w:tcPr>
          <w:p w14:paraId="0E983A88">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5</w:t>
            </w:r>
          </w:p>
        </w:tc>
      </w:tr>
      <w:tr w14:paraId="35FED99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38" w:hRule="atLeast"/>
        </w:trPr>
        <w:tc>
          <w:tcPr>
            <w:tcW w:w="455" w:type="dxa"/>
            <w:vAlign w:val="center"/>
          </w:tcPr>
          <w:p w14:paraId="50E1FDC8">
            <w:pPr>
              <w:pStyle w:val="70"/>
              <w:spacing w:line="240" w:lineRule="auto"/>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10</w:t>
            </w:r>
          </w:p>
        </w:tc>
        <w:tc>
          <w:tcPr>
            <w:tcW w:w="1011" w:type="dxa"/>
            <w:vMerge w:val="continue"/>
            <w:vAlign w:val="center"/>
          </w:tcPr>
          <w:p w14:paraId="3C7CEADD">
            <w:pPr>
              <w:pStyle w:val="70"/>
              <w:spacing w:line="240" w:lineRule="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p>
        </w:tc>
        <w:tc>
          <w:tcPr>
            <w:tcW w:w="990" w:type="dxa"/>
            <w:vMerge w:val="continue"/>
            <w:vAlign w:val="center"/>
          </w:tcPr>
          <w:p w14:paraId="1E013903">
            <w:pPr>
              <w:pStyle w:val="70"/>
              <w:spacing w:line="240" w:lineRule="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p>
        </w:tc>
        <w:tc>
          <w:tcPr>
            <w:tcW w:w="1260" w:type="dxa"/>
            <w:vAlign w:val="center"/>
          </w:tcPr>
          <w:p w14:paraId="0B6459EA">
            <w:pPr>
              <w:pStyle w:val="70"/>
              <w:spacing w:line="240" w:lineRule="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r>
              <w:rPr>
                <w:rFonts w:ascii="宋体" w:hAnsi="宋体" w:eastAsia="宋体" w:cs="宋体"/>
                <w:color w:val="000000" w:themeColor="text1"/>
                <w:sz w:val="21"/>
                <w:szCs w:val="21"/>
                <w14:textFill>
                  <w14:solidFill>
                    <w14:schemeClr w14:val="tx1"/>
                  </w14:solidFill>
                </w14:textFill>
              </w:rPr>
              <w:t>总钴产生量</w:t>
            </w:r>
          </w:p>
        </w:tc>
        <w:tc>
          <w:tcPr>
            <w:tcW w:w="1290" w:type="dxa"/>
            <w:vAlign w:val="center"/>
          </w:tcPr>
          <w:p w14:paraId="5890E8B4">
            <w:pPr>
              <w:pStyle w:val="70"/>
              <w:spacing w:line="240" w:lineRule="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g/万Ah</w:t>
            </w:r>
          </w:p>
        </w:tc>
        <w:tc>
          <w:tcPr>
            <w:tcW w:w="1740" w:type="dxa"/>
            <w:vAlign w:val="center"/>
          </w:tcPr>
          <w:p w14:paraId="7EA4D418">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0.25</w:t>
            </w:r>
          </w:p>
        </w:tc>
        <w:tc>
          <w:tcPr>
            <w:tcW w:w="1365" w:type="dxa"/>
            <w:vAlign w:val="center"/>
          </w:tcPr>
          <w:p w14:paraId="2871C5B4">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0.8</w:t>
            </w:r>
          </w:p>
        </w:tc>
        <w:tc>
          <w:tcPr>
            <w:tcW w:w="1470" w:type="dxa"/>
            <w:vAlign w:val="center"/>
          </w:tcPr>
          <w:p w14:paraId="4F735EF7">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1.0</w:t>
            </w:r>
          </w:p>
        </w:tc>
        <w:tc>
          <w:tcPr>
            <w:tcW w:w="1350" w:type="dxa"/>
            <w:vAlign w:val="center"/>
          </w:tcPr>
          <w:p w14:paraId="0085BCC0">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1.2</w:t>
            </w:r>
          </w:p>
        </w:tc>
        <w:tc>
          <w:tcPr>
            <w:tcW w:w="2085" w:type="dxa"/>
            <w:vAlign w:val="center"/>
          </w:tcPr>
          <w:p w14:paraId="291C2B76">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NewRomanPSMT" w:hAnsi="TimesNewRomanPSMT" w:eastAsia="TimesNewRomanPSMT"/>
                <w:color w:val="000000" w:themeColor="text1"/>
                <w:sz w:val="21"/>
                <w:szCs w:val="21"/>
                <w14:textFill>
                  <w14:solidFill>
                    <w14:schemeClr w14:val="tx1"/>
                  </w14:solidFill>
                </w14:textFill>
              </w:rPr>
              <w:t>项目</w:t>
            </w:r>
            <w:r>
              <w:rPr>
                <w:rFonts w:hint="eastAsia" w:ascii="TimesNewRomanPSMT" w:hAnsi="TimesNewRomanPSMT" w:eastAsia="宋体"/>
                <w:color w:val="000000" w:themeColor="text1"/>
                <w:sz w:val="21"/>
                <w:szCs w:val="21"/>
                <w:lang w:val="en-US" w:eastAsia="zh-CN"/>
                <w14:textFill>
                  <w14:solidFill>
                    <w14:schemeClr w14:val="tx1"/>
                  </w14:solidFill>
                </w14:textFill>
              </w:rPr>
              <w:t>总钴产生量0.00012t/a，则总钴产生量约为0.004</w:t>
            </w:r>
            <w:r>
              <w:rPr>
                <w:rFonts w:hint="default" w:ascii="Times New Roman" w:hAnsi="Times New Roman" w:eastAsia="宋体" w:cs="Times New Roman"/>
                <w:color w:val="000000" w:themeColor="text1"/>
                <w:sz w:val="21"/>
                <w:szCs w:val="21"/>
                <w14:textFill>
                  <w14:solidFill>
                    <w14:schemeClr w14:val="tx1"/>
                  </w14:solidFill>
                </w14:textFill>
              </w:rPr>
              <w:t>g/万Ah</w:t>
            </w:r>
            <w:r>
              <w:rPr>
                <w:rFonts w:hint="eastAsia" w:ascii="Times New Roman" w:hAnsi="Times New Roman" w:eastAsia="宋体" w:cs="Times New Roman"/>
                <w:color w:val="000000" w:themeColor="text1"/>
                <w:sz w:val="21"/>
                <w:szCs w:val="21"/>
                <w:lang w:eastAsia="zh-CN"/>
                <w14:textFill>
                  <w14:solidFill>
                    <w14:schemeClr w14:val="tx1"/>
                  </w14:solidFill>
                </w14:textFill>
              </w:rPr>
              <w:t>，</w:t>
            </w:r>
            <w:r>
              <w:rPr>
                <w:rFonts w:hint="eastAsia" w:ascii="宋体" w:hAnsi="宋体" w:eastAsia="宋体"/>
                <w:color w:val="000000" w:themeColor="text1"/>
                <w:sz w:val="21"/>
                <w:szCs w:val="21"/>
                <w14:textFill>
                  <w14:solidFill>
                    <w14:schemeClr w14:val="tx1"/>
                  </w14:solidFill>
                </w14:textFill>
              </w:rPr>
              <w:t>达到</w:t>
            </w:r>
            <w:r>
              <w:rPr>
                <w:rFonts w:hint="eastAsia" w:ascii="TimesNewRomanPSMT" w:hAnsi="TimesNewRomanPSMT" w:eastAsia="TimesNewRomanPSMT"/>
                <w:color w:val="000000" w:themeColor="text1"/>
                <w:sz w:val="21"/>
                <w:szCs w:val="21"/>
                <w14:textFill>
                  <w14:solidFill>
                    <w14:schemeClr w14:val="tx1"/>
                  </w14:solidFill>
                </w14:textFill>
              </w:rPr>
              <w:t>Ⅰ</w:t>
            </w:r>
            <w:r>
              <w:rPr>
                <w:rFonts w:hint="eastAsia" w:ascii="宋体" w:hAnsi="宋体" w:eastAsia="宋体"/>
                <w:color w:val="000000" w:themeColor="text1"/>
                <w:sz w:val="21"/>
                <w:szCs w:val="21"/>
                <w14:textFill>
                  <w14:solidFill>
                    <w14:schemeClr w14:val="tx1"/>
                  </w14:solidFill>
                </w14:textFill>
              </w:rPr>
              <w:t>级基准值</w:t>
            </w:r>
          </w:p>
        </w:tc>
        <w:tc>
          <w:tcPr>
            <w:tcW w:w="675" w:type="dxa"/>
            <w:vAlign w:val="center"/>
          </w:tcPr>
          <w:p w14:paraId="77F82833">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5</w:t>
            </w:r>
          </w:p>
        </w:tc>
      </w:tr>
      <w:tr w14:paraId="7D379C1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6" w:hRule="atLeast"/>
        </w:trPr>
        <w:tc>
          <w:tcPr>
            <w:tcW w:w="455" w:type="dxa"/>
            <w:vAlign w:val="center"/>
          </w:tcPr>
          <w:p w14:paraId="1AF58377">
            <w:pPr>
              <w:pStyle w:val="70"/>
              <w:spacing w:line="240" w:lineRule="auto"/>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11</w:t>
            </w:r>
          </w:p>
        </w:tc>
        <w:tc>
          <w:tcPr>
            <w:tcW w:w="1011" w:type="dxa"/>
            <w:vAlign w:val="center"/>
          </w:tcPr>
          <w:p w14:paraId="43C08633">
            <w:pPr>
              <w:pStyle w:val="70"/>
              <w:spacing w:line="240" w:lineRule="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ascii="宋体" w:hAnsi="宋体" w:eastAsia="宋体" w:cs="宋体"/>
                <w:color w:val="000000" w:themeColor="text1"/>
                <w:sz w:val="21"/>
                <w:szCs w:val="21"/>
                <w14:textFill>
                  <w14:solidFill>
                    <w14:schemeClr w14:val="tx1"/>
                  </w14:solidFill>
                </w14:textFill>
              </w:rPr>
              <w:t>清洁生产管理指标</w:t>
            </w:r>
          </w:p>
        </w:tc>
        <w:tc>
          <w:tcPr>
            <w:tcW w:w="990" w:type="dxa"/>
            <w:vAlign w:val="center"/>
          </w:tcPr>
          <w:p w14:paraId="1A807CB4">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0.2</w:t>
            </w:r>
          </w:p>
        </w:tc>
        <w:tc>
          <w:tcPr>
            <w:tcW w:w="10560" w:type="dxa"/>
            <w:gridSpan w:val="7"/>
            <w:vAlign w:val="center"/>
          </w:tcPr>
          <w:p w14:paraId="0E6EDAB4">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参考表1-8</w:t>
            </w:r>
          </w:p>
        </w:tc>
        <w:tc>
          <w:tcPr>
            <w:tcW w:w="675" w:type="dxa"/>
            <w:vAlign w:val="center"/>
          </w:tcPr>
          <w:p w14:paraId="6B6B55EF">
            <w:pPr>
              <w:pStyle w:val="70"/>
              <w:spacing w:line="240" w:lineRule="auto"/>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r>
      <w:tr w14:paraId="5187661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455" w:type="dxa"/>
            <w:vAlign w:val="center"/>
          </w:tcPr>
          <w:p w14:paraId="6F4DC844">
            <w:pPr>
              <w:pStyle w:val="70"/>
              <w:spacing w:line="240" w:lineRule="auto"/>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12</w:t>
            </w:r>
          </w:p>
        </w:tc>
        <w:tc>
          <w:tcPr>
            <w:tcW w:w="12561" w:type="dxa"/>
            <w:gridSpan w:val="9"/>
            <w:vAlign w:val="center"/>
          </w:tcPr>
          <w:p w14:paraId="4F72BF5F">
            <w:pPr>
              <w:pStyle w:val="70"/>
              <w:spacing w:line="240" w:lineRule="auto"/>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合计</w:t>
            </w:r>
          </w:p>
        </w:tc>
        <w:tc>
          <w:tcPr>
            <w:tcW w:w="675" w:type="dxa"/>
            <w:vAlign w:val="center"/>
          </w:tcPr>
          <w:p w14:paraId="44F634B2">
            <w:pPr>
              <w:pStyle w:val="70"/>
              <w:spacing w:line="240" w:lineRule="auto"/>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75</w:t>
            </w:r>
          </w:p>
        </w:tc>
      </w:tr>
      <w:tr w14:paraId="6927E1B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6" w:hRule="atLeast"/>
        </w:trPr>
        <w:tc>
          <w:tcPr>
            <w:tcW w:w="13691" w:type="dxa"/>
            <w:gridSpan w:val="11"/>
            <w:vAlign w:val="center"/>
          </w:tcPr>
          <w:p w14:paraId="2C573F6E">
            <w:pPr>
              <w:pStyle w:val="70"/>
              <w:spacing w:line="240" w:lineRule="auto"/>
              <w:jc w:val="both"/>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注1：带</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r>
              <w:rPr>
                <w:rFonts w:hint="eastAsia" w:cs="Times New Roman"/>
                <w:color w:val="000000" w:themeColor="text1"/>
                <w:sz w:val="21"/>
                <w:szCs w:val="21"/>
                <w:lang w:val="en-US" w:eastAsia="zh-CN"/>
                <w14:textFill>
                  <w14:solidFill>
                    <w14:schemeClr w14:val="tx1"/>
                  </w14:solidFill>
                </w14:textFill>
              </w:rPr>
              <w:t>的指标为限定性指标。</w:t>
            </w:r>
          </w:p>
        </w:tc>
      </w:tr>
    </w:tbl>
    <w:p w14:paraId="2FCD0942">
      <w:pPr>
        <w:pStyle w:val="68"/>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lang w:val="en-US" w:eastAsia="zh-CN"/>
          <w14:textFill>
            <w14:solidFill>
              <w14:schemeClr w14:val="tx1"/>
            </w14:solidFill>
          </w14:textFill>
        </w:rPr>
        <w:t>表1-</w:t>
      </w:r>
      <w:r>
        <w:rPr>
          <w:rFonts w:hint="eastAsia" w:eastAsia="宋体" w:cs="Times New Roman"/>
          <w:b/>
          <w:bCs/>
          <w:color w:val="000000" w:themeColor="text1"/>
          <w:sz w:val="21"/>
          <w:szCs w:val="21"/>
          <w:lang w:val="en-US" w:eastAsia="zh-CN"/>
          <w14:textFill>
            <w14:solidFill>
              <w14:schemeClr w14:val="tx1"/>
            </w14:solidFill>
          </w14:textFill>
        </w:rPr>
        <w:t>8</w:t>
      </w:r>
      <w:r>
        <w:rPr>
          <w:rFonts w:hint="eastAsia" w:ascii="Times New Roman" w:hAnsi="Times New Roman" w:eastAsia="宋体" w:cs="Times New Roman"/>
          <w:b/>
          <w:bCs/>
          <w:color w:val="000000" w:themeColor="text1"/>
          <w:sz w:val="21"/>
          <w:szCs w:val="21"/>
          <w:lang w:val="en-US" w:eastAsia="zh-CN"/>
          <w14:textFill>
            <w14:solidFill>
              <w14:schemeClr w14:val="tx1"/>
            </w14:solidFill>
          </w14:textFill>
        </w:rPr>
        <w:t xml:space="preserve"> 电池企业清洁生产管理指标项目基准值一览表</w:t>
      </w:r>
    </w:p>
    <w:tbl>
      <w:tblPr>
        <w:tblStyle w:val="42"/>
        <w:tblW w:w="13992" w:type="dxa"/>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50"/>
        <w:gridCol w:w="1462"/>
        <w:gridCol w:w="975"/>
        <w:gridCol w:w="940"/>
        <w:gridCol w:w="1838"/>
        <w:gridCol w:w="2059"/>
        <w:gridCol w:w="1517"/>
        <w:gridCol w:w="1517"/>
        <w:gridCol w:w="1870"/>
        <w:gridCol w:w="1164"/>
      </w:tblGrid>
      <w:tr w14:paraId="1F6F88E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50" w:type="dxa"/>
            <w:vAlign w:val="center"/>
          </w:tcPr>
          <w:p w14:paraId="70707277">
            <w:pPr>
              <w:pStyle w:val="70"/>
              <w:spacing w:line="240" w:lineRule="auto"/>
              <w:rPr>
                <w:rFonts w:hint="eastAsia" w:cs="Times New Roman"/>
                <w:b/>
                <w:color w:val="000000" w:themeColor="text1"/>
                <w:sz w:val="21"/>
                <w:szCs w:val="21"/>
                <w:lang w:val="en-US" w:eastAsia="zh-CN"/>
                <w14:textFill>
                  <w14:solidFill>
                    <w14:schemeClr w14:val="tx1"/>
                  </w14:solidFill>
                </w14:textFill>
              </w:rPr>
            </w:pPr>
            <w:r>
              <w:rPr>
                <w:rFonts w:hint="eastAsia" w:cs="Times New Roman"/>
                <w:b/>
                <w:color w:val="000000" w:themeColor="text1"/>
                <w:sz w:val="21"/>
                <w:szCs w:val="21"/>
                <w:lang w:val="en-US" w:eastAsia="zh-CN"/>
                <w14:textFill>
                  <w14:solidFill>
                    <w14:schemeClr w14:val="tx1"/>
                  </w14:solidFill>
                </w14:textFill>
              </w:rPr>
              <w:t>序号</w:t>
            </w:r>
          </w:p>
        </w:tc>
        <w:tc>
          <w:tcPr>
            <w:tcW w:w="1462" w:type="dxa"/>
            <w:vAlign w:val="center"/>
          </w:tcPr>
          <w:p w14:paraId="332FEC00">
            <w:pPr>
              <w:pStyle w:val="70"/>
              <w:spacing w:line="240" w:lineRule="auto"/>
              <w:rPr>
                <w:rFonts w:hint="default" w:cs="Times New Roman"/>
                <w:b/>
                <w:color w:val="000000" w:themeColor="text1"/>
                <w:sz w:val="21"/>
                <w:szCs w:val="21"/>
                <w:lang w:val="en-US" w:eastAsia="zh-CN"/>
                <w14:textFill>
                  <w14:solidFill>
                    <w14:schemeClr w14:val="tx1"/>
                  </w14:solidFill>
                </w14:textFill>
              </w:rPr>
            </w:pPr>
            <w:r>
              <w:rPr>
                <w:rFonts w:hint="eastAsia" w:cs="Times New Roman"/>
                <w:b/>
                <w:color w:val="000000" w:themeColor="text1"/>
                <w:sz w:val="21"/>
                <w:szCs w:val="21"/>
                <w:lang w:val="en-US" w:eastAsia="zh-CN"/>
                <w14:textFill>
                  <w14:solidFill>
                    <w14:schemeClr w14:val="tx1"/>
                  </w14:solidFill>
                </w14:textFill>
              </w:rPr>
              <w:t>一级指标</w:t>
            </w:r>
          </w:p>
        </w:tc>
        <w:tc>
          <w:tcPr>
            <w:tcW w:w="1915" w:type="dxa"/>
            <w:gridSpan w:val="2"/>
            <w:vAlign w:val="center"/>
          </w:tcPr>
          <w:p w14:paraId="761EB14F">
            <w:pPr>
              <w:pStyle w:val="70"/>
              <w:spacing w:line="240" w:lineRule="auto"/>
              <w:rPr>
                <w:rFonts w:hint="default" w:cs="Times New Roman"/>
                <w:b/>
                <w:color w:val="000000" w:themeColor="text1"/>
                <w:sz w:val="21"/>
                <w:szCs w:val="21"/>
                <w:lang w:val="en-US" w:eastAsia="zh-CN"/>
                <w14:textFill>
                  <w14:solidFill>
                    <w14:schemeClr w14:val="tx1"/>
                  </w14:solidFill>
                </w14:textFill>
              </w:rPr>
            </w:pPr>
            <w:r>
              <w:rPr>
                <w:rFonts w:hint="eastAsia" w:cs="Times New Roman"/>
                <w:b/>
                <w:color w:val="000000" w:themeColor="text1"/>
                <w:sz w:val="21"/>
                <w:szCs w:val="21"/>
                <w:lang w:val="en-US" w:eastAsia="zh-CN"/>
                <w14:textFill>
                  <w14:solidFill>
                    <w14:schemeClr w14:val="tx1"/>
                  </w14:solidFill>
                </w14:textFill>
              </w:rPr>
              <w:t>二级指标</w:t>
            </w:r>
          </w:p>
        </w:tc>
        <w:tc>
          <w:tcPr>
            <w:tcW w:w="1838" w:type="dxa"/>
            <w:vAlign w:val="center"/>
          </w:tcPr>
          <w:p w14:paraId="7A535BD0">
            <w:pPr>
              <w:pStyle w:val="70"/>
              <w:spacing w:line="240" w:lineRule="auto"/>
              <w:rPr>
                <w:rFonts w:hint="default" w:cs="Times New Roman"/>
                <w:b/>
                <w:color w:val="000000" w:themeColor="text1"/>
                <w:sz w:val="21"/>
                <w:szCs w:val="21"/>
                <w:lang w:val="en-US" w:eastAsia="zh-CN"/>
                <w14:textFill>
                  <w14:solidFill>
                    <w14:schemeClr w14:val="tx1"/>
                  </w14:solidFill>
                </w14:textFill>
              </w:rPr>
            </w:pPr>
            <w:r>
              <w:rPr>
                <w:rFonts w:hint="eastAsia" w:cs="Times New Roman"/>
                <w:b/>
                <w:color w:val="000000" w:themeColor="text1"/>
                <w:sz w:val="21"/>
                <w:szCs w:val="21"/>
                <w:lang w:val="en-US" w:eastAsia="zh-CN"/>
                <w14:textFill>
                  <w14:solidFill>
                    <w14:schemeClr w14:val="tx1"/>
                  </w14:solidFill>
                </w14:textFill>
              </w:rPr>
              <w:t>二级指标权重</w:t>
            </w:r>
          </w:p>
        </w:tc>
        <w:tc>
          <w:tcPr>
            <w:tcW w:w="2059" w:type="dxa"/>
            <w:vAlign w:val="center"/>
          </w:tcPr>
          <w:p w14:paraId="7F421284">
            <w:pPr>
              <w:pStyle w:val="70"/>
              <w:spacing w:line="240" w:lineRule="auto"/>
              <w:rPr>
                <w:rFonts w:hint="eastAsia" w:cs="Times New Roman"/>
                <w:b/>
                <w:color w:val="000000" w:themeColor="text1"/>
                <w:sz w:val="21"/>
                <w:szCs w:val="21"/>
                <w:lang w:val="en-US" w:eastAsia="zh-CN"/>
                <w14:textFill>
                  <w14:solidFill>
                    <w14:schemeClr w14:val="tx1"/>
                  </w14:solidFill>
                </w14:textFill>
              </w:rPr>
            </w:pPr>
            <w:r>
              <w:rPr>
                <w:rFonts w:hint="eastAsia" w:cs="Times New Roman"/>
                <w:b/>
                <w:color w:val="000000" w:themeColor="text1"/>
                <w:sz w:val="21"/>
                <w:szCs w:val="21"/>
                <w:lang w:val="en-US" w:eastAsia="zh-CN"/>
                <w14:textFill>
                  <w14:solidFill>
                    <w14:schemeClr w14:val="tx1"/>
                  </w14:solidFill>
                </w14:textFill>
              </w:rPr>
              <w:t>Ⅰ级基准值</w:t>
            </w:r>
          </w:p>
        </w:tc>
        <w:tc>
          <w:tcPr>
            <w:tcW w:w="1517" w:type="dxa"/>
            <w:vAlign w:val="center"/>
          </w:tcPr>
          <w:p w14:paraId="257AEB8F">
            <w:pPr>
              <w:pStyle w:val="70"/>
              <w:spacing w:line="240" w:lineRule="auto"/>
              <w:rPr>
                <w:rFonts w:hint="eastAsia" w:cs="Times New Roman"/>
                <w:b/>
                <w:color w:val="000000" w:themeColor="text1"/>
                <w:sz w:val="21"/>
                <w:szCs w:val="21"/>
                <w:lang w:val="en-US" w:eastAsia="zh-CN"/>
                <w14:textFill>
                  <w14:solidFill>
                    <w14:schemeClr w14:val="tx1"/>
                  </w14:solidFill>
                </w14:textFill>
              </w:rPr>
            </w:pPr>
            <w:r>
              <w:rPr>
                <w:rFonts w:hint="eastAsia" w:cs="Times New Roman"/>
                <w:b/>
                <w:color w:val="000000" w:themeColor="text1"/>
                <w:sz w:val="21"/>
                <w:szCs w:val="21"/>
                <w:lang w:val="en-US" w:eastAsia="zh-CN"/>
                <w14:textFill>
                  <w14:solidFill>
                    <w14:schemeClr w14:val="tx1"/>
                  </w14:solidFill>
                </w14:textFill>
              </w:rPr>
              <w:t>Ⅱ级基准值</w:t>
            </w:r>
          </w:p>
        </w:tc>
        <w:tc>
          <w:tcPr>
            <w:tcW w:w="1517" w:type="dxa"/>
            <w:vAlign w:val="center"/>
          </w:tcPr>
          <w:p w14:paraId="0808AD76">
            <w:pPr>
              <w:pStyle w:val="70"/>
              <w:spacing w:line="240" w:lineRule="auto"/>
              <w:rPr>
                <w:rFonts w:hint="eastAsia" w:cs="Times New Roman"/>
                <w:b/>
                <w:color w:val="000000" w:themeColor="text1"/>
                <w:sz w:val="21"/>
                <w:szCs w:val="21"/>
                <w:lang w:val="en-US" w:eastAsia="zh-CN"/>
                <w14:textFill>
                  <w14:solidFill>
                    <w14:schemeClr w14:val="tx1"/>
                  </w14:solidFill>
                </w14:textFill>
              </w:rPr>
            </w:pPr>
            <w:r>
              <w:rPr>
                <w:rFonts w:hint="eastAsia" w:cs="Times New Roman"/>
                <w:b/>
                <w:color w:val="000000" w:themeColor="text1"/>
                <w:sz w:val="21"/>
                <w:szCs w:val="21"/>
                <w:lang w:val="en-US" w:eastAsia="zh-CN"/>
                <w14:textFill>
                  <w14:solidFill>
                    <w14:schemeClr w14:val="tx1"/>
                  </w14:solidFill>
                </w14:textFill>
              </w:rPr>
              <w:t>Ⅲ级基准值</w:t>
            </w:r>
          </w:p>
        </w:tc>
        <w:tc>
          <w:tcPr>
            <w:tcW w:w="1870" w:type="dxa"/>
            <w:vAlign w:val="center"/>
          </w:tcPr>
          <w:p w14:paraId="3C7860E1">
            <w:pPr>
              <w:pStyle w:val="70"/>
              <w:spacing w:line="240" w:lineRule="auto"/>
              <w:rPr>
                <w:rFonts w:hint="eastAsia" w:cs="Times New Roman"/>
                <w:b/>
                <w:color w:val="000000" w:themeColor="text1"/>
                <w:sz w:val="21"/>
                <w:szCs w:val="21"/>
                <w:lang w:val="en-US" w:eastAsia="zh-CN"/>
                <w14:textFill>
                  <w14:solidFill>
                    <w14:schemeClr w14:val="tx1"/>
                  </w14:solidFill>
                </w14:textFill>
              </w:rPr>
            </w:pPr>
            <w:r>
              <w:rPr>
                <w:rFonts w:hint="eastAsia" w:cs="Times New Roman"/>
                <w:b/>
                <w:color w:val="000000" w:themeColor="text1"/>
                <w:sz w:val="21"/>
                <w:szCs w:val="21"/>
                <w:lang w:val="en-US" w:eastAsia="zh-CN"/>
                <w14:textFill>
                  <w14:solidFill>
                    <w14:schemeClr w14:val="tx1"/>
                  </w14:solidFill>
                </w14:textFill>
              </w:rPr>
              <w:t>本项目情况</w:t>
            </w:r>
          </w:p>
        </w:tc>
        <w:tc>
          <w:tcPr>
            <w:tcW w:w="1164" w:type="dxa"/>
            <w:vAlign w:val="center"/>
          </w:tcPr>
          <w:p w14:paraId="09FA7DE2">
            <w:pPr>
              <w:pStyle w:val="70"/>
              <w:spacing w:line="240" w:lineRule="auto"/>
              <w:rPr>
                <w:snapToGrid w:val="0"/>
                <w:color w:val="000000" w:themeColor="text1"/>
                <w:sz w:val="21"/>
                <w:szCs w:val="21"/>
                <w:vertAlign w:val="baseline"/>
                <w14:textFill>
                  <w14:solidFill>
                    <w14:schemeClr w14:val="tx1"/>
                  </w14:solidFill>
                </w14:textFill>
              </w:rPr>
            </w:pPr>
            <w:r>
              <w:rPr>
                <w:rFonts w:hint="eastAsia" w:cs="Times New Roman"/>
                <w:b/>
                <w:color w:val="000000" w:themeColor="text1"/>
                <w:sz w:val="21"/>
                <w:szCs w:val="21"/>
                <w:lang w:val="en-US" w:eastAsia="zh-CN"/>
                <w14:textFill>
                  <w14:solidFill>
                    <w14:schemeClr w14:val="tx1"/>
                  </w14:solidFill>
                </w14:textFill>
              </w:rPr>
              <w:t>得分</w:t>
            </w:r>
          </w:p>
        </w:tc>
      </w:tr>
      <w:tr w14:paraId="64A9AA2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650" w:type="dxa"/>
            <w:vAlign w:val="center"/>
          </w:tcPr>
          <w:p w14:paraId="5478BC03">
            <w:pPr>
              <w:pStyle w:val="68"/>
              <w:spacing w:line="240" w:lineRule="auto"/>
              <w:rPr>
                <w:rFonts w:hint="eastAsia" w:eastAsia="黑体"/>
                <w:snapToGrid w:val="0"/>
                <w:color w:val="000000" w:themeColor="text1"/>
                <w:sz w:val="21"/>
                <w:szCs w:val="21"/>
                <w:vertAlign w:val="baseline"/>
                <w:lang w:val="en-US" w:eastAsia="zh-CN"/>
                <w14:textFill>
                  <w14:solidFill>
                    <w14:schemeClr w14:val="tx1"/>
                  </w14:solidFill>
                </w14:textFill>
              </w:rPr>
            </w:pPr>
            <w:r>
              <w:rPr>
                <w:rFonts w:hint="eastAsia"/>
                <w:snapToGrid w:val="0"/>
                <w:color w:val="000000" w:themeColor="text1"/>
                <w:sz w:val="21"/>
                <w:szCs w:val="21"/>
                <w:vertAlign w:val="baseline"/>
                <w:lang w:val="en-US" w:eastAsia="zh-CN"/>
                <w14:textFill>
                  <w14:solidFill>
                    <w14:schemeClr w14:val="tx1"/>
                  </w14:solidFill>
                </w14:textFill>
              </w:rPr>
              <w:t>1</w:t>
            </w:r>
          </w:p>
        </w:tc>
        <w:tc>
          <w:tcPr>
            <w:tcW w:w="1462" w:type="dxa"/>
            <w:vMerge w:val="restart"/>
            <w:vAlign w:val="center"/>
          </w:tcPr>
          <w:p w14:paraId="5B117321">
            <w:pPr>
              <w:pStyle w:val="68"/>
              <w:spacing w:line="240" w:lineRule="auto"/>
              <w:rPr>
                <w:rFonts w:hint="eastAsia" w:ascii="宋体" w:hAnsi="宋体" w:eastAsia="宋体" w:cs="宋体"/>
                <w:snapToGrid w:val="0"/>
                <w:color w:val="000000" w:themeColor="text1"/>
                <w:sz w:val="21"/>
                <w:szCs w:val="21"/>
                <w:vertAlign w:val="baseline"/>
                <w:lang w:val="en-US" w:eastAsia="zh-CN"/>
                <w14:textFill>
                  <w14:solidFill>
                    <w14:schemeClr w14:val="tx1"/>
                  </w14:solidFill>
                </w14:textFill>
              </w:rPr>
            </w:pPr>
            <w:r>
              <w:rPr>
                <w:rFonts w:hint="eastAsia" w:ascii="宋体" w:hAnsi="宋体" w:eastAsia="宋体" w:cs="宋体"/>
                <w:snapToGrid w:val="0"/>
                <w:color w:val="000000" w:themeColor="text1"/>
                <w:sz w:val="21"/>
                <w:szCs w:val="21"/>
                <w:vertAlign w:val="baseline"/>
                <w:lang w:val="en-US" w:eastAsia="zh-CN"/>
                <w14:textFill>
                  <w14:solidFill>
                    <w14:schemeClr w14:val="tx1"/>
                  </w14:solidFill>
                </w14:textFill>
              </w:rPr>
              <w:t>清洁生产管理指标</w:t>
            </w:r>
          </w:p>
        </w:tc>
        <w:tc>
          <w:tcPr>
            <w:tcW w:w="1915" w:type="dxa"/>
            <w:gridSpan w:val="2"/>
            <w:vAlign w:val="center"/>
          </w:tcPr>
          <w:p w14:paraId="5BE86AAF">
            <w:pPr>
              <w:pStyle w:val="68"/>
              <w:spacing w:line="240" w:lineRule="auto"/>
              <w:rPr>
                <w:rFonts w:hint="eastAsia" w:ascii="宋体" w:hAnsi="宋体" w:eastAsia="宋体" w:cs="宋体"/>
                <w:snapToGrid w:val="0"/>
                <w:color w:val="000000" w:themeColor="text1"/>
                <w:sz w:val="21"/>
                <w:szCs w:val="21"/>
                <w:vertAlign w:val="baseline"/>
                <w:lang w:val="en-US" w:eastAsia="zh-CN"/>
                <w14:textFill>
                  <w14:solidFill>
                    <w14:schemeClr w14:val="tx1"/>
                  </w14:solidFill>
                </w14:textFill>
              </w:rPr>
            </w:pPr>
            <w:r>
              <w:rPr>
                <w:rFonts w:hint="eastAsia" w:ascii="宋体" w:hAnsi="宋体" w:eastAsia="宋体" w:cs="宋体"/>
                <w:snapToGrid w:val="0"/>
                <w:color w:val="000000" w:themeColor="text1"/>
                <w:sz w:val="21"/>
                <w:szCs w:val="21"/>
                <w:vertAlign w:val="baseline"/>
                <w:lang w:val="en-US" w:eastAsia="zh-CN"/>
                <w14:textFill>
                  <w14:solidFill>
                    <w14:schemeClr w14:val="tx1"/>
                  </w14:solidFill>
                </w14:textFill>
              </w:rPr>
              <w:t>*环境法律法规标准执行情况</w:t>
            </w:r>
          </w:p>
        </w:tc>
        <w:tc>
          <w:tcPr>
            <w:tcW w:w="1838" w:type="dxa"/>
            <w:vAlign w:val="center"/>
          </w:tcPr>
          <w:p w14:paraId="0CB9C02B">
            <w:pPr>
              <w:pStyle w:val="68"/>
              <w:spacing w:line="240" w:lineRule="auto"/>
              <w:rPr>
                <w:rFonts w:hint="default" w:ascii="Times New Roman" w:hAnsi="Times New Roman" w:eastAsia="宋体" w:cs="Times New Roman"/>
                <w:snapToGrid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snapToGrid w:val="0"/>
                <w:color w:val="000000" w:themeColor="text1"/>
                <w:sz w:val="21"/>
                <w:szCs w:val="21"/>
                <w:vertAlign w:val="baseline"/>
                <w:lang w:val="en-US" w:eastAsia="zh-CN"/>
                <w14:textFill>
                  <w14:solidFill>
                    <w14:schemeClr w14:val="tx1"/>
                  </w14:solidFill>
                </w14:textFill>
              </w:rPr>
              <w:t>0.1</w:t>
            </w:r>
          </w:p>
        </w:tc>
        <w:tc>
          <w:tcPr>
            <w:tcW w:w="5093" w:type="dxa"/>
            <w:gridSpan w:val="3"/>
            <w:vAlign w:val="center"/>
          </w:tcPr>
          <w:p w14:paraId="4554E603">
            <w:pPr>
              <w:pStyle w:val="68"/>
              <w:spacing w:line="240" w:lineRule="auto"/>
              <w:rPr>
                <w:rFonts w:hint="eastAsia" w:ascii="宋体" w:hAnsi="宋体" w:eastAsia="宋体" w:cs="宋体"/>
                <w:snapToGrid w:val="0"/>
                <w:color w:val="000000" w:themeColor="text1"/>
                <w:sz w:val="21"/>
                <w:szCs w:val="21"/>
                <w:vertAlign w:val="baseline"/>
                <w:lang w:val="en-US" w:eastAsia="zh-CN"/>
                <w14:textFill>
                  <w14:solidFill>
                    <w14:schemeClr w14:val="tx1"/>
                  </w14:solidFill>
                </w14:textFill>
              </w:rPr>
            </w:pPr>
            <w:r>
              <w:rPr>
                <w:rFonts w:hint="eastAsia" w:ascii="宋体" w:hAnsi="宋体" w:eastAsia="宋体" w:cs="宋体"/>
                <w:snapToGrid w:val="0"/>
                <w:color w:val="000000" w:themeColor="text1"/>
                <w:sz w:val="21"/>
                <w:szCs w:val="21"/>
                <w:vertAlign w:val="baseline"/>
                <w:lang w:val="en-US" w:eastAsia="zh-CN"/>
                <w14:textFill>
                  <w14:solidFill>
                    <w14:schemeClr w14:val="tx1"/>
                  </w14:solidFill>
                </w14:textFill>
              </w:rPr>
              <w:t>符合国家和地方有关环境法律、法规，废水、废气、噪声等污染物排放符合国家和地方排放标准；污染物排放应达到国家和地方污染物排放总量控制指标和排污许可证管理要求</w:t>
            </w:r>
          </w:p>
        </w:tc>
        <w:tc>
          <w:tcPr>
            <w:tcW w:w="1870" w:type="dxa"/>
            <w:vAlign w:val="center"/>
          </w:tcPr>
          <w:p w14:paraId="7793DC89">
            <w:pPr>
              <w:pStyle w:val="68"/>
              <w:spacing w:line="240" w:lineRule="auto"/>
              <w:rPr>
                <w:rFonts w:hint="eastAsia" w:eastAsia="宋体"/>
                <w:snapToGrid w:val="0"/>
                <w:color w:val="000000" w:themeColor="text1"/>
                <w:sz w:val="21"/>
                <w:szCs w:val="21"/>
                <w:vertAlign w:val="baseline"/>
                <w:lang w:val="en-US" w:eastAsia="zh-CN"/>
                <w14:textFill>
                  <w14:solidFill>
                    <w14:schemeClr w14:val="tx1"/>
                  </w14:solidFill>
                </w14:textFill>
              </w:rPr>
            </w:pPr>
            <w:r>
              <w:rPr>
                <w:rFonts w:hint="eastAsia" w:ascii="宋体" w:hAnsi="宋体" w:eastAsia="宋体"/>
                <w:color w:val="000000" w:themeColor="text1"/>
                <w:sz w:val="21"/>
                <w:szCs w:val="21"/>
                <w14:textFill>
                  <w14:solidFill>
                    <w14:schemeClr w14:val="tx1"/>
                  </w14:solidFill>
                </w14:textFill>
              </w:rPr>
              <w:t>项目符合相关法律法规及标准要求</w:t>
            </w:r>
            <w:r>
              <w:rPr>
                <w:rFonts w:hint="eastAsia" w:ascii="宋体" w:hAnsi="宋体" w:eastAsia="宋体"/>
                <w:color w:val="000000" w:themeColor="text1"/>
                <w:sz w:val="21"/>
                <w:szCs w:val="21"/>
                <w:lang w:eastAsia="zh-CN"/>
                <w14:textFill>
                  <w14:solidFill>
                    <w14:schemeClr w14:val="tx1"/>
                  </w14:solidFill>
                </w14:textFill>
              </w:rPr>
              <w:t>，</w:t>
            </w:r>
            <w:r>
              <w:rPr>
                <w:rFonts w:hint="eastAsia" w:ascii="宋体" w:hAnsi="宋体" w:eastAsia="宋体"/>
                <w:color w:val="000000" w:themeColor="text1"/>
                <w:sz w:val="21"/>
                <w:szCs w:val="21"/>
                <w14:textFill>
                  <w14:solidFill>
                    <w14:schemeClr w14:val="tx1"/>
                  </w14:solidFill>
                </w14:textFill>
              </w:rPr>
              <w:t>达到</w:t>
            </w:r>
            <w:r>
              <w:rPr>
                <w:rFonts w:hint="eastAsia" w:ascii="TimesNewRomanPSMT" w:hAnsi="TimesNewRomanPSMT" w:eastAsia="TimesNewRomanPSMT"/>
                <w:color w:val="000000" w:themeColor="text1"/>
                <w:sz w:val="21"/>
                <w:szCs w:val="21"/>
                <w14:textFill>
                  <w14:solidFill>
                    <w14:schemeClr w14:val="tx1"/>
                  </w14:solidFill>
                </w14:textFill>
              </w:rPr>
              <w:t>Ⅰ</w:t>
            </w:r>
            <w:r>
              <w:rPr>
                <w:rFonts w:hint="eastAsia" w:ascii="宋体" w:hAnsi="宋体" w:eastAsia="宋体"/>
                <w:color w:val="000000" w:themeColor="text1"/>
                <w:sz w:val="21"/>
                <w:szCs w:val="21"/>
                <w14:textFill>
                  <w14:solidFill>
                    <w14:schemeClr w14:val="tx1"/>
                  </w14:solidFill>
                </w14:textFill>
              </w:rPr>
              <w:t>级基准值</w:t>
            </w:r>
          </w:p>
        </w:tc>
        <w:tc>
          <w:tcPr>
            <w:tcW w:w="1164" w:type="dxa"/>
            <w:vAlign w:val="center"/>
          </w:tcPr>
          <w:p w14:paraId="0DEFBC09">
            <w:pPr>
              <w:pStyle w:val="68"/>
              <w:spacing w:line="240" w:lineRule="auto"/>
              <w:rPr>
                <w:rFonts w:hint="eastAsia" w:eastAsia="黑体"/>
                <w:snapToGrid w:val="0"/>
                <w:color w:val="000000" w:themeColor="text1"/>
                <w:sz w:val="21"/>
                <w:szCs w:val="21"/>
                <w:vertAlign w:val="baseline"/>
                <w:lang w:val="en-US" w:eastAsia="zh-CN"/>
                <w14:textFill>
                  <w14:solidFill>
                    <w14:schemeClr w14:val="tx1"/>
                  </w14:solidFill>
                </w14:textFill>
              </w:rPr>
            </w:pPr>
            <w:r>
              <w:rPr>
                <w:rFonts w:hint="eastAsia"/>
                <w:snapToGrid w:val="0"/>
                <w:color w:val="000000" w:themeColor="text1"/>
                <w:sz w:val="21"/>
                <w:szCs w:val="21"/>
                <w:vertAlign w:val="baseline"/>
                <w:lang w:val="en-US" w:eastAsia="zh-CN"/>
                <w14:textFill>
                  <w14:solidFill>
                    <w14:schemeClr w14:val="tx1"/>
                  </w14:solidFill>
                </w14:textFill>
              </w:rPr>
              <w:t>2</w:t>
            </w:r>
          </w:p>
        </w:tc>
      </w:tr>
      <w:tr w14:paraId="39C4BAB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50" w:type="dxa"/>
            <w:vAlign w:val="center"/>
          </w:tcPr>
          <w:p w14:paraId="555D8048">
            <w:pPr>
              <w:pStyle w:val="68"/>
              <w:spacing w:line="240" w:lineRule="auto"/>
              <w:rPr>
                <w:rFonts w:hint="eastAsia" w:eastAsia="黑体"/>
                <w:snapToGrid w:val="0"/>
                <w:color w:val="000000" w:themeColor="text1"/>
                <w:sz w:val="21"/>
                <w:szCs w:val="21"/>
                <w:vertAlign w:val="baseline"/>
                <w:lang w:val="en-US" w:eastAsia="zh-CN"/>
                <w14:textFill>
                  <w14:solidFill>
                    <w14:schemeClr w14:val="tx1"/>
                  </w14:solidFill>
                </w14:textFill>
              </w:rPr>
            </w:pPr>
            <w:r>
              <w:rPr>
                <w:rFonts w:hint="eastAsia"/>
                <w:snapToGrid w:val="0"/>
                <w:color w:val="000000" w:themeColor="text1"/>
                <w:sz w:val="21"/>
                <w:szCs w:val="21"/>
                <w:vertAlign w:val="baseline"/>
                <w:lang w:val="en-US" w:eastAsia="zh-CN"/>
                <w14:textFill>
                  <w14:solidFill>
                    <w14:schemeClr w14:val="tx1"/>
                  </w14:solidFill>
                </w14:textFill>
              </w:rPr>
              <w:t>2</w:t>
            </w:r>
          </w:p>
        </w:tc>
        <w:tc>
          <w:tcPr>
            <w:tcW w:w="1462" w:type="dxa"/>
            <w:vMerge w:val="continue"/>
            <w:vAlign w:val="center"/>
          </w:tcPr>
          <w:p w14:paraId="7E2AC4E5">
            <w:pPr>
              <w:pStyle w:val="68"/>
              <w:spacing w:line="240" w:lineRule="auto"/>
              <w:rPr>
                <w:rFonts w:hint="eastAsia" w:ascii="宋体" w:hAnsi="宋体" w:eastAsia="宋体" w:cs="宋体"/>
                <w:snapToGrid w:val="0"/>
                <w:color w:val="000000" w:themeColor="text1"/>
                <w:sz w:val="21"/>
                <w:szCs w:val="21"/>
                <w:vertAlign w:val="baseline"/>
                <w:lang w:val="en-US" w:eastAsia="zh-CN"/>
                <w14:textFill>
                  <w14:solidFill>
                    <w14:schemeClr w14:val="tx1"/>
                  </w14:solidFill>
                </w14:textFill>
              </w:rPr>
            </w:pPr>
          </w:p>
        </w:tc>
        <w:tc>
          <w:tcPr>
            <w:tcW w:w="1915" w:type="dxa"/>
            <w:gridSpan w:val="2"/>
            <w:vAlign w:val="center"/>
          </w:tcPr>
          <w:p w14:paraId="3F1C10F5">
            <w:pPr>
              <w:pStyle w:val="68"/>
              <w:spacing w:line="240" w:lineRule="auto"/>
              <w:rPr>
                <w:rFonts w:hint="eastAsia" w:ascii="宋体" w:hAnsi="宋体" w:eastAsia="宋体" w:cs="宋体"/>
                <w:snapToGrid w:val="0"/>
                <w:color w:val="000000" w:themeColor="text1"/>
                <w:sz w:val="21"/>
                <w:szCs w:val="21"/>
                <w:vertAlign w:val="baseline"/>
                <w:lang w:val="en-US" w:eastAsia="zh-CN"/>
                <w14:textFill>
                  <w14:solidFill>
                    <w14:schemeClr w14:val="tx1"/>
                  </w14:solidFill>
                </w14:textFill>
              </w:rPr>
            </w:pPr>
            <w:r>
              <w:rPr>
                <w:rFonts w:hint="eastAsia" w:ascii="宋体" w:hAnsi="宋体" w:eastAsia="宋体" w:cs="宋体"/>
                <w:snapToGrid w:val="0"/>
                <w:color w:val="000000" w:themeColor="text1"/>
                <w:sz w:val="21"/>
                <w:szCs w:val="21"/>
                <w:vertAlign w:val="baseline"/>
                <w:lang w:val="en-US" w:eastAsia="zh-CN"/>
                <w14:textFill>
                  <w14:solidFill>
                    <w14:schemeClr w14:val="tx1"/>
                  </w14:solidFill>
                </w14:textFill>
              </w:rPr>
              <w:t>*产业政策执行情况</w:t>
            </w:r>
          </w:p>
        </w:tc>
        <w:tc>
          <w:tcPr>
            <w:tcW w:w="1838" w:type="dxa"/>
            <w:vAlign w:val="center"/>
          </w:tcPr>
          <w:p w14:paraId="448D9164">
            <w:pPr>
              <w:pStyle w:val="68"/>
              <w:spacing w:line="240" w:lineRule="auto"/>
              <w:rPr>
                <w:rFonts w:hint="default" w:ascii="Times New Roman" w:hAnsi="Times New Roman" w:eastAsia="宋体" w:cs="Times New Roman"/>
                <w:snapToGrid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snapToGrid w:val="0"/>
                <w:color w:val="000000" w:themeColor="text1"/>
                <w:sz w:val="21"/>
                <w:szCs w:val="21"/>
                <w:vertAlign w:val="baseline"/>
                <w:lang w:val="en-US" w:eastAsia="zh-CN"/>
                <w14:textFill>
                  <w14:solidFill>
                    <w14:schemeClr w14:val="tx1"/>
                  </w14:solidFill>
                </w14:textFill>
              </w:rPr>
              <w:t>0.1</w:t>
            </w:r>
          </w:p>
        </w:tc>
        <w:tc>
          <w:tcPr>
            <w:tcW w:w="5093" w:type="dxa"/>
            <w:gridSpan w:val="3"/>
            <w:vAlign w:val="center"/>
          </w:tcPr>
          <w:p w14:paraId="0CFAF6FC">
            <w:pPr>
              <w:pStyle w:val="68"/>
              <w:spacing w:line="240" w:lineRule="auto"/>
              <w:rPr>
                <w:rFonts w:hint="eastAsia" w:ascii="宋体" w:hAnsi="宋体" w:eastAsia="宋体" w:cs="宋体"/>
                <w:snapToGrid w:val="0"/>
                <w:color w:val="000000" w:themeColor="text1"/>
                <w:sz w:val="21"/>
                <w:szCs w:val="21"/>
                <w:vertAlign w:val="baseline"/>
                <w:lang w:val="en-US" w:eastAsia="zh-CN"/>
                <w14:textFill>
                  <w14:solidFill>
                    <w14:schemeClr w14:val="tx1"/>
                  </w14:solidFill>
                </w14:textFill>
              </w:rPr>
            </w:pPr>
            <w:r>
              <w:rPr>
                <w:rFonts w:hint="eastAsia" w:ascii="宋体" w:hAnsi="宋体" w:eastAsia="宋体" w:cs="宋体"/>
                <w:snapToGrid w:val="0"/>
                <w:color w:val="000000" w:themeColor="text1"/>
                <w:sz w:val="21"/>
                <w:szCs w:val="21"/>
                <w:vertAlign w:val="baseline"/>
                <w:lang w:val="en-US" w:eastAsia="zh-CN"/>
                <w14:textFill>
                  <w14:solidFill>
                    <w14:schemeClr w14:val="tx1"/>
                  </w14:solidFill>
                </w14:textFill>
              </w:rPr>
              <w:t>生产规模符合国家和地方相关产业政策以及区域环境规划，不使用国家和地方明令淘汰的落后工艺装备和机电设备</w:t>
            </w:r>
          </w:p>
        </w:tc>
        <w:tc>
          <w:tcPr>
            <w:tcW w:w="1870" w:type="dxa"/>
            <w:vAlign w:val="center"/>
          </w:tcPr>
          <w:p w14:paraId="0496546C">
            <w:pPr>
              <w:pStyle w:val="68"/>
              <w:spacing w:line="240" w:lineRule="auto"/>
              <w:rPr>
                <w:rFonts w:hint="eastAsia" w:ascii="宋体" w:hAnsi="宋体" w:eastAsia="宋体" w:cs="宋体"/>
                <w:snapToGrid w:val="0"/>
                <w:color w:val="000000" w:themeColor="text1"/>
                <w:sz w:val="21"/>
                <w:szCs w:val="21"/>
                <w:vertAlign w:val="baseline"/>
                <w:lang w:val="en-US" w:eastAsia="zh-CN"/>
                <w14:textFill>
                  <w14:solidFill>
                    <w14:schemeClr w14:val="tx1"/>
                  </w14:solidFill>
                </w14:textFill>
              </w:rPr>
            </w:pPr>
            <w:r>
              <w:rPr>
                <w:rFonts w:hint="eastAsia" w:ascii="宋体" w:hAnsi="宋体" w:eastAsia="宋体" w:cs="宋体"/>
                <w:snapToGrid w:val="0"/>
                <w:color w:val="000000" w:themeColor="text1"/>
                <w:sz w:val="21"/>
                <w:szCs w:val="21"/>
                <w:vertAlign w:val="baseline"/>
                <w:lang w:val="en-US" w:eastAsia="zh-CN"/>
                <w14:textFill>
                  <w14:solidFill>
                    <w14:schemeClr w14:val="tx1"/>
                  </w14:solidFill>
                </w14:textFill>
              </w:rPr>
              <w:t>项目符合相关产业政策要求</w:t>
            </w:r>
            <w:r>
              <w:rPr>
                <w:rFonts w:hint="eastAsia" w:ascii="宋体" w:hAnsi="宋体" w:eastAsia="宋体"/>
                <w:color w:val="000000" w:themeColor="text1"/>
                <w:sz w:val="21"/>
                <w:szCs w:val="21"/>
                <w:lang w:eastAsia="zh-CN"/>
                <w14:textFill>
                  <w14:solidFill>
                    <w14:schemeClr w14:val="tx1"/>
                  </w14:solidFill>
                </w14:textFill>
              </w:rPr>
              <w:t>，</w:t>
            </w:r>
            <w:r>
              <w:rPr>
                <w:rFonts w:hint="eastAsia" w:ascii="宋体" w:hAnsi="宋体" w:eastAsia="宋体"/>
                <w:color w:val="000000" w:themeColor="text1"/>
                <w:sz w:val="21"/>
                <w:szCs w:val="21"/>
                <w14:textFill>
                  <w14:solidFill>
                    <w14:schemeClr w14:val="tx1"/>
                  </w14:solidFill>
                </w14:textFill>
              </w:rPr>
              <w:t>达到</w:t>
            </w:r>
            <w:r>
              <w:rPr>
                <w:rFonts w:hint="eastAsia" w:ascii="TimesNewRomanPSMT" w:hAnsi="TimesNewRomanPSMT" w:eastAsia="TimesNewRomanPSMT"/>
                <w:color w:val="000000" w:themeColor="text1"/>
                <w:sz w:val="21"/>
                <w:szCs w:val="21"/>
                <w14:textFill>
                  <w14:solidFill>
                    <w14:schemeClr w14:val="tx1"/>
                  </w14:solidFill>
                </w14:textFill>
              </w:rPr>
              <w:t>Ⅰ</w:t>
            </w:r>
            <w:r>
              <w:rPr>
                <w:rFonts w:hint="eastAsia" w:ascii="宋体" w:hAnsi="宋体" w:eastAsia="宋体"/>
                <w:color w:val="000000" w:themeColor="text1"/>
                <w:sz w:val="21"/>
                <w:szCs w:val="21"/>
                <w14:textFill>
                  <w14:solidFill>
                    <w14:schemeClr w14:val="tx1"/>
                  </w14:solidFill>
                </w14:textFill>
              </w:rPr>
              <w:t>级基准值</w:t>
            </w:r>
          </w:p>
        </w:tc>
        <w:tc>
          <w:tcPr>
            <w:tcW w:w="1164" w:type="dxa"/>
            <w:vAlign w:val="center"/>
          </w:tcPr>
          <w:p w14:paraId="409521EE">
            <w:pPr>
              <w:pStyle w:val="68"/>
              <w:spacing w:line="240" w:lineRule="auto"/>
              <w:rPr>
                <w:rFonts w:hint="eastAsia" w:ascii="宋体" w:hAnsi="宋体" w:eastAsia="宋体" w:cs="宋体"/>
                <w:snapToGrid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snapToGrid w:val="0"/>
                <w:color w:val="000000" w:themeColor="text1"/>
                <w:sz w:val="21"/>
                <w:szCs w:val="21"/>
                <w:vertAlign w:val="baseline"/>
                <w:lang w:val="en-US" w:eastAsia="zh-CN"/>
                <w14:textFill>
                  <w14:solidFill>
                    <w14:schemeClr w14:val="tx1"/>
                  </w14:solidFill>
                </w14:textFill>
              </w:rPr>
              <w:t>2</w:t>
            </w:r>
          </w:p>
        </w:tc>
      </w:tr>
      <w:tr w14:paraId="6E4C238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50" w:type="dxa"/>
            <w:vAlign w:val="center"/>
          </w:tcPr>
          <w:p w14:paraId="76350749">
            <w:pPr>
              <w:pStyle w:val="68"/>
              <w:spacing w:line="240" w:lineRule="auto"/>
              <w:rPr>
                <w:rFonts w:hint="eastAsia"/>
                <w:snapToGrid w:val="0"/>
                <w:color w:val="000000" w:themeColor="text1"/>
                <w:sz w:val="21"/>
                <w:szCs w:val="21"/>
                <w:vertAlign w:val="baseline"/>
                <w:lang w:val="en-US" w:eastAsia="zh-CN"/>
                <w14:textFill>
                  <w14:solidFill>
                    <w14:schemeClr w14:val="tx1"/>
                  </w14:solidFill>
                </w14:textFill>
              </w:rPr>
            </w:pPr>
            <w:r>
              <w:rPr>
                <w:rFonts w:hint="eastAsia"/>
                <w:snapToGrid w:val="0"/>
                <w:color w:val="000000" w:themeColor="text1"/>
                <w:sz w:val="21"/>
                <w:szCs w:val="21"/>
                <w:vertAlign w:val="baseline"/>
                <w:lang w:val="en-US" w:eastAsia="zh-CN"/>
                <w14:textFill>
                  <w14:solidFill>
                    <w14:schemeClr w14:val="tx1"/>
                  </w14:solidFill>
                </w14:textFill>
              </w:rPr>
              <w:t>3</w:t>
            </w:r>
          </w:p>
        </w:tc>
        <w:tc>
          <w:tcPr>
            <w:tcW w:w="1462" w:type="dxa"/>
            <w:vMerge w:val="continue"/>
            <w:vAlign w:val="center"/>
          </w:tcPr>
          <w:p w14:paraId="72BFED06">
            <w:pPr>
              <w:pStyle w:val="68"/>
              <w:spacing w:line="240" w:lineRule="auto"/>
              <w:rPr>
                <w:rFonts w:hint="eastAsia" w:ascii="宋体" w:hAnsi="宋体" w:eastAsia="宋体" w:cs="宋体"/>
                <w:snapToGrid w:val="0"/>
                <w:color w:val="000000" w:themeColor="text1"/>
                <w:sz w:val="21"/>
                <w:szCs w:val="21"/>
                <w:vertAlign w:val="baseline"/>
                <w:lang w:val="en-US" w:eastAsia="zh-CN"/>
                <w14:textFill>
                  <w14:solidFill>
                    <w14:schemeClr w14:val="tx1"/>
                  </w14:solidFill>
                </w14:textFill>
              </w:rPr>
            </w:pPr>
          </w:p>
        </w:tc>
        <w:tc>
          <w:tcPr>
            <w:tcW w:w="1915" w:type="dxa"/>
            <w:gridSpan w:val="2"/>
            <w:vAlign w:val="center"/>
          </w:tcPr>
          <w:p w14:paraId="0DB79889">
            <w:pPr>
              <w:pStyle w:val="68"/>
              <w:spacing w:line="240" w:lineRule="auto"/>
              <w:rPr>
                <w:rFonts w:hint="eastAsia" w:ascii="宋体" w:hAnsi="宋体" w:eastAsia="宋体" w:cs="宋体"/>
                <w:snapToGrid w:val="0"/>
                <w:color w:val="000000" w:themeColor="text1"/>
                <w:sz w:val="21"/>
                <w:szCs w:val="21"/>
                <w:vertAlign w:val="baseline"/>
                <w:lang w:val="en-US" w:eastAsia="zh-CN"/>
                <w14:textFill>
                  <w14:solidFill>
                    <w14:schemeClr w14:val="tx1"/>
                  </w14:solidFill>
                </w14:textFill>
              </w:rPr>
            </w:pPr>
            <w:r>
              <w:rPr>
                <w:rFonts w:hint="eastAsia" w:ascii="宋体" w:hAnsi="宋体" w:eastAsia="宋体" w:cs="宋体"/>
                <w:snapToGrid w:val="0"/>
                <w:color w:val="000000" w:themeColor="text1"/>
                <w:sz w:val="21"/>
                <w:szCs w:val="21"/>
                <w:vertAlign w:val="baseline"/>
                <w:lang w:val="en-US" w:eastAsia="zh-CN"/>
                <w14:textFill>
                  <w14:solidFill>
                    <w14:schemeClr w14:val="tx1"/>
                  </w14:solidFill>
                </w14:textFill>
              </w:rPr>
              <w:t>*清洁生产审核情况</w:t>
            </w:r>
          </w:p>
        </w:tc>
        <w:tc>
          <w:tcPr>
            <w:tcW w:w="1838" w:type="dxa"/>
            <w:vAlign w:val="center"/>
          </w:tcPr>
          <w:p w14:paraId="130534CE">
            <w:pPr>
              <w:pStyle w:val="68"/>
              <w:spacing w:line="240" w:lineRule="auto"/>
              <w:rPr>
                <w:rFonts w:hint="default" w:ascii="Times New Roman" w:hAnsi="Times New Roman" w:eastAsia="宋体" w:cs="Times New Roman"/>
                <w:snapToGrid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snapToGrid w:val="0"/>
                <w:color w:val="000000" w:themeColor="text1"/>
                <w:sz w:val="21"/>
                <w:szCs w:val="21"/>
                <w:vertAlign w:val="baseline"/>
                <w:lang w:val="en-US" w:eastAsia="zh-CN"/>
                <w14:textFill>
                  <w14:solidFill>
                    <w14:schemeClr w14:val="tx1"/>
                  </w14:solidFill>
                </w14:textFill>
              </w:rPr>
              <w:t>0.1</w:t>
            </w:r>
          </w:p>
        </w:tc>
        <w:tc>
          <w:tcPr>
            <w:tcW w:w="5093" w:type="dxa"/>
            <w:gridSpan w:val="3"/>
            <w:vAlign w:val="center"/>
          </w:tcPr>
          <w:p w14:paraId="7DC2C6C8">
            <w:pPr>
              <w:pStyle w:val="68"/>
              <w:spacing w:line="240" w:lineRule="auto"/>
              <w:rPr>
                <w:rFonts w:hint="default" w:ascii="Times New Roman" w:hAnsi="Times New Roman" w:eastAsia="宋体" w:cs="Times New Roman"/>
                <w:snapToGrid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snapToGrid w:val="0"/>
                <w:color w:val="000000" w:themeColor="text1"/>
                <w:sz w:val="21"/>
                <w:szCs w:val="21"/>
                <w:vertAlign w:val="baseline"/>
                <w:lang w:val="en-US" w:eastAsia="zh-CN"/>
                <w14:textFill>
                  <w14:solidFill>
                    <w14:schemeClr w14:val="tx1"/>
                  </w14:solidFill>
                </w14:textFill>
              </w:rPr>
              <w:t>按照国家和地方要求，开展清洁生产审核</w:t>
            </w:r>
          </w:p>
        </w:tc>
        <w:tc>
          <w:tcPr>
            <w:tcW w:w="1870" w:type="dxa"/>
            <w:vAlign w:val="center"/>
          </w:tcPr>
          <w:p w14:paraId="69AC6034">
            <w:pPr>
              <w:pStyle w:val="68"/>
              <w:spacing w:line="240" w:lineRule="auto"/>
              <w:rPr>
                <w:rFonts w:hint="default" w:ascii="Times New Roman" w:hAnsi="Times New Roman" w:eastAsia="宋体" w:cs="Times New Roman"/>
                <w:snapToGrid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snapToGrid w:val="0"/>
                <w:color w:val="000000" w:themeColor="text1"/>
                <w:sz w:val="21"/>
                <w:szCs w:val="21"/>
                <w:vertAlign w:val="baseline"/>
                <w:lang w:val="en-US" w:eastAsia="zh-CN"/>
                <w14:textFill>
                  <w14:solidFill>
                    <w14:schemeClr w14:val="tx1"/>
                  </w14:solidFill>
                </w14:textFill>
              </w:rPr>
              <w:t>未开展</w:t>
            </w:r>
          </w:p>
        </w:tc>
        <w:tc>
          <w:tcPr>
            <w:tcW w:w="1164" w:type="dxa"/>
            <w:vAlign w:val="center"/>
          </w:tcPr>
          <w:p w14:paraId="57BDD244">
            <w:pPr>
              <w:pStyle w:val="68"/>
              <w:spacing w:line="240" w:lineRule="auto"/>
              <w:rPr>
                <w:rFonts w:hint="default" w:ascii="Times New Roman" w:hAnsi="Times New Roman" w:eastAsia="宋体" w:cs="Times New Roman"/>
                <w:snapToGrid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snapToGrid w:val="0"/>
                <w:color w:val="000000" w:themeColor="text1"/>
                <w:sz w:val="21"/>
                <w:szCs w:val="21"/>
                <w:vertAlign w:val="baseline"/>
                <w:lang w:val="en-US" w:eastAsia="zh-CN"/>
                <w14:textFill>
                  <w14:solidFill>
                    <w14:schemeClr w14:val="tx1"/>
                  </w14:solidFill>
                </w14:textFill>
              </w:rPr>
              <w:t>0</w:t>
            </w:r>
          </w:p>
        </w:tc>
      </w:tr>
      <w:tr w14:paraId="32FBA9F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650" w:type="dxa"/>
            <w:vAlign w:val="center"/>
          </w:tcPr>
          <w:p w14:paraId="15296F38">
            <w:pPr>
              <w:pStyle w:val="68"/>
              <w:spacing w:line="240" w:lineRule="auto"/>
              <w:rPr>
                <w:rFonts w:hint="eastAsia"/>
                <w:snapToGrid w:val="0"/>
                <w:color w:val="000000" w:themeColor="text1"/>
                <w:sz w:val="21"/>
                <w:szCs w:val="21"/>
                <w:vertAlign w:val="baseline"/>
                <w:lang w:val="en-US" w:eastAsia="zh-CN"/>
                <w14:textFill>
                  <w14:solidFill>
                    <w14:schemeClr w14:val="tx1"/>
                  </w14:solidFill>
                </w14:textFill>
              </w:rPr>
            </w:pPr>
            <w:r>
              <w:rPr>
                <w:rFonts w:hint="eastAsia"/>
                <w:snapToGrid w:val="0"/>
                <w:color w:val="000000" w:themeColor="text1"/>
                <w:sz w:val="21"/>
                <w:szCs w:val="21"/>
                <w:vertAlign w:val="baseline"/>
                <w:lang w:val="en-US" w:eastAsia="zh-CN"/>
                <w14:textFill>
                  <w14:solidFill>
                    <w14:schemeClr w14:val="tx1"/>
                  </w14:solidFill>
                </w14:textFill>
              </w:rPr>
              <w:t>4</w:t>
            </w:r>
          </w:p>
        </w:tc>
        <w:tc>
          <w:tcPr>
            <w:tcW w:w="1462" w:type="dxa"/>
            <w:vMerge w:val="continue"/>
            <w:vAlign w:val="center"/>
          </w:tcPr>
          <w:p w14:paraId="25C74D4A">
            <w:pPr>
              <w:pStyle w:val="68"/>
              <w:spacing w:line="240" w:lineRule="auto"/>
              <w:rPr>
                <w:rFonts w:hint="eastAsia" w:ascii="宋体" w:hAnsi="宋体" w:eastAsia="宋体" w:cs="宋体"/>
                <w:snapToGrid w:val="0"/>
                <w:color w:val="000000" w:themeColor="text1"/>
                <w:sz w:val="21"/>
                <w:szCs w:val="21"/>
                <w:vertAlign w:val="baseline"/>
                <w:lang w:val="en-US" w:eastAsia="zh-CN"/>
                <w14:textFill>
                  <w14:solidFill>
                    <w14:schemeClr w14:val="tx1"/>
                  </w14:solidFill>
                </w14:textFill>
              </w:rPr>
            </w:pPr>
          </w:p>
        </w:tc>
        <w:tc>
          <w:tcPr>
            <w:tcW w:w="1915" w:type="dxa"/>
            <w:gridSpan w:val="2"/>
            <w:vAlign w:val="center"/>
          </w:tcPr>
          <w:p w14:paraId="0D8090C2">
            <w:pPr>
              <w:pStyle w:val="68"/>
              <w:spacing w:line="240" w:lineRule="auto"/>
              <w:rPr>
                <w:rFonts w:hint="eastAsia" w:ascii="宋体" w:hAnsi="宋体" w:eastAsia="宋体" w:cs="宋体"/>
                <w:snapToGrid w:val="0"/>
                <w:color w:val="000000" w:themeColor="text1"/>
                <w:sz w:val="21"/>
                <w:szCs w:val="21"/>
                <w:vertAlign w:val="baseline"/>
                <w:lang w:val="en-US" w:eastAsia="zh-CN"/>
                <w14:textFill>
                  <w14:solidFill>
                    <w14:schemeClr w14:val="tx1"/>
                  </w14:solidFill>
                </w14:textFill>
              </w:rPr>
            </w:pPr>
            <w:r>
              <w:rPr>
                <w:rFonts w:hint="eastAsia" w:ascii="宋体" w:hAnsi="宋体" w:eastAsia="宋体" w:cs="宋体"/>
                <w:snapToGrid w:val="0"/>
                <w:color w:val="000000" w:themeColor="text1"/>
                <w:sz w:val="21"/>
                <w:szCs w:val="21"/>
                <w:vertAlign w:val="baseline"/>
                <w:lang w:val="en-US" w:eastAsia="zh-CN"/>
                <w14:textFill>
                  <w14:solidFill>
                    <w14:schemeClr w14:val="tx1"/>
                  </w14:solidFill>
                </w14:textFill>
              </w:rPr>
              <w:t>环境管理体系</w:t>
            </w:r>
          </w:p>
        </w:tc>
        <w:tc>
          <w:tcPr>
            <w:tcW w:w="1838" w:type="dxa"/>
            <w:vAlign w:val="center"/>
          </w:tcPr>
          <w:p w14:paraId="36780110">
            <w:pPr>
              <w:pStyle w:val="68"/>
              <w:spacing w:line="240" w:lineRule="auto"/>
              <w:rPr>
                <w:rFonts w:hint="default" w:ascii="Times New Roman" w:hAnsi="Times New Roman" w:eastAsia="宋体" w:cs="Times New Roman"/>
                <w:snapToGrid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snapToGrid w:val="0"/>
                <w:color w:val="000000" w:themeColor="text1"/>
                <w:sz w:val="21"/>
                <w:szCs w:val="21"/>
                <w:vertAlign w:val="baseline"/>
                <w:lang w:val="en-US" w:eastAsia="zh-CN"/>
                <w14:textFill>
                  <w14:solidFill>
                    <w14:schemeClr w14:val="tx1"/>
                  </w14:solidFill>
                </w14:textFill>
              </w:rPr>
              <w:t>0.1</w:t>
            </w:r>
          </w:p>
        </w:tc>
        <w:tc>
          <w:tcPr>
            <w:tcW w:w="2059" w:type="dxa"/>
            <w:vAlign w:val="center"/>
          </w:tcPr>
          <w:p w14:paraId="68B27D00">
            <w:pPr>
              <w:pStyle w:val="68"/>
              <w:spacing w:line="240" w:lineRule="auto"/>
              <w:rPr>
                <w:rFonts w:hint="default" w:ascii="Times New Roman" w:hAnsi="Times New Roman" w:eastAsia="宋体" w:cs="Times New Roman"/>
                <w:snapToGrid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snapToGrid w:val="0"/>
                <w:color w:val="000000" w:themeColor="text1"/>
                <w:sz w:val="21"/>
                <w:szCs w:val="21"/>
                <w:vertAlign w:val="baseline"/>
                <w:lang w:val="en-US" w:eastAsia="zh-CN"/>
                <w14:textFill>
                  <w14:solidFill>
                    <w14:schemeClr w14:val="tx1"/>
                  </w14:solidFill>
                </w14:textFill>
              </w:rPr>
              <w:t>按照GB/T24001建立并运行环管理体系，环境管理手册、程序文件及作业文件齐备</w:t>
            </w:r>
          </w:p>
        </w:tc>
        <w:tc>
          <w:tcPr>
            <w:tcW w:w="1517" w:type="dxa"/>
            <w:vAlign w:val="center"/>
          </w:tcPr>
          <w:p w14:paraId="75904998">
            <w:pPr>
              <w:pStyle w:val="68"/>
              <w:spacing w:line="240" w:lineRule="auto"/>
              <w:rPr>
                <w:rFonts w:hint="default" w:ascii="Times New Roman" w:hAnsi="Times New Roman" w:eastAsia="宋体" w:cs="Times New Roman"/>
                <w:snapToGrid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snapToGrid w:val="0"/>
                <w:color w:val="000000" w:themeColor="text1"/>
                <w:sz w:val="21"/>
                <w:szCs w:val="21"/>
                <w:vertAlign w:val="baseline"/>
                <w:lang w:val="en-US" w:eastAsia="zh-CN"/>
                <w14:textFill>
                  <w14:solidFill>
                    <w14:schemeClr w14:val="tx1"/>
                  </w14:solidFill>
                </w14:textFill>
              </w:rPr>
              <w:t>对生产过程中的环境因素进行控制，有严格的操作规程，建立相关方管理程序、清洁生产审核制度和各种环境管理制度，特别是固体废物（包括危险废物）的转移制度</w:t>
            </w:r>
          </w:p>
        </w:tc>
        <w:tc>
          <w:tcPr>
            <w:tcW w:w="1517" w:type="dxa"/>
            <w:vAlign w:val="center"/>
          </w:tcPr>
          <w:p w14:paraId="40ECDBF9">
            <w:pPr>
              <w:pStyle w:val="68"/>
              <w:spacing w:line="240" w:lineRule="auto"/>
              <w:rPr>
                <w:rFonts w:hint="default" w:ascii="Times New Roman" w:hAnsi="Times New Roman" w:eastAsia="宋体" w:cs="Times New Roman"/>
                <w:snapToGrid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snapToGrid w:val="0"/>
                <w:color w:val="000000" w:themeColor="text1"/>
                <w:sz w:val="21"/>
                <w:szCs w:val="21"/>
                <w:vertAlign w:val="baseline"/>
                <w:lang w:val="en-US" w:eastAsia="zh-CN"/>
                <w14:textFill>
                  <w14:solidFill>
                    <w14:schemeClr w14:val="tx1"/>
                  </w14:solidFill>
                </w14:textFill>
              </w:rPr>
              <w:t>对生产过程中的主要环境因素进行控制，有操作规程，建立相关方管理程序、清洁生产审核制度和必要环境管理制度</w:t>
            </w:r>
          </w:p>
        </w:tc>
        <w:tc>
          <w:tcPr>
            <w:tcW w:w="1870" w:type="dxa"/>
            <w:vAlign w:val="center"/>
          </w:tcPr>
          <w:p w14:paraId="2DD87DD8">
            <w:pPr>
              <w:pStyle w:val="68"/>
              <w:spacing w:line="240" w:lineRule="auto"/>
              <w:rPr>
                <w:rFonts w:hint="default" w:ascii="Times New Roman" w:hAnsi="Times New Roman" w:eastAsia="宋体" w:cs="Times New Roman"/>
                <w:snapToGrid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snapToGrid w:val="0"/>
                <w:color w:val="000000" w:themeColor="text1"/>
                <w:sz w:val="21"/>
                <w:szCs w:val="21"/>
                <w:vertAlign w:val="baseline"/>
                <w:lang w:val="en-US" w:eastAsia="zh-CN"/>
                <w14:textFill>
                  <w14:solidFill>
                    <w14:schemeClr w14:val="tx1"/>
                  </w14:solidFill>
                </w14:textFill>
              </w:rPr>
              <w:t>项目建设时，将对生产过程中的环境因素进行控制，设置严格的操作规程，管理程序、清洁生产审核制度和危废转移制度</w:t>
            </w:r>
            <w:r>
              <w:rPr>
                <w:rFonts w:hint="eastAsia" w:ascii="宋体" w:hAnsi="宋体" w:eastAsia="宋体"/>
                <w:color w:val="000000" w:themeColor="text1"/>
                <w:sz w:val="21"/>
                <w:szCs w:val="21"/>
                <w:lang w:eastAsia="zh-CN"/>
                <w14:textFill>
                  <w14:solidFill>
                    <w14:schemeClr w14:val="tx1"/>
                  </w14:solidFill>
                </w14:textFill>
              </w:rPr>
              <w:t>，</w:t>
            </w:r>
            <w:r>
              <w:rPr>
                <w:rFonts w:hint="eastAsia" w:ascii="宋体" w:hAnsi="宋体" w:eastAsia="宋体"/>
                <w:color w:val="000000" w:themeColor="text1"/>
                <w:sz w:val="21"/>
                <w:szCs w:val="21"/>
                <w14:textFill>
                  <w14:solidFill>
                    <w14:schemeClr w14:val="tx1"/>
                  </w14:solidFill>
                </w14:textFill>
              </w:rPr>
              <w:t>达到</w:t>
            </w:r>
            <w:r>
              <w:rPr>
                <w:rFonts w:hint="eastAsia" w:ascii="TimesNewRomanPSMT" w:hAnsi="TimesNewRomanPSMT" w:eastAsia="TimesNewRomanPSMT"/>
                <w:color w:val="000000" w:themeColor="text1"/>
                <w:sz w:val="21"/>
                <w:szCs w:val="21"/>
                <w14:textFill>
                  <w14:solidFill>
                    <w14:schemeClr w14:val="tx1"/>
                  </w14:solidFill>
                </w14:textFill>
              </w:rPr>
              <w:t>ⅠⅠ</w:t>
            </w:r>
            <w:r>
              <w:rPr>
                <w:rFonts w:hint="eastAsia" w:ascii="宋体" w:hAnsi="宋体" w:eastAsia="宋体"/>
                <w:color w:val="000000" w:themeColor="text1"/>
                <w:sz w:val="21"/>
                <w:szCs w:val="21"/>
                <w14:textFill>
                  <w14:solidFill>
                    <w14:schemeClr w14:val="tx1"/>
                  </w14:solidFill>
                </w14:textFill>
              </w:rPr>
              <w:t>级基准值</w:t>
            </w:r>
          </w:p>
        </w:tc>
        <w:tc>
          <w:tcPr>
            <w:tcW w:w="1164" w:type="dxa"/>
            <w:vAlign w:val="center"/>
          </w:tcPr>
          <w:p w14:paraId="20D578F4">
            <w:pPr>
              <w:pStyle w:val="68"/>
              <w:spacing w:line="240" w:lineRule="auto"/>
              <w:rPr>
                <w:rFonts w:hint="default" w:ascii="Times New Roman" w:hAnsi="Times New Roman" w:eastAsia="宋体" w:cs="Times New Roman"/>
                <w:snapToGrid w:val="0"/>
                <w:color w:val="000000" w:themeColor="text1"/>
                <w:sz w:val="21"/>
                <w:szCs w:val="21"/>
                <w:vertAlign w:val="baseline"/>
                <w:lang w:val="en-US" w:eastAsia="zh-CN"/>
                <w14:textFill>
                  <w14:solidFill>
                    <w14:schemeClr w14:val="tx1"/>
                  </w14:solidFill>
                </w14:textFill>
              </w:rPr>
            </w:pPr>
            <w:r>
              <w:rPr>
                <w:rFonts w:hint="eastAsia" w:eastAsia="宋体" w:cs="Times New Roman"/>
                <w:snapToGrid w:val="0"/>
                <w:color w:val="000000" w:themeColor="text1"/>
                <w:sz w:val="21"/>
                <w:szCs w:val="21"/>
                <w:vertAlign w:val="baseline"/>
                <w:lang w:val="en-US" w:eastAsia="zh-CN"/>
                <w14:textFill>
                  <w14:solidFill>
                    <w14:schemeClr w14:val="tx1"/>
                  </w14:solidFill>
                </w14:textFill>
              </w:rPr>
              <w:t>2</w:t>
            </w:r>
          </w:p>
        </w:tc>
      </w:tr>
      <w:tr w14:paraId="15BBE38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50" w:type="dxa"/>
            <w:vAlign w:val="center"/>
          </w:tcPr>
          <w:p w14:paraId="5EE814F0">
            <w:pPr>
              <w:pStyle w:val="68"/>
              <w:spacing w:line="240" w:lineRule="auto"/>
              <w:rPr>
                <w:rFonts w:hint="eastAsia"/>
                <w:snapToGrid w:val="0"/>
                <w:color w:val="000000" w:themeColor="text1"/>
                <w:sz w:val="21"/>
                <w:szCs w:val="21"/>
                <w:vertAlign w:val="baseline"/>
                <w:lang w:val="en-US" w:eastAsia="zh-CN"/>
                <w14:textFill>
                  <w14:solidFill>
                    <w14:schemeClr w14:val="tx1"/>
                  </w14:solidFill>
                </w14:textFill>
              </w:rPr>
            </w:pPr>
            <w:r>
              <w:rPr>
                <w:rFonts w:hint="eastAsia"/>
                <w:snapToGrid w:val="0"/>
                <w:color w:val="000000" w:themeColor="text1"/>
                <w:sz w:val="21"/>
                <w:szCs w:val="21"/>
                <w:vertAlign w:val="baseline"/>
                <w:lang w:val="en-US" w:eastAsia="zh-CN"/>
                <w14:textFill>
                  <w14:solidFill>
                    <w14:schemeClr w14:val="tx1"/>
                  </w14:solidFill>
                </w14:textFill>
              </w:rPr>
              <w:t>5</w:t>
            </w:r>
          </w:p>
        </w:tc>
        <w:tc>
          <w:tcPr>
            <w:tcW w:w="1462" w:type="dxa"/>
            <w:vMerge w:val="continue"/>
            <w:vAlign w:val="center"/>
          </w:tcPr>
          <w:p w14:paraId="5F80A989">
            <w:pPr>
              <w:pStyle w:val="68"/>
              <w:spacing w:line="240" w:lineRule="auto"/>
              <w:rPr>
                <w:snapToGrid w:val="0"/>
                <w:color w:val="000000" w:themeColor="text1"/>
                <w:sz w:val="21"/>
                <w:szCs w:val="21"/>
                <w:vertAlign w:val="baseline"/>
                <w14:textFill>
                  <w14:solidFill>
                    <w14:schemeClr w14:val="tx1"/>
                  </w14:solidFill>
                </w14:textFill>
              </w:rPr>
            </w:pPr>
          </w:p>
        </w:tc>
        <w:tc>
          <w:tcPr>
            <w:tcW w:w="1915" w:type="dxa"/>
            <w:gridSpan w:val="2"/>
            <w:vAlign w:val="center"/>
          </w:tcPr>
          <w:p w14:paraId="19187E48">
            <w:pPr>
              <w:pStyle w:val="68"/>
              <w:spacing w:line="240" w:lineRule="auto"/>
              <w:rPr>
                <w:rFonts w:hint="eastAsia" w:ascii="宋体" w:hAnsi="宋体" w:eastAsia="宋体" w:cs="宋体"/>
                <w:snapToGrid w:val="0"/>
                <w:color w:val="000000" w:themeColor="text1"/>
                <w:sz w:val="21"/>
                <w:szCs w:val="21"/>
                <w:vertAlign w:val="baseline"/>
                <w:lang w:val="en-US" w:eastAsia="zh-CN"/>
                <w14:textFill>
                  <w14:solidFill>
                    <w14:schemeClr w14:val="tx1"/>
                  </w14:solidFill>
                </w14:textFill>
              </w:rPr>
            </w:pPr>
            <w:r>
              <w:rPr>
                <w:rFonts w:hint="eastAsia" w:ascii="宋体" w:hAnsi="宋体" w:eastAsia="宋体" w:cs="宋体"/>
                <w:snapToGrid w:val="0"/>
                <w:color w:val="000000" w:themeColor="text1"/>
                <w:sz w:val="21"/>
                <w:szCs w:val="21"/>
                <w:vertAlign w:val="baseline"/>
                <w:lang w:val="en-US" w:eastAsia="zh-CN"/>
                <w14:textFill>
                  <w14:solidFill>
                    <w14:schemeClr w14:val="tx1"/>
                  </w14:solidFill>
                </w14:textFill>
              </w:rPr>
              <w:t>环境管理制度</w:t>
            </w:r>
          </w:p>
        </w:tc>
        <w:tc>
          <w:tcPr>
            <w:tcW w:w="1838" w:type="dxa"/>
            <w:vAlign w:val="center"/>
          </w:tcPr>
          <w:p w14:paraId="704834F9">
            <w:pPr>
              <w:pStyle w:val="68"/>
              <w:spacing w:line="240" w:lineRule="auto"/>
              <w:rPr>
                <w:rFonts w:hint="default" w:eastAsia="黑体"/>
                <w:snapToGrid w:val="0"/>
                <w:color w:val="000000" w:themeColor="text1"/>
                <w:sz w:val="21"/>
                <w:szCs w:val="21"/>
                <w:vertAlign w:val="baseline"/>
                <w:lang w:val="en-US" w:eastAsia="zh-CN"/>
                <w14:textFill>
                  <w14:solidFill>
                    <w14:schemeClr w14:val="tx1"/>
                  </w14:solidFill>
                </w14:textFill>
              </w:rPr>
            </w:pPr>
            <w:r>
              <w:rPr>
                <w:rFonts w:hint="eastAsia"/>
                <w:snapToGrid w:val="0"/>
                <w:color w:val="000000" w:themeColor="text1"/>
                <w:sz w:val="21"/>
                <w:szCs w:val="21"/>
                <w:vertAlign w:val="baseline"/>
                <w:lang w:val="en-US" w:eastAsia="zh-CN"/>
                <w14:textFill>
                  <w14:solidFill>
                    <w14:schemeClr w14:val="tx1"/>
                  </w14:solidFill>
                </w14:textFill>
              </w:rPr>
              <w:t>0.05</w:t>
            </w:r>
          </w:p>
        </w:tc>
        <w:tc>
          <w:tcPr>
            <w:tcW w:w="5093" w:type="dxa"/>
            <w:gridSpan w:val="3"/>
            <w:vAlign w:val="center"/>
          </w:tcPr>
          <w:p w14:paraId="1BC43866">
            <w:pPr>
              <w:pStyle w:val="68"/>
              <w:spacing w:line="240" w:lineRule="auto"/>
              <w:rPr>
                <w:rFonts w:hint="default" w:ascii="Times New Roman" w:hAnsi="Times New Roman" w:eastAsia="宋体" w:cs="Times New Roman"/>
                <w:snapToGrid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snapToGrid w:val="0"/>
                <w:color w:val="000000" w:themeColor="text1"/>
                <w:sz w:val="21"/>
                <w:szCs w:val="21"/>
                <w:vertAlign w:val="baseline"/>
                <w:lang w:val="en-US" w:eastAsia="zh-CN"/>
                <w14:textFill>
                  <w14:solidFill>
                    <w14:schemeClr w14:val="tx1"/>
                  </w14:solidFill>
                </w14:textFill>
              </w:rPr>
              <w:t>有健全的企业环境管理机构；制定有效的环境管理制度；环保档案管理情况良好</w:t>
            </w:r>
          </w:p>
        </w:tc>
        <w:tc>
          <w:tcPr>
            <w:tcW w:w="1870" w:type="dxa"/>
            <w:vAlign w:val="center"/>
          </w:tcPr>
          <w:p w14:paraId="6B2A5D14">
            <w:pPr>
              <w:pStyle w:val="68"/>
              <w:spacing w:line="240" w:lineRule="auto"/>
              <w:rPr>
                <w:rFonts w:hint="default" w:ascii="Times New Roman" w:hAnsi="Times New Roman" w:eastAsia="宋体" w:cs="Times New Roman"/>
                <w:snapToGrid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snapToGrid w:val="0"/>
                <w:color w:val="000000" w:themeColor="text1"/>
                <w:sz w:val="21"/>
                <w:szCs w:val="21"/>
                <w:vertAlign w:val="baseline"/>
                <w:lang w:val="en-US" w:eastAsia="zh-CN"/>
                <w14:textFill>
                  <w14:solidFill>
                    <w14:schemeClr w14:val="tx1"/>
                  </w14:solidFill>
                </w14:textFill>
              </w:rPr>
              <w:t>项目建设时，将按要求制定环境管理制度</w:t>
            </w:r>
            <w:r>
              <w:rPr>
                <w:rFonts w:hint="eastAsia" w:ascii="宋体" w:hAnsi="宋体" w:eastAsia="宋体"/>
                <w:color w:val="000000" w:themeColor="text1"/>
                <w:sz w:val="21"/>
                <w:szCs w:val="21"/>
                <w:lang w:eastAsia="zh-CN"/>
                <w14:textFill>
                  <w14:solidFill>
                    <w14:schemeClr w14:val="tx1"/>
                  </w14:solidFill>
                </w14:textFill>
              </w:rPr>
              <w:t>，</w:t>
            </w:r>
            <w:r>
              <w:rPr>
                <w:rFonts w:hint="eastAsia" w:ascii="宋体" w:hAnsi="宋体" w:eastAsia="宋体"/>
                <w:color w:val="000000" w:themeColor="text1"/>
                <w:sz w:val="21"/>
                <w:szCs w:val="21"/>
                <w14:textFill>
                  <w14:solidFill>
                    <w14:schemeClr w14:val="tx1"/>
                  </w14:solidFill>
                </w14:textFill>
              </w:rPr>
              <w:t>达到</w:t>
            </w:r>
            <w:r>
              <w:rPr>
                <w:rFonts w:hint="eastAsia" w:ascii="TimesNewRomanPSMT" w:hAnsi="TimesNewRomanPSMT" w:eastAsia="TimesNewRomanPSMT"/>
                <w:color w:val="000000" w:themeColor="text1"/>
                <w:sz w:val="21"/>
                <w:szCs w:val="21"/>
                <w14:textFill>
                  <w14:solidFill>
                    <w14:schemeClr w14:val="tx1"/>
                  </w14:solidFill>
                </w14:textFill>
              </w:rPr>
              <w:t>Ⅰ</w:t>
            </w:r>
            <w:r>
              <w:rPr>
                <w:rFonts w:hint="eastAsia" w:ascii="宋体" w:hAnsi="宋体" w:eastAsia="宋体"/>
                <w:color w:val="000000" w:themeColor="text1"/>
                <w:sz w:val="21"/>
                <w:szCs w:val="21"/>
                <w14:textFill>
                  <w14:solidFill>
                    <w14:schemeClr w14:val="tx1"/>
                  </w14:solidFill>
                </w14:textFill>
              </w:rPr>
              <w:t>级基准值</w:t>
            </w:r>
          </w:p>
        </w:tc>
        <w:tc>
          <w:tcPr>
            <w:tcW w:w="1164" w:type="dxa"/>
            <w:vAlign w:val="center"/>
          </w:tcPr>
          <w:p w14:paraId="79D34A11">
            <w:pPr>
              <w:pStyle w:val="68"/>
              <w:spacing w:line="240" w:lineRule="auto"/>
              <w:rPr>
                <w:rFonts w:hint="default" w:ascii="Times New Roman" w:hAnsi="Times New Roman" w:eastAsia="宋体" w:cs="Times New Roman"/>
                <w:snapToGrid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snapToGrid w:val="0"/>
                <w:color w:val="000000" w:themeColor="text1"/>
                <w:sz w:val="21"/>
                <w:szCs w:val="21"/>
                <w:vertAlign w:val="baseline"/>
                <w:lang w:val="en-US" w:eastAsia="zh-CN"/>
                <w14:textFill>
                  <w14:solidFill>
                    <w14:schemeClr w14:val="tx1"/>
                  </w14:solidFill>
                </w14:textFill>
              </w:rPr>
              <w:t>1</w:t>
            </w:r>
          </w:p>
        </w:tc>
      </w:tr>
      <w:tr w14:paraId="2AB6BEA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50" w:type="dxa"/>
            <w:vAlign w:val="center"/>
          </w:tcPr>
          <w:p w14:paraId="14E8CB96">
            <w:pPr>
              <w:pStyle w:val="68"/>
              <w:spacing w:line="240" w:lineRule="auto"/>
              <w:rPr>
                <w:rFonts w:hint="eastAsia" w:eastAsia="黑体"/>
                <w:snapToGrid w:val="0"/>
                <w:color w:val="000000" w:themeColor="text1"/>
                <w:sz w:val="21"/>
                <w:szCs w:val="21"/>
                <w:vertAlign w:val="baseline"/>
                <w:lang w:val="en-US" w:eastAsia="zh-CN"/>
                <w14:textFill>
                  <w14:solidFill>
                    <w14:schemeClr w14:val="tx1"/>
                  </w14:solidFill>
                </w14:textFill>
              </w:rPr>
            </w:pPr>
            <w:r>
              <w:rPr>
                <w:rFonts w:hint="eastAsia"/>
                <w:snapToGrid w:val="0"/>
                <w:color w:val="000000" w:themeColor="text1"/>
                <w:sz w:val="21"/>
                <w:szCs w:val="21"/>
                <w:vertAlign w:val="baseline"/>
                <w:lang w:val="en-US" w:eastAsia="zh-CN"/>
                <w14:textFill>
                  <w14:solidFill>
                    <w14:schemeClr w14:val="tx1"/>
                  </w14:solidFill>
                </w14:textFill>
              </w:rPr>
              <w:t>6</w:t>
            </w:r>
          </w:p>
        </w:tc>
        <w:tc>
          <w:tcPr>
            <w:tcW w:w="1462" w:type="dxa"/>
            <w:vMerge w:val="continue"/>
            <w:vAlign w:val="center"/>
          </w:tcPr>
          <w:p w14:paraId="7D5A2994">
            <w:pPr>
              <w:pStyle w:val="68"/>
              <w:spacing w:line="240" w:lineRule="auto"/>
              <w:rPr>
                <w:snapToGrid w:val="0"/>
                <w:color w:val="000000" w:themeColor="text1"/>
                <w:sz w:val="21"/>
                <w:szCs w:val="21"/>
                <w:vertAlign w:val="baseline"/>
                <w14:textFill>
                  <w14:solidFill>
                    <w14:schemeClr w14:val="tx1"/>
                  </w14:solidFill>
                </w14:textFill>
              </w:rPr>
            </w:pPr>
          </w:p>
        </w:tc>
        <w:tc>
          <w:tcPr>
            <w:tcW w:w="1915" w:type="dxa"/>
            <w:gridSpan w:val="2"/>
            <w:vAlign w:val="center"/>
          </w:tcPr>
          <w:p w14:paraId="001263A9">
            <w:pPr>
              <w:pStyle w:val="68"/>
              <w:spacing w:line="240" w:lineRule="auto"/>
              <w:rPr>
                <w:rFonts w:hint="eastAsia" w:ascii="宋体" w:hAnsi="宋体" w:eastAsia="宋体" w:cs="宋体"/>
                <w:snapToGrid w:val="0"/>
                <w:color w:val="000000" w:themeColor="text1"/>
                <w:sz w:val="21"/>
                <w:szCs w:val="21"/>
                <w:vertAlign w:val="baseline"/>
                <w:lang w:val="en-US" w:eastAsia="zh-CN"/>
                <w14:textFill>
                  <w14:solidFill>
                    <w14:schemeClr w14:val="tx1"/>
                  </w14:solidFill>
                </w14:textFill>
              </w:rPr>
            </w:pPr>
            <w:r>
              <w:rPr>
                <w:rFonts w:hint="eastAsia" w:ascii="宋体" w:hAnsi="宋体" w:eastAsia="宋体" w:cs="宋体"/>
                <w:snapToGrid w:val="0"/>
                <w:color w:val="000000" w:themeColor="text1"/>
                <w:sz w:val="21"/>
                <w:szCs w:val="21"/>
                <w:vertAlign w:val="baseline"/>
                <w:lang w:val="en-US" w:eastAsia="zh-CN"/>
                <w14:textFill>
                  <w14:solidFill>
                    <w14:schemeClr w14:val="tx1"/>
                  </w14:solidFill>
                </w14:textFill>
              </w:rPr>
              <w:t>*环境应急预案</w:t>
            </w:r>
          </w:p>
        </w:tc>
        <w:tc>
          <w:tcPr>
            <w:tcW w:w="1838" w:type="dxa"/>
            <w:vAlign w:val="center"/>
          </w:tcPr>
          <w:p w14:paraId="7F345DF5">
            <w:pPr>
              <w:pStyle w:val="68"/>
              <w:spacing w:line="240" w:lineRule="auto"/>
              <w:rPr>
                <w:rFonts w:hint="default" w:eastAsia="黑体"/>
                <w:snapToGrid w:val="0"/>
                <w:color w:val="000000" w:themeColor="text1"/>
                <w:sz w:val="21"/>
                <w:szCs w:val="21"/>
                <w:vertAlign w:val="baseline"/>
                <w:lang w:val="en-US" w:eastAsia="zh-CN"/>
                <w14:textFill>
                  <w14:solidFill>
                    <w14:schemeClr w14:val="tx1"/>
                  </w14:solidFill>
                </w14:textFill>
              </w:rPr>
            </w:pPr>
            <w:r>
              <w:rPr>
                <w:rFonts w:hint="eastAsia"/>
                <w:snapToGrid w:val="0"/>
                <w:color w:val="000000" w:themeColor="text1"/>
                <w:sz w:val="21"/>
                <w:szCs w:val="21"/>
                <w:vertAlign w:val="baseline"/>
                <w:lang w:val="en-US" w:eastAsia="zh-CN"/>
                <w14:textFill>
                  <w14:solidFill>
                    <w14:schemeClr w14:val="tx1"/>
                  </w14:solidFill>
                </w14:textFill>
              </w:rPr>
              <w:t>0.1</w:t>
            </w:r>
          </w:p>
        </w:tc>
        <w:tc>
          <w:tcPr>
            <w:tcW w:w="5093" w:type="dxa"/>
            <w:gridSpan w:val="3"/>
            <w:vAlign w:val="center"/>
          </w:tcPr>
          <w:p w14:paraId="2C8584B2">
            <w:pPr>
              <w:pStyle w:val="68"/>
              <w:spacing w:line="240" w:lineRule="auto"/>
              <w:rPr>
                <w:rFonts w:hint="default" w:ascii="Times New Roman" w:hAnsi="Times New Roman" w:eastAsia="宋体" w:cs="Times New Roman"/>
                <w:snapToGrid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snapToGrid w:val="0"/>
                <w:color w:val="000000" w:themeColor="text1"/>
                <w:sz w:val="21"/>
                <w:szCs w:val="21"/>
                <w:vertAlign w:val="baseline"/>
                <w:lang w:val="en-US" w:eastAsia="zh-CN"/>
                <w14:textFill>
                  <w14:solidFill>
                    <w14:schemeClr w14:val="tx1"/>
                  </w14:solidFill>
                </w14:textFill>
              </w:rPr>
              <w:t>按《突发环境事件应急预案管理暂行办法》制定企业环境风险应急预案，应急设施、物资齐备，并定期培训和演练</w:t>
            </w:r>
          </w:p>
        </w:tc>
        <w:tc>
          <w:tcPr>
            <w:tcW w:w="1870" w:type="dxa"/>
            <w:vAlign w:val="center"/>
          </w:tcPr>
          <w:p w14:paraId="2CD39351">
            <w:pPr>
              <w:pStyle w:val="68"/>
              <w:spacing w:line="240" w:lineRule="auto"/>
              <w:rPr>
                <w:rFonts w:hint="default" w:ascii="Times New Roman" w:hAnsi="Times New Roman" w:eastAsia="宋体" w:cs="Times New Roman"/>
                <w:snapToGrid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snapToGrid w:val="0"/>
                <w:color w:val="000000" w:themeColor="text1"/>
                <w:sz w:val="21"/>
                <w:szCs w:val="21"/>
                <w:vertAlign w:val="baseline"/>
                <w:lang w:val="en-US" w:eastAsia="zh-CN"/>
                <w14:textFill>
                  <w14:solidFill>
                    <w14:schemeClr w14:val="tx1"/>
                  </w14:solidFill>
                </w14:textFill>
              </w:rPr>
              <w:t>项目将按要求制定环境应急预案</w:t>
            </w:r>
            <w:r>
              <w:rPr>
                <w:rFonts w:hint="eastAsia" w:ascii="宋体" w:hAnsi="宋体" w:eastAsia="宋体"/>
                <w:color w:val="000000" w:themeColor="text1"/>
                <w:sz w:val="21"/>
                <w:szCs w:val="21"/>
                <w:lang w:eastAsia="zh-CN"/>
                <w14:textFill>
                  <w14:solidFill>
                    <w14:schemeClr w14:val="tx1"/>
                  </w14:solidFill>
                </w14:textFill>
              </w:rPr>
              <w:t>，</w:t>
            </w:r>
            <w:r>
              <w:rPr>
                <w:rFonts w:hint="eastAsia" w:ascii="宋体" w:hAnsi="宋体" w:eastAsia="宋体"/>
                <w:color w:val="000000" w:themeColor="text1"/>
                <w:sz w:val="21"/>
                <w:szCs w:val="21"/>
                <w14:textFill>
                  <w14:solidFill>
                    <w14:schemeClr w14:val="tx1"/>
                  </w14:solidFill>
                </w14:textFill>
              </w:rPr>
              <w:t>达到</w:t>
            </w:r>
            <w:r>
              <w:rPr>
                <w:rFonts w:hint="eastAsia" w:ascii="TimesNewRomanPSMT" w:hAnsi="TimesNewRomanPSMT" w:eastAsia="TimesNewRomanPSMT"/>
                <w:color w:val="000000" w:themeColor="text1"/>
                <w:sz w:val="21"/>
                <w:szCs w:val="21"/>
                <w14:textFill>
                  <w14:solidFill>
                    <w14:schemeClr w14:val="tx1"/>
                  </w14:solidFill>
                </w14:textFill>
              </w:rPr>
              <w:t>Ⅰ</w:t>
            </w:r>
            <w:r>
              <w:rPr>
                <w:rFonts w:hint="eastAsia" w:ascii="宋体" w:hAnsi="宋体" w:eastAsia="宋体"/>
                <w:color w:val="000000" w:themeColor="text1"/>
                <w:sz w:val="21"/>
                <w:szCs w:val="21"/>
                <w14:textFill>
                  <w14:solidFill>
                    <w14:schemeClr w14:val="tx1"/>
                  </w14:solidFill>
                </w14:textFill>
              </w:rPr>
              <w:t>级基准值</w:t>
            </w:r>
          </w:p>
        </w:tc>
        <w:tc>
          <w:tcPr>
            <w:tcW w:w="1164" w:type="dxa"/>
            <w:vAlign w:val="center"/>
          </w:tcPr>
          <w:p w14:paraId="381A1B79">
            <w:pPr>
              <w:pStyle w:val="68"/>
              <w:spacing w:line="240" w:lineRule="auto"/>
              <w:rPr>
                <w:rFonts w:hint="eastAsia" w:ascii="Times New Roman" w:hAnsi="Times New Roman" w:eastAsia="宋体" w:cs="Times New Roman"/>
                <w:snapToGrid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snapToGrid w:val="0"/>
                <w:color w:val="000000" w:themeColor="text1"/>
                <w:sz w:val="21"/>
                <w:szCs w:val="21"/>
                <w:vertAlign w:val="baseline"/>
                <w:lang w:val="en-US" w:eastAsia="zh-CN"/>
                <w14:textFill>
                  <w14:solidFill>
                    <w14:schemeClr w14:val="tx1"/>
                  </w14:solidFill>
                </w14:textFill>
              </w:rPr>
              <w:t>2</w:t>
            </w:r>
          </w:p>
        </w:tc>
      </w:tr>
      <w:tr w14:paraId="15EA86B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50" w:type="dxa"/>
            <w:vAlign w:val="center"/>
          </w:tcPr>
          <w:p w14:paraId="4FE55E77">
            <w:pPr>
              <w:pStyle w:val="68"/>
              <w:spacing w:line="240" w:lineRule="auto"/>
              <w:rPr>
                <w:rFonts w:hint="eastAsia" w:eastAsia="黑体"/>
                <w:snapToGrid w:val="0"/>
                <w:color w:val="000000" w:themeColor="text1"/>
                <w:sz w:val="21"/>
                <w:szCs w:val="21"/>
                <w:vertAlign w:val="baseline"/>
                <w:lang w:val="en-US" w:eastAsia="zh-CN"/>
                <w14:textFill>
                  <w14:solidFill>
                    <w14:schemeClr w14:val="tx1"/>
                  </w14:solidFill>
                </w14:textFill>
              </w:rPr>
            </w:pPr>
            <w:r>
              <w:rPr>
                <w:rFonts w:hint="eastAsia"/>
                <w:snapToGrid w:val="0"/>
                <w:color w:val="000000" w:themeColor="text1"/>
                <w:sz w:val="21"/>
                <w:szCs w:val="21"/>
                <w:vertAlign w:val="baseline"/>
                <w:lang w:val="en-US" w:eastAsia="zh-CN"/>
                <w14:textFill>
                  <w14:solidFill>
                    <w14:schemeClr w14:val="tx1"/>
                  </w14:solidFill>
                </w14:textFill>
              </w:rPr>
              <w:t>7</w:t>
            </w:r>
          </w:p>
        </w:tc>
        <w:tc>
          <w:tcPr>
            <w:tcW w:w="1462" w:type="dxa"/>
            <w:vMerge w:val="continue"/>
            <w:vAlign w:val="center"/>
          </w:tcPr>
          <w:p w14:paraId="6EFCE833">
            <w:pPr>
              <w:pStyle w:val="68"/>
              <w:spacing w:line="240" w:lineRule="auto"/>
              <w:rPr>
                <w:snapToGrid w:val="0"/>
                <w:color w:val="000000" w:themeColor="text1"/>
                <w:sz w:val="21"/>
                <w:szCs w:val="21"/>
                <w:vertAlign w:val="baseline"/>
                <w14:textFill>
                  <w14:solidFill>
                    <w14:schemeClr w14:val="tx1"/>
                  </w14:solidFill>
                </w14:textFill>
              </w:rPr>
            </w:pPr>
          </w:p>
        </w:tc>
        <w:tc>
          <w:tcPr>
            <w:tcW w:w="1915" w:type="dxa"/>
            <w:gridSpan w:val="2"/>
            <w:vAlign w:val="center"/>
          </w:tcPr>
          <w:p w14:paraId="2D7F9026">
            <w:pPr>
              <w:pStyle w:val="68"/>
              <w:spacing w:line="240" w:lineRule="auto"/>
              <w:rPr>
                <w:rFonts w:hint="eastAsia" w:ascii="宋体" w:hAnsi="宋体" w:eastAsia="宋体" w:cs="宋体"/>
                <w:snapToGrid w:val="0"/>
                <w:color w:val="000000" w:themeColor="text1"/>
                <w:sz w:val="21"/>
                <w:szCs w:val="21"/>
                <w:vertAlign w:val="baseline"/>
                <w:lang w:val="en-US" w:eastAsia="zh-CN"/>
                <w14:textFill>
                  <w14:solidFill>
                    <w14:schemeClr w14:val="tx1"/>
                  </w14:solidFill>
                </w14:textFill>
              </w:rPr>
            </w:pPr>
            <w:r>
              <w:rPr>
                <w:rFonts w:hint="eastAsia" w:ascii="宋体" w:hAnsi="宋体" w:eastAsia="宋体" w:cs="宋体"/>
                <w:snapToGrid w:val="0"/>
                <w:color w:val="000000" w:themeColor="text1"/>
                <w:sz w:val="21"/>
                <w:szCs w:val="21"/>
                <w:vertAlign w:val="baseline"/>
                <w:lang w:val="en-US" w:eastAsia="zh-CN"/>
                <w14:textFill>
                  <w14:solidFill>
                    <w14:schemeClr w14:val="tx1"/>
                  </w14:solidFill>
                </w14:textFill>
              </w:rPr>
              <w:t>*危险化学品管理</w:t>
            </w:r>
          </w:p>
        </w:tc>
        <w:tc>
          <w:tcPr>
            <w:tcW w:w="1838" w:type="dxa"/>
            <w:vAlign w:val="center"/>
          </w:tcPr>
          <w:p w14:paraId="7B16304E">
            <w:pPr>
              <w:pStyle w:val="68"/>
              <w:spacing w:line="240" w:lineRule="auto"/>
              <w:rPr>
                <w:rFonts w:hint="default" w:eastAsia="黑体"/>
                <w:snapToGrid w:val="0"/>
                <w:color w:val="000000" w:themeColor="text1"/>
                <w:sz w:val="21"/>
                <w:szCs w:val="21"/>
                <w:vertAlign w:val="baseline"/>
                <w:lang w:val="en-US" w:eastAsia="zh-CN"/>
                <w14:textFill>
                  <w14:solidFill>
                    <w14:schemeClr w14:val="tx1"/>
                  </w14:solidFill>
                </w14:textFill>
              </w:rPr>
            </w:pPr>
            <w:r>
              <w:rPr>
                <w:rFonts w:hint="eastAsia"/>
                <w:snapToGrid w:val="0"/>
                <w:color w:val="000000" w:themeColor="text1"/>
                <w:sz w:val="21"/>
                <w:szCs w:val="21"/>
                <w:vertAlign w:val="baseline"/>
                <w:lang w:val="en-US" w:eastAsia="zh-CN"/>
                <w14:textFill>
                  <w14:solidFill>
                    <w14:schemeClr w14:val="tx1"/>
                  </w14:solidFill>
                </w14:textFill>
              </w:rPr>
              <w:t>0.05</w:t>
            </w:r>
          </w:p>
        </w:tc>
        <w:tc>
          <w:tcPr>
            <w:tcW w:w="5093" w:type="dxa"/>
            <w:gridSpan w:val="3"/>
            <w:vAlign w:val="center"/>
          </w:tcPr>
          <w:p w14:paraId="3CADADFC">
            <w:pPr>
              <w:pStyle w:val="68"/>
              <w:spacing w:line="240" w:lineRule="auto"/>
              <w:rPr>
                <w:rFonts w:hint="default" w:ascii="Times New Roman" w:hAnsi="Times New Roman" w:eastAsia="宋体" w:cs="Times New Roman"/>
                <w:snapToGrid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snapToGrid w:val="0"/>
                <w:color w:val="000000" w:themeColor="text1"/>
                <w:sz w:val="21"/>
                <w:szCs w:val="21"/>
                <w:vertAlign w:val="baseline"/>
                <w:lang w:val="en-US" w:eastAsia="zh-CN"/>
                <w14:textFill>
                  <w14:solidFill>
                    <w14:schemeClr w14:val="tx1"/>
                  </w14:solidFill>
                </w14:textFill>
              </w:rPr>
              <w:t>符合《危险化学品安全管理条例》相关要求</w:t>
            </w:r>
          </w:p>
        </w:tc>
        <w:tc>
          <w:tcPr>
            <w:tcW w:w="1870" w:type="dxa"/>
            <w:vAlign w:val="center"/>
          </w:tcPr>
          <w:p w14:paraId="0F79B97A">
            <w:pPr>
              <w:pStyle w:val="68"/>
              <w:spacing w:line="240" w:lineRule="auto"/>
              <w:rPr>
                <w:rFonts w:hint="default" w:ascii="Times New Roman" w:hAnsi="Times New Roman" w:eastAsia="宋体" w:cs="Times New Roman"/>
                <w:snapToGrid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snapToGrid w:val="0"/>
                <w:color w:val="000000" w:themeColor="text1"/>
                <w:sz w:val="21"/>
                <w:szCs w:val="21"/>
                <w:vertAlign w:val="baseline"/>
                <w:lang w:val="en-US" w:eastAsia="zh-CN"/>
                <w14:textFill>
                  <w14:solidFill>
                    <w14:schemeClr w14:val="tx1"/>
                  </w14:solidFill>
                </w14:textFill>
              </w:rPr>
              <w:t>项目使用的危险化学品，按照相关要求进行管理</w:t>
            </w:r>
            <w:r>
              <w:rPr>
                <w:rFonts w:hint="eastAsia" w:ascii="宋体" w:hAnsi="宋体" w:eastAsia="宋体"/>
                <w:color w:val="000000" w:themeColor="text1"/>
                <w:sz w:val="21"/>
                <w:szCs w:val="21"/>
                <w:lang w:eastAsia="zh-CN"/>
                <w14:textFill>
                  <w14:solidFill>
                    <w14:schemeClr w14:val="tx1"/>
                  </w14:solidFill>
                </w14:textFill>
              </w:rPr>
              <w:t>，</w:t>
            </w:r>
            <w:r>
              <w:rPr>
                <w:rFonts w:hint="eastAsia" w:ascii="宋体" w:hAnsi="宋体" w:eastAsia="宋体"/>
                <w:color w:val="000000" w:themeColor="text1"/>
                <w:sz w:val="21"/>
                <w:szCs w:val="21"/>
                <w14:textFill>
                  <w14:solidFill>
                    <w14:schemeClr w14:val="tx1"/>
                  </w14:solidFill>
                </w14:textFill>
              </w:rPr>
              <w:t>达到</w:t>
            </w:r>
            <w:r>
              <w:rPr>
                <w:rFonts w:hint="eastAsia" w:ascii="TimesNewRomanPSMT" w:hAnsi="TimesNewRomanPSMT" w:eastAsia="TimesNewRomanPSMT"/>
                <w:color w:val="000000" w:themeColor="text1"/>
                <w:sz w:val="21"/>
                <w:szCs w:val="21"/>
                <w14:textFill>
                  <w14:solidFill>
                    <w14:schemeClr w14:val="tx1"/>
                  </w14:solidFill>
                </w14:textFill>
              </w:rPr>
              <w:t>Ⅰ</w:t>
            </w:r>
            <w:r>
              <w:rPr>
                <w:rFonts w:hint="eastAsia" w:ascii="宋体" w:hAnsi="宋体" w:eastAsia="宋体"/>
                <w:color w:val="000000" w:themeColor="text1"/>
                <w:sz w:val="21"/>
                <w:szCs w:val="21"/>
                <w14:textFill>
                  <w14:solidFill>
                    <w14:schemeClr w14:val="tx1"/>
                  </w14:solidFill>
                </w14:textFill>
              </w:rPr>
              <w:t>级基准值</w:t>
            </w:r>
          </w:p>
        </w:tc>
        <w:tc>
          <w:tcPr>
            <w:tcW w:w="1164" w:type="dxa"/>
            <w:vAlign w:val="center"/>
          </w:tcPr>
          <w:p w14:paraId="232B7C0C">
            <w:pPr>
              <w:pStyle w:val="68"/>
              <w:spacing w:line="240" w:lineRule="auto"/>
              <w:rPr>
                <w:rFonts w:hint="eastAsia" w:ascii="Times New Roman" w:hAnsi="Times New Roman" w:eastAsia="宋体" w:cs="Times New Roman"/>
                <w:snapToGrid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snapToGrid w:val="0"/>
                <w:color w:val="000000" w:themeColor="text1"/>
                <w:sz w:val="21"/>
                <w:szCs w:val="21"/>
                <w:vertAlign w:val="baseline"/>
                <w:lang w:val="en-US" w:eastAsia="zh-CN"/>
                <w14:textFill>
                  <w14:solidFill>
                    <w14:schemeClr w14:val="tx1"/>
                  </w14:solidFill>
                </w14:textFill>
              </w:rPr>
              <w:t>1</w:t>
            </w:r>
          </w:p>
        </w:tc>
      </w:tr>
      <w:tr w14:paraId="675463B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50" w:type="dxa"/>
            <w:vMerge w:val="restart"/>
            <w:vAlign w:val="center"/>
          </w:tcPr>
          <w:p w14:paraId="2FF08E44">
            <w:pPr>
              <w:pStyle w:val="68"/>
              <w:spacing w:line="240" w:lineRule="auto"/>
              <w:rPr>
                <w:rFonts w:hint="default" w:eastAsia="黑体"/>
                <w:snapToGrid w:val="0"/>
                <w:color w:val="000000" w:themeColor="text1"/>
                <w:sz w:val="21"/>
                <w:szCs w:val="21"/>
                <w:vertAlign w:val="baseline"/>
                <w:lang w:val="en-US" w:eastAsia="zh-CN"/>
                <w14:textFill>
                  <w14:solidFill>
                    <w14:schemeClr w14:val="tx1"/>
                  </w14:solidFill>
                </w14:textFill>
              </w:rPr>
            </w:pPr>
            <w:r>
              <w:rPr>
                <w:rFonts w:hint="eastAsia"/>
                <w:snapToGrid w:val="0"/>
                <w:color w:val="000000" w:themeColor="text1"/>
                <w:sz w:val="21"/>
                <w:szCs w:val="21"/>
                <w:vertAlign w:val="baseline"/>
                <w:lang w:val="en-US" w:eastAsia="zh-CN"/>
                <w14:textFill>
                  <w14:solidFill>
                    <w14:schemeClr w14:val="tx1"/>
                  </w14:solidFill>
                </w14:textFill>
              </w:rPr>
              <w:t>8</w:t>
            </w:r>
          </w:p>
        </w:tc>
        <w:tc>
          <w:tcPr>
            <w:tcW w:w="1462" w:type="dxa"/>
            <w:vMerge w:val="continue"/>
            <w:vAlign w:val="center"/>
          </w:tcPr>
          <w:p w14:paraId="37700221">
            <w:pPr>
              <w:pStyle w:val="68"/>
              <w:spacing w:line="240" w:lineRule="auto"/>
              <w:rPr>
                <w:snapToGrid w:val="0"/>
                <w:color w:val="000000" w:themeColor="text1"/>
                <w:sz w:val="21"/>
                <w:szCs w:val="21"/>
                <w:vertAlign w:val="baseline"/>
                <w14:textFill>
                  <w14:solidFill>
                    <w14:schemeClr w14:val="tx1"/>
                  </w14:solidFill>
                </w14:textFill>
              </w:rPr>
            </w:pPr>
          </w:p>
        </w:tc>
        <w:tc>
          <w:tcPr>
            <w:tcW w:w="1915" w:type="dxa"/>
            <w:gridSpan w:val="2"/>
            <w:vMerge w:val="restart"/>
            <w:vAlign w:val="center"/>
          </w:tcPr>
          <w:p w14:paraId="29EB3C4E">
            <w:pPr>
              <w:pStyle w:val="68"/>
              <w:spacing w:line="240" w:lineRule="auto"/>
              <w:rPr>
                <w:rFonts w:hint="eastAsia" w:ascii="宋体" w:hAnsi="宋体" w:eastAsia="宋体" w:cs="宋体"/>
                <w:snapToGrid w:val="0"/>
                <w:color w:val="000000" w:themeColor="text1"/>
                <w:sz w:val="21"/>
                <w:szCs w:val="21"/>
                <w:vertAlign w:val="baseline"/>
                <w:lang w:val="en-US" w:eastAsia="zh-CN"/>
                <w14:textFill>
                  <w14:solidFill>
                    <w14:schemeClr w14:val="tx1"/>
                  </w14:solidFill>
                </w14:textFill>
              </w:rPr>
            </w:pPr>
            <w:r>
              <w:rPr>
                <w:rFonts w:hint="eastAsia" w:ascii="宋体" w:hAnsi="宋体" w:eastAsia="宋体" w:cs="宋体"/>
                <w:snapToGrid w:val="0"/>
                <w:color w:val="000000" w:themeColor="text1"/>
                <w:sz w:val="21"/>
                <w:szCs w:val="21"/>
                <w:vertAlign w:val="baseline"/>
                <w:lang w:val="en-US" w:eastAsia="zh-CN"/>
                <w14:textFill>
                  <w14:solidFill>
                    <w14:schemeClr w14:val="tx1"/>
                  </w14:solidFill>
                </w14:textFill>
              </w:rPr>
              <w:t>水污染物排放管理</w:t>
            </w:r>
          </w:p>
        </w:tc>
        <w:tc>
          <w:tcPr>
            <w:tcW w:w="1838" w:type="dxa"/>
            <w:vAlign w:val="center"/>
          </w:tcPr>
          <w:p w14:paraId="7021145D">
            <w:pPr>
              <w:pStyle w:val="68"/>
              <w:spacing w:line="240" w:lineRule="auto"/>
              <w:rPr>
                <w:rFonts w:hint="default" w:eastAsia="黑体"/>
                <w:snapToGrid w:val="0"/>
                <w:color w:val="000000" w:themeColor="text1"/>
                <w:sz w:val="21"/>
                <w:szCs w:val="21"/>
                <w:vertAlign w:val="baseline"/>
                <w:lang w:val="en-US" w:eastAsia="zh-CN"/>
                <w14:textFill>
                  <w14:solidFill>
                    <w14:schemeClr w14:val="tx1"/>
                  </w14:solidFill>
                </w14:textFill>
              </w:rPr>
            </w:pPr>
            <w:r>
              <w:rPr>
                <w:rFonts w:hint="eastAsia"/>
                <w:snapToGrid w:val="0"/>
                <w:color w:val="000000" w:themeColor="text1"/>
                <w:sz w:val="21"/>
                <w:szCs w:val="21"/>
                <w:vertAlign w:val="baseline"/>
                <w:lang w:val="en-US" w:eastAsia="zh-CN"/>
                <w14:textFill>
                  <w14:solidFill>
                    <w14:schemeClr w14:val="tx1"/>
                  </w14:solidFill>
                </w14:textFill>
              </w:rPr>
              <w:t>0.03</w:t>
            </w:r>
          </w:p>
        </w:tc>
        <w:tc>
          <w:tcPr>
            <w:tcW w:w="5093" w:type="dxa"/>
            <w:gridSpan w:val="3"/>
            <w:vAlign w:val="center"/>
          </w:tcPr>
          <w:p w14:paraId="149323C4">
            <w:pPr>
              <w:pStyle w:val="68"/>
              <w:spacing w:line="240" w:lineRule="auto"/>
              <w:rPr>
                <w:snapToGrid w:val="0"/>
                <w:color w:val="000000" w:themeColor="text1"/>
                <w:sz w:val="21"/>
                <w:szCs w:val="21"/>
                <w:vertAlign w:val="baseline"/>
                <w14:textFill>
                  <w14:solidFill>
                    <w14:schemeClr w14:val="tx1"/>
                  </w14:solidFill>
                </w14:textFill>
              </w:rPr>
            </w:pPr>
            <w:r>
              <w:rPr>
                <w:rFonts w:hint="eastAsia" w:ascii="宋体" w:hAnsi="宋体" w:eastAsia="宋体" w:cs="宋体"/>
                <w:snapToGrid w:val="0"/>
                <w:color w:val="000000" w:themeColor="text1"/>
                <w:sz w:val="21"/>
                <w:szCs w:val="21"/>
                <w:vertAlign w:val="baseline"/>
                <w:lang w:val="en-US" w:eastAsia="zh-CN"/>
                <w14:textFill>
                  <w14:solidFill>
                    <w14:schemeClr w14:val="tx1"/>
                  </w14:solidFill>
                </w14:textFill>
              </w:rPr>
              <w:t>*厂区排水实行清污分流，雨污分流，污污分流；含重金属的洗浴废水和洗衣废水应按重金属废水处理</w:t>
            </w:r>
          </w:p>
        </w:tc>
        <w:tc>
          <w:tcPr>
            <w:tcW w:w="1870" w:type="dxa"/>
            <w:vAlign w:val="center"/>
          </w:tcPr>
          <w:p w14:paraId="686071CC">
            <w:pPr>
              <w:pStyle w:val="68"/>
              <w:spacing w:line="240" w:lineRule="auto"/>
              <w:rPr>
                <w:rFonts w:hint="eastAsia" w:ascii="Times New Roman" w:hAnsi="Times New Roman" w:eastAsia="宋体" w:cs="Times New Roman"/>
                <w:snapToGrid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snapToGrid w:val="0"/>
                <w:color w:val="000000" w:themeColor="text1"/>
                <w:sz w:val="21"/>
                <w:szCs w:val="21"/>
                <w:vertAlign w:val="baseline"/>
                <w:lang w:val="en-US" w:eastAsia="zh-CN"/>
                <w14:textFill>
                  <w14:solidFill>
                    <w14:schemeClr w14:val="tx1"/>
                  </w14:solidFill>
                </w14:textFill>
              </w:rPr>
              <w:t>项目实行雨污分流，污污分流，无重金属的洗浴废水和洗衣废水</w:t>
            </w:r>
            <w:r>
              <w:rPr>
                <w:rFonts w:hint="eastAsia" w:ascii="宋体" w:hAnsi="宋体" w:eastAsia="宋体"/>
                <w:color w:val="000000" w:themeColor="text1"/>
                <w:sz w:val="21"/>
                <w:szCs w:val="21"/>
                <w:lang w:eastAsia="zh-CN"/>
                <w14:textFill>
                  <w14:solidFill>
                    <w14:schemeClr w14:val="tx1"/>
                  </w14:solidFill>
                </w14:textFill>
              </w:rPr>
              <w:t>，</w:t>
            </w:r>
            <w:r>
              <w:rPr>
                <w:rFonts w:hint="eastAsia" w:ascii="宋体" w:hAnsi="宋体" w:eastAsia="宋体"/>
                <w:color w:val="000000" w:themeColor="text1"/>
                <w:sz w:val="21"/>
                <w:szCs w:val="21"/>
                <w14:textFill>
                  <w14:solidFill>
                    <w14:schemeClr w14:val="tx1"/>
                  </w14:solidFill>
                </w14:textFill>
              </w:rPr>
              <w:t>达到</w:t>
            </w:r>
            <w:r>
              <w:rPr>
                <w:rFonts w:hint="eastAsia" w:ascii="TimesNewRomanPSMT" w:hAnsi="TimesNewRomanPSMT" w:eastAsia="TimesNewRomanPSMT"/>
                <w:color w:val="000000" w:themeColor="text1"/>
                <w:sz w:val="21"/>
                <w:szCs w:val="21"/>
                <w14:textFill>
                  <w14:solidFill>
                    <w14:schemeClr w14:val="tx1"/>
                  </w14:solidFill>
                </w14:textFill>
              </w:rPr>
              <w:t>Ⅰ</w:t>
            </w:r>
            <w:r>
              <w:rPr>
                <w:rFonts w:hint="eastAsia" w:ascii="宋体" w:hAnsi="宋体" w:eastAsia="宋体"/>
                <w:color w:val="000000" w:themeColor="text1"/>
                <w:sz w:val="21"/>
                <w:szCs w:val="21"/>
                <w14:textFill>
                  <w14:solidFill>
                    <w14:schemeClr w14:val="tx1"/>
                  </w14:solidFill>
                </w14:textFill>
              </w:rPr>
              <w:t>级基准值</w:t>
            </w:r>
          </w:p>
        </w:tc>
        <w:tc>
          <w:tcPr>
            <w:tcW w:w="1164" w:type="dxa"/>
            <w:vAlign w:val="center"/>
          </w:tcPr>
          <w:p w14:paraId="31B784B7">
            <w:pPr>
              <w:pStyle w:val="68"/>
              <w:spacing w:line="240" w:lineRule="auto"/>
              <w:rPr>
                <w:rFonts w:hint="eastAsia" w:ascii="Times New Roman" w:hAnsi="Times New Roman" w:eastAsia="宋体" w:cs="Times New Roman"/>
                <w:snapToGrid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snapToGrid w:val="0"/>
                <w:color w:val="000000" w:themeColor="text1"/>
                <w:sz w:val="21"/>
                <w:szCs w:val="21"/>
                <w:vertAlign w:val="baseline"/>
                <w:lang w:val="en-US" w:eastAsia="zh-CN"/>
                <w14:textFill>
                  <w14:solidFill>
                    <w14:schemeClr w14:val="tx1"/>
                  </w14:solidFill>
                </w14:textFill>
              </w:rPr>
              <w:t>1</w:t>
            </w:r>
          </w:p>
        </w:tc>
      </w:tr>
      <w:tr w14:paraId="1EBBD1C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50" w:type="dxa"/>
            <w:vMerge w:val="continue"/>
            <w:vAlign w:val="center"/>
          </w:tcPr>
          <w:p w14:paraId="7A2236DE">
            <w:pPr>
              <w:pStyle w:val="68"/>
              <w:spacing w:line="240" w:lineRule="auto"/>
              <w:rPr>
                <w:rFonts w:hint="eastAsia" w:eastAsia="黑体"/>
                <w:snapToGrid w:val="0"/>
                <w:color w:val="000000" w:themeColor="text1"/>
                <w:sz w:val="21"/>
                <w:szCs w:val="21"/>
                <w:vertAlign w:val="baseline"/>
                <w:lang w:val="en-US" w:eastAsia="zh-CN"/>
                <w14:textFill>
                  <w14:solidFill>
                    <w14:schemeClr w14:val="tx1"/>
                  </w14:solidFill>
                </w14:textFill>
              </w:rPr>
            </w:pPr>
          </w:p>
        </w:tc>
        <w:tc>
          <w:tcPr>
            <w:tcW w:w="1462" w:type="dxa"/>
            <w:vMerge w:val="continue"/>
            <w:vAlign w:val="center"/>
          </w:tcPr>
          <w:p w14:paraId="6F85DD57">
            <w:pPr>
              <w:pStyle w:val="68"/>
              <w:spacing w:line="240" w:lineRule="auto"/>
              <w:rPr>
                <w:snapToGrid w:val="0"/>
                <w:color w:val="000000" w:themeColor="text1"/>
                <w:sz w:val="21"/>
                <w:szCs w:val="21"/>
                <w:vertAlign w:val="baseline"/>
                <w14:textFill>
                  <w14:solidFill>
                    <w14:schemeClr w14:val="tx1"/>
                  </w14:solidFill>
                </w14:textFill>
              </w:rPr>
            </w:pPr>
          </w:p>
        </w:tc>
        <w:tc>
          <w:tcPr>
            <w:tcW w:w="1915" w:type="dxa"/>
            <w:gridSpan w:val="2"/>
            <w:vMerge w:val="continue"/>
            <w:vAlign w:val="center"/>
          </w:tcPr>
          <w:p w14:paraId="0B40A482">
            <w:pPr>
              <w:pStyle w:val="68"/>
              <w:spacing w:line="240" w:lineRule="auto"/>
              <w:rPr>
                <w:rFonts w:hint="eastAsia" w:ascii="宋体" w:hAnsi="宋体" w:eastAsia="宋体" w:cs="宋体"/>
                <w:snapToGrid w:val="0"/>
                <w:color w:val="000000" w:themeColor="text1"/>
                <w:sz w:val="21"/>
                <w:szCs w:val="21"/>
                <w:vertAlign w:val="baseline"/>
                <w:lang w:val="en-US" w:eastAsia="zh-CN"/>
                <w14:textFill>
                  <w14:solidFill>
                    <w14:schemeClr w14:val="tx1"/>
                  </w14:solidFill>
                </w14:textFill>
              </w:rPr>
            </w:pPr>
          </w:p>
        </w:tc>
        <w:tc>
          <w:tcPr>
            <w:tcW w:w="1838" w:type="dxa"/>
            <w:vAlign w:val="center"/>
          </w:tcPr>
          <w:p w14:paraId="579DA5F3">
            <w:pPr>
              <w:pStyle w:val="68"/>
              <w:spacing w:line="240" w:lineRule="auto"/>
              <w:rPr>
                <w:rFonts w:hint="default" w:eastAsia="黑体"/>
                <w:snapToGrid w:val="0"/>
                <w:color w:val="000000" w:themeColor="text1"/>
                <w:sz w:val="21"/>
                <w:szCs w:val="21"/>
                <w:vertAlign w:val="baseline"/>
                <w:lang w:val="en-US" w:eastAsia="zh-CN"/>
                <w14:textFill>
                  <w14:solidFill>
                    <w14:schemeClr w14:val="tx1"/>
                  </w14:solidFill>
                </w14:textFill>
              </w:rPr>
            </w:pPr>
            <w:r>
              <w:rPr>
                <w:rFonts w:hint="eastAsia"/>
                <w:snapToGrid w:val="0"/>
                <w:color w:val="000000" w:themeColor="text1"/>
                <w:sz w:val="21"/>
                <w:szCs w:val="21"/>
                <w:vertAlign w:val="baseline"/>
                <w:lang w:val="en-US" w:eastAsia="zh-CN"/>
                <w14:textFill>
                  <w14:solidFill>
                    <w14:schemeClr w14:val="tx1"/>
                  </w14:solidFill>
                </w14:textFill>
              </w:rPr>
              <w:t>0.02</w:t>
            </w:r>
          </w:p>
        </w:tc>
        <w:tc>
          <w:tcPr>
            <w:tcW w:w="5093" w:type="dxa"/>
            <w:gridSpan w:val="3"/>
            <w:vAlign w:val="center"/>
          </w:tcPr>
          <w:p w14:paraId="2E9A2784">
            <w:pPr>
              <w:pStyle w:val="68"/>
              <w:spacing w:line="240" w:lineRule="auto"/>
              <w:rPr>
                <w:snapToGrid w:val="0"/>
                <w:color w:val="000000" w:themeColor="text1"/>
                <w:sz w:val="21"/>
                <w:szCs w:val="21"/>
                <w:vertAlign w:val="baseline"/>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含盐废水有效处理，含盐废水排放应符合CJ343</w:t>
            </w:r>
          </w:p>
        </w:tc>
        <w:tc>
          <w:tcPr>
            <w:tcW w:w="1870" w:type="dxa"/>
            <w:vAlign w:val="center"/>
          </w:tcPr>
          <w:p w14:paraId="78396C2A">
            <w:pPr>
              <w:pStyle w:val="68"/>
              <w:spacing w:line="240" w:lineRule="auto"/>
              <w:rPr>
                <w:rFonts w:hint="eastAsia" w:ascii="Times New Roman" w:hAnsi="Times New Roman" w:eastAsia="宋体" w:cs="Times New Roman"/>
                <w:snapToGrid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snapToGrid w:val="0"/>
                <w:color w:val="000000" w:themeColor="text1"/>
                <w:sz w:val="21"/>
                <w:szCs w:val="21"/>
                <w:vertAlign w:val="baseline"/>
                <w:lang w:val="en-US" w:eastAsia="zh-CN"/>
                <w14:textFill>
                  <w14:solidFill>
                    <w14:schemeClr w14:val="tx1"/>
                  </w14:solidFill>
                </w14:textFill>
              </w:rPr>
              <w:t>项目废水</w:t>
            </w:r>
            <w:r>
              <w:rPr>
                <w:rFonts w:hint="eastAsia" w:eastAsia="宋体" w:cs="Times New Roman"/>
                <w:snapToGrid w:val="0"/>
                <w:color w:val="000000" w:themeColor="text1"/>
                <w:sz w:val="21"/>
                <w:szCs w:val="21"/>
                <w:vertAlign w:val="baseline"/>
                <w:lang w:val="en-US" w:eastAsia="zh-CN"/>
                <w14:textFill>
                  <w14:solidFill>
                    <w14:schemeClr w14:val="tx1"/>
                  </w14:solidFill>
                </w14:textFill>
              </w:rPr>
              <w:t>经</w:t>
            </w:r>
            <w:r>
              <w:rPr>
                <w:rFonts w:hint="eastAsia" w:ascii="Times New Roman" w:hAnsi="Times New Roman" w:eastAsia="宋体" w:cs="Times New Roman"/>
                <w:snapToGrid w:val="0"/>
                <w:color w:val="000000" w:themeColor="text1"/>
                <w:sz w:val="21"/>
                <w:szCs w:val="21"/>
                <w:vertAlign w:val="baseline"/>
                <w:lang w:val="en-US" w:eastAsia="zh-CN"/>
                <w14:textFill>
                  <w14:solidFill>
                    <w14:schemeClr w14:val="tx1"/>
                  </w14:solidFill>
                </w14:textFill>
              </w:rPr>
              <w:t>处理后排放，符合相关要求</w:t>
            </w:r>
            <w:r>
              <w:rPr>
                <w:rFonts w:hint="eastAsia" w:ascii="宋体" w:hAnsi="宋体" w:eastAsia="宋体"/>
                <w:color w:val="000000" w:themeColor="text1"/>
                <w:sz w:val="21"/>
                <w:szCs w:val="21"/>
                <w:lang w:eastAsia="zh-CN"/>
                <w14:textFill>
                  <w14:solidFill>
                    <w14:schemeClr w14:val="tx1"/>
                  </w14:solidFill>
                </w14:textFill>
              </w:rPr>
              <w:t>，</w:t>
            </w:r>
            <w:r>
              <w:rPr>
                <w:rFonts w:hint="eastAsia" w:ascii="宋体" w:hAnsi="宋体" w:eastAsia="宋体"/>
                <w:color w:val="000000" w:themeColor="text1"/>
                <w:sz w:val="21"/>
                <w:szCs w:val="21"/>
                <w14:textFill>
                  <w14:solidFill>
                    <w14:schemeClr w14:val="tx1"/>
                  </w14:solidFill>
                </w14:textFill>
              </w:rPr>
              <w:t>达到</w:t>
            </w:r>
            <w:r>
              <w:rPr>
                <w:rFonts w:hint="eastAsia" w:ascii="TimesNewRomanPSMT" w:hAnsi="TimesNewRomanPSMT" w:eastAsia="TimesNewRomanPSMT"/>
                <w:color w:val="000000" w:themeColor="text1"/>
                <w:sz w:val="21"/>
                <w:szCs w:val="21"/>
                <w14:textFill>
                  <w14:solidFill>
                    <w14:schemeClr w14:val="tx1"/>
                  </w14:solidFill>
                </w14:textFill>
              </w:rPr>
              <w:t>Ⅰ</w:t>
            </w:r>
            <w:r>
              <w:rPr>
                <w:rFonts w:hint="eastAsia" w:ascii="宋体" w:hAnsi="宋体" w:eastAsia="宋体"/>
                <w:color w:val="000000" w:themeColor="text1"/>
                <w:sz w:val="21"/>
                <w:szCs w:val="21"/>
                <w14:textFill>
                  <w14:solidFill>
                    <w14:schemeClr w14:val="tx1"/>
                  </w14:solidFill>
                </w14:textFill>
              </w:rPr>
              <w:t>级基准值</w:t>
            </w:r>
          </w:p>
        </w:tc>
        <w:tc>
          <w:tcPr>
            <w:tcW w:w="1164" w:type="dxa"/>
            <w:vAlign w:val="center"/>
          </w:tcPr>
          <w:p w14:paraId="36F652AF">
            <w:pPr>
              <w:pStyle w:val="68"/>
              <w:spacing w:line="240" w:lineRule="auto"/>
              <w:rPr>
                <w:rFonts w:hint="default" w:ascii="Times New Roman" w:hAnsi="Times New Roman" w:eastAsia="宋体" w:cs="Times New Roman"/>
                <w:snapToGrid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snapToGrid w:val="0"/>
                <w:color w:val="000000" w:themeColor="text1"/>
                <w:sz w:val="21"/>
                <w:szCs w:val="21"/>
                <w:vertAlign w:val="baseline"/>
                <w:lang w:val="en-US" w:eastAsia="zh-CN"/>
                <w14:textFill>
                  <w14:solidFill>
                    <w14:schemeClr w14:val="tx1"/>
                  </w14:solidFill>
                </w14:textFill>
              </w:rPr>
              <w:t>0.4</w:t>
            </w:r>
          </w:p>
        </w:tc>
      </w:tr>
      <w:tr w14:paraId="48753C3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50" w:type="dxa"/>
            <w:vMerge w:val="restart"/>
            <w:vAlign w:val="center"/>
          </w:tcPr>
          <w:p w14:paraId="0F7BB495">
            <w:pPr>
              <w:pStyle w:val="68"/>
              <w:spacing w:line="240" w:lineRule="auto"/>
              <w:rPr>
                <w:rFonts w:hint="default" w:eastAsia="黑体"/>
                <w:snapToGrid w:val="0"/>
                <w:color w:val="000000" w:themeColor="text1"/>
                <w:sz w:val="21"/>
                <w:szCs w:val="21"/>
                <w:vertAlign w:val="baseline"/>
                <w:lang w:val="en-US" w:eastAsia="zh-CN"/>
                <w14:textFill>
                  <w14:solidFill>
                    <w14:schemeClr w14:val="tx1"/>
                  </w14:solidFill>
                </w14:textFill>
              </w:rPr>
            </w:pPr>
            <w:r>
              <w:rPr>
                <w:rFonts w:hint="eastAsia"/>
                <w:snapToGrid w:val="0"/>
                <w:color w:val="000000" w:themeColor="text1"/>
                <w:sz w:val="21"/>
                <w:szCs w:val="21"/>
                <w:vertAlign w:val="baseline"/>
                <w:lang w:val="en-US" w:eastAsia="zh-CN"/>
                <w14:textFill>
                  <w14:solidFill>
                    <w14:schemeClr w14:val="tx1"/>
                  </w14:solidFill>
                </w14:textFill>
              </w:rPr>
              <w:t>9</w:t>
            </w:r>
          </w:p>
        </w:tc>
        <w:tc>
          <w:tcPr>
            <w:tcW w:w="1462" w:type="dxa"/>
            <w:vMerge w:val="continue"/>
            <w:vAlign w:val="center"/>
          </w:tcPr>
          <w:p w14:paraId="74839B88">
            <w:pPr>
              <w:pStyle w:val="68"/>
              <w:spacing w:line="240" w:lineRule="auto"/>
              <w:rPr>
                <w:snapToGrid w:val="0"/>
                <w:color w:val="000000" w:themeColor="text1"/>
                <w:sz w:val="21"/>
                <w:szCs w:val="21"/>
                <w:vertAlign w:val="baseline"/>
                <w14:textFill>
                  <w14:solidFill>
                    <w14:schemeClr w14:val="tx1"/>
                  </w14:solidFill>
                </w14:textFill>
              </w:rPr>
            </w:pPr>
          </w:p>
        </w:tc>
        <w:tc>
          <w:tcPr>
            <w:tcW w:w="975" w:type="dxa"/>
            <w:vMerge w:val="restart"/>
            <w:vAlign w:val="center"/>
          </w:tcPr>
          <w:p w14:paraId="0A00280D">
            <w:pPr>
              <w:pStyle w:val="68"/>
              <w:spacing w:line="240" w:lineRule="auto"/>
              <w:rPr>
                <w:rFonts w:hint="eastAsia" w:ascii="宋体" w:hAnsi="宋体" w:eastAsia="宋体" w:cs="宋体"/>
                <w:snapToGrid w:val="0"/>
                <w:color w:val="000000" w:themeColor="text1"/>
                <w:sz w:val="21"/>
                <w:szCs w:val="21"/>
                <w:vertAlign w:val="baseline"/>
                <w:lang w:val="en-US" w:eastAsia="zh-CN"/>
                <w14:textFill>
                  <w14:solidFill>
                    <w14:schemeClr w14:val="tx1"/>
                  </w14:solidFill>
                </w14:textFill>
              </w:rPr>
            </w:pPr>
            <w:r>
              <w:rPr>
                <w:rFonts w:hint="eastAsia" w:ascii="宋体" w:hAnsi="宋体" w:eastAsia="宋体" w:cs="宋体"/>
                <w:snapToGrid w:val="0"/>
                <w:color w:val="000000" w:themeColor="text1"/>
                <w:sz w:val="21"/>
                <w:szCs w:val="21"/>
                <w:vertAlign w:val="baseline"/>
                <w:lang w:val="en-US" w:eastAsia="zh-CN"/>
                <w14:textFill>
                  <w14:solidFill>
                    <w14:schemeClr w14:val="tx1"/>
                  </w14:solidFill>
                </w14:textFill>
              </w:rPr>
              <w:t>污染物排放监测</w:t>
            </w:r>
          </w:p>
        </w:tc>
        <w:tc>
          <w:tcPr>
            <w:tcW w:w="940" w:type="dxa"/>
            <w:vAlign w:val="center"/>
          </w:tcPr>
          <w:p w14:paraId="79702853">
            <w:pPr>
              <w:pStyle w:val="68"/>
              <w:spacing w:line="240" w:lineRule="auto"/>
              <w:rPr>
                <w:rFonts w:hint="eastAsia" w:ascii="宋体" w:hAnsi="宋体" w:eastAsia="宋体" w:cs="宋体"/>
                <w:snapToGrid w:val="0"/>
                <w:color w:val="000000" w:themeColor="text1"/>
                <w:sz w:val="21"/>
                <w:szCs w:val="21"/>
                <w:vertAlign w:val="baseline"/>
                <w:lang w:val="en-US" w:eastAsia="zh-CN"/>
                <w14:textFill>
                  <w14:solidFill>
                    <w14:schemeClr w14:val="tx1"/>
                  </w14:solidFill>
                </w14:textFill>
              </w:rPr>
            </w:pPr>
            <w:r>
              <w:rPr>
                <w:rFonts w:hint="eastAsia" w:ascii="宋体" w:hAnsi="宋体" w:eastAsia="宋体" w:cs="宋体"/>
                <w:snapToGrid w:val="0"/>
                <w:color w:val="000000" w:themeColor="text1"/>
                <w:sz w:val="21"/>
                <w:szCs w:val="21"/>
                <w:vertAlign w:val="baseline"/>
                <w:lang w:val="en-US" w:eastAsia="zh-CN"/>
                <w14:textFill>
                  <w14:solidFill>
                    <w14:schemeClr w14:val="tx1"/>
                  </w14:solidFill>
                </w14:textFill>
              </w:rPr>
              <w:t>在线监测设备</w:t>
            </w:r>
          </w:p>
        </w:tc>
        <w:tc>
          <w:tcPr>
            <w:tcW w:w="1838" w:type="dxa"/>
            <w:vAlign w:val="center"/>
          </w:tcPr>
          <w:p w14:paraId="6CFC1892">
            <w:pPr>
              <w:pStyle w:val="68"/>
              <w:spacing w:line="240" w:lineRule="auto"/>
              <w:rPr>
                <w:rFonts w:hint="default" w:eastAsia="黑体"/>
                <w:snapToGrid w:val="0"/>
                <w:color w:val="000000" w:themeColor="text1"/>
                <w:sz w:val="21"/>
                <w:szCs w:val="21"/>
                <w:vertAlign w:val="baseline"/>
                <w:lang w:val="en-US" w:eastAsia="zh-CN"/>
                <w14:textFill>
                  <w14:solidFill>
                    <w14:schemeClr w14:val="tx1"/>
                  </w14:solidFill>
                </w14:textFill>
              </w:rPr>
            </w:pPr>
            <w:r>
              <w:rPr>
                <w:rFonts w:hint="eastAsia"/>
                <w:snapToGrid w:val="0"/>
                <w:color w:val="000000" w:themeColor="text1"/>
                <w:sz w:val="21"/>
                <w:szCs w:val="21"/>
                <w:vertAlign w:val="baseline"/>
                <w:lang w:val="en-US" w:eastAsia="zh-CN"/>
                <w14:textFill>
                  <w14:solidFill>
                    <w14:schemeClr w14:val="tx1"/>
                  </w14:solidFill>
                </w14:textFill>
              </w:rPr>
              <w:t>0.02</w:t>
            </w:r>
          </w:p>
        </w:tc>
        <w:tc>
          <w:tcPr>
            <w:tcW w:w="2059" w:type="dxa"/>
            <w:vAlign w:val="center"/>
          </w:tcPr>
          <w:p w14:paraId="7206EB7A">
            <w:pPr>
              <w:pStyle w:val="68"/>
              <w:spacing w:line="240" w:lineRule="auto"/>
              <w:rPr>
                <w:rFonts w:hint="eastAsia" w:eastAsia="宋体"/>
                <w:snapToGrid w:val="0"/>
                <w:color w:val="000000" w:themeColor="text1"/>
                <w:sz w:val="21"/>
                <w:szCs w:val="21"/>
                <w:vertAlign w:val="baseline"/>
                <w:lang w:eastAsia="zh-CN"/>
                <w14:textFill>
                  <w14:solidFill>
                    <w14:schemeClr w14:val="tx1"/>
                  </w14:solidFill>
                </w14:textFill>
              </w:rPr>
            </w:pPr>
            <w:r>
              <w:rPr>
                <w:rFonts w:ascii="宋体" w:hAnsi="宋体" w:eastAsia="宋体" w:cs="宋体"/>
                <w:color w:val="000000" w:themeColor="text1"/>
                <w:sz w:val="21"/>
                <w:szCs w:val="21"/>
                <w14:textFill>
                  <w14:solidFill>
                    <w14:schemeClr w14:val="tx1"/>
                  </w14:solidFill>
                </w14:textFill>
              </w:rPr>
              <w:t>安装废气、废水重金属在线监测</w:t>
            </w:r>
            <w:r>
              <w:rPr>
                <w:rFonts w:hint="eastAsia" w:ascii="宋体" w:hAnsi="宋体" w:eastAsia="宋体" w:cs="宋体"/>
                <w:color w:val="000000" w:themeColor="text1"/>
                <w:sz w:val="21"/>
                <w:szCs w:val="21"/>
                <w:lang w:val="en-US" w:eastAsia="zh-CN"/>
                <w14:textFill>
                  <w14:solidFill>
                    <w14:schemeClr w14:val="tx1"/>
                  </w14:solidFill>
                </w14:textFill>
              </w:rPr>
              <w:t>设备</w:t>
            </w:r>
          </w:p>
        </w:tc>
        <w:tc>
          <w:tcPr>
            <w:tcW w:w="3034" w:type="dxa"/>
            <w:gridSpan w:val="2"/>
            <w:vAlign w:val="center"/>
          </w:tcPr>
          <w:p w14:paraId="1B9D0E61">
            <w:pPr>
              <w:pStyle w:val="68"/>
              <w:spacing w:line="240" w:lineRule="auto"/>
              <w:rPr>
                <w:snapToGrid w:val="0"/>
                <w:color w:val="000000" w:themeColor="text1"/>
                <w:sz w:val="21"/>
                <w:szCs w:val="21"/>
                <w:vertAlign w:val="baseline"/>
                <w14:textFill>
                  <w14:solidFill>
                    <w14:schemeClr w14:val="tx1"/>
                  </w14:solidFill>
                </w14:textFill>
              </w:rPr>
            </w:pPr>
            <w:r>
              <w:rPr>
                <w:rFonts w:ascii="宋体" w:hAnsi="宋体" w:eastAsia="宋体" w:cs="宋体"/>
                <w:color w:val="000000" w:themeColor="text1"/>
                <w:sz w:val="21"/>
                <w:szCs w:val="21"/>
                <w14:textFill>
                  <w14:solidFill>
                    <w14:schemeClr w14:val="tx1"/>
                  </w14:solidFill>
                </w14:textFill>
              </w:rPr>
              <w:t>安装废水重金属在线监测设备</w:t>
            </w:r>
          </w:p>
        </w:tc>
        <w:tc>
          <w:tcPr>
            <w:tcW w:w="1870" w:type="dxa"/>
            <w:vAlign w:val="center"/>
          </w:tcPr>
          <w:p w14:paraId="78D25B7D">
            <w:pPr>
              <w:pStyle w:val="68"/>
              <w:spacing w:line="240" w:lineRule="auto"/>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项目无需安装废气、废水重金属安装在线监测设备</w:t>
            </w:r>
          </w:p>
        </w:tc>
        <w:tc>
          <w:tcPr>
            <w:tcW w:w="1164" w:type="dxa"/>
            <w:vAlign w:val="center"/>
          </w:tcPr>
          <w:p w14:paraId="583190F5">
            <w:pPr>
              <w:pStyle w:val="68"/>
              <w:spacing w:line="240" w:lineRule="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0</w:t>
            </w:r>
          </w:p>
        </w:tc>
      </w:tr>
      <w:tr w14:paraId="6EA8C06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50" w:type="dxa"/>
            <w:vMerge w:val="continue"/>
            <w:vAlign w:val="center"/>
          </w:tcPr>
          <w:p w14:paraId="71847636">
            <w:pPr>
              <w:pStyle w:val="68"/>
              <w:spacing w:line="240" w:lineRule="auto"/>
              <w:rPr>
                <w:rFonts w:hint="default" w:eastAsia="黑体"/>
                <w:snapToGrid w:val="0"/>
                <w:color w:val="000000" w:themeColor="text1"/>
                <w:sz w:val="21"/>
                <w:szCs w:val="21"/>
                <w:vertAlign w:val="baseline"/>
                <w:lang w:val="en-US" w:eastAsia="zh-CN"/>
                <w14:textFill>
                  <w14:solidFill>
                    <w14:schemeClr w14:val="tx1"/>
                  </w14:solidFill>
                </w14:textFill>
              </w:rPr>
            </w:pPr>
          </w:p>
        </w:tc>
        <w:tc>
          <w:tcPr>
            <w:tcW w:w="1462" w:type="dxa"/>
            <w:vMerge w:val="continue"/>
            <w:vAlign w:val="center"/>
          </w:tcPr>
          <w:p w14:paraId="5B791EFC">
            <w:pPr>
              <w:pStyle w:val="68"/>
              <w:spacing w:line="240" w:lineRule="auto"/>
              <w:rPr>
                <w:snapToGrid w:val="0"/>
                <w:color w:val="000000" w:themeColor="text1"/>
                <w:sz w:val="21"/>
                <w:szCs w:val="21"/>
                <w:vertAlign w:val="baseline"/>
                <w14:textFill>
                  <w14:solidFill>
                    <w14:schemeClr w14:val="tx1"/>
                  </w14:solidFill>
                </w14:textFill>
              </w:rPr>
            </w:pPr>
          </w:p>
        </w:tc>
        <w:tc>
          <w:tcPr>
            <w:tcW w:w="975" w:type="dxa"/>
            <w:vMerge w:val="continue"/>
            <w:vAlign w:val="center"/>
          </w:tcPr>
          <w:p w14:paraId="2A511E38">
            <w:pPr>
              <w:pStyle w:val="68"/>
              <w:spacing w:line="240" w:lineRule="auto"/>
              <w:rPr>
                <w:rFonts w:hint="eastAsia" w:ascii="宋体" w:hAnsi="宋体" w:eastAsia="宋体" w:cs="宋体"/>
                <w:snapToGrid w:val="0"/>
                <w:color w:val="000000" w:themeColor="text1"/>
                <w:sz w:val="21"/>
                <w:szCs w:val="21"/>
                <w:vertAlign w:val="baseline"/>
                <w:lang w:val="en-US" w:eastAsia="zh-CN"/>
                <w14:textFill>
                  <w14:solidFill>
                    <w14:schemeClr w14:val="tx1"/>
                  </w14:solidFill>
                </w14:textFill>
              </w:rPr>
            </w:pPr>
          </w:p>
        </w:tc>
        <w:tc>
          <w:tcPr>
            <w:tcW w:w="940" w:type="dxa"/>
            <w:vAlign w:val="center"/>
          </w:tcPr>
          <w:p w14:paraId="48CBB43E">
            <w:pPr>
              <w:pStyle w:val="68"/>
              <w:spacing w:line="240" w:lineRule="auto"/>
              <w:rPr>
                <w:rFonts w:hint="eastAsia" w:ascii="宋体" w:hAnsi="宋体" w:eastAsia="宋体" w:cs="宋体"/>
                <w:snapToGrid w:val="0"/>
                <w:color w:val="000000" w:themeColor="text1"/>
                <w:sz w:val="21"/>
                <w:szCs w:val="21"/>
                <w:vertAlign w:val="baseline"/>
                <w:lang w:val="en-US" w:eastAsia="zh-CN"/>
                <w14:textFill>
                  <w14:solidFill>
                    <w14:schemeClr w14:val="tx1"/>
                  </w14:solidFill>
                </w14:textFill>
              </w:rPr>
            </w:pPr>
            <w:r>
              <w:rPr>
                <w:rFonts w:hint="eastAsia" w:ascii="宋体" w:hAnsi="宋体" w:eastAsia="宋体" w:cs="宋体"/>
                <w:snapToGrid w:val="0"/>
                <w:color w:val="000000" w:themeColor="text1"/>
                <w:sz w:val="21"/>
                <w:szCs w:val="21"/>
                <w:vertAlign w:val="baseline"/>
                <w:lang w:val="en-US" w:eastAsia="zh-CN"/>
                <w14:textFill>
                  <w14:solidFill>
                    <w14:schemeClr w14:val="tx1"/>
                  </w14:solidFill>
                </w14:textFill>
              </w:rPr>
              <w:t>监测能力建设</w:t>
            </w:r>
          </w:p>
        </w:tc>
        <w:tc>
          <w:tcPr>
            <w:tcW w:w="1838" w:type="dxa"/>
            <w:vAlign w:val="center"/>
          </w:tcPr>
          <w:p w14:paraId="0AB1EC08">
            <w:pPr>
              <w:pStyle w:val="68"/>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0.03</w:t>
            </w:r>
          </w:p>
        </w:tc>
        <w:tc>
          <w:tcPr>
            <w:tcW w:w="3576" w:type="dxa"/>
            <w:gridSpan w:val="2"/>
            <w:vAlign w:val="center"/>
          </w:tcPr>
          <w:p w14:paraId="6CF79FEC">
            <w:pPr>
              <w:pStyle w:val="68"/>
              <w:spacing w:line="240" w:lineRule="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具备自行环境监测能力；对污染物排放状况及其对周边环境质量的影响开展自行监测</w:t>
            </w:r>
          </w:p>
        </w:tc>
        <w:tc>
          <w:tcPr>
            <w:tcW w:w="1517" w:type="dxa"/>
            <w:vAlign w:val="center"/>
          </w:tcPr>
          <w:p w14:paraId="13808CB5">
            <w:pPr>
              <w:pStyle w:val="68"/>
              <w:spacing w:line="240" w:lineRule="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具备自行环境监测能力；对污染物排放状况开展自行监测</w:t>
            </w:r>
          </w:p>
        </w:tc>
        <w:tc>
          <w:tcPr>
            <w:tcW w:w="1870" w:type="dxa"/>
            <w:vAlign w:val="center"/>
          </w:tcPr>
          <w:p w14:paraId="6E65121E">
            <w:pPr>
              <w:pStyle w:val="68"/>
              <w:spacing w:line="240" w:lineRule="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项目委托第三方具有监测能力的公司</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定期</w:t>
            </w:r>
            <w:r>
              <w:rPr>
                <w:rFonts w:hint="default" w:ascii="Times New Roman" w:hAnsi="Times New Roman" w:eastAsia="宋体" w:cs="Times New Roman"/>
                <w:color w:val="000000" w:themeColor="text1"/>
                <w:sz w:val="21"/>
                <w:szCs w:val="21"/>
                <w14:textFill>
                  <w14:solidFill>
                    <w14:schemeClr w14:val="tx1"/>
                  </w14:solidFill>
                </w14:textFill>
              </w:rPr>
              <w:t>对污染物排放开展自行监测</w:t>
            </w:r>
            <w:r>
              <w:rPr>
                <w:rFonts w:hint="eastAsia" w:ascii="宋体" w:hAnsi="宋体" w:eastAsia="宋体"/>
                <w:color w:val="000000" w:themeColor="text1"/>
                <w:sz w:val="21"/>
                <w:szCs w:val="21"/>
                <w:lang w:eastAsia="zh-CN"/>
                <w14:textFill>
                  <w14:solidFill>
                    <w14:schemeClr w14:val="tx1"/>
                  </w14:solidFill>
                </w14:textFill>
              </w:rPr>
              <w:t>，</w:t>
            </w:r>
            <w:r>
              <w:rPr>
                <w:rFonts w:hint="eastAsia" w:ascii="宋体" w:hAnsi="宋体" w:eastAsia="宋体"/>
                <w:color w:val="000000" w:themeColor="text1"/>
                <w:sz w:val="21"/>
                <w:szCs w:val="21"/>
                <w14:textFill>
                  <w14:solidFill>
                    <w14:schemeClr w14:val="tx1"/>
                  </w14:solidFill>
                </w14:textFill>
              </w:rPr>
              <w:t>达到</w:t>
            </w:r>
            <w:r>
              <w:rPr>
                <w:rFonts w:hint="eastAsia" w:ascii="TimesNewRomanPSMT" w:hAnsi="TimesNewRomanPSMT" w:eastAsia="TimesNewRomanPSMT"/>
                <w:color w:val="000000" w:themeColor="text1"/>
                <w:sz w:val="21"/>
                <w:szCs w:val="21"/>
                <w14:textFill>
                  <w14:solidFill>
                    <w14:schemeClr w14:val="tx1"/>
                  </w14:solidFill>
                </w14:textFill>
              </w:rPr>
              <w:t>ⅠⅠⅠ</w:t>
            </w:r>
            <w:r>
              <w:rPr>
                <w:rFonts w:hint="eastAsia" w:ascii="宋体" w:hAnsi="宋体" w:eastAsia="宋体"/>
                <w:color w:val="000000" w:themeColor="text1"/>
                <w:sz w:val="21"/>
                <w:szCs w:val="21"/>
                <w14:textFill>
                  <w14:solidFill>
                    <w14:schemeClr w14:val="tx1"/>
                  </w14:solidFill>
                </w14:textFill>
              </w:rPr>
              <w:t>级基准值</w:t>
            </w:r>
          </w:p>
        </w:tc>
        <w:tc>
          <w:tcPr>
            <w:tcW w:w="1164" w:type="dxa"/>
            <w:vAlign w:val="center"/>
          </w:tcPr>
          <w:p w14:paraId="46BEF7C4">
            <w:pPr>
              <w:pStyle w:val="68"/>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0.6</w:t>
            </w:r>
          </w:p>
        </w:tc>
      </w:tr>
      <w:tr w14:paraId="6ADFC38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50" w:type="dxa"/>
            <w:vAlign w:val="center"/>
          </w:tcPr>
          <w:p w14:paraId="2365E26C">
            <w:pPr>
              <w:pStyle w:val="68"/>
              <w:spacing w:line="240" w:lineRule="auto"/>
              <w:rPr>
                <w:rFonts w:hint="default" w:eastAsia="黑体"/>
                <w:snapToGrid w:val="0"/>
                <w:color w:val="000000" w:themeColor="text1"/>
                <w:sz w:val="21"/>
                <w:szCs w:val="21"/>
                <w:vertAlign w:val="baseline"/>
                <w:lang w:val="en-US" w:eastAsia="zh-CN"/>
                <w14:textFill>
                  <w14:solidFill>
                    <w14:schemeClr w14:val="tx1"/>
                  </w14:solidFill>
                </w14:textFill>
              </w:rPr>
            </w:pPr>
            <w:r>
              <w:rPr>
                <w:rFonts w:hint="eastAsia"/>
                <w:snapToGrid w:val="0"/>
                <w:color w:val="000000" w:themeColor="text1"/>
                <w:sz w:val="21"/>
                <w:szCs w:val="21"/>
                <w:vertAlign w:val="baseline"/>
                <w:lang w:val="en-US" w:eastAsia="zh-CN"/>
                <w14:textFill>
                  <w14:solidFill>
                    <w14:schemeClr w14:val="tx1"/>
                  </w14:solidFill>
                </w14:textFill>
              </w:rPr>
              <w:t>10</w:t>
            </w:r>
          </w:p>
        </w:tc>
        <w:tc>
          <w:tcPr>
            <w:tcW w:w="1462" w:type="dxa"/>
            <w:vMerge w:val="continue"/>
            <w:vAlign w:val="center"/>
          </w:tcPr>
          <w:p w14:paraId="5B3C4F6E">
            <w:pPr>
              <w:pStyle w:val="68"/>
              <w:spacing w:line="240" w:lineRule="auto"/>
              <w:rPr>
                <w:snapToGrid w:val="0"/>
                <w:color w:val="000000" w:themeColor="text1"/>
                <w:sz w:val="21"/>
                <w:szCs w:val="21"/>
                <w:vertAlign w:val="baseline"/>
                <w14:textFill>
                  <w14:solidFill>
                    <w14:schemeClr w14:val="tx1"/>
                  </w14:solidFill>
                </w14:textFill>
              </w:rPr>
            </w:pPr>
          </w:p>
        </w:tc>
        <w:tc>
          <w:tcPr>
            <w:tcW w:w="1915" w:type="dxa"/>
            <w:gridSpan w:val="2"/>
            <w:vAlign w:val="center"/>
          </w:tcPr>
          <w:p w14:paraId="2AD0FFBD">
            <w:pPr>
              <w:pStyle w:val="68"/>
              <w:spacing w:line="240" w:lineRule="auto"/>
              <w:rPr>
                <w:rFonts w:hint="eastAsia" w:ascii="宋体" w:hAnsi="宋体" w:eastAsia="宋体" w:cs="宋体"/>
                <w:snapToGrid w:val="0"/>
                <w:color w:val="000000" w:themeColor="text1"/>
                <w:sz w:val="21"/>
                <w:szCs w:val="21"/>
                <w:vertAlign w:val="baseline"/>
                <w:lang w:val="en-US" w:eastAsia="zh-CN"/>
                <w14:textFill>
                  <w14:solidFill>
                    <w14:schemeClr w14:val="tx1"/>
                  </w14:solidFill>
                </w14:textFill>
              </w:rPr>
            </w:pPr>
            <w:r>
              <w:rPr>
                <w:rFonts w:hint="eastAsia" w:ascii="宋体" w:hAnsi="宋体" w:eastAsia="宋体" w:cs="宋体"/>
                <w:snapToGrid w:val="0"/>
                <w:color w:val="000000" w:themeColor="text1"/>
                <w:sz w:val="21"/>
                <w:szCs w:val="21"/>
                <w:vertAlign w:val="baseline"/>
                <w:lang w:val="en-US" w:eastAsia="zh-CN"/>
                <w14:textFill>
                  <w14:solidFill>
                    <w14:schemeClr w14:val="tx1"/>
                  </w14:solidFill>
                </w14:textFill>
              </w:rPr>
              <w:t>*排放口管理</w:t>
            </w:r>
          </w:p>
        </w:tc>
        <w:tc>
          <w:tcPr>
            <w:tcW w:w="1838" w:type="dxa"/>
            <w:vAlign w:val="center"/>
          </w:tcPr>
          <w:p w14:paraId="0E61AA82">
            <w:pPr>
              <w:pStyle w:val="68"/>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0.05</w:t>
            </w:r>
          </w:p>
        </w:tc>
        <w:tc>
          <w:tcPr>
            <w:tcW w:w="5093" w:type="dxa"/>
            <w:gridSpan w:val="3"/>
            <w:vAlign w:val="center"/>
          </w:tcPr>
          <w:p w14:paraId="55AEB19E">
            <w:pPr>
              <w:pStyle w:val="68"/>
              <w:spacing w:line="240" w:lineRule="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排污口符合《排污口规范化整治技术要求（试行）》相关要求</w:t>
            </w:r>
          </w:p>
        </w:tc>
        <w:tc>
          <w:tcPr>
            <w:tcW w:w="1870" w:type="dxa"/>
            <w:vAlign w:val="center"/>
          </w:tcPr>
          <w:p w14:paraId="45D36BE7">
            <w:pPr>
              <w:pStyle w:val="68"/>
              <w:spacing w:line="240" w:lineRule="auto"/>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项目排污口按照GB15562、HJ1276 等要求进行建设</w:t>
            </w:r>
            <w:r>
              <w:rPr>
                <w:rFonts w:hint="eastAsia" w:ascii="宋体" w:hAnsi="宋体" w:eastAsia="宋体"/>
                <w:color w:val="000000" w:themeColor="text1"/>
                <w:sz w:val="21"/>
                <w:szCs w:val="21"/>
                <w:lang w:eastAsia="zh-CN"/>
                <w14:textFill>
                  <w14:solidFill>
                    <w14:schemeClr w14:val="tx1"/>
                  </w14:solidFill>
                </w14:textFill>
              </w:rPr>
              <w:t>，</w:t>
            </w:r>
            <w:r>
              <w:rPr>
                <w:rFonts w:hint="eastAsia" w:ascii="宋体" w:hAnsi="宋体" w:eastAsia="宋体"/>
                <w:color w:val="000000" w:themeColor="text1"/>
                <w:sz w:val="21"/>
                <w:szCs w:val="21"/>
                <w14:textFill>
                  <w14:solidFill>
                    <w14:schemeClr w14:val="tx1"/>
                  </w14:solidFill>
                </w14:textFill>
              </w:rPr>
              <w:t>达到</w:t>
            </w:r>
            <w:r>
              <w:rPr>
                <w:rFonts w:hint="eastAsia" w:ascii="TimesNewRomanPSMT" w:hAnsi="TimesNewRomanPSMT" w:eastAsia="TimesNewRomanPSMT"/>
                <w:color w:val="000000" w:themeColor="text1"/>
                <w:sz w:val="21"/>
                <w:szCs w:val="21"/>
                <w14:textFill>
                  <w14:solidFill>
                    <w14:schemeClr w14:val="tx1"/>
                  </w14:solidFill>
                </w14:textFill>
              </w:rPr>
              <w:t>Ⅰ</w:t>
            </w:r>
            <w:r>
              <w:rPr>
                <w:rFonts w:hint="eastAsia" w:ascii="宋体" w:hAnsi="宋体" w:eastAsia="宋体"/>
                <w:color w:val="000000" w:themeColor="text1"/>
                <w:sz w:val="21"/>
                <w:szCs w:val="21"/>
                <w14:textFill>
                  <w14:solidFill>
                    <w14:schemeClr w14:val="tx1"/>
                  </w14:solidFill>
                </w14:textFill>
              </w:rPr>
              <w:t>级基准值</w:t>
            </w:r>
          </w:p>
        </w:tc>
        <w:tc>
          <w:tcPr>
            <w:tcW w:w="1164" w:type="dxa"/>
            <w:vAlign w:val="center"/>
          </w:tcPr>
          <w:p w14:paraId="3F7105DE">
            <w:pPr>
              <w:pStyle w:val="68"/>
              <w:spacing w:line="240" w:lineRule="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1</w:t>
            </w:r>
          </w:p>
        </w:tc>
      </w:tr>
      <w:tr w14:paraId="023B413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50" w:type="dxa"/>
            <w:vMerge w:val="restart"/>
            <w:vAlign w:val="center"/>
          </w:tcPr>
          <w:p w14:paraId="64D70AF7">
            <w:pPr>
              <w:pStyle w:val="68"/>
              <w:spacing w:line="240" w:lineRule="auto"/>
              <w:rPr>
                <w:rFonts w:hint="default" w:eastAsia="黑体"/>
                <w:snapToGrid w:val="0"/>
                <w:color w:val="000000" w:themeColor="text1"/>
                <w:sz w:val="21"/>
                <w:szCs w:val="21"/>
                <w:vertAlign w:val="baseline"/>
                <w:lang w:val="en-US" w:eastAsia="zh-CN"/>
                <w14:textFill>
                  <w14:solidFill>
                    <w14:schemeClr w14:val="tx1"/>
                  </w14:solidFill>
                </w14:textFill>
              </w:rPr>
            </w:pPr>
            <w:r>
              <w:rPr>
                <w:rFonts w:hint="eastAsia"/>
                <w:snapToGrid w:val="0"/>
                <w:color w:val="000000" w:themeColor="text1"/>
                <w:sz w:val="21"/>
                <w:szCs w:val="21"/>
                <w:vertAlign w:val="baseline"/>
                <w:lang w:val="en-US" w:eastAsia="zh-CN"/>
                <w14:textFill>
                  <w14:solidFill>
                    <w14:schemeClr w14:val="tx1"/>
                  </w14:solidFill>
                </w14:textFill>
              </w:rPr>
              <w:t>11</w:t>
            </w:r>
          </w:p>
        </w:tc>
        <w:tc>
          <w:tcPr>
            <w:tcW w:w="1462" w:type="dxa"/>
            <w:vMerge w:val="continue"/>
            <w:vAlign w:val="center"/>
          </w:tcPr>
          <w:p w14:paraId="60AC6F70">
            <w:pPr>
              <w:pStyle w:val="68"/>
              <w:spacing w:line="240" w:lineRule="auto"/>
              <w:rPr>
                <w:snapToGrid w:val="0"/>
                <w:color w:val="000000" w:themeColor="text1"/>
                <w:sz w:val="21"/>
                <w:szCs w:val="21"/>
                <w:vertAlign w:val="baseline"/>
                <w14:textFill>
                  <w14:solidFill>
                    <w14:schemeClr w14:val="tx1"/>
                  </w14:solidFill>
                </w14:textFill>
              </w:rPr>
            </w:pPr>
          </w:p>
        </w:tc>
        <w:tc>
          <w:tcPr>
            <w:tcW w:w="975" w:type="dxa"/>
            <w:vMerge w:val="restart"/>
            <w:vAlign w:val="center"/>
          </w:tcPr>
          <w:p w14:paraId="141ABE12">
            <w:pPr>
              <w:pStyle w:val="68"/>
              <w:spacing w:line="240" w:lineRule="auto"/>
              <w:rPr>
                <w:rFonts w:hint="eastAsia" w:ascii="宋体" w:hAnsi="宋体" w:eastAsia="宋体" w:cs="宋体"/>
                <w:snapToGrid w:val="0"/>
                <w:color w:val="000000" w:themeColor="text1"/>
                <w:sz w:val="21"/>
                <w:szCs w:val="21"/>
                <w:vertAlign w:val="baseline"/>
                <w:lang w:val="en-US" w:eastAsia="zh-CN"/>
                <w14:textFill>
                  <w14:solidFill>
                    <w14:schemeClr w14:val="tx1"/>
                  </w14:solidFill>
                </w14:textFill>
              </w:rPr>
            </w:pPr>
            <w:r>
              <w:rPr>
                <w:rFonts w:hint="eastAsia" w:ascii="宋体" w:hAnsi="宋体" w:eastAsia="宋体" w:cs="宋体"/>
                <w:snapToGrid w:val="0"/>
                <w:color w:val="000000" w:themeColor="text1"/>
                <w:sz w:val="21"/>
                <w:szCs w:val="21"/>
                <w:vertAlign w:val="baseline"/>
                <w:lang w:val="en-US" w:eastAsia="zh-CN"/>
                <w14:textFill>
                  <w14:solidFill>
                    <w14:schemeClr w14:val="tx1"/>
                  </w14:solidFill>
                </w14:textFill>
              </w:rPr>
              <w:t>*固体废物处理处置</w:t>
            </w:r>
          </w:p>
        </w:tc>
        <w:tc>
          <w:tcPr>
            <w:tcW w:w="940" w:type="dxa"/>
            <w:vAlign w:val="center"/>
          </w:tcPr>
          <w:p w14:paraId="3B7A1622">
            <w:pPr>
              <w:pStyle w:val="68"/>
              <w:spacing w:line="240" w:lineRule="auto"/>
              <w:rPr>
                <w:rFonts w:hint="eastAsia" w:ascii="宋体" w:hAnsi="宋体" w:eastAsia="宋体" w:cs="宋体"/>
                <w:snapToGrid w:val="0"/>
                <w:color w:val="000000" w:themeColor="text1"/>
                <w:sz w:val="21"/>
                <w:szCs w:val="21"/>
                <w:vertAlign w:val="baseline"/>
                <w:lang w:val="en-US" w:eastAsia="zh-CN"/>
                <w14:textFill>
                  <w14:solidFill>
                    <w14:schemeClr w14:val="tx1"/>
                  </w14:solidFill>
                </w14:textFill>
              </w:rPr>
            </w:pPr>
            <w:r>
              <w:rPr>
                <w:rFonts w:hint="eastAsia" w:ascii="宋体" w:hAnsi="宋体" w:eastAsia="宋体" w:cs="宋体"/>
                <w:snapToGrid w:val="0"/>
                <w:color w:val="000000" w:themeColor="text1"/>
                <w:sz w:val="21"/>
                <w:szCs w:val="21"/>
                <w:vertAlign w:val="baseline"/>
                <w:lang w:val="en-US" w:eastAsia="zh-CN"/>
                <w14:textFill>
                  <w14:solidFill>
                    <w14:schemeClr w14:val="tx1"/>
                  </w14:solidFill>
                </w14:textFill>
              </w:rPr>
              <w:t>一般固体废物</w:t>
            </w:r>
          </w:p>
        </w:tc>
        <w:tc>
          <w:tcPr>
            <w:tcW w:w="1838" w:type="dxa"/>
            <w:vAlign w:val="center"/>
          </w:tcPr>
          <w:p w14:paraId="00EDBDAA">
            <w:pPr>
              <w:pStyle w:val="68"/>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0.02</w:t>
            </w:r>
          </w:p>
        </w:tc>
        <w:tc>
          <w:tcPr>
            <w:tcW w:w="5093" w:type="dxa"/>
            <w:gridSpan w:val="3"/>
            <w:vAlign w:val="center"/>
          </w:tcPr>
          <w:p w14:paraId="47845C70">
            <w:pPr>
              <w:pStyle w:val="68"/>
              <w:spacing w:line="240" w:lineRule="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一般固体废物按照GB18599相关规定执行</w:t>
            </w:r>
          </w:p>
        </w:tc>
        <w:tc>
          <w:tcPr>
            <w:tcW w:w="1870" w:type="dxa"/>
            <w:vAlign w:val="center"/>
          </w:tcPr>
          <w:p w14:paraId="37BC58AB">
            <w:pPr>
              <w:pStyle w:val="68"/>
              <w:spacing w:line="240" w:lineRule="auto"/>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项目一般固体废物按照GB18599 相关要求管理、处置</w:t>
            </w:r>
            <w:r>
              <w:rPr>
                <w:rFonts w:hint="eastAsia" w:ascii="宋体" w:hAnsi="宋体" w:eastAsia="宋体"/>
                <w:color w:val="000000" w:themeColor="text1"/>
                <w:sz w:val="21"/>
                <w:szCs w:val="21"/>
                <w:lang w:eastAsia="zh-CN"/>
                <w14:textFill>
                  <w14:solidFill>
                    <w14:schemeClr w14:val="tx1"/>
                  </w14:solidFill>
                </w14:textFill>
              </w:rPr>
              <w:t>，</w:t>
            </w:r>
            <w:r>
              <w:rPr>
                <w:rFonts w:hint="eastAsia" w:ascii="宋体" w:hAnsi="宋体" w:eastAsia="宋体"/>
                <w:color w:val="000000" w:themeColor="text1"/>
                <w:sz w:val="21"/>
                <w:szCs w:val="21"/>
                <w14:textFill>
                  <w14:solidFill>
                    <w14:schemeClr w14:val="tx1"/>
                  </w14:solidFill>
                </w14:textFill>
              </w:rPr>
              <w:t>达到</w:t>
            </w:r>
            <w:r>
              <w:rPr>
                <w:rFonts w:hint="eastAsia" w:ascii="TimesNewRomanPSMT" w:hAnsi="TimesNewRomanPSMT" w:eastAsia="TimesNewRomanPSMT"/>
                <w:color w:val="000000" w:themeColor="text1"/>
                <w:sz w:val="21"/>
                <w:szCs w:val="21"/>
                <w14:textFill>
                  <w14:solidFill>
                    <w14:schemeClr w14:val="tx1"/>
                  </w14:solidFill>
                </w14:textFill>
              </w:rPr>
              <w:t>Ⅰ</w:t>
            </w:r>
            <w:r>
              <w:rPr>
                <w:rFonts w:hint="eastAsia" w:ascii="宋体" w:hAnsi="宋体" w:eastAsia="宋体"/>
                <w:color w:val="000000" w:themeColor="text1"/>
                <w:sz w:val="21"/>
                <w:szCs w:val="21"/>
                <w14:textFill>
                  <w14:solidFill>
                    <w14:schemeClr w14:val="tx1"/>
                  </w14:solidFill>
                </w14:textFill>
              </w:rPr>
              <w:t>级基准值</w:t>
            </w:r>
          </w:p>
        </w:tc>
        <w:tc>
          <w:tcPr>
            <w:tcW w:w="1164" w:type="dxa"/>
            <w:vAlign w:val="center"/>
          </w:tcPr>
          <w:p w14:paraId="1E1F418C">
            <w:pPr>
              <w:pStyle w:val="68"/>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0.4</w:t>
            </w:r>
          </w:p>
        </w:tc>
      </w:tr>
      <w:tr w14:paraId="358D39C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50" w:type="dxa"/>
            <w:vMerge w:val="continue"/>
            <w:vAlign w:val="center"/>
          </w:tcPr>
          <w:p w14:paraId="146C4F64">
            <w:pPr>
              <w:pStyle w:val="68"/>
              <w:spacing w:line="240" w:lineRule="auto"/>
              <w:rPr>
                <w:rFonts w:hint="eastAsia"/>
                <w:snapToGrid w:val="0"/>
                <w:color w:val="000000" w:themeColor="text1"/>
                <w:sz w:val="21"/>
                <w:szCs w:val="21"/>
                <w:vertAlign w:val="baseline"/>
                <w:lang w:val="en-US" w:eastAsia="zh-CN"/>
                <w14:textFill>
                  <w14:solidFill>
                    <w14:schemeClr w14:val="tx1"/>
                  </w14:solidFill>
                </w14:textFill>
              </w:rPr>
            </w:pPr>
          </w:p>
        </w:tc>
        <w:tc>
          <w:tcPr>
            <w:tcW w:w="1462" w:type="dxa"/>
            <w:vMerge w:val="continue"/>
            <w:vAlign w:val="center"/>
          </w:tcPr>
          <w:p w14:paraId="3140015D">
            <w:pPr>
              <w:pStyle w:val="68"/>
              <w:spacing w:line="240" w:lineRule="auto"/>
              <w:rPr>
                <w:snapToGrid w:val="0"/>
                <w:color w:val="000000" w:themeColor="text1"/>
                <w:sz w:val="21"/>
                <w:szCs w:val="21"/>
                <w:vertAlign w:val="baseline"/>
                <w14:textFill>
                  <w14:solidFill>
                    <w14:schemeClr w14:val="tx1"/>
                  </w14:solidFill>
                </w14:textFill>
              </w:rPr>
            </w:pPr>
          </w:p>
        </w:tc>
        <w:tc>
          <w:tcPr>
            <w:tcW w:w="975" w:type="dxa"/>
            <w:vMerge w:val="continue"/>
            <w:vAlign w:val="center"/>
          </w:tcPr>
          <w:p w14:paraId="06A227A6">
            <w:pPr>
              <w:pStyle w:val="68"/>
              <w:spacing w:line="240" w:lineRule="auto"/>
              <w:rPr>
                <w:rFonts w:hint="eastAsia" w:ascii="宋体" w:hAnsi="宋体" w:eastAsia="宋体" w:cs="宋体"/>
                <w:snapToGrid w:val="0"/>
                <w:color w:val="000000" w:themeColor="text1"/>
                <w:sz w:val="21"/>
                <w:szCs w:val="21"/>
                <w:vertAlign w:val="baseline"/>
                <w:lang w:val="en-US" w:eastAsia="zh-CN"/>
                <w14:textFill>
                  <w14:solidFill>
                    <w14:schemeClr w14:val="tx1"/>
                  </w14:solidFill>
                </w14:textFill>
              </w:rPr>
            </w:pPr>
          </w:p>
        </w:tc>
        <w:tc>
          <w:tcPr>
            <w:tcW w:w="940" w:type="dxa"/>
            <w:vAlign w:val="center"/>
          </w:tcPr>
          <w:p w14:paraId="5ED51806">
            <w:pPr>
              <w:pStyle w:val="68"/>
              <w:spacing w:line="240" w:lineRule="auto"/>
              <w:rPr>
                <w:rFonts w:hint="eastAsia" w:ascii="宋体" w:hAnsi="宋体" w:eastAsia="宋体" w:cs="宋体"/>
                <w:snapToGrid w:val="0"/>
                <w:color w:val="000000" w:themeColor="text1"/>
                <w:sz w:val="21"/>
                <w:szCs w:val="21"/>
                <w:vertAlign w:val="baseline"/>
                <w:lang w:val="en-US" w:eastAsia="zh-CN"/>
                <w14:textFill>
                  <w14:solidFill>
                    <w14:schemeClr w14:val="tx1"/>
                  </w14:solidFill>
                </w14:textFill>
              </w:rPr>
            </w:pPr>
            <w:r>
              <w:rPr>
                <w:rFonts w:hint="eastAsia" w:ascii="宋体" w:hAnsi="宋体" w:eastAsia="宋体" w:cs="宋体"/>
                <w:snapToGrid w:val="0"/>
                <w:color w:val="000000" w:themeColor="text1"/>
                <w:sz w:val="21"/>
                <w:szCs w:val="21"/>
                <w:vertAlign w:val="baseline"/>
                <w:lang w:val="en-US" w:eastAsia="zh-CN"/>
                <w14:textFill>
                  <w14:solidFill>
                    <w14:schemeClr w14:val="tx1"/>
                  </w14:solidFill>
                </w14:textFill>
              </w:rPr>
              <w:t>危险废物</w:t>
            </w:r>
          </w:p>
        </w:tc>
        <w:tc>
          <w:tcPr>
            <w:tcW w:w="1838" w:type="dxa"/>
            <w:vAlign w:val="center"/>
          </w:tcPr>
          <w:p w14:paraId="603DB68B">
            <w:pPr>
              <w:pStyle w:val="68"/>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0.08</w:t>
            </w:r>
          </w:p>
        </w:tc>
        <w:tc>
          <w:tcPr>
            <w:tcW w:w="5093" w:type="dxa"/>
            <w:gridSpan w:val="3"/>
            <w:vAlign w:val="center"/>
          </w:tcPr>
          <w:p w14:paraId="03596F80">
            <w:pPr>
              <w:pStyle w:val="68"/>
              <w:spacing w:line="240" w:lineRule="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对危险废物（如含重金属污泥、含重金属劳保用品、含重金属包装物、含重金属类废电池等），应按照GB18597相关规定，进行危险废物管理，应交持有危险废物经营许可证的单位进行处理。应制定并向所在地县级以上地方人民政府环境行政主管部门备案危险废物管理计划（包括减少危险废物产生量和危害性的措施以及危险废物贮存、利用、处置措施），向所在地县级以上地方人民政府环境保护行政主管部门申报危险废物产生种类、产生量、流向、贮存、处置等有关资料。应针对危险废物的产生、收集、贮存、运输、利用、处置，制定意外事故防范措施和应急预案，向所在地县以上地方人民政府环境保护行政主管部门备案</w:t>
            </w:r>
          </w:p>
        </w:tc>
        <w:tc>
          <w:tcPr>
            <w:tcW w:w="1870" w:type="dxa"/>
            <w:vAlign w:val="center"/>
          </w:tcPr>
          <w:p w14:paraId="7724A2EF">
            <w:pPr>
              <w:pStyle w:val="68"/>
              <w:spacing w:line="240" w:lineRule="auto"/>
              <w:rPr>
                <w:snapToGrid w:val="0"/>
                <w:color w:val="000000" w:themeColor="text1"/>
                <w:sz w:val="21"/>
                <w:szCs w:val="21"/>
                <w:vertAlign w:val="baseline"/>
                <w14:textFill>
                  <w14:solidFill>
                    <w14:schemeClr w14:val="tx1"/>
                  </w14:solidFill>
                </w14:textFill>
              </w:rPr>
            </w:pPr>
            <w:r>
              <w:rPr>
                <w:rFonts w:hint="eastAsia" w:ascii="宋体" w:hAnsi="宋体" w:eastAsia="宋体"/>
                <w:color w:val="000000" w:themeColor="text1"/>
                <w:sz w:val="21"/>
                <w:szCs w:val="21"/>
                <w14:textFill>
                  <w14:solidFill>
                    <w14:schemeClr w14:val="tx1"/>
                  </w14:solidFill>
                </w14:textFill>
              </w:rPr>
              <w:t>项目危险废物按照</w:t>
            </w:r>
            <w:r>
              <w:rPr>
                <w:rFonts w:hint="eastAsia" w:ascii="TimesNewRomanPSMT" w:hAnsi="TimesNewRomanPSMT" w:eastAsia="TimesNewRomanPSMT"/>
                <w:color w:val="000000" w:themeColor="text1"/>
                <w:sz w:val="21"/>
                <w:szCs w:val="21"/>
                <w14:textFill>
                  <w14:solidFill>
                    <w14:schemeClr w14:val="tx1"/>
                  </w14:solidFill>
                </w14:textFill>
              </w:rPr>
              <w:t xml:space="preserve">GB18597 </w:t>
            </w:r>
            <w:r>
              <w:rPr>
                <w:rFonts w:hint="eastAsia" w:ascii="宋体" w:hAnsi="宋体" w:eastAsia="宋体"/>
                <w:color w:val="000000" w:themeColor="text1"/>
                <w:sz w:val="21"/>
                <w:szCs w:val="21"/>
                <w14:textFill>
                  <w14:solidFill>
                    <w14:schemeClr w14:val="tx1"/>
                  </w14:solidFill>
                </w14:textFill>
              </w:rPr>
              <w:t>相关要求进行管理、处置</w:t>
            </w:r>
            <w:r>
              <w:rPr>
                <w:rFonts w:hint="eastAsia" w:ascii="宋体" w:hAnsi="宋体" w:eastAsia="宋体"/>
                <w:color w:val="000000" w:themeColor="text1"/>
                <w:sz w:val="21"/>
                <w:szCs w:val="21"/>
                <w:lang w:eastAsia="zh-CN"/>
                <w14:textFill>
                  <w14:solidFill>
                    <w14:schemeClr w14:val="tx1"/>
                  </w14:solidFill>
                </w14:textFill>
              </w:rPr>
              <w:t>，</w:t>
            </w:r>
            <w:r>
              <w:rPr>
                <w:rFonts w:hint="eastAsia" w:ascii="宋体" w:hAnsi="宋体" w:eastAsia="宋体"/>
                <w:color w:val="000000" w:themeColor="text1"/>
                <w:sz w:val="21"/>
                <w:szCs w:val="21"/>
                <w14:textFill>
                  <w14:solidFill>
                    <w14:schemeClr w14:val="tx1"/>
                  </w14:solidFill>
                </w14:textFill>
              </w:rPr>
              <w:t>达到</w:t>
            </w:r>
            <w:r>
              <w:rPr>
                <w:rFonts w:hint="eastAsia" w:ascii="TimesNewRomanPSMT" w:hAnsi="TimesNewRomanPSMT" w:eastAsia="TimesNewRomanPSMT"/>
                <w:color w:val="000000" w:themeColor="text1"/>
                <w:sz w:val="21"/>
                <w:szCs w:val="21"/>
                <w14:textFill>
                  <w14:solidFill>
                    <w14:schemeClr w14:val="tx1"/>
                  </w14:solidFill>
                </w14:textFill>
              </w:rPr>
              <w:t>Ⅰ</w:t>
            </w:r>
            <w:r>
              <w:rPr>
                <w:rFonts w:hint="eastAsia" w:ascii="宋体" w:hAnsi="宋体" w:eastAsia="宋体"/>
                <w:color w:val="000000" w:themeColor="text1"/>
                <w:sz w:val="21"/>
                <w:szCs w:val="21"/>
                <w14:textFill>
                  <w14:solidFill>
                    <w14:schemeClr w14:val="tx1"/>
                  </w14:solidFill>
                </w14:textFill>
              </w:rPr>
              <w:t>级基准值</w:t>
            </w:r>
          </w:p>
        </w:tc>
        <w:tc>
          <w:tcPr>
            <w:tcW w:w="1164" w:type="dxa"/>
            <w:vAlign w:val="center"/>
          </w:tcPr>
          <w:p w14:paraId="334F7C9D">
            <w:pPr>
              <w:pStyle w:val="68"/>
              <w:spacing w:line="240" w:lineRule="auto"/>
              <w:rPr>
                <w:rFonts w:hint="default" w:eastAsia="黑体"/>
                <w:snapToGrid w:val="0"/>
                <w:color w:val="000000" w:themeColor="text1"/>
                <w:sz w:val="21"/>
                <w:szCs w:val="21"/>
                <w:vertAlign w:val="baseline"/>
                <w:lang w:val="en-US" w:eastAsia="zh-CN"/>
                <w14:textFill>
                  <w14:solidFill>
                    <w14:schemeClr w14:val="tx1"/>
                  </w14:solidFill>
                </w14:textFill>
              </w:rPr>
            </w:pPr>
            <w:r>
              <w:rPr>
                <w:rFonts w:hint="eastAsia"/>
                <w:snapToGrid w:val="0"/>
                <w:color w:val="000000" w:themeColor="text1"/>
                <w:sz w:val="21"/>
                <w:szCs w:val="21"/>
                <w:vertAlign w:val="baseline"/>
                <w:lang w:val="en-US" w:eastAsia="zh-CN"/>
                <w14:textFill>
                  <w14:solidFill>
                    <w14:schemeClr w14:val="tx1"/>
                  </w14:solidFill>
                </w14:textFill>
              </w:rPr>
              <w:t>1.6</w:t>
            </w:r>
          </w:p>
        </w:tc>
      </w:tr>
      <w:tr w14:paraId="5E3E61B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50" w:type="dxa"/>
            <w:vAlign w:val="center"/>
          </w:tcPr>
          <w:p w14:paraId="3A6029C4">
            <w:pPr>
              <w:pStyle w:val="68"/>
              <w:spacing w:line="240" w:lineRule="auto"/>
              <w:rPr>
                <w:rFonts w:hint="default"/>
                <w:snapToGrid w:val="0"/>
                <w:color w:val="000000" w:themeColor="text1"/>
                <w:sz w:val="21"/>
                <w:szCs w:val="21"/>
                <w:vertAlign w:val="baseline"/>
                <w:lang w:val="en-US" w:eastAsia="zh-CN"/>
                <w14:textFill>
                  <w14:solidFill>
                    <w14:schemeClr w14:val="tx1"/>
                  </w14:solidFill>
                </w14:textFill>
              </w:rPr>
            </w:pPr>
            <w:r>
              <w:rPr>
                <w:rFonts w:hint="eastAsia"/>
                <w:snapToGrid w:val="0"/>
                <w:color w:val="000000" w:themeColor="text1"/>
                <w:sz w:val="21"/>
                <w:szCs w:val="21"/>
                <w:vertAlign w:val="baseline"/>
                <w:lang w:val="en-US" w:eastAsia="zh-CN"/>
                <w14:textFill>
                  <w14:solidFill>
                    <w14:schemeClr w14:val="tx1"/>
                  </w14:solidFill>
                </w14:textFill>
              </w:rPr>
              <w:t>12</w:t>
            </w:r>
          </w:p>
        </w:tc>
        <w:tc>
          <w:tcPr>
            <w:tcW w:w="1462" w:type="dxa"/>
            <w:vMerge w:val="continue"/>
            <w:vAlign w:val="center"/>
          </w:tcPr>
          <w:p w14:paraId="23562C21">
            <w:pPr>
              <w:pStyle w:val="68"/>
              <w:spacing w:line="240" w:lineRule="auto"/>
              <w:rPr>
                <w:snapToGrid w:val="0"/>
                <w:color w:val="000000" w:themeColor="text1"/>
                <w:sz w:val="21"/>
                <w:szCs w:val="21"/>
                <w:vertAlign w:val="baseline"/>
                <w14:textFill>
                  <w14:solidFill>
                    <w14:schemeClr w14:val="tx1"/>
                  </w14:solidFill>
                </w14:textFill>
              </w:rPr>
            </w:pPr>
          </w:p>
        </w:tc>
        <w:tc>
          <w:tcPr>
            <w:tcW w:w="1915" w:type="dxa"/>
            <w:gridSpan w:val="2"/>
            <w:vAlign w:val="center"/>
          </w:tcPr>
          <w:p w14:paraId="39B2D56C">
            <w:pPr>
              <w:pStyle w:val="68"/>
              <w:spacing w:line="240" w:lineRule="auto"/>
              <w:rPr>
                <w:rFonts w:hint="eastAsia" w:ascii="宋体" w:hAnsi="宋体" w:eastAsia="宋体" w:cs="宋体"/>
                <w:snapToGrid w:val="0"/>
                <w:color w:val="000000" w:themeColor="text1"/>
                <w:sz w:val="21"/>
                <w:szCs w:val="21"/>
                <w:vertAlign w:val="baseline"/>
                <w:lang w:val="en-US" w:eastAsia="zh-CN"/>
                <w14:textFill>
                  <w14:solidFill>
                    <w14:schemeClr w14:val="tx1"/>
                  </w14:solidFill>
                </w14:textFill>
              </w:rPr>
            </w:pPr>
            <w:r>
              <w:rPr>
                <w:rFonts w:hint="eastAsia" w:ascii="宋体" w:hAnsi="宋体" w:eastAsia="宋体" w:cs="宋体"/>
                <w:snapToGrid w:val="0"/>
                <w:color w:val="000000" w:themeColor="text1"/>
                <w:sz w:val="21"/>
                <w:szCs w:val="21"/>
                <w:vertAlign w:val="baseline"/>
                <w:lang w:val="en-US" w:eastAsia="zh-CN"/>
                <w14:textFill>
                  <w14:solidFill>
                    <w14:schemeClr w14:val="tx1"/>
                  </w14:solidFill>
                </w14:textFill>
              </w:rPr>
              <w:t>能源计量器具配备情况</w:t>
            </w:r>
          </w:p>
        </w:tc>
        <w:tc>
          <w:tcPr>
            <w:tcW w:w="1838" w:type="dxa"/>
            <w:vAlign w:val="center"/>
          </w:tcPr>
          <w:p w14:paraId="5DF26C9E">
            <w:pPr>
              <w:pStyle w:val="68"/>
              <w:spacing w:line="240" w:lineRule="auto"/>
              <w:rPr>
                <w:rFonts w:hint="default" w:ascii="Times New Roman" w:hAnsi="Times New Roman" w:eastAsia="宋体" w:cs="Times New Roman"/>
                <w:snapToGrid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snapToGrid w:val="0"/>
                <w:color w:val="000000" w:themeColor="text1"/>
                <w:sz w:val="21"/>
                <w:szCs w:val="21"/>
                <w:vertAlign w:val="baseline"/>
                <w:lang w:val="en-US" w:eastAsia="zh-CN"/>
                <w14:textFill>
                  <w14:solidFill>
                    <w14:schemeClr w14:val="tx1"/>
                  </w14:solidFill>
                </w14:textFill>
              </w:rPr>
              <w:t>0.05</w:t>
            </w:r>
          </w:p>
        </w:tc>
        <w:tc>
          <w:tcPr>
            <w:tcW w:w="2059" w:type="dxa"/>
            <w:vAlign w:val="center"/>
          </w:tcPr>
          <w:p w14:paraId="730B635B">
            <w:pPr>
              <w:pStyle w:val="68"/>
              <w:spacing w:line="240" w:lineRule="auto"/>
              <w:rPr>
                <w:rFonts w:hint="default" w:ascii="Times New Roman" w:hAnsi="Times New Roman" w:eastAsia="宋体" w:cs="Times New Roman"/>
                <w:snapToGrid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snapToGrid w:val="0"/>
                <w:color w:val="000000" w:themeColor="text1"/>
                <w:sz w:val="21"/>
                <w:szCs w:val="21"/>
                <w:vertAlign w:val="baseline"/>
                <w:lang w:val="en-US" w:eastAsia="zh-CN"/>
                <w14:textFill>
                  <w14:solidFill>
                    <w14:schemeClr w14:val="tx1"/>
                  </w14:solidFill>
                </w14:textFill>
              </w:rPr>
              <w:t>计量器具配备率符合GB17167、GB24789三级计量要求</w:t>
            </w:r>
          </w:p>
        </w:tc>
        <w:tc>
          <w:tcPr>
            <w:tcW w:w="3034" w:type="dxa"/>
            <w:gridSpan w:val="2"/>
            <w:vAlign w:val="center"/>
          </w:tcPr>
          <w:p w14:paraId="3157370C">
            <w:pPr>
              <w:pStyle w:val="68"/>
              <w:spacing w:line="240" w:lineRule="auto"/>
              <w:rPr>
                <w:rFonts w:hint="default" w:ascii="Times New Roman" w:hAnsi="Times New Roman" w:eastAsia="宋体" w:cs="Times New Roman"/>
                <w:snapToGrid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snapToGrid w:val="0"/>
                <w:color w:val="000000" w:themeColor="text1"/>
                <w:sz w:val="21"/>
                <w:szCs w:val="21"/>
                <w:vertAlign w:val="baseline"/>
                <w:lang w:val="en-US" w:eastAsia="zh-CN"/>
                <w14:textFill>
                  <w14:solidFill>
                    <w14:schemeClr w14:val="tx1"/>
                  </w14:solidFill>
                </w14:textFill>
              </w:rPr>
              <w:t>计量器具配备率符合GB17167、GB24789二级计量要求</w:t>
            </w:r>
          </w:p>
        </w:tc>
        <w:tc>
          <w:tcPr>
            <w:tcW w:w="1870" w:type="dxa"/>
            <w:vAlign w:val="center"/>
          </w:tcPr>
          <w:p w14:paraId="68DCB789">
            <w:pPr>
              <w:pStyle w:val="68"/>
              <w:spacing w:line="240" w:lineRule="auto"/>
              <w:rPr>
                <w:snapToGrid w:val="0"/>
                <w:color w:val="000000" w:themeColor="text1"/>
                <w:sz w:val="21"/>
                <w:szCs w:val="21"/>
                <w:vertAlign w:val="baseline"/>
                <w14:textFill>
                  <w14:solidFill>
                    <w14:schemeClr w14:val="tx1"/>
                  </w14:solidFill>
                </w14:textFill>
              </w:rPr>
            </w:pPr>
            <w:r>
              <w:rPr>
                <w:rFonts w:hint="eastAsia" w:ascii="宋体" w:hAnsi="宋体" w:eastAsia="宋体"/>
                <w:color w:val="000000" w:themeColor="text1"/>
                <w:sz w:val="21"/>
                <w:szCs w:val="21"/>
                <w14:textFill>
                  <w14:solidFill>
                    <w14:schemeClr w14:val="tx1"/>
                  </w14:solidFill>
                </w14:textFill>
              </w:rPr>
              <w:t>项目建设时，计量器具按照</w:t>
            </w:r>
            <w:r>
              <w:rPr>
                <w:rFonts w:hint="eastAsia" w:ascii="TimesNewRomanPSMT" w:hAnsi="TimesNewRomanPSMT" w:eastAsia="TimesNewRomanPSMT"/>
                <w:color w:val="000000" w:themeColor="text1"/>
                <w:sz w:val="21"/>
                <w:szCs w:val="21"/>
                <w14:textFill>
                  <w14:solidFill>
                    <w14:schemeClr w14:val="tx1"/>
                  </w14:solidFill>
                </w14:textFill>
              </w:rPr>
              <w:t>GB17167</w:t>
            </w:r>
            <w:r>
              <w:rPr>
                <w:rFonts w:hint="eastAsia" w:ascii="宋体" w:hAnsi="宋体" w:eastAsia="宋体"/>
                <w:color w:val="000000" w:themeColor="text1"/>
                <w:sz w:val="21"/>
                <w:szCs w:val="21"/>
                <w14:textFill>
                  <w14:solidFill>
                    <w14:schemeClr w14:val="tx1"/>
                  </w14:solidFill>
                </w14:textFill>
              </w:rPr>
              <w:t>、</w:t>
            </w:r>
            <w:r>
              <w:rPr>
                <w:rFonts w:hint="eastAsia" w:ascii="TimesNewRomanPSMT" w:hAnsi="TimesNewRomanPSMT" w:eastAsia="TimesNewRomanPSMT"/>
                <w:color w:val="000000" w:themeColor="text1"/>
                <w:sz w:val="21"/>
                <w:szCs w:val="21"/>
                <w14:textFill>
                  <w14:solidFill>
                    <w14:schemeClr w14:val="tx1"/>
                  </w14:solidFill>
                </w14:textFill>
              </w:rPr>
              <w:t xml:space="preserve">GB24789 </w:t>
            </w:r>
            <w:r>
              <w:rPr>
                <w:rFonts w:hint="eastAsia" w:ascii="宋体" w:hAnsi="宋体" w:eastAsia="宋体"/>
                <w:color w:val="000000" w:themeColor="text1"/>
                <w:sz w:val="21"/>
                <w:szCs w:val="21"/>
                <w14:textFill>
                  <w14:solidFill>
                    <w14:schemeClr w14:val="tx1"/>
                  </w14:solidFill>
                </w14:textFill>
              </w:rPr>
              <w:t>三级计量要求进行配备</w:t>
            </w:r>
            <w:r>
              <w:rPr>
                <w:rFonts w:hint="eastAsia" w:ascii="宋体" w:hAnsi="宋体" w:eastAsia="宋体"/>
                <w:color w:val="000000" w:themeColor="text1"/>
                <w:sz w:val="21"/>
                <w:szCs w:val="21"/>
                <w:lang w:eastAsia="zh-CN"/>
                <w14:textFill>
                  <w14:solidFill>
                    <w14:schemeClr w14:val="tx1"/>
                  </w14:solidFill>
                </w14:textFill>
              </w:rPr>
              <w:t>，</w:t>
            </w:r>
            <w:r>
              <w:rPr>
                <w:rFonts w:hint="eastAsia" w:ascii="宋体" w:hAnsi="宋体" w:eastAsia="宋体"/>
                <w:color w:val="000000" w:themeColor="text1"/>
                <w:sz w:val="21"/>
                <w:szCs w:val="21"/>
                <w14:textFill>
                  <w14:solidFill>
                    <w14:schemeClr w14:val="tx1"/>
                  </w14:solidFill>
                </w14:textFill>
              </w:rPr>
              <w:t>达到</w:t>
            </w:r>
            <w:r>
              <w:rPr>
                <w:rFonts w:hint="eastAsia" w:ascii="TimesNewRomanPSMT" w:hAnsi="TimesNewRomanPSMT" w:eastAsia="TimesNewRomanPSMT"/>
                <w:color w:val="000000" w:themeColor="text1"/>
                <w:sz w:val="21"/>
                <w:szCs w:val="21"/>
                <w14:textFill>
                  <w14:solidFill>
                    <w14:schemeClr w14:val="tx1"/>
                  </w14:solidFill>
                </w14:textFill>
              </w:rPr>
              <w:t>ⅠⅠ</w:t>
            </w:r>
            <w:r>
              <w:rPr>
                <w:rFonts w:hint="eastAsia" w:ascii="宋体" w:hAnsi="宋体" w:eastAsia="宋体"/>
                <w:color w:val="000000" w:themeColor="text1"/>
                <w:sz w:val="21"/>
                <w:szCs w:val="21"/>
                <w14:textFill>
                  <w14:solidFill>
                    <w14:schemeClr w14:val="tx1"/>
                  </w14:solidFill>
                </w14:textFill>
              </w:rPr>
              <w:t>级基准值</w:t>
            </w:r>
          </w:p>
        </w:tc>
        <w:tc>
          <w:tcPr>
            <w:tcW w:w="1164" w:type="dxa"/>
            <w:vAlign w:val="center"/>
          </w:tcPr>
          <w:p w14:paraId="3B613C75">
            <w:pPr>
              <w:pStyle w:val="68"/>
              <w:spacing w:line="240" w:lineRule="auto"/>
              <w:rPr>
                <w:rFonts w:hint="eastAsia" w:eastAsia="黑体"/>
                <w:snapToGrid w:val="0"/>
                <w:color w:val="000000" w:themeColor="text1"/>
                <w:sz w:val="21"/>
                <w:szCs w:val="21"/>
                <w:vertAlign w:val="baseline"/>
                <w:lang w:val="en-US" w:eastAsia="zh-CN"/>
                <w14:textFill>
                  <w14:solidFill>
                    <w14:schemeClr w14:val="tx1"/>
                  </w14:solidFill>
                </w14:textFill>
              </w:rPr>
            </w:pPr>
            <w:r>
              <w:rPr>
                <w:rFonts w:hint="eastAsia"/>
                <w:snapToGrid w:val="0"/>
                <w:color w:val="000000" w:themeColor="text1"/>
                <w:sz w:val="21"/>
                <w:szCs w:val="21"/>
                <w:vertAlign w:val="baseline"/>
                <w:lang w:val="en-US" w:eastAsia="zh-CN"/>
                <w14:textFill>
                  <w14:solidFill>
                    <w14:schemeClr w14:val="tx1"/>
                  </w14:solidFill>
                </w14:textFill>
              </w:rPr>
              <w:t>1</w:t>
            </w:r>
          </w:p>
        </w:tc>
      </w:tr>
      <w:tr w14:paraId="4846E2F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650" w:type="dxa"/>
            <w:vAlign w:val="center"/>
          </w:tcPr>
          <w:p w14:paraId="725594CA">
            <w:pPr>
              <w:pStyle w:val="68"/>
              <w:spacing w:line="240" w:lineRule="auto"/>
              <w:rPr>
                <w:rFonts w:hint="default"/>
                <w:snapToGrid w:val="0"/>
                <w:color w:val="000000" w:themeColor="text1"/>
                <w:sz w:val="21"/>
                <w:szCs w:val="21"/>
                <w:vertAlign w:val="baseline"/>
                <w:lang w:val="en-US" w:eastAsia="zh-CN"/>
                <w14:textFill>
                  <w14:solidFill>
                    <w14:schemeClr w14:val="tx1"/>
                  </w14:solidFill>
                </w14:textFill>
              </w:rPr>
            </w:pPr>
            <w:r>
              <w:rPr>
                <w:rFonts w:hint="eastAsia"/>
                <w:snapToGrid w:val="0"/>
                <w:color w:val="000000" w:themeColor="text1"/>
                <w:sz w:val="21"/>
                <w:szCs w:val="21"/>
                <w:vertAlign w:val="baseline"/>
                <w:lang w:val="en-US" w:eastAsia="zh-CN"/>
                <w14:textFill>
                  <w14:solidFill>
                    <w14:schemeClr w14:val="tx1"/>
                  </w14:solidFill>
                </w14:textFill>
              </w:rPr>
              <w:t>13</w:t>
            </w:r>
          </w:p>
        </w:tc>
        <w:tc>
          <w:tcPr>
            <w:tcW w:w="1462" w:type="dxa"/>
            <w:vMerge w:val="continue"/>
            <w:vAlign w:val="center"/>
          </w:tcPr>
          <w:p w14:paraId="33B90764">
            <w:pPr>
              <w:pStyle w:val="68"/>
              <w:spacing w:line="240" w:lineRule="auto"/>
              <w:rPr>
                <w:snapToGrid w:val="0"/>
                <w:color w:val="000000" w:themeColor="text1"/>
                <w:sz w:val="21"/>
                <w:szCs w:val="21"/>
                <w:vertAlign w:val="baseline"/>
                <w14:textFill>
                  <w14:solidFill>
                    <w14:schemeClr w14:val="tx1"/>
                  </w14:solidFill>
                </w14:textFill>
              </w:rPr>
            </w:pPr>
          </w:p>
        </w:tc>
        <w:tc>
          <w:tcPr>
            <w:tcW w:w="1915" w:type="dxa"/>
            <w:gridSpan w:val="2"/>
            <w:vAlign w:val="center"/>
          </w:tcPr>
          <w:p w14:paraId="43FB5C27">
            <w:pPr>
              <w:pStyle w:val="68"/>
              <w:spacing w:line="240" w:lineRule="auto"/>
              <w:rPr>
                <w:rFonts w:hint="eastAsia" w:ascii="宋体" w:hAnsi="宋体" w:eastAsia="宋体" w:cs="宋体"/>
                <w:snapToGrid w:val="0"/>
                <w:color w:val="000000" w:themeColor="text1"/>
                <w:sz w:val="21"/>
                <w:szCs w:val="21"/>
                <w:vertAlign w:val="baseline"/>
                <w:lang w:val="en-US" w:eastAsia="zh-CN"/>
                <w14:textFill>
                  <w14:solidFill>
                    <w14:schemeClr w14:val="tx1"/>
                  </w14:solidFill>
                </w14:textFill>
              </w:rPr>
            </w:pPr>
            <w:r>
              <w:rPr>
                <w:rFonts w:hint="eastAsia" w:ascii="宋体" w:hAnsi="宋体" w:eastAsia="宋体" w:cs="宋体"/>
                <w:snapToGrid w:val="0"/>
                <w:color w:val="000000" w:themeColor="text1"/>
                <w:sz w:val="21"/>
                <w:szCs w:val="21"/>
                <w:vertAlign w:val="baseline"/>
                <w:lang w:val="en-US" w:eastAsia="zh-CN"/>
                <w14:textFill>
                  <w14:solidFill>
                    <w14:schemeClr w14:val="tx1"/>
                  </w14:solidFill>
                </w14:textFill>
              </w:rPr>
              <w:t>环境信息公开</w:t>
            </w:r>
          </w:p>
        </w:tc>
        <w:tc>
          <w:tcPr>
            <w:tcW w:w="1838" w:type="dxa"/>
            <w:vAlign w:val="center"/>
          </w:tcPr>
          <w:p w14:paraId="112F0DCE">
            <w:pPr>
              <w:pStyle w:val="68"/>
              <w:spacing w:line="240" w:lineRule="auto"/>
              <w:rPr>
                <w:rFonts w:hint="default" w:ascii="Times New Roman" w:hAnsi="Times New Roman" w:eastAsia="宋体" w:cs="Times New Roman"/>
                <w:snapToGrid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snapToGrid w:val="0"/>
                <w:color w:val="000000" w:themeColor="text1"/>
                <w:sz w:val="21"/>
                <w:szCs w:val="21"/>
                <w:vertAlign w:val="baseline"/>
                <w:lang w:val="en-US" w:eastAsia="zh-CN"/>
                <w14:textFill>
                  <w14:solidFill>
                    <w14:schemeClr w14:val="tx1"/>
                  </w14:solidFill>
                </w14:textFill>
              </w:rPr>
              <w:t>0.05</w:t>
            </w:r>
          </w:p>
        </w:tc>
        <w:tc>
          <w:tcPr>
            <w:tcW w:w="3576" w:type="dxa"/>
            <w:gridSpan w:val="2"/>
            <w:vAlign w:val="center"/>
          </w:tcPr>
          <w:p w14:paraId="651FD885">
            <w:pPr>
              <w:pStyle w:val="68"/>
              <w:spacing w:line="240" w:lineRule="auto"/>
              <w:rPr>
                <w:rFonts w:hint="eastAsia" w:ascii="Times New Roman" w:hAnsi="Times New Roman" w:eastAsia="宋体" w:cs="Times New Roman"/>
                <w:snapToGrid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snapToGrid w:val="0"/>
                <w:color w:val="000000" w:themeColor="text1"/>
                <w:sz w:val="21"/>
                <w:szCs w:val="21"/>
                <w:vertAlign w:val="baseline"/>
                <w:lang w:val="en-US" w:eastAsia="zh-CN"/>
                <w14:textFill>
                  <w14:solidFill>
                    <w14:schemeClr w14:val="tx1"/>
                  </w14:solidFill>
                </w14:textFill>
              </w:rPr>
              <w:t>按照《企业事业单位环境信息公开办法》公开环境信息，按照HJ617编写企业环境报告书</w:t>
            </w:r>
          </w:p>
        </w:tc>
        <w:tc>
          <w:tcPr>
            <w:tcW w:w="1517" w:type="dxa"/>
            <w:vAlign w:val="center"/>
          </w:tcPr>
          <w:p w14:paraId="46A3FA73">
            <w:pPr>
              <w:pStyle w:val="68"/>
              <w:spacing w:line="240" w:lineRule="auto"/>
              <w:rPr>
                <w:rFonts w:hint="eastAsia" w:ascii="Times New Roman" w:hAnsi="Times New Roman" w:eastAsia="宋体" w:cs="Times New Roman"/>
                <w:snapToGrid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snapToGrid w:val="0"/>
                <w:color w:val="000000" w:themeColor="text1"/>
                <w:sz w:val="21"/>
                <w:szCs w:val="21"/>
                <w:vertAlign w:val="baseline"/>
                <w:lang w:val="en-US" w:eastAsia="zh-CN"/>
                <w14:textFill>
                  <w14:solidFill>
                    <w14:schemeClr w14:val="tx1"/>
                  </w14:solidFill>
                </w14:textFill>
              </w:rPr>
              <w:t>按照《企业事业单位环境信息公开办法》公开环境信息</w:t>
            </w:r>
          </w:p>
        </w:tc>
        <w:tc>
          <w:tcPr>
            <w:tcW w:w="1870" w:type="dxa"/>
            <w:vAlign w:val="center"/>
          </w:tcPr>
          <w:p w14:paraId="787B13F1">
            <w:pPr>
              <w:pStyle w:val="68"/>
              <w:spacing w:line="240" w:lineRule="auto"/>
              <w:rPr>
                <w:snapToGrid w:val="0"/>
                <w:color w:val="000000" w:themeColor="text1"/>
                <w:sz w:val="21"/>
                <w:szCs w:val="21"/>
                <w:vertAlign w:val="baseline"/>
                <w14:textFill>
                  <w14:solidFill>
                    <w14:schemeClr w14:val="tx1"/>
                  </w14:solidFill>
                </w14:textFill>
              </w:rPr>
            </w:pPr>
            <w:r>
              <w:rPr>
                <w:rFonts w:hint="eastAsia" w:ascii="宋体" w:hAnsi="宋体" w:eastAsia="宋体"/>
                <w:color w:val="000000" w:themeColor="text1"/>
                <w:sz w:val="21"/>
                <w:szCs w:val="21"/>
                <w14:textFill>
                  <w14:solidFill>
                    <w14:schemeClr w14:val="tx1"/>
                  </w14:solidFill>
                </w14:textFill>
              </w:rPr>
              <w:t>按照《企业事业单位环境信息公开办法》公开环境信息</w:t>
            </w:r>
          </w:p>
        </w:tc>
        <w:tc>
          <w:tcPr>
            <w:tcW w:w="1164" w:type="dxa"/>
            <w:vAlign w:val="center"/>
          </w:tcPr>
          <w:p w14:paraId="5522670C">
            <w:pPr>
              <w:pStyle w:val="68"/>
              <w:spacing w:line="240" w:lineRule="auto"/>
              <w:rPr>
                <w:rFonts w:hint="eastAsia" w:eastAsia="黑体"/>
                <w:snapToGrid w:val="0"/>
                <w:color w:val="000000" w:themeColor="text1"/>
                <w:sz w:val="21"/>
                <w:szCs w:val="21"/>
                <w:vertAlign w:val="baseline"/>
                <w:lang w:val="en-US" w:eastAsia="zh-CN"/>
                <w14:textFill>
                  <w14:solidFill>
                    <w14:schemeClr w14:val="tx1"/>
                  </w14:solidFill>
                </w14:textFill>
              </w:rPr>
            </w:pPr>
            <w:r>
              <w:rPr>
                <w:rFonts w:hint="eastAsia"/>
                <w:snapToGrid w:val="0"/>
                <w:color w:val="000000" w:themeColor="text1"/>
                <w:sz w:val="21"/>
                <w:szCs w:val="21"/>
                <w:vertAlign w:val="baseline"/>
                <w:lang w:val="en-US" w:eastAsia="zh-CN"/>
                <w14:textFill>
                  <w14:solidFill>
                    <w14:schemeClr w14:val="tx1"/>
                  </w14:solidFill>
                </w14:textFill>
              </w:rPr>
              <w:t>1</w:t>
            </w:r>
          </w:p>
        </w:tc>
      </w:tr>
      <w:tr w14:paraId="06CED33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50" w:type="dxa"/>
            <w:vAlign w:val="center"/>
          </w:tcPr>
          <w:p w14:paraId="55DABE29">
            <w:pPr>
              <w:pStyle w:val="68"/>
              <w:spacing w:line="240" w:lineRule="auto"/>
              <w:rPr>
                <w:rFonts w:hint="default" w:ascii="Times New Roman" w:hAnsi="Times New Roman" w:eastAsia="宋体" w:cs="Times New Roman"/>
                <w:snapToGrid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snapToGrid w:val="0"/>
                <w:color w:val="000000" w:themeColor="text1"/>
                <w:sz w:val="21"/>
                <w:szCs w:val="21"/>
                <w:vertAlign w:val="baseline"/>
                <w:lang w:val="en-US" w:eastAsia="zh-CN"/>
                <w14:textFill>
                  <w14:solidFill>
                    <w14:schemeClr w14:val="tx1"/>
                  </w14:solidFill>
                </w14:textFill>
              </w:rPr>
              <w:t>14</w:t>
            </w:r>
          </w:p>
        </w:tc>
        <w:tc>
          <w:tcPr>
            <w:tcW w:w="1462" w:type="dxa"/>
            <w:vMerge w:val="continue"/>
            <w:vAlign w:val="center"/>
          </w:tcPr>
          <w:p w14:paraId="3A9E4D6C">
            <w:pPr>
              <w:pStyle w:val="68"/>
              <w:spacing w:line="240" w:lineRule="auto"/>
              <w:rPr>
                <w:rFonts w:hint="eastAsia" w:ascii="宋体" w:hAnsi="宋体" w:eastAsia="宋体" w:cs="宋体"/>
                <w:snapToGrid w:val="0"/>
                <w:color w:val="000000" w:themeColor="text1"/>
                <w:sz w:val="21"/>
                <w:szCs w:val="21"/>
                <w:vertAlign w:val="baseline"/>
                <w:lang w:val="en-US" w:eastAsia="zh-CN"/>
                <w14:textFill>
                  <w14:solidFill>
                    <w14:schemeClr w14:val="tx1"/>
                  </w14:solidFill>
                </w14:textFill>
              </w:rPr>
            </w:pPr>
          </w:p>
        </w:tc>
        <w:tc>
          <w:tcPr>
            <w:tcW w:w="1915" w:type="dxa"/>
            <w:gridSpan w:val="2"/>
            <w:vAlign w:val="center"/>
          </w:tcPr>
          <w:p w14:paraId="00158C8A">
            <w:pPr>
              <w:pStyle w:val="68"/>
              <w:spacing w:line="240" w:lineRule="auto"/>
              <w:rPr>
                <w:rFonts w:hint="default" w:ascii="Times New Roman" w:hAnsi="Times New Roman" w:eastAsia="宋体" w:cs="Times New Roman"/>
                <w:snapToGrid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snapToGrid w:val="0"/>
                <w:color w:val="000000" w:themeColor="text1"/>
                <w:sz w:val="21"/>
                <w:szCs w:val="21"/>
                <w:vertAlign w:val="baseline"/>
                <w:lang w:val="en-US" w:eastAsia="zh-CN"/>
                <w14:textFill>
                  <w14:solidFill>
                    <w14:schemeClr w14:val="tx1"/>
                  </w14:solidFill>
                </w14:textFill>
              </w:rPr>
              <w:t>相关方环境管理</w:t>
            </w:r>
          </w:p>
        </w:tc>
        <w:tc>
          <w:tcPr>
            <w:tcW w:w="1838" w:type="dxa"/>
            <w:vAlign w:val="center"/>
          </w:tcPr>
          <w:p w14:paraId="33D5A6DD">
            <w:pPr>
              <w:pStyle w:val="68"/>
              <w:spacing w:line="240" w:lineRule="auto"/>
              <w:rPr>
                <w:rFonts w:hint="default" w:ascii="Times New Roman" w:hAnsi="Times New Roman" w:eastAsia="宋体" w:cs="Times New Roman"/>
                <w:snapToGrid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snapToGrid w:val="0"/>
                <w:color w:val="000000" w:themeColor="text1"/>
                <w:sz w:val="21"/>
                <w:szCs w:val="21"/>
                <w:vertAlign w:val="baseline"/>
                <w:lang w:val="en-US" w:eastAsia="zh-CN"/>
                <w14:textFill>
                  <w14:solidFill>
                    <w14:schemeClr w14:val="tx1"/>
                  </w14:solidFill>
                </w14:textFill>
              </w:rPr>
              <w:t>0.05</w:t>
            </w:r>
          </w:p>
        </w:tc>
        <w:tc>
          <w:tcPr>
            <w:tcW w:w="5093" w:type="dxa"/>
            <w:gridSpan w:val="3"/>
            <w:vAlign w:val="center"/>
          </w:tcPr>
          <w:p w14:paraId="3B72409E">
            <w:pPr>
              <w:pStyle w:val="68"/>
              <w:spacing w:line="240" w:lineRule="auto"/>
              <w:rPr>
                <w:rFonts w:hint="default" w:ascii="Times New Roman" w:hAnsi="Times New Roman" w:eastAsia="宋体" w:cs="Times New Roman"/>
                <w:snapToGrid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snapToGrid w:val="0"/>
                <w:color w:val="000000" w:themeColor="text1"/>
                <w:sz w:val="21"/>
                <w:szCs w:val="21"/>
                <w:vertAlign w:val="baseline"/>
                <w:lang w:val="en-US" w:eastAsia="zh-CN"/>
                <w14:textFill>
                  <w14:solidFill>
                    <w14:schemeClr w14:val="tx1"/>
                  </w14:solidFill>
                </w14:textFill>
              </w:rPr>
              <w:t>对原材料供应方、生产协作方、相关服务方提出环境管理要求</w:t>
            </w:r>
          </w:p>
        </w:tc>
        <w:tc>
          <w:tcPr>
            <w:tcW w:w="1870" w:type="dxa"/>
            <w:vAlign w:val="center"/>
          </w:tcPr>
          <w:p w14:paraId="1A2283EA">
            <w:pPr>
              <w:pStyle w:val="68"/>
              <w:spacing w:line="240" w:lineRule="auto"/>
              <w:rPr>
                <w:snapToGrid w:val="0"/>
                <w:color w:val="000000" w:themeColor="text1"/>
                <w:sz w:val="21"/>
                <w:szCs w:val="21"/>
                <w:vertAlign w:val="baseline"/>
                <w14:textFill>
                  <w14:solidFill>
                    <w14:schemeClr w14:val="tx1"/>
                  </w14:solidFill>
                </w14:textFill>
              </w:rPr>
            </w:pPr>
            <w:r>
              <w:rPr>
                <w:rFonts w:hint="eastAsia" w:ascii="宋体" w:hAnsi="宋体" w:eastAsia="宋体"/>
                <w:color w:val="000000" w:themeColor="text1"/>
                <w:sz w:val="21"/>
                <w:szCs w:val="21"/>
                <w14:textFill>
                  <w14:solidFill>
                    <w14:schemeClr w14:val="tx1"/>
                  </w14:solidFill>
                </w14:textFill>
              </w:rPr>
              <w:t>项目建设时，对相关方提出环境管理要求</w:t>
            </w:r>
            <w:r>
              <w:rPr>
                <w:rFonts w:hint="eastAsia" w:ascii="宋体" w:hAnsi="宋体" w:eastAsia="宋体"/>
                <w:color w:val="000000" w:themeColor="text1"/>
                <w:sz w:val="21"/>
                <w:szCs w:val="21"/>
                <w:lang w:eastAsia="zh-CN"/>
                <w14:textFill>
                  <w14:solidFill>
                    <w14:schemeClr w14:val="tx1"/>
                  </w14:solidFill>
                </w14:textFill>
              </w:rPr>
              <w:t>，</w:t>
            </w:r>
            <w:r>
              <w:rPr>
                <w:rFonts w:hint="eastAsia" w:ascii="宋体" w:hAnsi="宋体" w:eastAsia="宋体"/>
                <w:color w:val="000000" w:themeColor="text1"/>
                <w:sz w:val="21"/>
                <w:szCs w:val="21"/>
                <w14:textFill>
                  <w14:solidFill>
                    <w14:schemeClr w14:val="tx1"/>
                  </w14:solidFill>
                </w14:textFill>
              </w:rPr>
              <w:t>达到</w:t>
            </w:r>
            <w:r>
              <w:rPr>
                <w:rFonts w:hint="eastAsia" w:ascii="TimesNewRomanPSMT" w:hAnsi="TimesNewRomanPSMT" w:eastAsia="TimesNewRomanPSMT"/>
                <w:color w:val="000000" w:themeColor="text1"/>
                <w:sz w:val="21"/>
                <w:szCs w:val="21"/>
                <w14:textFill>
                  <w14:solidFill>
                    <w14:schemeClr w14:val="tx1"/>
                  </w14:solidFill>
                </w14:textFill>
              </w:rPr>
              <w:t>Ⅰ</w:t>
            </w:r>
            <w:r>
              <w:rPr>
                <w:rFonts w:hint="eastAsia" w:ascii="宋体" w:hAnsi="宋体" w:eastAsia="宋体"/>
                <w:color w:val="000000" w:themeColor="text1"/>
                <w:sz w:val="21"/>
                <w:szCs w:val="21"/>
                <w14:textFill>
                  <w14:solidFill>
                    <w14:schemeClr w14:val="tx1"/>
                  </w14:solidFill>
                </w14:textFill>
              </w:rPr>
              <w:t>级基准值</w:t>
            </w:r>
          </w:p>
        </w:tc>
        <w:tc>
          <w:tcPr>
            <w:tcW w:w="1164" w:type="dxa"/>
            <w:vAlign w:val="center"/>
          </w:tcPr>
          <w:p w14:paraId="22327ADA">
            <w:pPr>
              <w:pStyle w:val="68"/>
              <w:spacing w:line="240" w:lineRule="auto"/>
              <w:rPr>
                <w:rFonts w:hint="eastAsia" w:eastAsia="黑体"/>
                <w:snapToGrid w:val="0"/>
                <w:color w:val="000000" w:themeColor="text1"/>
                <w:sz w:val="21"/>
                <w:szCs w:val="21"/>
                <w:vertAlign w:val="baseline"/>
                <w:lang w:val="en-US" w:eastAsia="zh-CN"/>
                <w14:textFill>
                  <w14:solidFill>
                    <w14:schemeClr w14:val="tx1"/>
                  </w14:solidFill>
                </w14:textFill>
              </w:rPr>
            </w:pPr>
            <w:r>
              <w:rPr>
                <w:rFonts w:hint="eastAsia"/>
                <w:snapToGrid w:val="0"/>
                <w:color w:val="000000" w:themeColor="text1"/>
                <w:sz w:val="21"/>
                <w:szCs w:val="21"/>
                <w:vertAlign w:val="baseline"/>
                <w:lang w:val="en-US" w:eastAsia="zh-CN"/>
                <w14:textFill>
                  <w14:solidFill>
                    <w14:schemeClr w14:val="tx1"/>
                  </w14:solidFill>
                </w14:textFill>
              </w:rPr>
              <w:t>1</w:t>
            </w:r>
          </w:p>
        </w:tc>
      </w:tr>
      <w:tr w14:paraId="5E477CB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50" w:type="dxa"/>
            <w:vAlign w:val="center"/>
          </w:tcPr>
          <w:p w14:paraId="00C72EFC">
            <w:pPr>
              <w:pStyle w:val="68"/>
              <w:spacing w:line="240" w:lineRule="auto"/>
              <w:rPr>
                <w:rFonts w:hint="default" w:ascii="Times New Roman" w:hAnsi="Times New Roman" w:eastAsia="宋体" w:cs="Times New Roman"/>
                <w:snapToGrid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snapToGrid w:val="0"/>
                <w:color w:val="000000" w:themeColor="text1"/>
                <w:sz w:val="21"/>
                <w:szCs w:val="21"/>
                <w:vertAlign w:val="baseline"/>
                <w:lang w:val="en-US" w:eastAsia="zh-CN"/>
                <w14:textFill>
                  <w14:solidFill>
                    <w14:schemeClr w14:val="tx1"/>
                  </w14:solidFill>
                </w14:textFill>
              </w:rPr>
              <w:t>15</w:t>
            </w:r>
          </w:p>
        </w:tc>
        <w:tc>
          <w:tcPr>
            <w:tcW w:w="12178" w:type="dxa"/>
            <w:gridSpan w:val="8"/>
            <w:vAlign w:val="center"/>
          </w:tcPr>
          <w:p w14:paraId="0D30F3B1">
            <w:pPr>
              <w:pStyle w:val="68"/>
              <w:spacing w:line="240" w:lineRule="auto"/>
              <w:rPr>
                <w:rFonts w:hint="eastAsia" w:ascii="宋体" w:hAnsi="宋体" w:eastAsia="宋体"/>
                <w:color w:val="000000" w:themeColor="text1"/>
                <w:sz w:val="21"/>
                <w:szCs w:val="21"/>
                <w:lang w:val="en-US" w:eastAsia="zh-CN"/>
                <w14:textFill>
                  <w14:solidFill>
                    <w14:schemeClr w14:val="tx1"/>
                  </w14:solidFill>
                </w14:textFill>
              </w:rPr>
            </w:pPr>
            <w:r>
              <w:rPr>
                <w:rFonts w:hint="eastAsia" w:ascii="宋体" w:hAnsi="宋体" w:eastAsia="宋体"/>
                <w:color w:val="000000" w:themeColor="text1"/>
                <w:sz w:val="21"/>
                <w:szCs w:val="21"/>
                <w:lang w:val="en-US" w:eastAsia="zh-CN"/>
                <w14:textFill>
                  <w14:solidFill>
                    <w14:schemeClr w14:val="tx1"/>
                  </w14:solidFill>
                </w14:textFill>
              </w:rPr>
              <w:t>合计</w:t>
            </w:r>
          </w:p>
        </w:tc>
        <w:tc>
          <w:tcPr>
            <w:tcW w:w="1164" w:type="dxa"/>
            <w:vAlign w:val="center"/>
          </w:tcPr>
          <w:p w14:paraId="4652EE6C">
            <w:pPr>
              <w:pStyle w:val="68"/>
              <w:spacing w:line="240" w:lineRule="auto"/>
              <w:rPr>
                <w:rFonts w:hint="default"/>
                <w:snapToGrid w:val="0"/>
                <w:color w:val="000000" w:themeColor="text1"/>
                <w:sz w:val="21"/>
                <w:szCs w:val="21"/>
                <w:vertAlign w:val="baseline"/>
                <w:lang w:val="en-US" w:eastAsia="zh-CN"/>
                <w14:textFill>
                  <w14:solidFill>
                    <w14:schemeClr w14:val="tx1"/>
                  </w14:solidFill>
                </w14:textFill>
              </w:rPr>
            </w:pPr>
            <w:r>
              <w:rPr>
                <w:rFonts w:hint="eastAsia"/>
                <w:snapToGrid w:val="0"/>
                <w:color w:val="000000" w:themeColor="text1"/>
                <w:sz w:val="21"/>
                <w:szCs w:val="21"/>
                <w:vertAlign w:val="baseline"/>
                <w:lang w:val="en-US" w:eastAsia="zh-CN"/>
                <w14:textFill>
                  <w14:solidFill>
                    <w14:schemeClr w14:val="tx1"/>
                  </w14:solidFill>
                </w14:textFill>
              </w:rPr>
              <w:t>18</w:t>
            </w:r>
          </w:p>
        </w:tc>
      </w:tr>
      <w:tr w14:paraId="1D808ED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992" w:type="dxa"/>
            <w:gridSpan w:val="10"/>
            <w:vAlign w:val="center"/>
          </w:tcPr>
          <w:p w14:paraId="701D1CEE">
            <w:pPr>
              <w:pStyle w:val="68"/>
              <w:spacing w:line="240" w:lineRule="auto"/>
              <w:jc w:val="both"/>
              <w:rPr>
                <w:snapToGrid w:val="0"/>
                <w:color w:val="000000" w:themeColor="text1"/>
                <w:vertAlign w:val="baseline"/>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注1</w:t>
            </w:r>
            <w:r>
              <w:rPr>
                <w:rFonts w:hint="eastAsia" w:ascii="宋体" w:hAnsi="宋体" w:eastAsia="宋体" w:cs="宋体"/>
                <w:color w:val="000000" w:themeColor="text1"/>
                <w:sz w:val="21"/>
                <w:szCs w:val="21"/>
                <w:lang w:val="en-US" w:eastAsia="zh-CN"/>
                <w14:textFill>
                  <w14:solidFill>
                    <w14:schemeClr w14:val="tx1"/>
                  </w14:solidFill>
                </w14:textFill>
              </w:rPr>
              <w:t>：</w:t>
            </w:r>
            <w:r>
              <w:rPr>
                <w:rFonts w:hint="default" w:ascii="宋体" w:hAnsi="宋体" w:eastAsia="宋体" w:cs="宋体"/>
                <w:color w:val="000000" w:themeColor="text1"/>
                <w:sz w:val="21"/>
                <w:szCs w:val="21"/>
                <w:lang w:val="en-US" w:eastAsia="zh-CN"/>
                <w14:textFill>
                  <w14:solidFill>
                    <w14:schemeClr w14:val="tx1"/>
                  </w14:solidFill>
                </w14:textFill>
              </w:rPr>
              <w:t>带</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r>
              <w:rPr>
                <w:rFonts w:hint="eastAsia" w:ascii="宋体" w:hAnsi="宋体" w:eastAsia="宋体" w:cs="宋体"/>
                <w:color w:val="000000" w:themeColor="text1"/>
                <w:sz w:val="21"/>
                <w:szCs w:val="21"/>
                <w:lang w:val="en-US" w:eastAsia="zh-CN"/>
                <w14:textFill>
                  <w14:solidFill>
                    <w14:schemeClr w14:val="tx1"/>
                  </w14:solidFill>
                </w14:textFill>
              </w:rPr>
              <w:t>的指标为限定性指标</w:t>
            </w:r>
            <w:r>
              <w:rPr>
                <w:rFonts w:hint="default" w:ascii="Times New Roman" w:hAnsi="Times New Roman" w:cs="Times New Roman"/>
                <w:color w:val="000000" w:themeColor="text1"/>
                <w:sz w:val="21"/>
                <w:szCs w:val="21"/>
                <w:lang w:val="en-US" w:eastAsia="zh-CN"/>
                <w14:textFill>
                  <w14:solidFill>
                    <w14:schemeClr w14:val="tx1"/>
                  </w14:solidFill>
                </w14:textFill>
              </w:rPr>
              <w:t>。</w:t>
            </w:r>
          </w:p>
        </w:tc>
      </w:tr>
    </w:tbl>
    <w:p w14:paraId="3D7FFD42">
      <w:pPr>
        <w:pStyle w:val="68"/>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000000" w:themeColor="text1"/>
          <w:kern w:val="0"/>
          <w:sz w:val="24"/>
          <w:szCs w:val="24"/>
          <w:lang w:val="en-US" w:eastAsia="zh-CN" w:bidi="ar-SA"/>
          <w14:textFill>
            <w14:solidFill>
              <w14:schemeClr w14:val="tx1"/>
            </w14:solidFill>
          </w14:textFill>
        </w:rPr>
        <w:sectPr>
          <w:pgSz w:w="16838" w:h="11906" w:orient="landscape"/>
          <w:pgMar w:top="1531" w:right="1701" w:bottom="1531" w:left="1701" w:header="851" w:footer="851" w:gutter="0"/>
          <w:cols w:space="720" w:num="1"/>
          <w:docGrid w:linePitch="312" w:charSpace="0"/>
        </w:sectPr>
      </w:pPr>
      <w:r>
        <w:rPr>
          <w:rFonts w:hint="eastAsia" w:ascii="Times New Roman" w:hAnsi="Times New Roman" w:eastAsia="宋体" w:cs="Times New Roman"/>
          <w:color w:val="000000" w:themeColor="text1"/>
          <w:kern w:val="0"/>
          <w:sz w:val="24"/>
          <w:szCs w:val="24"/>
          <w:lang w:val="en-US" w:eastAsia="zh-CN" w:bidi="ar-SA"/>
          <w14:textFill>
            <w14:solidFill>
              <w14:schemeClr w14:val="tx1"/>
            </w14:solidFill>
          </w14:textFill>
        </w:rPr>
        <w:t>综上，</w:t>
      </w:r>
      <w:r>
        <w:rPr>
          <w:rFonts w:hint="eastAsia" w:eastAsia="宋体" w:cs="Times New Roman"/>
          <w:color w:val="000000" w:themeColor="text1"/>
          <w:kern w:val="0"/>
          <w:sz w:val="24"/>
          <w:szCs w:val="24"/>
          <w:lang w:val="en-US" w:eastAsia="zh-CN" w:bidi="ar-SA"/>
          <w14:textFill>
            <w14:solidFill>
              <w14:schemeClr w14:val="tx1"/>
            </w14:solidFill>
          </w14:textFill>
        </w:rPr>
        <w:t>结合</w:t>
      </w:r>
      <w:r>
        <w:rPr>
          <w:rFonts w:hint="eastAsia" w:ascii="Times New Roman" w:hAnsi="Times New Roman" w:eastAsia="宋体" w:cs="Times New Roman"/>
          <w:color w:val="000000" w:themeColor="text1"/>
          <w:kern w:val="0"/>
          <w:sz w:val="24"/>
          <w:szCs w:val="24"/>
          <w:lang w:val="en-US" w:eastAsia="zh-CN" w:bidi="ar-SA"/>
          <w14:textFill>
            <w14:solidFill>
              <w14:schemeClr w14:val="tx1"/>
            </w14:solidFill>
          </w14:textFill>
        </w:rPr>
        <w:t>《电池行业清洁生产评价指标体系》</w:t>
      </w:r>
      <w:r>
        <w:rPr>
          <w:rFonts w:hint="eastAsia" w:eastAsia="宋体" w:cs="Times New Roman"/>
          <w:color w:val="000000" w:themeColor="text1"/>
          <w:kern w:val="0"/>
          <w:sz w:val="24"/>
          <w:szCs w:val="24"/>
          <w:lang w:val="en-US" w:eastAsia="zh-CN" w:bidi="ar-SA"/>
          <w14:textFill>
            <w14:solidFill>
              <w14:schemeClr w14:val="tx1"/>
            </w14:solidFill>
          </w14:textFill>
        </w:rPr>
        <w:t xml:space="preserve"> 5 评价方法，本项目</w:t>
      </w:r>
      <w:r>
        <w:rPr>
          <w:rFonts w:hint="eastAsia" w:ascii="宋体" w:hAnsi="宋体" w:eastAsia="宋体"/>
          <w:color w:val="000000" w:themeColor="text1"/>
          <w:sz w:val="24"/>
          <w:szCs w:val="24"/>
          <w14:textFill>
            <w14:solidFill>
              <w14:schemeClr w14:val="tx1"/>
            </w14:solidFill>
          </w14:textFill>
        </w:rPr>
        <w:t>总估算得分约</w:t>
      </w:r>
      <w:r>
        <w:rPr>
          <w:rFonts w:hint="eastAsia" w:ascii="TimesNewRomanPSMT" w:hAnsi="TimesNewRomanPSMT" w:eastAsia="TimesNewRomanPSMT"/>
          <w:color w:val="000000" w:themeColor="text1"/>
          <w:sz w:val="24"/>
          <w:szCs w:val="24"/>
          <w14:textFill>
            <w14:solidFill>
              <w14:schemeClr w14:val="tx1"/>
            </w14:solidFill>
          </w14:textFill>
        </w:rPr>
        <w:t>9</w:t>
      </w:r>
      <w:r>
        <w:rPr>
          <w:rFonts w:hint="eastAsia" w:ascii="TimesNewRomanPSMT" w:hAnsi="TimesNewRomanPSMT" w:eastAsia="宋体"/>
          <w:color w:val="000000" w:themeColor="text1"/>
          <w:sz w:val="24"/>
          <w:szCs w:val="24"/>
          <w:lang w:val="en-US" w:eastAsia="zh-CN"/>
          <w14:textFill>
            <w14:solidFill>
              <w14:schemeClr w14:val="tx1"/>
            </w14:solidFill>
          </w14:textFill>
        </w:rPr>
        <w:t>3</w:t>
      </w:r>
      <w:r>
        <w:rPr>
          <w:rFonts w:hint="eastAsia" w:ascii="宋体" w:hAnsi="宋体" w:eastAsia="宋体"/>
          <w:color w:val="000000" w:themeColor="text1"/>
          <w:sz w:val="24"/>
          <w:szCs w:val="24"/>
          <w14:textFill>
            <w14:solidFill>
              <w14:schemeClr w14:val="tx1"/>
            </w14:solidFill>
          </w14:textFill>
        </w:rPr>
        <w:t>分</w:t>
      </w:r>
      <w:r>
        <w:rPr>
          <w:rFonts w:hint="eastAsia" w:ascii="宋体" w:hAnsi="宋体" w:eastAsia="宋体"/>
          <w:color w:val="000000" w:themeColor="text1"/>
          <w:sz w:val="24"/>
          <w:szCs w:val="24"/>
          <w:lang w:eastAsia="zh-CN"/>
          <w14:textFill>
            <w14:solidFill>
              <w14:schemeClr w14:val="tx1"/>
            </w14:solidFill>
          </w14:textFill>
        </w:rPr>
        <w:t>，</w:t>
      </w:r>
      <w:r>
        <w:rPr>
          <w:rFonts w:hint="eastAsia" w:ascii="宋体" w:hAnsi="宋体" w:eastAsia="宋体"/>
          <w:color w:val="000000" w:themeColor="text1"/>
          <w:sz w:val="24"/>
          <w:szCs w:val="24"/>
          <w14:textFill>
            <w14:solidFill>
              <w14:schemeClr w14:val="tx1"/>
            </w14:solidFill>
          </w14:textFill>
        </w:rPr>
        <w:t>限定性指标除未开展清洁生产审核外，全部满足</w:t>
      </w:r>
      <w:r>
        <w:rPr>
          <w:rFonts w:hint="eastAsia" w:ascii="TimesNewRomanPSMT" w:hAnsi="TimesNewRomanPSMT" w:eastAsia="TimesNewRomanPSMT"/>
          <w:color w:val="000000" w:themeColor="text1"/>
          <w:sz w:val="24"/>
          <w:szCs w:val="24"/>
          <w14:textFill>
            <w14:solidFill>
              <w14:schemeClr w14:val="tx1"/>
            </w14:solidFill>
          </w14:textFill>
        </w:rPr>
        <w:t>Ⅱ</w:t>
      </w:r>
      <w:r>
        <w:rPr>
          <w:rFonts w:hint="eastAsia" w:ascii="宋体" w:hAnsi="宋体" w:eastAsia="宋体"/>
          <w:color w:val="000000" w:themeColor="text1"/>
          <w:sz w:val="24"/>
          <w:szCs w:val="24"/>
          <w14:textFill>
            <w14:solidFill>
              <w14:schemeClr w14:val="tx1"/>
            </w14:solidFill>
          </w14:textFill>
        </w:rPr>
        <w:t>级基准值要求及以上</w:t>
      </w:r>
      <w:r>
        <w:rPr>
          <w:rFonts w:hint="eastAsia" w:ascii="宋体" w:hAnsi="宋体" w:eastAsia="宋体"/>
          <w:color w:val="000000" w:themeColor="text1"/>
          <w:sz w:val="24"/>
          <w:szCs w:val="24"/>
          <w:lang w:eastAsia="zh-CN"/>
          <w14:textFill>
            <w14:solidFill>
              <w14:schemeClr w14:val="tx1"/>
            </w14:solidFill>
          </w14:textFill>
        </w:rPr>
        <w:t>。</w:t>
      </w:r>
    </w:p>
    <w:tbl>
      <w:tblPr>
        <w:tblStyle w:val="41"/>
        <w:tblW w:w="91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
        <w:gridCol w:w="8240"/>
      </w:tblGrid>
      <w:tr w14:paraId="32352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77" w:hRule="atLeast"/>
        </w:trPr>
        <w:tc>
          <w:tcPr>
            <w:tcW w:w="864" w:type="dxa"/>
            <w:shd w:val="clear" w:color="auto" w:fill="auto"/>
            <w:vAlign w:val="center"/>
          </w:tcPr>
          <w:p w14:paraId="50F348A5">
            <w:pPr>
              <w:pStyle w:val="66"/>
              <w:spacing w:line="240" w:lineRule="auto"/>
              <w:ind w:firstLine="0" w:firstLineChars="0"/>
              <w:jc w:val="center"/>
              <w:rPr>
                <w:snapToGrid w:val="0"/>
                <w:color w:val="000000" w:themeColor="text1"/>
                <w14:textFill>
                  <w14:solidFill>
                    <w14:schemeClr w14:val="tx1"/>
                  </w14:solidFill>
                </w14:textFill>
              </w:rPr>
            </w:pPr>
            <w:r>
              <w:rPr>
                <w:rFonts w:hint="eastAsia"/>
                <w:b/>
                <w:bCs/>
                <w:snapToGrid w:val="0"/>
                <w:color w:val="000000" w:themeColor="text1"/>
                <w14:textFill>
                  <w14:solidFill>
                    <w14:schemeClr w14:val="tx1"/>
                  </w14:solidFill>
                </w14:textFill>
              </w:rPr>
              <w:t>其他符合性分析</w:t>
            </w:r>
          </w:p>
        </w:tc>
        <w:tc>
          <w:tcPr>
            <w:tcW w:w="8240" w:type="dxa"/>
            <w:shd w:val="clear" w:color="auto" w:fill="auto"/>
          </w:tcPr>
          <w:p w14:paraId="65F1C7FC">
            <w:pPr>
              <w:pStyle w:val="66"/>
              <w:spacing w:line="360" w:lineRule="auto"/>
              <w:ind w:firstLine="482"/>
              <w:rPr>
                <w:b/>
                <w:bCs/>
                <w:color w:val="000000" w:themeColor="text1"/>
                <w14:textFill>
                  <w14:solidFill>
                    <w14:schemeClr w14:val="tx1"/>
                  </w14:solidFill>
                </w14:textFill>
              </w:rPr>
            </w:pPr>
            <w:r>
              <w:rPr>
                <w:rFonts w:hint="eastAsia"/>
                <w:b/>
                <w:bCs/>
                <w:color w:val="000000" w:themeColor="text1"/>
                <w:lang w:val="en-US" w:eastAsia="zh-CN"/>
                <w14:textFill>
                  <w14:solidFill>
                    <w14:schemeClr w14:val="tx1"/>
                  </w14:solidFill>
                </w14:textFill>
              </w:rPr>
              <w:t>4</w:t>
            </w:r>
            <w:r>
              <w:rPr>
                <w:b/>
                <w:bCs/>
                <w:color w:val="000000" w:themeColor="text1"/>
                <w14:textFill>
                  <w14:solidFill>
                    <w14:schemeClr w14:val="tx1"/>
                  </w14:solidFill>
                </w14:textFill>
              </w:rPr>
              <w:t>、项目与大气污染</w:t>
            </w:r>
            <w:r>
              <w:rPr>
                <w:rFonts w:hint="eastAsia"/>
                <w:b/>
                <w:bCs/>
                <w:color w:val="000000" w:themeColor="text1"/>
                <w14:textFill>
                  <w14:solidFill>
                    <w14:schemeClr w14:val="tx1"/>
                  </w14:solidFill>
                </w14:textFill>
              </w:rPr>
              <w:t>防治</w:t>
            </w:r>
            <w:r>
              <w:rPr>
                <w:b/>
                <w:bCs/>
                <w:color w:val="000000" w:themeColor="text1"/>
                <w14:textFill>
                  <w14:solidFill>
                    <w14:schemeClr w14:val="tx1"/>
                  </w14:solidFill>
                </w14:textFill>
              </w:rPr>
              <w:t>的规范文件的符合性分析</w:t>
            </w:r>
          </w:p>
          <w:p w14:paraId="16229C50">
            <w:pPr>
              <w:pStyle w:val="66"/>
              <w:spacing w:line="360" w:lineRule="auto"/>
              <w:rPr>
                <w:color w:val="000000" w:themeColor="text1"/>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本项目与大气污染防治相关法规、规范符合性分析</w:t>
            </w:r>
            <w:r>
              <w:rPr>
                <w:rFonts w:hint="default" w:ascii="Times New Roman" w:hAnsi="Times New Roman" w:cs="Times New Roman"/>
                <w:color w:val="000000" w:themeColor="text1"/>
                <w:sz w:val="24"/>
                <w:lang w:eastAsia="zh-CN"/>
                <w14:textFill>
                  <w14:solidFill>
                    <w14:schemeClr w14:val="tx1"/>
                  </w14:solidFill>
                </w14:textFill>
              </w:rPr>
              <w:t>见下</w:t>
            </w:r>
            <w:r>
              <w:rPr>
                <w:rFonts w:hint="default" w:ascii="Times New Roman" w:hAnsi="Times New Roman" w:cs="Times New Roman"/>
                <w:color w:val="000000" w:themeColor="text1"/>
                <w:sz w:val="24"/>
                <w14:textFill>
                  <w14:solidFill>
                    <w14:schemeClr w14:val="tx1"/>
                  </w14:solidFill>
                </w14:textFill>
              </w:rPr>
              <w:t>表所示</w:t>
            </w:r>
            <w:r>
              <w:rPr>
                <w:color w:val="000000" w:themeColor="text1"/>
                <w14:textFill>
                  <w14:solidFill>
                    <w14:schemeClr w14:val="tx1"/>
                  </w14:solidFill>
                </w14:textFill>
              </w:rPr>
              <w:t>：</w:t>
            </w:r>
          </w:p>
          <w:p w14:paraId="3B86DE32">
            <w:pPr>
              <w:pStyle w:val="68"/>
              <w:rPr>
                <w:color w:val="000000" w:themeColor="text1"/>
                <w14:textFill>
                  <w14:solidFill>
                    <w14:schemeClr w14:val="tx1"/>
                  </w14:solidFill>
                </w14:textFill>
              </w:rPr>
            </w:pPr>
            <w:r>
              <w:rPr>
                <w:rFonts w:hint="eastAsia" w:ascii="Times New Roman" w:hAnsi="Times New Roman" w:eastAsia="宋体" w:cs="Times New Roman"/>
                <w:b/>
                <w:bCs/>
                <w:color w:val="000000" w:themeColor="text1"/>
                <w14:textFill>
                  <w14:solidFill>
                    <w14:schemeClr w14:val="tx1"/>
                  </w14:solidFill>
                </w14:textFill>
              </w:rPr>
              <w:t>表1-</w:t>
            </w:r>
            <w:r>
              <w:rPr>
                <w:rFonts w:hint="eastAsia" w:eastAsia="宋体" w:cs="Times New Roman"/>
                <w:b/>
                <w:bCs/>
                <w:color w:val="000000" w:themeColor="text1"/>
                <w:lang w:val="en-US" w:eastAsia="zh-CN"/>
                <w14:textFill>
                  <w14:solidFill>
                    <w14:schemeClr w14:val="tx1"/>
                  </w14:solidFill>
                </w14:textFill>
              </w:rPr>
              <w:t>9</w:t>
            </w:r>
            <w:r>
              <w:rPr>
                <w:rFonts w:hint="eastAsia" w:ascii="Times New Roman" w:hAnsi="Times New Roman" w:eastAsia="宋体" w:cs="Times New Roman"/>
                <w:b/>
                <w:bCs/>
                <w:color w:val="000000" w:themeColor="text1"/>
                <w14:textFill>
                  <w14:solidFill>
                    <w14:schemeClr w14:val="tx1"/>
                  </w14:solidFill>
                </w14:textFill>
              </w:rPr>
              <w:t xml:space="preserve"> 项目与大气污染防治等相关规划符合性</w:t>
            </w:r>
          </w:p>
          <w:tbl>
            <w:tblPr>
              <w:tblStyle w:val="41"/>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57" w:type="dxa"/>
                <w:bottom w:w="0" w:type="dxa"/>
                <w:right w:w="57" w:type="dxa"/>
              </w:tblCellMar>
            </w:tblPr>
            <w:tblGrid>
              <w:gridCol w:w="1216"/>
              <w:gridCol w:w="3825"/>
              <w:gridCol w:w="2471"/>
              <w:gridCol w:w="512"/>
            </w:tblGrid>
            <w:tr w14:paraId="2BF076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1216" w:type="dxa"/>
                  <w:shd w:val="clear" w:color="auto" w:fill="auto"/>
                  <w:vAlign w:val="center"/>
                </w:tcPr>
                <w:p w14:paraId="2C1CBB20">
                  <w:pPr>
                    <w:pStyle w:val="70"/>
                    <w:spacing w:line="240" w:lineRule="auto"/>
                    <w:rPr>
                      <w:rFonts w:hint="eastAsia" w:ascii="Times New Roman" w:hAnsi="Times New Roman" w:eastAsia="宋体" w:cs="Times New Roman"/>
                      <w:b/>
                      <w:color w:val="000000" w:themeColor="text1"/>
                      <w:sz w:val="21"/>
                      <w:szCs w:val="21"/>
                      <w:lang w:val="en-US" w:eastAsia="zh-CN"/>
                      <w14:textFill>
                        <w14:solidFill>
                          <w14:schemeClr w14:val="tx1"/>
                        </w14:solidFill>
                      </w14:textFill>
                    </w:rPr>
                  </w:pPr>
                  <w:bookmarkStart w:id="7" w:name="_Hlk164443080"/>
                  <w:r>
                    <w:rPr>
                      <w:rFonts w:hint="eastAsia" w:ascii="Times New Roman" w:hAnsi="Times New Roman" w:eastAsia="宋体" w:cs="Times New Roman"/>
                      <w:b/>
                      <w:color w:val="000000" w:themeColor="text1"/>
                      <w:sz w:val="21"/>
                      <w:szCs w:val="21"/>
                      <w:lang w:val="en-US" w:eastAsia="zh-CN"/>
                      <w14:textFill>
                        <w14:solidFill>
                          <w14:schemeClr w14:val="tx1"/>
                        </w14:solidFill>
                      </w14:textFill>
                    </w:rPr>
                    <w:t>大气污染防治规划文件</w:t>
                  </w:r>
                </w:p>
              </w:tc>
              <w:tc>
                <w:tcPr>
                  <w:tcW w:w="3825" w:type="dxa"/>
                  <w:shd w:val="clear" w:color="auto" w:fill="auto"/>
                  <w:vAlign w:val="center"/>
                </w:tcPr>
                <w:p w14:paraId="5F3ED2F5">
                  <w:pPr>
                    <w:pStyle w:val="70"/>
                    <w:spacing w:line="240" w:lineRule="auto"/>
                    <w:rPr>
                      <w:rFonts w:hint="eastAsia" w:ascii="Times New Roman" w:hAnsi="Times New Roman" w:eastAsia="宋体" w:cs="Times New Roman"/>
                      <w:b/>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color w:val="000000" w:themeColor="text1"/>
                      <w:sz w:val="21"/>
                      <w:szCs w:val="21"/>
                      <w:lang w:val="en-US" w:eastAsia="zh-CN"/>
                      <w14:textFill>
                        <w14:solidFill>
                          <w14:schemeClr w14:val="tx1"/>
                        </w14:solidFill>
                      </w14:textFill>
                    </w:rPr>
                    <w:t>规划要求</w:t>
                  </w:r>
                </w:p>
              </w:tc>
              <w:tc>
                <w:tcPr>
                  <w:tcW w:w="2471" w:type="dxa"/>
                  <w:shd w:val="clear" w:color="auto" w:fill="auto"/>
                  <w:vAlign w:val="center"/>
                </w:tcPr>
                <w:p w14:paraId="6281D80C">
                  <w:pPr>
                    <w:pStyle w:val="70"/>
                    <w:spacing w:line="240" w:lineRule="auto"/>
                    <w:rPr>
                      <w:rFonts w:hint="eastAsia" w:ascii="Times New Roman" w:hAnsi="Times New Roman" w:eastAsia="宋体" w:cs="Times New Roman"/>
                      <w:b/>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color w:val="000000" w:themeColor="text1"/>
                      <w:sz w:val="21"/>
                      <w:szCs w:val="21"/>
                      <w:lang w:val="en-US" w:eastAsia="zh-CN"/>
                      <w14:textFill>
                        <w14:solidFill>
                          <w14:schemeClr w14:val="tx1"/>
                        </w14:solidFill>
                      </w14:textFill>
                    </w:rPr>
                    <w:t>本项目情况</w:t>
                  </w:r>
                </w:p>
              </w:tc>
              <w:tc>
                <w:tcPr>
                  <w:tcW w:w="512" w:type="dxa"/>
                  <w:shd w:val="clear" w:color="auto" w:fill="auto"/>
                  <w:vAlign w:val="center"/>
                </w:tcPr>
                <w:p w14:paraId="58E090CA">
                  <w:pPr>
                    <w:pStyle w:val="70"/>
                    <w:spacing w:line="240" w:lineRule="auto"/>
                    <w:rPr>
                      <w:rFonts w:hint="eastAsia" w:ascii="Times New Roman" w:hAnsi="Times New Roman" w:eastAsia="宋体" w:cs="Times New Roman"/>
                      <w:b/>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color w:val="000000" w:themeColor="text1"/>
                      <w:sz w:val="21"/>
                      <w:szCs w:val="21"/>
                      <w:lang w:val="en-US" w:eastAsia="zh-CN"/>
                      <w14:textFill>
                        <w14:solidFill>
                          <w14:schemeClr w14:val="tx1"/>
                        </w14:solidFill>
                      </w14:textFill>
                    </w:rPr>
                    <w:t>符合性</w:t>
                  </w:r>
                </w:p>
              </w:tc>
            </w:tr>
            <w:tr w14:paraId="1497F8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1216" w:type="dxa"/>
                  <w:vMerge w:val="restart"/>
                  <w:shd w:val="clear" w:color="auto" w:fill="auto"/>
                  <w:vAlign w:val="center"/>
                </w:tcPr>
                <w:p w14:paraId="78FF9829">
                  <w:pPr>
                    <w:pStyle w:val="70"/>
                    <w:spacing w:line="240" w:lineRule="auto"/>
                    <w:jc w:val="both"/>
                    <w:rPr>
                      <w:rFonts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w:t>
                  </w:r>
                  <w:r>
                    <w:rPr>
                      <w:rFonts w:hint="eastAsia" w:cs="Times New Roman"/>
                      <w:color w:val="000000" w:themeColor="text1"/>
                      <w:sz w:val="21"/>
                      <w:szCs w:val="21"/>
                      <w:lang w:val="en-US" w:eastAsia="zh-CN"/>
                      <w14:textFill>
                        <w14:solidFill>
                          <w14:schemeClr w14:val="tx1"/>
                        </w14:solidFill>
                      </w14:textFill>
                    </w:rPr>
                    <w:t>中华人民共和国生态环境法典</w:t>
                  </w:r>
                  <w:r>
                    <w:rPr>
                      <w:rFonts w:hint="eastAsia" w:ascii="Times New Roman" w:hAnsi="Times New Roman" w:eastAsia="宋体" w:cs="Times New Roman"/>
                      <w:color w:val="000000" w:themeColor="text1"/>
                      <w:sz w:val="21"/>
                      <w:szCs w:val="21"/>
                      <w14:textFill>
                        <w14:solidFill>
                          <w14:schemeClr w14:val="tx1"/>
                        </w14:solidFill>
                      </w14:textFill>
                    </w:rPr>
                    <w:t>》</w:t>
                  </w:r>
                </w:p>
              </w:tc>
              <w:tc>
                <w:tcPr>
                  <w:tcW w:w="3825" w:type="dxa"/>
                  <w:shd w:val="clear" w:color="auto" w:fill="auto"/>
                  <w:vAlign w:val="center"/>
                </w:tcPr>
                <w:p w14:paraId="12D796EA">
                  <w:pPr>
                    <w:pStyle w:val="70"/>
                    <w:spacing w:line="240" w:lineRule="auto"/>
                    <w:jc w:val="both"/>
                    <w:rPr>
                      <w:rFonts w:ascii="Times New Roman" w:hAnsi="Times New Roman" w:eastAsia="宋体" w:cs="Times New Roman"/>
                      <w:color w:val="000000" w:themeColor="text1"/>
                      <w:sz w:val="21"/>
                      <w:szCs w:val="21"/>
                      <w14:textFill>
                        <w14:solidFill>
                          <w14:schemeClr w14:val="tx1"/>
                        </w14:solidFill>
                      </w14:textFill>
                    </w:rPr>
                  </w:pPr>
                  <w:r>
                    <w:rPr>
                      <w:rFonts w:hint="eastAsia" w:ascii="宋体" w:hAnsi="宋体" w:eastAsia="宋体"/>
                      <w:color w:val="000000" w:themeColor="text1"/>
                      <w:sz w:val="21"/>
                      <w:szCs w:val="21"/>
                      <w14:textFill>
                        <w14:solidFill>
                          <w14:schemeClr w14:val="tx1"/>
                        </w14:solidFill>
                      </w14:textFill>
                    </w:rPr>
                    <w:t>生产、使用含挥发性有机物的原辅材料和产品，应当按照国家规定，在密闭空间、设备中进行并安装、使用污染防治设施，或者采取有效措施减少废气排放。</w:t>
                  </w:r>
                </w:p>
              </w:tc>
              <w:tc>
                <w:tcPr>
                  <w:tcW w:w="2471" w:type="dxa"/>
                  <w:shd w:val="clear" w:color="auto" w:fill="auto"/>
                  <w:vAlign w:val="center"/>
                </w:tcPr>
                <w:p w14:paraId="4B69F511">
                  <w:pPr>
                    <w:pStyle w:val="18"/>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bCs/>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项目生产车间均密闭，项目涂布烘干工序产生的NMP废气经NMP回收处理装置（TA00</w:t>
                  </w:r>
                  <w:r>
                    <w:rPr>
                      <w:rFonts w:hint="eastAsia" w:ascii="Times New Roman" w:hAnsi="Times New Roman" w:cs="Times New Roman"/>
                      <w:color w:val="000000" w:themeColor="text1"/>
                      <w:sz w:val="21"/>
                      <w:szCs w:val="21"/>
                      <w:lang w:val="en-US" w:eastAsia="zh-CN"/>
                      <w14:textFill>
                        <w14:solidFill>
                          <w14:schemeClr w14:val="tx1"/>
                        </w14:solidFill>
                      </w14:textFill>
                    </w:rPr>
                    <w:t>2</w:t>
                  </w:r>
                  <w:r>
                    <w:rPr>
                      <w:rFonts w:hint="default" w:ascii="Times New Roman" w:hAnsi="Times New Roman" w:cs="Times New Roman"/>
                      <w:color w:val="000000" w:themeColor="text1"/>
                      <w:sz w:val="21"/>
                      <w:szCs w:val="21"/>
                      <w:lang w:val="en-US" w:eastAsia="zh-CN"/>
                      <w14:textFill>
                        <w14:solidFill>
                          <w14:schemeClr w14:val="tx1"/>
                        </w14:solidFill>
                      </w14:textFill>
                    </w:rPr>
                    <w:t>）处理后通过1根</w:t>
                  </w:r>
                  <w:r>
                    <w:rPr>
                      <w:rFonts w:hint="eastAsia" w:cs="Times New Roman"/>
                      <w:color w:val="000000" w:themeColor="text1"/>
                      <w:sz w:val="21"/>
                      <w:szCs w:val="21"/>
                      <w:lang w:val="en-US" w:eastAsia="zh-CN"/>
                      <w14:textFill>
                        <w14:solidFill>
                          <w14:schemeClr w14:val="tx1"/>
                        </w14:solidFill>
                      </w14:textFill>
                    </w:rPr>
                    <w:t>25</w:t>
                  </w:r>
                  <w:r>
                    <w:rPr>
                      <w:rFonts w:hint="default" w:ascii="Times New Roman" w:hAnsi="Times New Roman" w:cs="Times New Roman"/>
                      <w:color w:val="000000" w:themeColor="text1"/>
                      <w:sz w:val="21"/>
                      <w:szCs w:val="21"/>
                      <w:lang w:val="en-US" w:eastAsia="zh-CN"/>
                      <w14:textFill>
                        <w14:solidFill>
                          <w14:schemeClr w14:val="tx1"/>
                        </w14:solidFill>
                      </w14:textFill>
                    </w:rPr>
                    <w:t>m高排气筒（DA001）排放；电解液注液、</w:t>
                  </w:r>
                  <w:r>
                    <w:rPr>
                      <w:rFonts w:hint="eastAsia" w:ascii="Times New Roman" w:hAnsi="Times New Roman" w:cs="Times New Roman"/>
                      <w:color w:val="000000" w:themeColor="text1"/>
                      <w:sz w:val="21"/>
                      <w:szCs w:val="21"/>
                      <w:lang w:val="en-US" w:eastAsia="zh-CN"/>
                      <w14:textFill>
                        <w14:solidFill>
                          <w14:schemeClr w14:val="tx1"/>
                        </w14:solidFill>
                      </w14:textFill>
                    </w:rPr>
                    <w:t>二封、电池拆解等工序产生的有机废气</w:t>
                  </w:r>
                  <w:r>
                    <w:rPr>
                      <w:rFonts w:hint="default" w:ascii="Times New Roman" w:hAnsi="Times New Roman" w:cs="Times New Roman"/>
                      <w:color w:val="000000" w:themeColor="text1"/>
                      <w:sz w:val="21"/>
                      <w:szCs w:val="21"/>
                      <w:lang w:val="en-US" w:eastAsia="zh-CN"/>
                      <w14:textFill>
                        <w14:solidFill>
                          <w14:schemeClr w14:val="tx1"/>
                        </w14:solidFill>
                      </w14:textFill>
                    </w:rPr>
                    <w:t>经集气管道引至二级活性炭吸附装置（TA00</w:t>
                  </w:r>
                  <w:r>
                    <w:rPr>
                      <w:rFonts w:hint="eastAsia" w:ascii="Times New Roman" w:hAnsi="Times New Roman" w:cs="Times New Roman"/>
                      <w:color w:val="000000" w:themeColor="text1"/>
                      <w:sz w:val="21"/>
                      <w:szCs w:val="21"/>
                      <w:lang w:val="en-US" w:eastAsia="zh-CN"/>
                      <w14:textFill>
                        <w14:solidFill>
                          <w14:schemeClr w14:val="tx1"/>
                        </w14:solidFill>
                      </w14:textFill>
                    </w:rPr>
                    <w:t>3</w:t>
                  </w:r>
                  <w:r>
                    <w:rPr>
                      <w:rFonts w:hint="default" w:ascii="Times New Roman" w:hAnsi="Times New Roman" w:cs="Times New Roman"/>
                      <w:color w:val="000000" w:themeColor="text1"/>
                      <w:sz w:val="21"/>
                      <w:szCs w:val="21"/>
                      <w:lang w:val="en-US" w:eastAsia="zh-CN"/>
                      <w14:textFill>
                        <w14:solidFill>
                          <w14:schemeClr w14:val="tx1"/>
                        </w14:solidFill>
                      </w14:textFill>
                    </w:rPr>
                    <w:t>）处理后，一根</w:t>
                  </w:r>
                  <w:r>
                    <w:rPr>
                      <w:rFonts w:hint="eastAsia" w:cs="Times New Roman"/>
                      <w:color w:val="000000" w:themeColor="text1"/>
                      <w:sz w:val="21"/>
                      <w:szCs w:val="21"/>
                      <w:lang w:val="en-US" w:eastAsia="zh-CN"/>
                      <w14:textFill>
                        <w14:solidFill>
                          <w14:schemeClr w14:val="tx1"/>
                        </w14:solidFill>
                      </w14:textFill>
                    </w:rPr>
                    <w:t>25</w:t>
                  </w:r>
                  <w:r>
                    <w:rPr>
                      <w:rFonts w:hint="default" w:ascii="Times New Roman" w:hAnsi="Times New Roman" w:cs="Times New Roman"/>
                      <w:color w:val="000000" w:themeColor="text1"/>
                      <w:sz w:val="21"/>
                      <w:szCs w:val="21"/>
                      <w:lang w:val="en-US" w:eastAsia="zh-CN"/>
                      <w14:textFill>
                        <w14:solidFill>
                          <w14:schemeClr w14:val="tx1"/>
                        </w14:solidFill>
                      </w14:textFill>
                    </w:rPr>
                    <w:t>m排气筒（DA002）排放</w:t>
                  </w:r>
                  <w:r>
                    <w:rPr>
                      <w:rFonts w:hint="eastAsia" w:cs="Times New Roman"/>
                      <w:color w:val="000000" w:themeColor="text1"/>
                      <w:sz w:val="21"/>
                      <w:szCs w:val="21"/>
                      <w:lang w:val="en-US" w:eastAsia="zh-CN"/>
                      <w14:textFill>
                        <w14:solidFill>
                          <w14:schemeClr w14:val="tx1"/>
                        </w14:solidFill>
                      </w14:textFill>
                    </w:rPr>
                    <w:t>。</w:t>
                  </w:r>
                </w:p>
              </w:tc>
              <w:tc>
                <w:tcPr>
                  <w:tcW w:w="512" w:type="dxa"/>
                  <w:shd w:val="clear" w:color="auto" w:fill="auto"/>
                  <w:vAlign w:val="center"/>
                </w:tcPr>
                <w:p w14:paraId="6F14E6D3">
                  <w:pPr>
                    <w:pStyle w:val="18"/>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符合</w:t>
                  </w:r>
                </w:p>
              </w:tc>
            </w:tr>
            <w:tr w14:paraId="2974C9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1216" w:type="dxa"/>
                  <w:vMerge w:val="continue"/>
                  <w:shd w:val="clear" w:color="auto" w:fill="auto"/>
                  <w:vAlign w:val="center"/>
                </w:tcPr>
                <w:p w14:paraId="5BD0FE1A">
                  <w:pPr>
                    <w:pStyle w:val="70"/>
                    <w:spacing w:line="240" w:lineRule="auto"/>
                    <w:jc w:val="both"/>
                    <w:rPr>
                      <w:rFonts w:hint="eastAsia" w:ascii="Times New Roman" w:hAnsi="Times New Roman" w:eastAsia="宋体" w:cs="Times New Roman"/>
                      <w:color w:val="000000" w:themeColor="text1"/>
                      <w:sz w:val="21"/>
                      <w:szCs w:val="21"/>
                      <w14:textFill>
                        <w14:solidFill>
                          <w14:schemeClr w14:val="tx1"/>
                        </w14:solidFill>
                      </w14:textFill>
                    </w:rPr>
                  </w:pPr>
                </w:p>
              </w:tc>
              <w:tc>
                <w:tcPr>
                  <w:tcW w:w="3825" w:type="dxa"/>
                  <w:shd w:val="clear" w:color="auto" w:fill="auto"/>
                  <w:vAlign w:val="center"/>
                </w:tcPr>
                <w:p w14:paraId="657F74F7">
                  <w:pPr>
                    <w:pStyle w:val="70"/>
                    <w:spacing w:line="240" w:lineRule="auto"/>
                    <w:jc w:val="both"/>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宋体" w:hAnsi="宋体" w:eastAsia="宋体"/>
                      <w:color w:val="000000" w:themeColor="text1"/>
                      <w:sz w:val="21"/>
                      <w:szCs w:val="21"/>
                      <w14:textFill>
                        <w14:solidFill>
                          <w14:schemeClr w14:val="tx1"/>
                        </w14:solidFill>
                      </w14:textFill>
                    </w:rPr>
                    <w:t>钢铁、建材、有色金属、石油、化工等企业生产过程中排放粉尘、硫化物和氮氧化物的，应当采用清洁生产工艺，配套建设除尘、脱硫、脱硝等装置，或者采取技术改造等其他控制大气污染物排放的措施。</w:t>
                  </w:r>
                </w:p>
              </w:tc>
              <w:tc>
                <w:tcPr>
                  <w:tcW w:w="2471" w:type="dxa"/>
                  <w:shd w:val="clear" w:color="auto" w:fill="auto"/>
                  <w:vAlign w:val="center"/>
                </w:tcPr>
                <w:p w14:paraId="11D66DD2">
                  <w:pPr>
                    <w:pStyle w:val="18"/>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本项目不属于</w:t>
                  </w:r>
                  <w:r>
                    <w:rPr>
                      <w:rFonts w:hint="eastAsia" w:ascii="宋体" w:hAnsi="宋体" w:eastAsia="宋体"/>
                      <w:color w:val="000000" w:themeColor="text1"/>
                      <w:sz w:val="21"/>
                      <w:szCs w:val="21"/>
                      <w14:textFill>
                        <w14:solidFill>
                          <w14:schemeClr w14:val="tx1"/>
                        </w14:solidFill>
                      </w14:textFill>
                    </w:rPr>
                    <w:t>钢铁、建材、有色金属、石油、化工等企业</w:t>
                  </w:r>
                  <w:r>
                    <w:rPr>
                      <w:rFonts w:hint="eastAsia" w:ascii="宋体" w:hAnsi="宋体"/>
                      <w:color w:val="000000" w:themeColor="text1"/>
                      <w:sz w:val="21"/>
                      <w:szCs w:val="21"/>
                      <w:lang w:eastAsia="zh-CN"/>
                      <w14:textFill>
                        <w14:solidFill>
                          <w14:schemeClr w14:val="tx1"/>
                        </w14:solidFill>
                      </w14:textFill>
                    </w:rPr>
                    <w:t>。</w:t>
                  </w:r>
                </w:p>
              </w:tc>
              <w:tc>
                <w:tcPr>
                  <w:tcW w:w="512" w:type="dxa"/>
                  <w:shd w:val="clear" w:color="auto" w:fill="auto"/>
                  <w:vAlign w:val="center"/>
                </w:tcPr>
                <w:p w14:paraId="3EF15ED8">
                  <w:pPr>
                    <w:pStyle w:val="18"/>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符合</w:t>
                  </w:r>
                </w:p>
              </w:tc>
            </w:tr>
            <w:tr w14:paraId="608DAC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1216" w:type="dxa"/>
                  <w:shd w:val="clear" w:color="auto" w:fill="auto"/>
                  <w:vAlign w:val="center"/>
                </w:tcPr>
                <w:p w14:paraId="4C0A3749">
                  <w:pPr>
                    <w:pStyle w:val="70"/>
                    <w:spacing w:line="240" w:lineRule="auto"/>
                    <w:jc w:val="both"/>
                    <w:rPr>
                      <w:rFonts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《四川省“十四五”环境保护规划》（川府发〔2022〕2号）</w:t>
                  </w:r>
                </w:p>
              </w:tc>
              <w:tc>
                <w:tcPr>
                  <w:tcW w:w="3825" w:type="dxa"/>
                  <w:shd w:val="clear" w:color="auto" w:fill="auto"/>
                  <w:vAlign w:val="center"/>
                </w:tcPr>
                <w:p w14:paraId="2036E99D">
                  <w:pPr>
                    <w:pStyle w:val="70"/>
                    <w:spacing w:line="240" w:lineRule="auto"/>
                    <w:jc w:val="both"/>
                    <w:rPr>
                      <w:rFonts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强化无组织排放管控，加大含VOCs物料储存、转移和输送、设备与管线组件泄漏、敞开液面逸散等管控力度，开展泄漏监测与修复工作。</w:t>
                  </w:r>
                </w:p>
              </w:tc>
              <w:tc>
                <w:tcPr>
                  <w:tcW w:w="2471" w:type="dxa"/>
                  <w:shd w:val="clear" w:color="auto" w:fill="auto"/>
                  <w:vAlign w:val="center"/>
                </w:tcPr>
                <w:p w14:paraId="5EC7CE5E">
                  <w:pPr>
                    <w:pStyle w:val="70"/>
                    <w:spacing w:line="240" w:lineRule="auto"/>
                    <w:jc w:val="both"/>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t>项目NMP原液</w:t>
                  </w:r>
                  <w:r>
                    <w:rPr>
                      <w:rFonts w:hint="eastAsia" w:cs="Times New Roman"/>
                      <w:color w:val="000000" w:themeColor="text1"/>
                      <w:kern w:val="0"/>
                      <w:sz w:val="21"/>
                      <w:szCs w:val="21"/>
                      <w:lang w:val="en-US" w:eastAsia="zh-CN" w:bidi="ar-SA"/>
                      <w14:textFill>
                        <w14:solidFill>
                          <w14:schemeClr w14:val="tx1"/>
                        </w14:solidFill>
                      </w14:textFill>
                    </w:rPr>
                    <w:t>、电解液采用密闭容器储存。</w:t>
                  </w:r>
                </w:p>
              </w:tc>
              <w:tc>
                <w:tcPr>
                  <w:tcW w:w="512" w:type="dxa"/>
                  <w:shd w:val="clear" w:color="auto" w:fill="auto"/>
                  <w:vAlign w:val="center"/>
                </w:tcPr>
                <w:p w14:paraId="39C5B436">
                  <w:pPr>
                    <w:pStyle w:val="70"/>
                    <w:spacing w:line="240" w:lineRule="auto"/>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t>符合</w:t>
                  </w:r>
                </w:p>
              </w:tc>
            </w:tr>
            <w:tr w14:paraId="1CD8FC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1216" w:type="dxa"/>
                  <w:vMerge w:val="restart"/>
                  <w:shd w:val="clear" w:color="auto" w:fill="auto"/>
                  <w:vAlign w:val="center"/>
                </w:tcPr>
                <w:p w14:paraId="79E1DAB5">
                  <w:pPr>
                    <w:pStyle w:val="70"/>
                    <w:spacing w:line="240" w:lineRule="auto"/>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《四川省深入打好重污染天气消除、臭氧污染防治和柴油货车污染治理攻坚战实施方案》（川环发〔2023〕4号）</w:t>
                  </w:r>
                </w:p>
              </w:tc>
              <w:tc>
                <w:tcPr>
                  <w:tcW w:w="3825" w:type="dxa"/>
                  <w:shd w:val="clear" w:color="auto" w:fill="auto"/>
                  <w:vAlign w:val="center"/>
                </w:tcPr>
                <w:p w14:paraId="31FD5A4A">
                  <w:pPr>
                    <w:pStyle w:val="70"/>
                    <w:spacing w:line="240" w:lineRule="auto"/>
                    <w:jc w:val="both"/>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推动产业结构和布局优化调整。坚决遏制高耗能、高排放、低水平项目盲目发展，严格落实国家和四川省产业规划、产业政策、“三线一单”、规划环评，以及产能置换、煤炭消费减量替代、区域污染物削减等要求，坚决叫停不符合要求的高耗能、高排放、低水平项目。</w:t>
                  </w:r>
                </w:p>
              </w:tc>
              <w:tc>
                <w:tcPr>
                  <w:tcW w:w="2471" w:type="dxa"/>
                  <w:shd w:val="clear" w:color="auto" w:fill="auto"/>
                  <w:vAlign w:val="center"/>
                </w:tcPr>
                <w:p w14:paraId="3A574788">
                  <w:pPr>
                    <w:pStyle w:val="70"/>
                    <w:spacing w:line="240" w:lineRule="auto"/>
                    <w:jc w:val="both"/>
                    <w:rPr>
                      <w:rFonts w:hint="eastAsia" w:eastAsia="宋体"/>
                      <w:color w:val="000000" w:themeColor="text1"/>
                      <w:sz w:val="21"/>
                      <w:szCs w:val="21"/>
                      <w:lang w:eastAsia="zh-CN"/>
                      <w14:textFill>
                        <w14:solidFill>
                          <w14:schemeClr w14:val="tx1"/>
                        </w14:solidFill>
                      </w14:textFill>
                    </w:rPr>
                  </w:pPr>
                  <w:r>
                    <w:rPr>
                      <w:rFonts w:hint="eastAsia"/>
                      <w:color w:val="000000" w:themeColor="text1"/>
                      <w:sz w:val="21"/>
                      <w:szCs w:val="21"/>
                      <w14:textFill>
                        <w14:solidFill>
                          <w14:schemeClr w14:val="tx1"/>
                        </w14:solidFill>
                      </w14:textFill>
                    </w:rPr>
                    <w:t>项目不属于高耗能、高排放项目、低水平项目，选址不涉及生态红线，符合巴中市生态环境分区管控要求</w:t>
                  </w:r>
                  <w:r>
                    <w:rPr>
                      <w:rFonts w:hint="eastAsia"/>
                      <w:color w:val="000000" w:themeColor="text1"/>
                      <w:sz w:val="21"/>
                      <w:szCs w:val="21"/>
                      <w:lang w:eastAsia="zh-CN"/>
                      <w14:textFill>
                        <w14:solidFill>
                          <w14:schemeClr w14:val="tx1"/>
                        </w14:solidFill>
                      </w14:textFill>
                    </w:rPr>
                    <w:t>。</w:t>
                  </w:r>
                </w:p>
              </w:tc>
              <w:tc>
                <w:tcPr>
                  <w:tcW w:w="512" w:type="dxa"/>
                  <w:shd w:val="clear" w:color="auto" w:fill="auto"/>
                  <w:vAlign w:val="center"/>
                </w:tcPr>
                <w:p w14:paraId="66070685">
                  <w:pPr>
                    <w:pStyle w:val="70"/>
                    <w:spacing w:line="240" w:lineRule="auto"/>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符合</w:t>
                  </w:r>
                </w:p>
              </w:tc>
            </w:tr>
            <w:tr w14:paraId="044B4C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1216" w:type="dxa"/>
                  <w:vMerge w:val="continue"/>
                  <w:shd w:val="clear" w:color="auto" w:fill="auto"/>
                  <w:vAlign w:val="center"/>
                </w:tcPr>
                <w:p w14:paraId="49A2D84E">
                  <w:pPr>
                    <w:pStyle w:val="70"/>
                    <w:spacing w:line="240" w:lineRule="auto"/>
                    <w:rPr>
                      <w:color w:val="000000" w:themeColor="text1"/>
                      <w14:textFill>
                        <w14:solidFill>
                          <w14:schemeClr w14:val="tx1"/>
                        </w14:solidFill>
                      </w14:textFill>
                    </w:rPr>
                  </w:pPr>
                </w:p>
              </w:tc>
              <w:tc>
                <w:tcPr>
                  <w:tcW w:w="3825" w:type="dxa"/>
                  <w:shd w:val="clear" w:color="auto" w:fill="auto"/>
                  <w:vAlign w:val="center"/>
                </w:tcPr>
                <w:p w14:paraId="72B835F6">
                  <w:pPr>
                    <w:pStyle w:val="70"/>
                    <w:spacing w:line="240" w:lineRule="auto"/>
                    <w:jc w:val="both"/>
                    <w:rPr>
                      <w:b/>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实施低效脱硝设施排查整治。鼓励采用低氮燃烧、选择性催化还原（</w:t>
                  </w:r>
                  <w:r>
                    <w:rPr>
                      <w:color w:val="000000" w:themeColor="text1"/>
                      <w:sz w:val="21"/>
                      <w:szCs w:val="21"/>
                      <w14:textFill>
                        <w14:solidFill>
                          <w14:schemeClr w14:val="tx1"/>
                        </w14:solidFill>
                      </w14:textFill>
                    </w:rPr>
                    <w:t>SCR）、选择性非</w:t>
                  </w:r>
                  <w:r>
                    <w:rPr>
                      <w:rFonts w:hint="eastAsia"/>
                      <w:color w:val="000000" w:themeColor="text1"/>
                      <w:sz w:val="21"/>
                      <w:szCs w:val="21"/>
                      <w14:textFill>
                        <w14:solidFill>
                          <w14:schemeClr w14:val="tx1"/>
                        </w14:solidFill>
                      </w14:textFill>
                    </w:rPr>
                    <w:t>催化还原（</w:t>
                  </w:r>
                  <w:r>
                    <w:rPr>
                      <w:color w:val="000000" w:themeColor="text1"/>
                      <w:sz w:val="21"/>
                      <w:szCs w:val="21"/>
                      <w14:textFill>
                        <w14:solidFill>
                          <w14:schemeClr w14:val="tx1"/>
                        </w14:solidFill>
                      </w14:textFill>
                    </w:rPr>
                    <w:t>SNCR）、活性焦等成熟技术</w:t>
                  </w:r>
                  <w:r>
                    <w:rPr>
                      <w:rFonts w:hint="eastAsia"/>
                      <w:color w:val="000000" w:themeColor="text1"/>
                      <w:sz w:val="21"/>
                      <w:szCs w:val="21"/>
                      <w14:textFill>
                        <w14:solidFill>
                          <w14:schemeClr w14:val="tx1"/>
                        </w14:solidFill>
                      </w14:textFill>
                    </w:rPr>
                    <w:t>。</w:t>
                  </w:r>
                </w:p>
              </w:tc>
              <w:tc>
                <w:tcPr>
                  <w:tcW w:w="2471" w:type="dxa"/>
                  <w:vMerge w:val="restart"/>
                  <w:shd w:val="clear" w:color="auto" w:fill="auto"/>
                  <w:vAlign w:val="center"/>
                </w:tcPr>
                <w:p w14:paraId="1F31103A">
                  <w:pPr>
                    <w:pStyle w:val="70"/>
                    <w:spacing w:line="240" w:lineRule="auto"/>
                    <w:jc w:val="both"/>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本项目不涉及锅炉、工业炉窑。</w:t>
                  </w:r>
                </w:p>
              </w:tc>
              <w:tc>
                <w:tcPr>
                  <w:tcW w:w="512" w:type="dxa"/>
                  <w:shd w:val="clear" w:color="auto" w:fill="auto"/>
                  <w:vAlign w:val="center"/>
                </w:tcPr>
                <w:p w14:paraId="636463B1">
                  <w:pPr>
                    <w:pStyle w:val="70"/>
                    <w:spacing w:line="240" w:lineRule="auto"/>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符合</w:t>
                  </w:r>
                </w:p>
              </w:tc>
            </w:tr>
            <w:tr w14:paraId="7CEE04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1216" w:type="dxa"/>
                  <w:vMerge w:val="continue"/>
                  <w:shd w:val="clear" w:color="auto" w:fill="auto"/>
                  <w:vAlign w:val="center"/>
                </w:tcPr>
                <w:p w14:paraId="37C6A927">
                  <w:pPr>
                    <w:pStyle w:val="70"/>
                    <w:spacing w:line="240" w:lineRule="auto"/>
                    <w:rPr>
                      <w:color w:val="000000" w:themeColor="text1"/>
                      <w14:textFill>
                        <w14:solidFill>
                          <w14:schemeClr w14:val="tx1"/>
                        </w14:solidFill>
                      </w14:textFill>
                    </w:rPr>
                  </w:pPr>
                </w:p>
              </w:tc>
              <w:tc>
                <w:tcPr>
                  <w:tcW w:w="3825" w:type="dxa"/>
                  <w:shd w:val="clear" w:color="auto" w:fill="auto"/>
                  <w:vAlign w:val="center"/>
                </w:tcPr>
                <w:p w14:paraId="38C32228">
                  <w:pPr>
                    <w:pStyle w:val="70"/>
                    <w:spacing w:line="240" w:lineRule="auto"/>
                    <w:jc w:val="both"/>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实施工业锅炉和炉窑提标改造。生物质锅炉氮氧化物排放浓度无法稳定达标的，应采用加装高效脱硝设施等方式实施改造。燃气锅炉实施低氮燃烧改造，对低氮燃烧器、烟气再循环系统、分级燃烧系统、燃料及风量调配系统等关键部件要严把质量关，确保低氮燃烧系统稳定运行，2025年底前基本完成；推动燃气锅炉取消烟气再循环系统开关阀，确有必要保留的，可通过设置电动阀、气动阀或铅封等方式加强监管。</w:t>
                  </w:r>
                </w:p>
              </w:tc>
              <w:tc>
                <w:tcPr>
                  <w:tcW w:w="2471" w:type="dxa"/>
                  <w:vMerge w:val="continue"/>
                  <w:shd w:val="clear" w:color="auto" w:fill="auto"/>
                  <w:vAlign w:val="center"/>
                </w:tcPr>
                <w:p w14:paraId="4B027AA0">
                  <w:pPr>
                    <w:pStyle w:val="70"/>
                    <w:spacing w:line="240" w:lineRule="auto"/>
                    <w:jc w:val="both"/>
                    <w:rPr>
                      <w:color w:val="000000" w:themeColor="text1"/>
                      <w:sz w:val="21"/>
                      <w:szCs w:val="21"/>
                      <w14:textFill>
                        <w14:solidFill>
                          <w14:schemeClr w14:val="tx1"/>
                        </w14:solidFill>
                      </w14:textFill>
                    </w:rPr>
                  </w:pPr>
                </w:p>
              </w:tc>
              <w:tc>
                <w:tcPr>
                  <w:tcW w:w="512" w:type="dxa"/>
                  <w:shd w:val="clear" w:color="auto" w:fill="auto"/>
                  <w:vAlign w:val="center"/>
                </w:tcPr>
                <w:p w14:paraId="5EE53DE1">
                  <w:pPr>
                    <w:pStyle w:val="70"/>
                    <w:spacing w:line="240" w:lineRule="auto"/>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符合</w:t>
                  </w:r>
                </w:p>
              </w:tc>
            </w:tr>
            <w:tr w14:paraId="100297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1835" w:hRule="atLeast"/>
                <w:jc w:val="center"/>
              </w:trPr>
              <w:tc>
                <w:tcPr>
                  <w:tcW w:w="1216" w:type="dxa"/>
                  <w:shd w:val="clear" w:color="auto" w:fill="auto"/>
                  <w:vAlign w:val="center"/>
                </w:tcPr>
                <w:p w14:paraId="331FBA6D">
                  <w:pPr>
                    <w:pStyle w:val="18"/>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textAlignment w:val="auto"/>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t>《四川省空气质量持续改善行动计划实施方案》（川府发〔2024〕15号）</w:t>
                  </w:r>
                </w:p>
              </w:tc>
              <w:tc>
                <w:tcPr>
                  <w:tcW w:w="3825" w:type="dxa"/>
                  <w:shd w:val="clear" w:color="auto" w:fill="auto"/>
                  <w:vAlign w:val="center"/>
                </w:tcPr>
                <w:p w14:paraId="27885142">
                  <w:pPr>
                    <w:pStyle w:val="18"/>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left"/>
                    <w:textAlignment w:val="auto"/>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t>严格产业准入。坚决遏制高耗能、高排放、低水平项目盲目上马……从严控制高耗能项目节能审查，对年综合能耗5万吨标准煤以上的项目按要求开展能耗替代。</w:t>
                  </w:r>
                </w:p>
                <w:p w14:paraId="5EC4F2D8">
                  <w:pPr>
                    <w:pStyle w:val="18"/>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left"/>
                    <w:textAlignment w:val="auto"/>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t>强化VOCs全过程管控。开展低效失效VOCs处理设施排查整治。储罐使用低泄漏的呼吸阀、紧急泄压阀，定期开展密封性检测。</w:t>
                  </w:r>
                </w:p>
              </w:tc>
              <w:tc>
                <w:tcPr>
                  <w:tcW w:w="2471" w:type="dxa"/>
                  <w:shd w:val="clear" w:color="auto" w:fill="auto"/>
                  <w:vAlign w:val="center"/>
                </w:tcPr>
                <w:p w14:paraId="6C498882">
                  <w:pPr>
                    <w:pStyle w:val="18"/>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left"/>
                    <w:textAlignment w:val="auto"/>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t>项目不属于高耗能、高排放、低水平项目。涉及VOCs排放处理</w:t>
                  </w:r>
                  <w:r>
                    <w:rPr>
                      <w:rFonts w:hint="eastAsia" w:cs="Times New Roman"/>
                      <w:color w:val="000000" w:themeColor="text1"/>
                      <w:kern w:val="0"/>
                      <w:sz w:val="21"/>
                      <w:szCs w:val="21"/>
                      <w:lang w:val="en-US" w:eastAsia="zh-CN" w:bidi="ar-SA"/>
                      <w14:textFill>
                        <w14:solidFill>
                          <w14:schemeClr w14:val="tx1"/>
                        </w14:solidFill>
                      </w14:textFill>
                    </w:rPr>
                    <w:t>设施</w:t>
                  </w:r>
                  <w: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t>不属于低效设施，NMP原液储罐使用低泄漏的呼吸阀、紧急泄压阀，并</w:t>
                  </w:r>
                  <w:r>
                    <w:rPr>
                      <w:rFonts w:hint="eastAsia" w:cs="Times New Roman"/>
                      <w:color w:val="000000" w:themeColor="text1"/>
                      <w:kern w:val="0"/>
                      <w:sz w:val="21"/>
                      <w:szCs w:val="21"/>
                      <w:lang w:val="en-US" w:eastAsia="zh-CN" w:bidi="ar-SA"/>
                      <w14:textFill>
                        <w14:solidFill>
                          <w14:schemeClr w14:val="tx1"/>
                        </w14:solidFill>
                      </w14:textFill>
                    </w:rPr>
                    <w:t>半年</w:t>
                  </w:r>
                  <w: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t>开展密封性检测</w:t>
                  </w:r>
                  <w:r>
                    <w:rPr>
                      <w:rFonts w:hint="eastAsia" w:cs="Times New Roman"/>
                      <w:color w:val="000000" w:themeColor="text1"/>
                      <w:kern w:val="0"/>
                      <w:sz w:val="21"/>
                      <w:szCs w:val="21"/>
                      <w:lang w:val="en-US" w:eastAsia="zh-CN" w:bidi="ar-SA"/>
                      <w14:textFill>
                        <w14:solidFill>
                          <w14:schemeClr w14:val="tx1"/>
                        </w14:solidFill>
                      </w14:textFill>
                    </w:rPr>
                    <w:t>。</w:t>
                  </w:r>
                </w:p>
              </w:tc>
              <w:tc>
                <w:tcPr>
                  <w:tcW w:w="512" w:type="dxa"/>
                  <w:shd w:val="clear" w:color="auto" w:fill="auto"/>
                  <w:vAlign w:val="center"/>
                </w:tcPr>
                <w:p w14:paraId="4DB52425">
                  <w:pPr>
                    <w:pStyle w:val="18"/>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t>符合</w:t>
                  </w:r>
                </w:p>
              </w:tc>
            </w:tr>
            <w:tr w14:paraId="404603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1216" w:type="dxa"/>
                  <w:shd w:val="clear" w:color="auto" w:fill="auto"/>
                  <w:vAlign w:val="center"/>
                </w:tcPr>
                <w:p w14:paraId="4F267219">
                  <w:pPr>
                    <w:pStyle w:val="70"/>
                    <w:spacing w:line="240" w:lineRule="auto"/>
                    <w:rPr>
                      <w:color w:val="000000" w:themeColor="text1"/>
                      <w14:textFill>
                        <w14:solidFill>
                          <w14:schemeClr w14:val="tx1"/>
                        </w14:solidFill>
                      </w14:textFill>
                    </w:rPr>
                  </w:pPr>
                  <w:r>
                    <w:rPr>
                      <w:rFonts w:hint="eastAsia"/>
                      <w:color w:val="000000" w:themeColor="text1"/>
                      <w:sz w:val="21"/>
                      <w:szCs w:val="21"/>
                      <w14:textFill>
                        <w14:solidFill>
                          <w14:schemeClr w14:val="tx1"/>
                        </w14:solidFill>
                      </w14:textFill>
                    </w:rPr>
                    <w:t>《巴中市“十四五”生态环境保护规划》</w:t>
                  </w:r>
                </w:p>
              </w:tc>
              <w:tc>
                <w:tcPr>
                  <w:tcW w:w="3825" w:type="dxa"/>
                  <w:shd w:val="clear" w:color="auto" w:fill="auto"/>
                  <w:vAlign w:val="center"/>
                </w:tcPr>
                <w:p w14:paraId="27DAD27B">
                  <w:pPr>
                    <w:pStyle w:val="70"/>
                    <w:spacing w:line="240" w:lineRule="auto"/>
                    <w:jc w:val="both"/>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严格控制挥发性有机物（VOCs）排放。实施VOCs排放总量控制制度，制定VOCs专项整治方案。</w:t>
                  </w:r>
                </w:p>
              </w:tc>
              <w:tc>
                <w:tcPr>
                  <w:tcW w:w="2471" w:type="dxa"/>
                  <w:shd w:val="clear" w:color="auto" w:fill="auto"/>
                  <w:vAlign w:val="center"/>
                </w:tcPr>
                <w:p w14:paraId="491C5B79">
                  <w:pPr>
                    <w:pStyle w:val="70"/>
                    <w:spacing w:line="240" w:lineRule="auto"/>
                    <w:jc w:val="both"/>
                    <w:rPr>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项目严格落实VOCs治理管控，生产车间均密闭，</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项目涂布烘干工序产生的NMP废气经NMP回收处理装置（TA00</w:t>
                  </w:r>
                  <w:r>
                    <w:rPr>
                      <w:rFonts w:hint="eastAsia" w:cs="Times New Roman"/>
                      <w:color w:val="000000" w:themeColor="text1"/>
                      <w:sz w:val="21"/>
                      <w:szCs w:val="21"/>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）处理后通过1根</w:t>
                  </w:r>
                  <w:r>
                    <w:rPr>
                      <w:rFonts w:hint="eastAsia" w:cs="Times New Roman"/>
                      <w:color w:val="000000" w:themeColor="text1"/>
                      <w:sz w:val="21"/>
                      <w:szCs w:val="21"/>
                      <w:lang w:val="en-US" w:eastAsia="zh-CN"/>
                      <w14:textFill>
                        <w14:solidFill>
                          <w14:schemeClr w14:val="tx1"/>
                        </w14:solidFill>
                      </w14:textFill>
                    </w:rPr>
                    <w:t>25</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m高排气筒（DA001）排放；电解液注液、</w:t>
                  </w:r>
                  <w:r>
                    <w:rPr>
                      <w:rFonts w:hint="eastAsia" w:cs="Times New Roman"/>
                      <w:color w:val="000000" w:themeColor="text1"/>
                      <w:sz w:val="21"/>
                      <w:szCs w:val="21"/>
                      <w:lang w:val="en-US" w:eastAsia="zh-CN"/>
                      <w14:textFill>
                        <w14:solidFill>
                          <w14:schemeClr w14:val="tx1"/>
                        </w14:solidFill>
                      </w14:textFill>
                    </w:rPr>
                    <w:t>二封、电池拆解等工序产生的有机废气</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经集气管道引至二级活性炭吸附装置（TA00</w:t>
                  </w:r>
                  <w:r>
                    <w:rPr>
                      <w:rFonts w:hint="eastAsia" w:cs="Times New Roman"/>
                      <w:color w:val="000000" w:themeColor="text1"/>
                      <w:sz w:val="21"/>
                      <w:szCs w:val="21"/>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）处理后，一根</w:t>
                  </w:r>
                  <w:r>
                    <w:rPr>
                      <w:rFonts w:hint="eastAsia" w:cs="Times New Roman"/>
                      <w:color w:val="000000" w:themeColor="text1"/>
                      <w:sz w:val="21"/>
                      <w:szCs w:val="21"/>
                      <w:lang w:val="en-US" w:eastAsia="zh-CN"/>
                      <w14:textFill>
                        <w14:solidFill>
                          <w14:schemeClr w14:val="tx1"/>
                        </w14:solidFill>
                      </w14:textFill>
                    </w:rPr>
                    <w:t>25</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m排气筒（DA002）排放</w:t>
                  </w:r>
                  <w:r>
                    <w:rPr>
                      <w:rFonts w:hint="eastAsia" w:cs="Times New Roman"/>
                      <w:color w:val="000000" w:themeColor="text1"/>
                      <w:sz w:val="21"/>
                      <w:szCs w:val="21"/>
                      <w:lang w:val="en-US" w:eastAsia="zh-CN"/>
                      <w14:textFill>
                        <w14:solidFill>
                          <w14:schemeClr w14:val="tx1"/>
                        </w14:solidFill>
                      </w14:textFill>
                    </w:rPr>
                    <w:t>。</w:t>
                  </w:r>
                </w:p>
              </w:tc>
              <w:tc>
                <w:tcPr>
                  <w:tcW w:w="512" w:type="dxa"/>
                  <w:shd w:val="clear" w:color="auto" w:fill="auto"/>
                  <w:vAlign w:val="center"/>
                </w:tcPr>
                <w:p w14:paraId="3FD86608">
                  <w:pPr>
                    <w:pStyle w:val="70"/>
                    <w:spacing w:line="240" w:lineRule="auto"/>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符合</w:t>
                  </w:r>
                </w:p>
              </w:tc>
            </w:tr>
            <w:bookmarkEnd w:id="7"/>
          </w:tbl>
          <w:p w14:paraId="306B99B2">
            <w:pPr>
              <w:pStyle w:val="66"/>
              <w:spacing w:line="360" w:lineRule="auto"/>
              <w:ind w:firstLine="482"/>
              <w:rPr>
                <w:rFonts w:hint="eastAsia" w:ascii="Times New Roman" w:hAnsi="Times New Roman" w:eastAsia="宋体" w:cs="Times New Roman"/>
                <w:color w:val="000000" w:themeColor="text1"/>
                <w:sz w:val="24"/>
                <w:lang w:val="en-US" w:eastAsia="zh-CN"/>
                <w14:textFill>
                  <w14:solidFill>
                    <w14:schemeClr w14:val="tx1"/>
                  </w14:solidFill>
                </w14:textFill>
              </w:rPr>
            </w:pPr>
            <w:r>
              <w:rPr>
                <w:rFonts w:hint="eastAsia" w:ascii="Times New Roman" w:hAnsi="Times New Roman" w:eastAsia="宋体" w:cs="Times New Roman"/>
                <w:color w:val="000000" w:themeColor="text1"/>
                <w:sz w:val="24"/>
                <w:lang w:val="en-US" w:eastAsia="zh-CN"/>
                <w14:textFill>
                  <w14:solidFill>
                    <w14:schemeClr w14:val="tx1"/>
                  </w14:solidFill>
                </w14:textFill>
              </w:rPr>
              <w:t>综上，本项目</w:t>
            </w:r>
            <w:r>
              <w:rPr>
                <w:rFonts w:hint="default" w:ascii="Times New Roman" w:hAnsi="Times New Roman" w:eastAsia="宋体" w:cs="Times New Roman"/>
                <w:color w:val="000000" w:themeColor="text1"/>
                <w:sz w:val="24"/>
                <w14:textFill>
                  <w14:solidFill>
                    <w14:schemeClr w14:val="tx1"/>
                  </w14:solidFill>
                </w14:textFill>
              </w:rPr>
              <w:t>与大气污染防治相关法规、规范</w:t>
            </w:r>
            <w:r>
              <w:rPr>
                <w:rFonts w:hint="eastAsia" w:ascii="Times New Roman" w:hAnsi="Times New Roman" w:eastAsia="宋体" w:cs="Times New Roman"/>
                <w:color w:val="000000" w:themeColor="text1"/>
                <w:sz w:val="24"/>
                <w:lang w:val="en-US" w:eastAsia="zh-CN"/>
                <w14:textFill>
                  <w14:solidFill>
                    <w14:schemeClr w14:val="tx1"/>
                  </w14:solidFill>
                </w14:textFill>
              </w:rPr>
              <w:t>相符合。</w:t>
            </w:r>
          </w:p>
          <w:p w14:paraId="572286E7">
            <w:pPr>
              <w:pStyle w:val="66"/>
              <w:spacing w:line="360" w:lineRule="auto"/>
              <w:ind w:firstLine="482"/>
              <w:rPr>
                <w:rFonts w:hint="eastAsia" w:ascii="Times New Roman" w:hAnsi="Times New Roman" w:eastAsia="宋体" w:cs="Times New Roman"/>
                <w:b/>
                <w:bCs/>
                <w:color w:val="000000" w:themeColor="text1"/>
                <w:lang w:val="en-US" w:eastAsia="zh-CN"/>
                <w14:textFill>
                  <w14:solidFill>
                    <w14:schemeClr w14:val="tx1"/>
                  </w14:solidFill>
                </w14:textFill>
              </w:rPr>
            </w:pPr>
            <w:r>
              <w:rPr>
                <w:rFonts w:hint="eastAsia" w:cs="Times New Roman"/>
                <w:b/>
                <w:bCs/>
                <w:color w:val="000000" w:themeColor="text1"/>
                <w:lang w:val="en-US" w:eastAsia="zh-CN"/>
                <w14:textFill>
                  <w14:solidFill>
                    <w14:schemeClr w14:val="tx1"/>
                  </w14:solidFill>
                </w14:textFill>
              </w:rPr>
              <w:t>5</w:t>
            </w:r>
            <w:r>
              <w:rPr>
                <w:rFonts w:hint="eastAsia" w:ascii="Times New Roman" w:hAnsi="Times New Roman" w:eastAsia="宋体" w:cs="Times New Roman"/>
                <w:b/>
                <w:bCs/>
                <w:color w:val="000000" w:themeColor="text1"/>
                <w:lang w:val="en-US" w:eastAsia="zh-CN"/>
                <w14:textFill>
                  <w14:solidFill>
                    <w14:schemeClr w14:val="tx1"/>
                  </w14:solidFill>
                </w14:textFill>
              </w:rPr>
              <w:t>、项目与水污染防治的规范文件的符合性分析</w:t>
            </w:r>
          </w:p>
          <w:p w14:paraId="2F9948CD">
            <w:pPr>
              <w:pStyle w:val="66"/>
              <w:spacing w:line="360" w:lineRule="auto"/>
              <w:rPr>
                <w:rFonts w:hint="eastAsia" w:eastAsia="宋体"/>
                <w:color w:val="000000" w:themeColor="text1"/>
                <w:lang w:eastAsia="zh-CN"/>
                <w14:textFill>
                  <w14:solidFill>
                    <w14:schemeClr w14:val="tx1"/>
                  </w14:solidFill>
                </w14:textFill>
              </w:rPr>
            </w:pPr>
            <w:r>
              <w:rPr>
                <w:color w:val="000000" w:themeColor="text1"/>
                <w14:textFill>
                  <w14:solidFill>
                    <w14:schemeClr w14:val="tx1"/>
                  </w14:solidFill>
                </w14:textFill>
              </w:rPr>
              <w:t>本</w:t>
            </w:r>
            <w:r>
              <w:rPr>
                <w:rFonts w:hint="default" w:ascii="Times New Roman" w:hAnsi="Times New Roman" w:eastAsia="宋体" w:cs="Times New Roman"/>
                <w:b w:val="0"/>
                <w:bCs w:val="0"/>
                <w:color w:val="000000" w:themeColor="text1"/>
                <w:sz w:val="24"/>
                <w14:textFill>
                  <w14:solidFill>
                    <w14:schemeClr w14:val="tx1"/>
                  </w14:solidFill>
                </w14:textFill>
              </w:rPr>
              <w:t>项目</w:t>
            </w:r>
            <w:r>
              <w:rPr>
                <w:rFonts w:hint="eastAsia" w:ascii="Times New Roman" w:hAnsi="Times New Roman" w:eastAsia="宋体" w:cs="Times New Roman"/>
                <w:color w:val="000000" w:themeColor="text1"/>
                <w:sz w:val="24"/>
                <w14:textFill>
                  <w14:solidFill>
                    <w14:schemeClr w14:val="tx1"/>
                  </w14:solidFill>
                </w14:textFill>
              </w:rPr>
              <w:t>与</w:t>
            </w:r>
            <w:r>
              <w:rPr>
                <w:rFonts w:hint="eastAsia" w:ascii="Times New Roman" w:hAnsi="Times New Roman" w:eastAsia="宋体" w:cs="Times New Roman"/>
                <w:color w:val="000000" w:themeColor="text1"/>
                <w:sz w:val="24"/>
                <w:lang w:val="en-US" w:eastAsia="zh-CN"/>
                <w14:textFill>
                  <w14:solidFill>
                    <w14:schemeClr w14:val="tx1"/>
                  </w14:solidFill>
                </w14:textFill>
              </w:rPr>
              <w:t>水污染防治</w:t>
            </w:r>
            <w:r>
              <w:rPr>
                <w:rFonts w:hint="default" w:ascii="Times New Roman" w:hAnsi="Times New Roman" w:eastAsia="宋体" w:cs="Times New Roman"/>
                <w:color w:val="000000" w:themeColor="text1"/>
                <w:sz w:val="24"/>
                <w14:textFill>
                  <w14:solidFill>
                    <w14:schemeClr w14:val="tx1"/>
                  </w14:solidFill>
                </w14:textFill>
              </w:rPr>
              <w:t>相关法</w:t>
            </w:r>
            <w:r>
              <w:rPr>
                <w:rFonts w:hint="default" w:ascii="Times New Roman" w:hAnsi="Times New Roman" w:cs="Times New Roman"/>
                <w:color w:val="000000" w:themeColor="text1"/>
                <w:sz w:val="24"/>
                <w14:textFill>
                  <w14:solidFill>
                    <w14:schemeClr w14:val="tx1"/>
                  </w14:solidFill>
                </w14:textFill>
              </w:rPr>
              <w:t>规</w:t>
            </w:r>
            <w:r>
              <w:rPr>
                <w:rFonts w:hint="default" w:ascii="Times New Roman" w:hAnsi="Times New Roman" w:cs="Times New Roman"/>
                <w:b w:val="0"/>
                <w:bCs w:val="0"/>
                <w:color w:val="000000" w:themeColor="text1"/>
                <w:sz w:val="24"/>
                <w14:textFill>
                  <w14:solidFill>
                    <w14:schemeClr w14:val="tx1"/>
                  </w14:solidFill>
                </w14:textFill>
              </w:rPr>
              <w:t>、规范符合性</w:t>
            </w:r>
            <w:r>
              <w:rPr>
                <w:rFonts w:hint="default" w:ascii="Times New Roman" w:hAnsi="Times New Roman" w:cs="Times New Roman"/>
                <w:color w:val="000000" w:themeColor="text1"/>
                <w:sz w:val="24"/>
                <w14:textFill>
                  <w14:solidFill>
                    <w14:schemeClr w14:val="tx1"/>
                  </w14:solidFill>
                </w14:textFill>
              </w:rPr>
              <w:t>分析</w:t>
            </w:r>
            <w:r>
              <w:rPr>
                <w:rFonts w:hint="default" w:ascii="Times New Roman" w:hAnsi="Times New Roman" w:cs="Times New Roman"/>
                <w:color w:val="000000" w:themeColor="text1"/>
                <w:sz w:val="24"/>
                <w:lang w:eastAsia="zh-CN"/>
                <w14:textFill>
                  <w14:solidFill>
                    <w14:schemeClr w14:val="tx1"/>
                  </w14:solidFill>
                </w14:textFill>
              </w:rPr>
              <w:t>见下</w:t>
            </w:r>
            <w:r>
              <w:rPr>
                <w:rFonts w:hint="default" w:ascii="Times New Roman" w:hAnsi="Times New Roman" w:cs="Times New Roman"/>
                <w:color w:val="000000" w:themeColor="text1"/>
                <w:sz w:val="24"/>
                <w14:textFill>
                  <w14:solidFill>
                    <w14:schemeClr w14:val="tx1"/>
                  </w14:solidFill>
                </w14:textFill>
              </w:rPr>
              <w:t>表所示</w:t>
            </w:r>
            <w:r>
              <w:rPr>
                <w:rFonts w:hint="eastAsia" w:ascii="Times New Roman" w:hAnsi="Times New Roman" w:cs="Times New Roman"/>
                <w:color w:val="000000" w:themeColor="text1"/>
                <w:sz w:val="24"/>
                <w:lang w:eastAsia="zh-CN"/>
                <w14:textFill>
                  <w14:solidFill>
                    <w14:schemeClr w14:val="tx1"/>
                  </w14:solidFill>
                </w14:textFill>
              </w:rPr>
              <w:t>：</w:t>
            </w:r>
          </w:p>
          <w:p w14:paraId="33876758">
            <w:pPr>
              <w:pStyle w:val="68"/>
              <w:rPr>
                <w:rFonts w:hint="eastAsia" w:ascii="Times New Roman" w:hAnsi="Times New Roman" w:eastAsia="宋体" w:cs="Times New Roman"/>
                <w:b/>
                <w:bCs/>
                <w:color w:val="000000" w:themeColor="text1"/>
                <w14:textFill>
                  <w14:solidFill>
                    <w14:schemeClr w14:val="tx1"/>
                  </w14:solidFill>
                </w14:textFill>
              </w:rPr>
            </w:pPr>
            <w:r>
              <w:rPr>
                <w:rFonts w:hint="eastAsia" w:ascii="Times New Roman" w:hAnsi="Times New Roman" w:eastAsia="宋体" w:cs="Times New Roman"/>
                <w:b/>
                <w:bCs/>
                <w:color w:val="000000" w:themeColor="text1"/>
                <w14:textFill>
                  <w14:solidFill>
                    <w14:schemeClr w14:val="tx1"/>
                  </w14:solidFill>
                </w14:textFill>
              </w:rPr>
              <w:t>表1-</w:t>
            </w:r>
            <w:r>
              <w:rPr>
                <w:rFonts w:hint="eastAsia" w:eastAsia="宋体" w:cs="Times New Roman"/>
                <w:b/>
                <w:bCs/>
                <w:color w:val="000000" w:themeColor="text1"/>
                <w:lang w:val="en-US" w:eastAsia="zh-CN"/>
                <w14:textFill>
                  <w14:solidFill>
                    <w14:schemeClr w14:val="tx1"/>
                  </w14:solidFill>
                </w14:textFill>
              </w:rPr>
              <w:t>10</w:t>
            </w:r>
            <w:r>
              <w:rPr>
                <w:rFonts w:hint="eastAsia" w:ascii="Times New Roman" w:hAnsi="Times New Roman" w:eastAsia="宋体" w:cs="Times New Roman"/>
                <w:b/>
                <w:bCs/>
                <w:color w:val="000000" w:themeColor="text1"/>
                <w14:textFill>
                  <w14:solidFill>
                    <w14:schemeClr w14:val="tx1"/>
                  </w14:solidFill>
                </w14:textFill>
              </w:rPr>
              <w:t xml:space="preserve"> 项目与水污染防治等相关规划符合性</w:t>
            </w:r>
          </w:p>
          <w:tbl>
            <w:tblPr>
              <w:tblStyle w:val="41"/>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1025"/>
              <w:gridCol w:w="5006"/>
              <w:gridCol w:w="1555"/>
              <w:gridCol w:w="438"/>
            </w:tblGrid>
            <w:tr w14:paraId="694A67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69" w:hRule="atLeast"/>
              </w:trPr>
              <w:tc>
                <w:tcPr>
                  <w:tcW w:w="1025" w:type="dxa"/>
                  <w:shd w:val="clear" w:color="auto" w:fill="auto"/>
                  <w:vAlign w:val="center"/>
                </w:tcPr>
                <w:p w14:paraId="365DC750">
                  <w:pPr>
                    <w:pStyle w:val="70"/>
                    <w:spacing w:line="240" w:lineRule="auto"/>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水污染防治规划文件</w:t>
                  </w:r>
                </w:p>
              </w:tc>
              <w:tc>
                <w:tcPr>
                  <w:tcW w:w="5006" w:type="dxa"/>
                  <w:shd w:val="clear" w:color="auto" w:fill="auto"/>
                  <w:vAlign w:val="center"/>
                </w:tcPr>
                <w:p w14:paraId="6FB0C7C9">
                  <w:pPr>
                    <w:pStyle w:val="70"/>
                    <w:spacing w:line="240" w:lineRule="auto"/>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规划要求</w:t>
                  </w:r>
                </w:p>
              </w:tc>
              <w:tc>
                <w:tcPr>
                  <w:tcW w:w="1555" w:type="dxa"/>
                  <w:shd w:val="clear" w:color="auto" w:fill="auto"/>
                  <w:vAlign w:val="center"/>
                </w:tcPr>
                <w:p w14:paraId="2298652E">
                  <w:pPr>
                    <w:pStyle w:val="70"/>
                    <w:spacing w:line="240" w:lineRule="auto"/>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本项目情况</w:t>
                  </w:r>
                </w:p>
              </w:tc>
              <w:tc>
                <w:tcPr>
                  <w:tcW w:w="438" w:type="dxa"/>
                  <w:shd w:val="clear" w:color="auto" w:fill="auto"/>
                  <w:vAlign w:val="center"/>
                </w:tcPr>
                <w:p w14:paraId="261B702F">
                  <w:pPr>
                    <w:pStyle w:val="70"/>
                    <w:spacing w:line="240" w:lineRule="auto"/>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符合性</w:t>
                  </w:r>
                </w:p>
              </w:tc>
            </w:tr>
            <w:tr w14:paraId="43F7E2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69" w:hRule="atLeast"/>
              </w:trPr>
              <w:tc>
                <w:tcPr>
                  <w:tcW w:w="1025" w:type="dxa"/>
                  <w:shd w:val="clear" w:color="auto" w:fill="auto"/>
                  <w:vAlign w:val="center"/>
                </w:tcPr>
                <w:p w14:paraId="70C71E61">
                  <w:pPr>
                    <w:pStyle w:val="70"/>
                    <w:spacing w:line="240" w:lineRule="auto"/>
                    <w:jc w:val="both"/>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《中华人民共和国生态环境法典》</w:t>
                  </w:r>
                </w:p>
              </w:tc>
              <w:tc>
                <w:tcPr>
                  <w:tcW w:w="5006" w:type="dxa"/>
                  <w:shd w:val="clear" w:color="auto" w:fill="auto"/>
                  <w:vAlign w:val="center"/>
                </w:tcPr>
                <w:p w14:paraId="4D7D89BC">
                  <w:pPr>
                    <w:pStyle w:val="70"/>
                    <w:spacing w:line="240" w:lineRule="auto"/>
                    <w:jc w:val="both"/>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排放工业废水的企业应当采取有效措施，收集和处理产生的全部废水，防止污染环境。含有毒有害水污染物的工业废水应当分类收集和处理，防止渗漏、流失，不得稀释排放。</w:t>
                  </w:r>
                </w:p>
              </w:tc>
              <w:tc>
                <w:tcPr>
                  <w:tcW w:w="1555" w:type="dxa"/>
                  <w:vMerge w:val="restart"/>
                  <w:shd w:val="clear" w:color="auto" w:fill="auto"/>
                  <w:vAlign w:val="center"/>
                </w:tcPr>
                <w:p w14:paraId="2395A990">
                  <w:pPr>
                    <w:pStyle w:val="70"/>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①</w:t>
                  </w:r>
                  <w:r>
                    <w:rPr>
                      <w:rFonts w:hint="default" w:ascii="Times New Roman" w:hAnsi="Times New Roman" w:eastAsia="宋体" w:cs="Times New Roman"/>
                      <w:color w:val="000000" w:themeColor="text1"/>
                      <w:sz w:val="21"/>
                      <w:szCs w:val="21"/>
                      <w14:textFill>
                        <w14:solidFill>
                          <w14:schemeClr w14:val="tx1"/>
                        </w14:solidFill>
                      </w14:textFill>
                    </w:rPr>
                    <w:t>项目属</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于</w:t>
                  </w:r>
                  <w:r>
                    <w:rPr>
                      <w:rFonts w:hint="default" w:ascii="Times New Roman" w:hAnsi="Times New Roman" w:eastAsia="宋体" w:cs="Times New Roman"/>
                      <w:color w:val="000000" w:themeColor="text1"/>
                      <w:sz w:val="21"/>
                      <w:szCs w:val="21"/>
                      <w14:textFill>
                        <w14:solidFill>
                          <w14:schemeClr w14:val="tx1"/>
                        </w14:solidFill>
                      </w14:textFill>
                    </w:rPr>
                    <w:t>C</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3841 锂离子电池制造</w:t>
                  </w:r>
                  <w:r>
                    <w:rPr>
                      <w:rFonts w:hint="default" w:ascii="Times New Roman" w:hAnsi="Times New Roman" w:eastAsia="宋体" w:cs="Times New Roman"/>
                      <w:color w:val="000000" w:themeColor="text1"/>
                      <w:sz w:val="21"/>
                      <w:szCs w:val="21"/>
                      <w14:textFill>
                        <w14:solidFill>
                          <w14:schemeClr w14:val="tx1"/>
                        </w14:solidFill>
                      </w14:textFill>
                    </w:rPr>
                    <w:t>。</w:t>
                  </w:r>
                </w:p>
                <w:p w14:paraId="7FFBC130">
                  <w:pPr>
                    <w:pStyle w:val="70"/>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②</w:t>
                  </w:r>
                  <w:r>
                    <w:rPr>
                      <w:rFonts w:hint="default" w:ascii="Times New Roman" w:hAnsi="Times New Roman" w:eastAsia="宋体" w:cs="Times New Roman"/>
                      <w:color w:val="000000" w:themeColor="text1"/>
                      <w:sz w:val="21"/>
                      <w:szCs w:val="21"/>
                      <w14:textFill>
                        <w14:solidFill>
                          <w14:schemeClr w14:val="tx1"/>
                        </w14:solidFill>
                      </w14:textFill>
                    </w:rPr>
                    <w:t>项目位于四川巴中经济开发区的核心区，选址不涉及生态红线，符合巴中市生态环境分区管控和规划环评要求；项目实行</w:t>
                  </w:r>
                  <w:r>
                    <w:rPr>
                      <w:rFonts w:hint="eastAsia" w:ascii="Times New Roman" w:hAnsi="Times New Roman" w:eastAsia="宋体" w:cs="Times New Roman"/>
                      <w:color w:val="000000" w:themeColor="text1"/>
                      <w:sz w:val="21"/>
                      <w:szCs w:val="21"/>
                      <w:lang w:eastAsia="zh-CN"/>
                      <w14:textFill>
                        <w14:solidFill>
                          <w14:schemeClr w14:val="tx1"/>
                        </w14:solidFill>
                      </w14:textFill>
                    </w:rPr>
                    <w:t>“</w:t>
                  </w:r>
                  <w:r>
                    <w:rPr>
                      <w:rFonts w:hint="default" w:ascii="Times New Roman" w:hAnsi="Times New Roman" w:eastAsia="宋体" w:cs="Times New Roman"/>
                      <w:color w:val="000000" w:themeColor="text1"/>
                      <w:sz w:val="21"/>
                      <w:szCs w:val="21"/>
                      <w14:textFill>
                        <w14:solidFill>
                          <w14:schemeClr w14:val="tx1"/>
                        </w14:solidFill>
                      </w14:textFill>
                    </w:rPr>
                    <w:t>清污分流、雨污分流；项目不属于高耗水、高污染项目</w:t>
                  </w:r>
                  <w:r>
                    <w:rPr>
                      <w:rFonts w:hint="default" w:ascii="Times New Roman" w:hAnsi="Times New Roman" w:eastAsia="宋体" w:cs="Times New Roman"/>
                      <w:color w:val="000000" w:themeColor="text1"/>
                      <w:sz w:val="21"/>
                      <w:szCs w:val="21"/>
                      <w:lang w:eastAsia="zh-CN"/>
                      <w14:textFill>
                        <w14:solidFill>
                          <w14:schemeClr w14:val="tx1"/>
                        </w14:solidFill>
                      </w14:textFill>
                    </w:rPr>
                    <w:t>；</w:t>
                  </w:r>
                </w:p>
                <w:p w14:paraId="6C83ABFA">
                  <w:pPr>
                    <w:pStyle w:val="70"/>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③</w:t>
                  </w:r>
                  <w:r>
                    <w:rPr>
                      <w:rFonts w:hint="default" w:ascii="Times New Roman" w:hAnsi="Times New Roman" w:eastAsia="宋体" w:cs="Times New Roman"/>
                      <w:color w:val="000000" w:themeColor="text1"/>
                      <w:sz w:val="21"/>
                      <w:szCs w:val="21"/>
                      <w14:textFill>
                        <w14:solidFill>
                          <w14:schemeClr w14:val="tx1"/>
                        </w14:solidFill>
                      </w14:textFill>
                    </w:rPr>
                    <w:t>项目</w:t>
                  </w:r>
                  <w:r>
                    <w:rPr>
                      <w:rFonts w:hint="eastAsia" w:cs="Times New Roman"/>
                      <w:color w:val="000000" w:themeColor="text1"/>
                      <w:sz w:val="21"/>
                      <w:szCs w:val="21"/>
                      <w:lang w:val="en-US" w:eastAsia="zh-CN"/>
                      <w14:textFill>
                        <w14:solidFill>
                          <w14:schemeClr w14:val="tx1"/>
                        </w14:solidFill>
                      </w14:textFill>
                    </w:rPr>
                    <w:t>生产废水</w:t>
                  </w:r>
                  <w:r>
                    <w:rPr>
                      <w:rFonts w:hint="default" w:ascii="Times New Roman" w:hAnsi="Times New Roman" w:eastAsia="宋体" w:cs="Times New Roman"/>
                      <w:color w:val="000000" w:themeColor="text1"/>
                      <w:sz w:val="21"/>
                      <w:szCs w:val="21"/>
                      <w14:textFill>
                        <w14:solidFill>
                          <w14:schemeClr w14:val="tx1"/>
                        </w14:solidFill>
                      </w14:textFill>
                    </w:rPr>
                    <w:t>经厂区污水处理设备处理</w:t>
                  </w:r>
                  <w:r>
                    <w:rPr>
                      <w:rFonts w:hint="eastAsia" w:cs="Times New Roman"/>
                      <w:color w:val="000000" w:themeColor="text1"/>
                      <w:sz w:val="21"/>
                      <w:szCs w:val="21"/>
                      <w:lang w:val="en-US" w:eastAsia="zh-CN"/>
                      <w14:textFill>
                        <w14:solidFill>
                          <w14:schemeClr w14:val="tx1"/>
                        </w14:solidFill>
                      </w14:textFill>
                    </w:rPr>
                    <w:t>后同生活污水、纯水制备浓水、反冲洗水、冷凝水经预处理池处理达到</w:t>
                  </w:r>
                  <w:r>
                    <w:rPr>
                      <w:rFonts w:hint="default" w:ascii="Times New Roman" w:hAnsi="Times New Roman" w:eastAsia="宋体" w:cs="Times New Roman"/>
                      <w:color w:val="000000" w:themeColor="text1"/>
                      <w:sz w:val="21"/>
                      <w:szCs w:val="21"/>
                      <w:lang w:eastAsia="zh-CN"/>
                      <w14:textFill>
                        <w14:solidFill>
                          <w14:schemeClr w14:val="tx1"/>
                        </w14:solidFill>
                      </w14:textFill>
                    </w:rPr>
                    <w:t>《电池工业污染物排放标准》（GB 30484-2013）</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及</w:t>
                  </w:r>
                  <w:r>
                    <w:rPr>
                      <w:rFonts w:hint="default" w:ascii="Times New Roman" w:hAnsi="Times New Roman" w:eastAsia="宋体" w:cs="Times New Roman"/>
                      <w:color w:val="000000" w:themeColor="text1"/>
                      <w:sz w:val="21"/>
                      <w:szCs w:val="21"/>
                      <w:lang w:eastAsia="zh-CN"/>
                      <w14:textFill>
                        <w14:solidFill>
                          <w14:schemeClr w14:val="tx1"/>
                        </w14:solidFill>
                      </w14:textFill>
                    </w:rPr>
                    <w:t>巴中经开区污水处理厂进水水质标准</w:t>
                  </w:r>
                  <w:r>
                    <w:rPr>
                      <w:rFonts w:hint="eastAsia" w:cs="Times New Roman"/>
                      <w:color w:val="000000" w:themeColor="text1"/>
                      <w:sz w:val="21"/>
                      <w:szCs w:val="21"/>
                      <w:lang w:eastAsia="zh-CN"/>
                      <w14:textFill>
                        <w14:solidFill>
                          <w14:schemeClr w14:val="tx1"/>
                        </w14:solidFill>
                      </w14:textFill>
                    </w:rPr>
                    <w:t>，</w:t>
                  </w:r>
                  <w:r>
                    <w:rPr>
                      <w:rFonts w:hint="eastAsia" w:cs="Times New Roman"/>
                      <w:color w:val="000000" w:themeColor="text1"/>
                      <w:sz w:val="21"/>
                      <w:szCs w:val="21"/>
                      <w:lang w:val="en-US" w:eastAsia="zh-CN"/>
                      <w14:textFill>
                        <w14:solidFill>
                          <w14:schemeClr w14:val="tx1"/>
                        </w14:solidFill>
                      </w14:textFill>
                    </w:rPr>
                    <w:t>处理后的</w:t>
                  </w:r>
                  <w:r>
                    <w:rPr>
                      <w:rFonts w:hint="default" w:ascii="Times New Roman" w:hAnsi="Times New Roman" w:eastAsia="宋体" w:cs="Times New Roman"/>
                      <w:color w:val="000000" w:themeColor="text1"/>
                      <w:sz w:val="21"/>
                      <w:szCs w:val="21"/>
                      <w:lang w:eastAsia="zh-CN"/>
                      <w14:textFill>
                        <w14:solidFill>
                          <w14:schemeClr w14:val="tx1"/>
                        </w14:solidFill>
                      </w14:textFill>
                    </w:rPr>
                    <w:t>排至</w:t>
                  </w:r>
                  <w:r>
                    <w:rPr>
                      <w:rFonts w:hint="default" w:ascii="Times New Roman" w:hAnsi="Times New Roman" w:eastAsia="宋体" w:cs="Times New Roman"/>
                      <w:color w:val="000000" w:themeColor="text1"/>
                      <w:sz w:val="21"/>
                      <w:szCs w:val="21"/>
                      <w14:textFill>
                        <w14:solidFill>
                          <w14:schemeClr w14:val="tx1"/>
                        </w14:solidFill>
                      </w14:textFill>
                    </w:rPr>
                    <w:t>经开区污水处理厂</w:t>
                  </w:r>
                  <w:r>
                    <w:rPr>
                      <w:rFonts w:hint="eastAsia" w:cs="Times New Roman"/>
                      <w:color w:val="000000" w:themeColor="text1"/>
                      <w:sz w:val="21"/>
                      <w:szCs w:val="21"/>
                      <w:lang w:eastAsia="zh-CN"/>
                      <w14:textFill>
                        <w14:solidFill>
                          <w14:schemeClr w14:val="tx1"/>
                        </w14:solidFill>
                      </w14:textFill>
                    </w:rPr>
                    <w:t>处理达到《城镇</w:t>
                  </w:r>
                  <w:r>
                    <w:rPr>
                      <w:rFonts w:hint="default" w:ascii="Times New Roman" w:hAnsi="Times New Roman" w:eastAsia="宋体" w:cs="Times New Roman"/>
                      <w:color w:val="000000" w:themeColor="text1"/>
                      <w:sz w:val="21"/>
                      <w:szCs w:val="21"/>
                      <w14:textFill>
                        <w14:solidFill>
                          <w14:schemeClr w14:val="tx1"/>
                        </w14:solidFill>
                      </w14:textFill>
                    </w:rPr>
                    <w:t>生活污水处理厂污染物排放标准》（GB18918-2002）中的一级A标后排放至巴河。</w:t>
                  </w:r>
                </w:p>
                <w:p w14:paraId="0420CC3F">
                  <w:pPr>
                    <w:pStyle w:val="70"/>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④</w:t>
                  </w:r>
                  <w:r>
                    <w:rPr>
                      <w:rFonts w:hint="default" w:ascii="Times New Roman" w:hAnsi="Times New Roman" w:eastAsia="宋体" w:cs="Times New Roman"/>
                      <w:color w:val="000000" w:themeColor="text1"/>
                      <w:sz w:val="21"/>
                      <w:szCs w:val="21"/>
                      <w14:textFill>
                        <w14:solidFill>
                          <w14:schemeClr w14:val="tx1"/>
                        </w14:solidFill>
                      </w14:textFill>
                    </w:rPr>
                    <w:t>评价要求，企业落实污染治理主体责任，按照排污许可证污染物排放总量控制要求，开展自行监测或委托有资质的单位进行监测，并向生态环境部门备案申报。</w:t>
                  </w:r>
                </w:p>
              </w:tc>
              <w:tc>
                <w:tcPr>
                  <w:tcW w:w="438" w:type="dxa"/>
                  <w:shd w:val="clear" w:color="auto" w:fill="auto"/>
                  <w:vAlign w:val="center"/>
                </w:tcPr>
                <w:p w14:paraId="2A314556">
                  <w:pPr>
                    <w:pStyle w:val="70"/>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符合</w:t>
                  </w:r>
                </w:p>
              </w:tc>
            </w:tr>
            <w:tr w14:paraId="40FF23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69" w:hRule="atLeast"/>
              </w:trPr>
              <w:tc>
                <w:tcPr>
                  <w:tcW w:w="1025" w:type="dxa"/>
                  <w:shd w:val="clear" w:color="auto" w:fill="auto"/>
                  <w:vAlign w:val="center"/>
                </w:tcPr>
                <w:p w14:paraId="3AA521BE">
                  <w:pPr>
                    <w:pStyle w:val="70"/>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《深入打好城市黑臭水体治理攻坚战实施方案》（建城〔2022〕29号）</w:t>
                  </w:r>
                </w:p>
              </w:tc>
              <w:tc>
                <w:tcPr>
                  <w:tcW w:w="5006" w:type="dxa"/>
                  <w:shd w:val="clear" w:color="auto" w:fill="auto"/>
                  <w:vAlign w:val="center"/>
                </w:tcPr>
                <w:p w14:paraId="3CA31F80">
                  <w:pPr>
                    <w:pStyle w:val="70"/>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（六）强化工业企业污染控制。</w:t>
                  </w:r>
                </w:p>
                <w:p w14:paraId="7861D8A1">
                  <w:pPr>
                    <w:pStyle w:val="70"/>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工业企业应加强节水技术改造，开展水效对标达标，提升废水循环利用水平。工业企业排水水质要符合国家或地方相关排放标准规定。工业集聚区要按规定配套建成工业污水集中处理设施并稳定运行，达到相应排放标准后方可排放。</w:t>
                  </w:r>
                </w:p>
                <w:p w14:paraId="64C603E4">
                  <w:pPr>
                    <w:pStyle w:val="70"/>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新建冶金、电镀、化工、印染、原料药制造（有工业废水处理资质且出水达到国家标准的原料药制造企业除外）等工业企业排放的含重金属或难以生化降解废水以及有关工业企业排放的高盐废水，不得排入市政污水收集处理设施。对已经进入市政污水收集处理设施的工业企业进行排查、评估。经评估认定污染物不能被城镇污水处理厂有效处理或可能影响城镇污水处理厂出水稳定达标的，要限期退出市政管网，向园区集聚，避免污水资源化利用的环境和安全风险。</w:t>
                  </w:r>
                </w:p>
              </w:tc>
              <w:tc>
                <w:tcPr>
                  <w:tcW w:w="1555" w:type="dxa"/>
                  <w:vMerge w:val="continue"/>
                  <w:shd w:val="clear" w:color="auto" w:fill="auto"/>
                  <w:vAlign w:val="center"/>
                </w:tcPr>
                <w:p w14:paraId="06D2E0A4">
                  <w:pPr>
                    <w:pStyle w:val="70"/>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p>
              </w:tc>
              <w:tc>
                <w:tcPr>
                  <w:tcW w:w="438" w:type="dxa"/>
                  <w:shd w:val="clear" w:color="auto" w:fill="auto"/>
                  <w:vAlign w:val="center"/>
                </w:tcPr>
                <w:p w14:paraId="58F7B7CF">
                  <w:pPr>
                    <w:pStyle w:val="7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符合</w:t>
                  </w:r>
                </w:p>
              </w:tc>
            </w:tr>
            <w:tr w14:paraId="3536D5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69" w:hRule="atLeast"/>
              </w:trPr>
              <w:tc>
                <w:tcPr>
                  <w:tcW w:w="1025" w:type="dxa"/>
                  <w:shd w:val="clear" w:color="auto" w:fill="auto"/>
                  <w:vAlign w:val="center"/>
                </w:tcPr>
                <w:p w14:paraId="7C803881">
                  <w:pPr>
                    <w:pStyle w:val="70"/>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《巴中市打赢碧水保卫战实施方案》（巴府发〔2019〕10号）</w:t>
                  </w:r>
                </w:p>
              </w:tc>
              <w:tc>
                <w:tcPr>
                  <w:tcW w:w="5006" w:type="dxa"/>
                  <w:shd w:val="clear" w:color="auto" w:fill="auto"/>
                  <w:vAlign w:val="center"/>
                </w:tcPr>
                <w:p w14:paraId="64A82158">
                  <w:pPr>
                    <w:pStyle w:val="70"/>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推动产业布局结构调整。积极实施主体功能区战略，强化</w:t>
                  </w:r>
                  <w:r>
                    <w:rPr>
                      <w:rFonts w:hint="eastAsia" w:ascii="Times New Roman" w:hAnsi="Times New Roman" w:eastAsia="宋体" w:cs="Times New Roman"/>
                      <w:color w:val="000000" w:themeColor="text1"/>
                      <w:sz w:val="21"/>
                      <w:szCs w:val="21"/>
                      <w:lang w:eastAsia="zh-CN"/>
                      <w14:textFill>
                        <w14:solidFill>
                          <w14:schemeClr w14:val="tx1"/>
                        </w14:solidFill>
                      </w14:textFill>
                    </w:rPr>
                    <w:t>“</w:t>
                  </w:r>
                  <w:r>
                    <w:rPr>
                      <w:rFonts w:hint="default" w:ascii="Times New Roman" w:hAnsi="Times New Roman" w:eastAsia="宋体" w:cs="Times New Roman"/>
                      <w:color w:val="000000" w:themeColor="text1"/>
                      <w:sz w:val="21"/>
                      <w:szCs w:val="21"/>
                      <w14:textFill>
                        <w14:solidFill>
                          <w14:schemeClr w14:val="tx1"/>
                        </w14:solidFill>
                      </w14:textFill>
                    </w:rPr>
                    <w:t>三线一单</w:t>
                  </w:r>
                  <w:r>
                    <w:rPr>
                      <w:rFonts w:hint="eastAsia" w:ascii="Times New Roman" w:hAnsi="Times New Roman" w:eastAsia="宋体" w:cs="Times New Roman"/>
                      <w:color w:val="000000" w:themeColor="text1"/>
                      <w:sz w:val="21"/>
                      <w:szCs w:val="21"/>
                      <w:lang w:eastAsia="zh-CN"/>
                      <w14:textFill>
                        <w14:solidFill>
                          <w14:schemeClr w14:val="tx1"/>
                        </w14:solidFill>
                      </w14:textFill>
                    </w:rPr>
                    <w:t>”</w:t>
                  </w:r>
                  <w:r>
                    <w:rPr>
                      <w:rFonts w:hint="default" w:ascii="Times New Roman" w:hAnsi="Times New Roman" w:eastAsia="宋体" w:cs="Times New Roman"/>
                      <w:color w:val="000000" w:themeColor="text1"/>
                      <w:sz w:val="21"/>
                      <w:szCs w:val="21"/>
                      <w14:textFill>
                        <w14:solidFill>
                          <w14:schemeClr w14:val="tx1"/>
                        </w14:solidFill>
                      </w14:textFill>
                    </w:rPr>
                    <w:t>约束，优化产业布局和资源配置，有效控制区域发展规模和开发强度，细化准入条件，严格准入标准，强化分类指导。加快巴河沿岸地区产业结构调整，严格坚持环保准入条件，充分考虑水资源、水环境承载力，以水定业、以水定产，严控高耗水、高污染项目建设，鼓励和支持低耗水、低污染高新技术产业发展，着力推动产业升级。强化环保、能耗等标准约束，倒逼淘汰落后产能并防止转移。有序推动危险化学品生产企业搬迁改造，全面降低环境风险。</w:t>
                  </w:r>
                </w:p>
              </w:tc>
              <w:tc>
                <w:tcPr>
                  <w:tcW w:w="1555" w:type="dxa"/>
                  <w:vMerge w:val="continue"/>
                  <w:shd w:val="clear" w:color="auto" w:fill="auto"/>
                  <w:vAlign w:val="center"/>
                </w:tcPr>
                <w:p w14:paraId="26BD167F">
                  <w:pPr>
                    <w:pStyle w:val="70"/>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p>
              </w:tc>
              <w:tc>
                <w:tcPr>
                  <w:tcW w:w="438" w:type="dxa"/>
                  <w:shd w:val="clear" w:color="auto" w:fill="auto"/>
                  <w:vAlign w:val="center"/>
                </w:tcPr>
                <w:p w14:paraId="0661FDEC">
                  <w:pPr>
                    <w:pStyle w:val="7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符合</w:t>
                  </w:r>
                </w:p>
              </w:tc>
            </w:tr>
            <w:tr w14:paraId="3EEF7A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69" w:hRule="atLeast"/>
              </w:trPr>
              <w:tc>
                <w:tcPr>
                  <w:tcW w:w="1025" w:type="dxa"/>
                  <w:vMerge w:val="restart"/>
                  <w:shd w:val="clear" w:color="auto" w:fill="auto"/>
                  <w:vAlign w:val="center"/>
                </w:tcPr>
                <w:p w14:paraId="5D2377C6">
                  <w:pPr>
                    <w:pStyle w:val="70"/>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《巴中市</w:t>
                  </w:r>
                  <w:r>
                    <w:rPr>
                      <w:rFonts w:hint="eastAsia" w:ascii="Times New Roman" w:hAnsi="Times New Roman" w:eastAsia="宋体" w:cs="Times New Roman"/>
                      <w:color w:val="000000" w:themeColor="text1"/>
                      <w:sz w:val="21"/>
                      <w:szCs w:val="21"/>
                      <w:lang w:eastAsia="zh-CN"/>
                      <w14:textFill>
                        <w14:solidFill>
                          <w14:schemeClr w14:val="tx1"/>
                        </w14:solidFill>
                      </w14:textFill>
                    </w:rPr>
                    <w:t>“</w:t>
                  </w:r>
                  <w:r>
                    <w:rPr>
                      <w:rFonts w:hint="default" w:ascii="Times New Roman" w:hAnsi="Times New Roman" w:eastAsia="宋体" w:cs="Times New Roman"/>
                      <w:color w:val="000000" w:themeColor="text1"/>
                      <w:sz w:val="21"/>
                      <w:szCs w:val="21"/>
                      <w14:textFill>
                        <w14:solidFill>
                          <w14:schemeClr w14:val="tx1"/>
                        </w14:solidFill>
                      </w14:textFill>
                    </w:rPr>
                    <w:t>十四五</w:t>
                  </w:r>
                  <w:r>
                    <w:rPr>
                      <w:rFonts w:hint="eastAsia" w:ascii="Times New Roman" w:hAnsi="Times New Roman" w:eastAsia="宋体" w:cs="Times New Roman"/>
                      <w:color w:val="000000" w:themeColor="text1"/>
                      <w:sz w:val="21"/>
                      <w:szCs w:val="21"/>
                      <w:lang w:eastAsia="zh-CN"/>
                      <w14:textFill>
                        <w14:solidFill>
                          <w14:schemeClr w14:val="tx1"/>
                        </w14:solidFill>
                      </w14:textFill>
                    </w:rPr>
                    <w:t>”</w:t>
                  </w:r>
                  <w:r>
                    <w:rPr>
                      <w:rFonts w:hint="default" w:ascii="Times New Roman" w:hAnsi="Times New Roman" w:eastAsia="宋体" w:cs="Times New Roman"/>
                      <w:color w:val="000000" w:themeColor="text1"/>
                      <w:sz w:val="21"/>
                      <w:szCs w:val="21"/>
                      <w14:textFill>
                        <w14:solidFill>
                          <w14:schemeClr w14:val="tx1"/>
                        </w14:solidFill>
                      </w14:textFill>
                    </w:rPr>
                    <w:t>水生态环境保护规划》</w:t>
                  </w:r>
                </w:p>
              </w:tc>
              <w:tc>
                <w:tcPr>
                  <w:tcW w:w="5006" w:type="dxa"/>
                  <w:shd w:val="clear" w:color="auto" w:fill="auto"/>
                  <w:vAlign w:val="center"/>
                </w:tcPr>
                <w:p w14:paraId="4B517969">
                  <w:pPr>
                    <w:pStyle w:val="70"/>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优化产业空间布局。强化巴河、南江河和通江河沿岸企业整治，禁止在嘉陵江支流岸线一公里范围内新建、扩建化工园区和化工项目……做强新型工业，重点发展食品饮料、生物医药、新能源新材料等产业，加快推进天然气资源勘探和综合开发利用。</w:t>
                  </w:r>
                </w:p>
              </w:tc>
              <w:tc>
                <w:tcPr>
                  <w:tcW w:w="1555" w:type="dxa"/>
                  <w:vMerge w:val="continue"/>
                  <w:shd w:val="clear" w:color="auto" w:fill="auto"/>
                  <w:vAlign w:val="center"/>
                </w:tcPr>
                <w:p w14:paraId="597F7DC3">
                  <w:pPr>
                    <w:pStyle w:val="70"/>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p>
              </w:tc>
              <w:tc>
                <w:tcPr>
                  <w:tcW w:w="438" w:type="dxa"/>
                  <w:shd w:val="clear" w:color="auto" w:fill="auto"/>
                  <w:vAlign w:val="center"/>
                </w:tcPr>
                <w:p w14:paraId="4008671F">
                  <w:pPr>
                    <w:pStyle w:val="7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符合</w:t>
                  </w:r>
                </w:p>
              </w:tc>
            </w:tr>
            <w:tr w14:paraId="011786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69" w:hRule="atLeast"/>
              </w:trPr>
              <w:tc>
                <w:tcPr>
                  <w:tcW w:w="1025" w:type="dxa"/>
                  <w:vMerge w:val="continue"/>
                  <w:shd w:val="clear" w:color="auto" w:fill="auto"/>
                  <w:vAlign w:val="center"/>
                </w:tcPr>
                <w:p w14:paraId="696B4628">
                  <w:pPr>
                    <w:pStyle w:val="70"/>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p>
              </w:tc>
              <w:tc>
                <w:tcPr>
                  <w:tcW w:w="5006" w:type="dxa"/>
                  <w:shd w:val="clear" w:color="auto" w:fill="auto"/>
                  <w:vAlign w:val="center"/>
                </w:tcPr>
                <w:p w14:paraId="67E3F65E">
                  <w:pPr>
                    <w:pStyle w:val="70"/>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强化工业聚集区污水治理……加强企业废水预处理和排水管理，严格执行污水处理厂接管标准。</w:t>
                  </w:r>
                </w:p>
              </w:tc>
              <w:tc>
                <w:tcPr>
                  <w:tcW w:w="1555" w:type="dxa"/>
                  <w:vMerge w:val="continue"/>
                  <w:shd w:val="clear" w:color="auto" w:fill="auto"/>
                  <w:vAlign w:val="center"/>
                </w:tcPr>
                <w:p w14:paraId="3CA548AF">
                  <w:pPr>
                    <w:pStyle w:val="70"/>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p>
              </w:tc>
              <w:tc>
                <w:tcPr>
                  <w:tcW w:w="438" w:type="dxa"/>
                  <w:shd w:val="clear" w:color="auto" w:fill="auto"/>
                  <w:vAlign w:val="center"/>
                </w:tcPr>
                <w:p w14:paraId="0E5BC54D">
                  <w:pPr>
                    <w:pStyle w:val="7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符合</w:t>
                  </w:r>
                </w:p>
              </w:tc>
            </w:tr>
            <w:tr w14:paraId="0BC9C1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69" w:hRule="atLeast"/>
              </w:trPr>
              <w:tc>
                <w:tcPr>
                  <w:tcW w:w="1025" w:type="dxa"/>
                  <w:vMerge w:val="continue"/>
                  <w:shd w:val="clear" w:color="auto" w:fill="auto"/>
                  <w:vAlign w:val="center"/>
                </w:tcPr>
                <w:p w14:paraId="63D5EBE5">
                  <w:pPr>
                    <w:pStyle w:val="70"/>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p>
              </w:tc>
              <w:tc>
                <w:tcPr>
                  <w:tcW w:w="5006" w:type="dxa"/>
                  <w:shd w:val="clear" w:color="auto" w:fill="auto"/>
                  <w:vAlign w:val="center"/>
                </w:tcPr>
                <w:p w14:paraId="001E5723">
                  <w:pPr>
                    <w:pStyle w:val="70"/>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加强工业污染源治理……落实企业污染治理主体责任，按照排污许可证污染物排放总量控制要求，开展自行监测或委托有资质的单位进行监测，并向生态环境部门备案申报……对于园区内涉水企业，废水需经预处理达有关指标要求后，方可进入污水集中处理设施处置。</w:t>
                  </w:r>
                </w:p>
              </w:tc>
              <w:tc>
                <w:tcPr>
                  <w:tcW w:w="1555" w:type="dxa"/>
                  <w:vMerge w:val="continue"/>
                  <w:shd w:val="clear" w:color="auto" w:fill="auto"/>
                  <w:vAlign w:val="center"/>
                </w:tcPr>
                <w:p w14:paraId="3E4A4CFE">
                  <w:pPr>
                    <w:pStyle w:val="70"/>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p>
              </w:tc>
              <w:tc>
                <w:tcPr>
                  <w:tcW w:w="438" w:type="dxa"/>
                  <w:shd w:val="clear" w:color="auto" w:fill="auto"/>
                  <w:vAlign w:val="center"/>
                </w:tcPr>
                <w:p w14:paraId="037336F6">
                  <w:pPr>
                    <w:pStyle w:val="7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符合</w:t>
                  </w:r>
                </w:p>
              </w:tc>
            </w:tr>
          </w:tbl>
          <w:p w14:paraId="3D402854">
            <w:pPr>
              <w:pStyle w:val="66"/>
              <w:spacing w:line="360" w:lineRule="auto"/>
              <w:ind w:firstLine="482"/>
              <w:rPr>
                <w:rFonts w:hint="eastAsia" w:ascii="Times New Roman" w:hAnsi="Times New Roman" w:eastAsia="宋体" w:cs="Times New Roman"/>
                <w:b/>
                <w:bCs/>
                <w:color w:val="000000" w:themeColor="text1"/>
                <w:lang w:val="en-US" w:eastAsia="zh-CN"/>
                <w14:textFill>
                  <w14:solidFill>
                    <w14:schemeClr w14:val="tx1"/>
                  </w14:solidFill>
                </w14:textFill>
              </w:rPr>
            </w:pPr>
            <w:r>
              <w:rPr>
                <w:rFonts w:hint="eastAsia" w:cs="Times New Roman"/>
                <w:b/>
                <w:bCs/>
                <w:color w:val="000000" w:themeColor="text1"/>
                <w:lang w:val="en-US" w:eastAsia="zh-CN"/>
                <w14:textFill>
                  <w14:solidFill>
                    <w14:schemeClr w14:val="tx1"/>
                  </w14:solidFill>
                </w14:textFill>
              </w:rPr>
              <w:t>6</w:t>
            </w:r>
            <w:r>
              <w:rPr>
                <w:rFonts w:hint="eastAsia" w:ascii="Times New Roman" w:hAnsi="Times New Roman" w:eastAsia="宋体" w:cs="Times New Roman"/>
                <w:b/>
                <w:bCs/>
                <w:color w:val="000000" w:themeColor="text1"/>
                <w:lang w:val="en-US" w:eastAsia="zh-CN"/>
                <w14:textFill>
                  <w14:solidFill>
                    <w14:schemeClr w14:val="tx1"/>
                  </w14:solidFill>
                </w14:textFill>
              </w:rPr>
              <w:t>、项目与土壤污染防治的规范文件的符合性分析</w:t>
            </w:r>
          </w:p>
          <w:p w14:paraId="359FAA6B">
            <w:pPr>
              <w:pStyle w:val="66"/>
              <w:spacing w:line="360" w:lineRule="auto"/>
              <w:rPr>
                <w:color w:val="000000" w:themeColor="text1"/>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本项目与</w:t>
            </w:r>
            <w:r>
              <w:rPr>
                <w:rFonts w:hint="eastAsia" w:ascii="Times New Roman" w:hAnsi="Times New Roman" w:eastAsia="宋体" w:cs="Times New Roman"/>
                <w:b w:val="0"/>
                <w:bCs w:val="0"/>
                <w:color w:val="000000" w:themeColor="text1"/>
                <w:lang w:val="en-US" w:eastAsia="zh-CN"/>
                <w14:textFill>
                  <w14:solidFill>
                    <w14:schemeClr w14:val="tx1"/>
                  </w14:solidFill>
                </w14:textFill>
              </w:rPr>
              <w:t>土壤污染防治</w:t>
            </w:r>
            <w:r>
              <w:rPr>
                <w:rFonts w:hint="default" w:ascii="Times New Roman" w:hAnsi="Times New Roman" w:cs="Times New Roman"/>
                <w:color w:val="000000" w:themeColor="text1"/>
                <w:sz w:val="24"/>
                <w14:textFill>
                  <w14:solidFill>
                    <w14:schemeClr w14:val="tx1"/>
                  </w14:solidFill>
                </w14:textFill>
              </w:rPr>
              <w:t>相关法规、规范符合性分析</w:t>
            </w:r>
            <w:r>
              <w:rPr>
                <w:rFonts w:hint="default" w:ascii="Times New Roman" w:hAnsi="Times New Roman" w:cs="Times New Roman"/>
                <w:color w:val="000000" w:themeColor="text1"/>
                <w:sz w:val="24"/>
                <w:lang w:eastAsia="zh-CN"/>
                <w14:textFill>
                  <w14:solidFill>
                    <w14:schemeClr w14:val="tx1"/>
                  </w14:solidFill>
                </w14:textFill>
              </w:rPr>
              <w:t>见下</w:t>
            </w:r>
            <w:r>
              <w:rPr>
                <w:rFonts w:hint="default" w:ascii="Times New Roman" w:hAnsi="Times New Roman" w:cs="Times New Roman"/>
                <w:color w:val="000000" w:themeColor="text1"/>
                <w:sz w:val="24"/>
                <w14:textFill>
                  <w14:solidFill>
                    <w14:schemeClr w14:val="tx1"/>
                  </w14:solidFill>
                </w14:textFill>
              </w:rPr>
              <w:t>表所示</w:t>
            </w:r>
            <w:r>
              <w:rPr>
                <w:color w:val="000000" w:themeColor="text1"/>
                <w14:textFill>
                  <w14:solidFill>
                    <w14:schemeClr w14:val="tx1"/>
                  </w14:solidFill>
                </w14:textFill>
              </w:rPr>
              <w:t>：</w:t>
            </w:r>
          </w:p>
          <w:p w14:paraId="0B6758BB">
            <w:pPr>
              <w:pStyle w:val="68"/>
              <w:spacing w:line="240" w:lineRule="auto"/>
              <w:rPr>
                <w:rFonts w:hint="eastAsia" w:ascii="Times New Roman" w:hAnsi="Times New Roman" w:eastAsia="宋体" w:cs="Times New Roman"/>
                <w:b/>
                <w:bCs/>
                <w:color w:val="000000" w:themeColor="text1"/>
                <w14:textFill>
                  <w14:solidFill>
                    <w14:schemeClr w14:val="tx1"/>
                  </w14:solidFill>
                </w14:textFill>
              </w:rPr>
            </w:pPr>
            <w:r>
              <w:rPr>
                <w:rFonts w:hint="eastAsia" w:ascii="Times New Roman" w:hAnsi="Times New Roman" w:eastAsia="宋体" w:cs="Times New Roman"/>
                <w:b/>
                <w:bCs/>
                <w:color w:val="000000" w:themeColor="text1"/>
                <w14:textFill>
                  <w14:solidFill>
                    <w14:schemeClr w14:val="tx1"/>
                  </w14:solidFill>
                </w14:textFill>
              </w:rPr>
              <w:t>表1-</w:t>
            </w:r>
            <w:r>
              <w:rPr>
                <w:rFonts w:hint="eastAsia" w:eastAsia="宋体" w:cs="Times New Roman"/>
                <w:b/>
                <w:bCs/>
                <w:color w:val="000000" w:themeColor="text1"/>
                <w:lang w:val="en-US" w:eastAsia="zh-CN"/>
                <w14:textFill>
                  <w14:solidFill>
                    <w14:schemeClr w14:val="tx1"/>
                  </w14:solidFill>
                </w14:textFill>
              </w:rPr>
              <w:t>11</w:t>
            </w:r>
            <w:r>
              <w:rPr>
                <w:rFonts w:hint="eastAsia" w:ascii="Times New Roman" w:hAnsi="Times New Roman" w:eastAsia="宋体" w:cs="Times New Roman"/>
                <w:b/>
                <w:bCs/>
                <w:color w:val="000000" w:themeColor="text1"/>
                <w14:textFill>
                  <w14:solidFill>
                    <w14:schemeClr w14:val="tx1"/>
                  </w14:solidFill>
                </w14:textFill>
              </w:rPr>
              <w:t xml:space="preserve">  项目与土壤污染防治等相关规划符合性</w:t>
            </w:r>
          </w:p>
          <w:tbl>
            <w:tblPr>
              <w:tblStyle w:val="41"/>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57" w:type="dxa"/>
                <w:bottom w:w="0" w:type="dxa"/>
                <w:right w:w="57" w:type="dxa"/>
              </w:tblCellMar>
            </w:tblPr>
            <w:tblGrid>
              <w:gridCol w:w="1216"/>
              <w:gridCol w:w="3148"/>
              <w:gridCol w:w="3149"/>
              <w:gridCol w:w="512"/>
            </w:tblGrid>
            <w:tr w14:paraId="51F759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1216" w:type="dxa"/>
                  <w:shd w:val="clear" w:color="auto" w:fill="auto"/>
                  <w:vAlign w:val="center"/>
                </w:tcPr>
                <w:p w14:paraId="5508CC57">
                  <w:pPr>
                    <w:pStyle w:val="70"/>
                    <w:spacing w:line="240" w:lineRule="auto"/>
                    <w:rPr>
                      <w:rFonts w:hint="eastAsia" w:ascii="Times New Roman" w:hAnsi="Times New Roman" w:eastAsia="宋体" w:cs="Times New Roman"/>
                      <w:b/>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color w:val="000000" w:themeColor="text1"/>
                      <w:sz w:val="21"/>
                      <w:szCs w:val="21"/>
                      <w:lang w:val="en-US" w:eastAsia="zh-CN"/>
                      <w14:textFill>
                        <w14:solidFill>
                          <w14:schemeClr w14:val="tx1"/>
                        </w14:solidFill>
                      </w14:textFill>
                    </w:rPr>
                    <w:t>土壤污染防治规划文件</w:t>
                  </w:r>
                </w:p>
              </w:tc>
              <w:tc>
                <w:tcPr>
                  <w:tcW w:w="3148" w:type="dxa"/>
                  <w:shd w:val="clear" w:color="auto" w:fill="auto"/>
                  <w:vAlign w:val="center"/>
                </w:tcPr>
                <w:p w14:paraId="33B02DAE">
                  <w:pPr>
                    <w:pStyle w:val="70"/>
                    <w:spacing w:line="240" w:lineRule="auto"/>
                    <w:rPr>
                      <w:rFonts w:hint="eastAsia" w:ascii="Times New Roman" w:hAnsi="Times New Roman" w:eastAsia="宋体" w:cs="Times New Roman"/>
                      <w:b/>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color w:val="000000" w:themeColor="text1"/>
                      <w:sz w:val="21"/>
                      <w:szCs w:val="21"/>
                      <w:lang w:val="en-US" w:eastAsia="zh-CN"/>
                      <w14:textFill>
                        <w14:solidFill>
                          <w14:schemeClr w14:val="tx1"/>
                        </w14:solidFill>
                      </w14:textFill>
                    </w:rPr>
                    <w:t>规划要求</w:t>
                  </w:r>
                </w:p>
              </w:tc>
              <w:tc>
                <w:tcPr>
                  <w:tcW w:w="3149" w:type="dxa"/>
                  <w:shd w:val="clear" w:color="auto" w:fill="auto"/>
                  <w:vAlign w:val="center"/>
                </w:tcPr>
                <w:p w14:paraId="018195C2">
                  <w:pPr>
                    <w:pStyle w:val="70"/>
                    <w:spacing w:line="240" w:lineRule="auto"/>
                    <w:rPr>
                      <w:rFonts w:hint="eastAsia" w:ascii="Times New Roman" w:hAnsi="Times New Roman" w:eastAsia="宋体" w:cs="Times New Roman"/>
                      <w:b/>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color w:val="000000" w:themeColor="text1"/>
                      <w:sz w:val="21"/>
                      <w:szCs w:val="21"/>
                      <w:lang w:val="en-US" w:eastAsia="zh-CN"/>
                      <w14:textFill>
                        <w14:solidFill>
                          <w14:schemeClr w14:val="tx1"/>
                        </w14:solidFill>
                      </w14:textFill>
                    </w:rPr>
                    <w:t>本项目情况</w:t>
                  </w:r>
                </w:p>
              </w:tc>
              <w:tc>
                <w:tcPr>
                  <w:tcW w:w="512" w:type="dxa"/>
                  <w:shd w:val="clear" w:color="auto" w:fill="auto"/>
                  <w:vAlign w:val="center"/>
                </w:tcPr>
                <w:p w14:paraId="662B2D5D">
                  <w:pPr>
                    <w:pStyle w:val="70"/>
                    <w:spacing w:line="240" w:lineRule="auto"/>
                    <w:rPr>
                      <w:rFonts w:hint="eastAsia" w:ascii="Times New Roman" w:hAnsi="Times New Roman" w:eastAsia="宋体" w:cs="Times New Roman"/>
                      <w:b/>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color w:val="000000" w:themeColor="text1"/>
                      <w:sz w:val="21"/>
                      <w:szCs w:val="21"/>
                      <w:lang w:val="en-US" w:eastAsia="zh-CN"/>
                      <w14:textFill>
                        <w14:solidFill>
                          <w14:schemeClr w14:val="tx1"/>
                        </w14:solidFill>
                      </w14:textFill>
                    </w:rPr>
                    <w:t>符合性</w:t>
                  </w:r>
                </w:p>
              </w:tc>
            </w:tr>
            <w:tr w14:paraId="756D7E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1216" w:type="dxa"/>
                  <w:shd w:val="clear" w:color="auto" w:fill="auto"/>
                  <w:vAlign w:val="center"/>
                </w:tcPr>
                <w:p w14:paraId="2F089691">
                  <w:pPr>
                    <w:pStyle w:val="70"/>
                    <w:spacing w:line="240" w:lineRule="auto"/>
                    <w:jc w:val="both"/>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中华人民共和国生态环境法典</w:t>
                  </w:r>
                  <w:r>
                    <w:rPr>
                      <w:rFonts w:hint="default" w:ascii="Times New Roman" w:hAnsi="Times New Roman" w:eastAsia="宋体" w:cs="Times New Roman"/>
                      <w:color w:val="000000" w:themeColor="text1"/>
                      <w:sz w:val="21"/>
                      <w:szCs w:val="21"/>
                      <w14:textFill>
                        <w14:solidFill>
                          <w14:schemeClr w14:val="tx1"/>
                        </w14:solidFill>
                      </w14:textFill>
                    </w:rPr>
                    <w:t>》</w:t>
                  </w:r>
                </w:p>
              </w:tc>
              <w:tc>
                <w:tcPr>
                  <w:tcW w:w="3148" w:type="dxa"/>
                  <w:shd w:val="clear" w:color="auto" w:fill="auto"/>
                  <w:vAlign w:val="center"/>
                </w:tcPr>
                <w:p w14:paraId="3CE4EBFE">
                  <w:pPr>
                    <w:pStyle w:val="70"/>
                    <w:spacing w:line="240" w:lineRule="auto"/>
                    <w:jc w:val="both"/>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生产、贮存、运输、使用、回收、处置、排放有毒有害物质的单位和个人，应当采取有效措施，防止有毒有害物质渗漏、流失、扬散，避免土壤受到污染。</w:t>
                  </w:r>
                </w:p>
              </w:tc>
              <w:tc>
                <w:tcPr>
                  <w:tcW w:w="3149" w:type="dxa"/>
                  <w:shd w:val="clear" w:color="auto" w:fill="auto"/>
                  <w:vAlign w:val="center"/>
                </w:tcPr>
                <w:p w14:paraId="5FEE0FB3">
                  <w:pPr>
                    <w:pStyle w:val="70"/>
                    <w:spacing w:line="240" w:lineRule="auto"/>
                    <w:jc w:val="both"/>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项目位于四川巴中经济开发区的核心区，采取分区防渗后，可有效防止有毒有害物质渗漏后污染土壤</w:t>
                  </w:r>
                  <w:r>
                    <w:rPr>
                      <w:rFonts w:hint="eastAsia" w:cs="Times New Roman"/>
                      <w:color w:val="000000" w:themeColor="text1"/>
                      <w:sz w:val="21"/>
                      <w:szCs w:val="21"/>
                      <w:lang w:eastAsia="zh-CN"/>
                      <w14:textFill>
                        <w14:solidFill>
                          <w14:schemeClr w14:val="tx1"/>
                        </w14:solidFill>
                      </w14:textFill>
                    </w:rPr>
                    <w:t>。</w:t>
                  </w:r>
                </w:p>
              </w:tc>
              <w:tc>
                <w:tcPr>
                  <w:tcW w:w="512" w:type="dxa"/>
                  <w:shd w:val="clear" w:color="auto" w:fill="auto"/>
                  <w:vAlign w:val="center"/>
                </w:tcPr>
                <w:p w14:paraId="4015A1A5">
                  <w:pPr>
                    <w:pStyle w:val="70"/>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符合</w:t>
                  </w:r>
                </w:p>
              </w:tc>
            </w:tr>
            <w:tr w14:paraId="73150B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1216" w:type="dxa"/>
                  <w:vMerge w:val="restart"/>
                  <w:shd w:val="clear" w:color="auto" w:fill="auto"/>
                  <w:vAlign w:val="center"/>
                </w:tcPr>
                <w:p w14:paraId="0432142B">
                  <w:pPr>
                    <w:pStyle w:val="70"/>
                    <w:spacing w:line="240" w:lineRule="auto"/>
                    <w:jc w:val="both"/>
                    <w:rPr>
                      <w:color w:val="000000" w:themeColor="text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《关于印发土壤污染防治行动计划四川省工作方案的通知》（川府发〔2016〕63号）</w:t>
                  </w:r>
                </w:p>
              </w:tc>
              <w:tc>
                <w:tcPr>
                  <w:tcW w:w="3148" w:type="dxa"/>
                  <w:shd w:val="clear" w:color="auto" w:fill="auto"/>
                  <w:vAlign w:val="center"/>
                </w:tcPr>
                <w:p w14:paraId="13F31D26">
                  <w:pPr>
                    <w:pStyle w:val="70"/>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排放重点污染物的建设项目，在开展环境影响评价时，要增加对土壤环境影响的评价内容，并提出防范土壤污染的具体措施；需要建设的土壤污染防治设施，要与主体工程同时设计、同时施工、同时投产使用；有关环境保护部门要做好有关措施落实情况的监督管理工作。</w:t>
                  </w:r>
                </w:p>
              </w:tc>
              <w:tc>
                <w:tcPr>
                  <w:tcW w:w="3149" w:type="dxa"/>
                  <w:shd w:val="clear" w:color="auto" w:fill="auto"/>
                  <w:vAlign w:val="center"/>
                </w:tcPr>
                <w:p w14:paraId="2C89669E">
                  <w:pPr>
                    <w:pStyle w:val="70"/>
                    <w:spacing w:line="240" w:lineRule="auto"/>
                    <w:jc w:val="both"/>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项目不属于《行动计划》确定的落后产能或产能严重过剩行业，项目采取了严格的污染治理措施，可确保项目废气、废水污染物达标排放，固废不产生二次污染，环境风险可控；</w:t>
                  </w:r>
                  <w:r>
                    <w:rPr>
                      <w:rFonts w:hint="default" w:ascii="Times New Roman" w:hAnsi="Times New Roman" w:eastAsia="宋体" w:cs="Times New Roman"/>
                      <w:color w:val="000000" w:themeColor="text1"/>
                      <w:sz w:val="21"/>
                      <w:szCs w:val="21"/>
                      <w14:textFill>
                        <w14:solidFill>
                          <w14:schemeClr w14:val="tx1"/>
                        </w14:solidFill>
                      </w14:textFill>
                    </w:rPr>
                    <w:t>采取分区防渗</w:t>
                  </w:r>
                  <w:r>
                    <w:rPr>
                      <w:rFonts w:hint="eastAsia" w:ascii="Times New Roman" w:hAnsi="Times New Roman" w:eastAsia="宋体" w:cs="Times New Roman"/>
                      <w:color w:val="000000" w:themeColor="text1"/>
                      <w:sz w:val="21"/>
                      <w:szCs w:val="21"/>
                      <w:lang w:eastAsia="zh-CN"/>
                      <w14:textFill>
                        <w14:solidFill>
                          <w14:schemeClr w14:val="tx1"/>
                        </w14:solidFill>
                      </w14:textFill>
                    </w:rPr>
                    <w:t>，</w:t>
                  </w:r>
                  <w:r>
                    <w:rPr>
                      <w:rFonts w:hint="default" w:ascii="Times New Roman" w:hAnsi="Times New Roman" w:eastAsia="宋体" w:cs="Times New Roman"/>
                      <w:color w:val="000000" w:themeColor="text1"/>
                      <w:sz w:val="21"/>
                      <w:szCs w:val="21"/>
                      <w14:textFill>
                        <w14:solidFill>
                          <w14:schemeClr w14:val="tx1"/>
                        </w14:solidFill>
                      </w14:textFill>
                    </w:rPr>
                    <w:t>不会改变区域土壤环境功能现状</w:t>
                  </w:r>
                  <w:r>
                    <w:rPr>
                      <w:rFonts w:hint="eastAsia" w:cs="Times New Roman"/>
                      <w:color w:val="000000" w:themeColor="text1"/>
                      <w:sz w:val="21"/>
                      <w:szCs w:val="21"/>
                      <w:lang w:eastAsia="zh-CN"/>
                      <w14:textFill>
                        <w14:solidFill>
                          <w14:schemeClr w14:val="tx1"/>
                        </w14:solidFill>
                      </w14:textFill>
                    </w:rPr>
                    <w:t>。</w:t>
                  </w:r>
                </w:p>
              </w:tc>
              <w:tc>
                <w:tcPr>
                  <w:tcW w:w="512" w:type="dxa"/>
                  <w:shd w:val="clear" w:color="auto" w:fill="auto"/>
                  <w:vAlign w:val="center"/>
                </w:tcPr>
                <w:p w14:paraId="617EB6FF">
                  <w:pPr>
                    <w:pStyle w:val="7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符合</w:t>
                  </w:r>
                </w:p>
              </w:tc>
            </w:tr>
            <w:tr w14:paraId="624EAD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1216" w:type="dxa"/>
                  <w:vMerge w:val="continue"/>
                  <w:shd w:val="clear" w:color="auto" w:fill="auto"/>
                  <w:vAlign w:val="center"/>
                </w:tcPr>
                <w:p w14:paraId="35745703">
                  <w:pPr>
                    <w:pStyle w:val="70"/>
                    <w:spacing w:line="240" w:lineRule="auto"/>
                    <w:rPr>
                      <w:color w:val="000000" w:themeColor="text1"/>
                      <w14:textFill>
                        <w14:solidFill>
                          <w14:schemeClr w14:val="tx1"/>
                        </w14:solidFill>
                      </w14:textFill>
                    </w:rPr>
                  </w:pPr>
                </w:p>
              </w:tc>
              <w:tc>
                <w:tcPr>
                  <w:tcW w:w="3148" w:type="dxa"/>
                  <w:shd w:val="clear" w:color="auto" w:fill="auto"/>
                  <w:vAlign w:val="center"/>
                </w:tcPr>
                <w:p w14:paraId="0378B1CE">
                  <w:pPr>
                    <w:pStyle w:val="70"/>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继续淘汰涉重金属重点行业落后产能，完善重金属相关行业准入条件，禁止新建落后产能或产能严重过剩行业的建设项目。</w:t>
                  </w:r>
                </w:p>
              </w:tc>
              <w:tc>
                <w:tcPr>
                  <w:tcW w:w="3149" w:type="dxa"/>
                  <w:shd w:val="clear" w:color="auto" w:fill="auto"/>
                  <w:vAlign w:val="center"/>
                </w:tcPr>
                <w:p w14:paraId="400F6F8D">
                  <w:pPr>
                    <w:pStyle w:val="70"/>
                    <w:spacing w:line="240" w:lineRule="auto"/>
                    <w:jc w:val="both"/>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项目不属于</w:t>
                  </w:r>
                  <w:r>
                    <w:rPr>
                      <w:rFonts w:hint="default" w:ascii="Times New Roman" w:hAnsi="Times New Roman" w:eastAsia="宋体" w:cs="Times New Roman"/>
                      <w:color w:val="000000" w:themeColor="text1"/>
                      <w:sz w:val="21"/>
                      <w:szCs w:val="21"/>
                      <w14:textFill>
                        <w14:solidFill>
                          <w14:schemeClr w14:val="tx1"/>
                        </w14:solidFill>
                      </w14:textFill>
                    </w:rPr>
                    <w:t>涉重金属重点行业</w:t>
                  </w:r>
                  <w:r>
                    <w:rPr>
                      <w:rFonts w:hint="eastAsia" w:ascii="Times New Roman" w:hAnsi="Times New Roman" w:eastAsia="宋体" w:cs="Times New Roman"/>
                      <w:color w:val="000000" w:themeColor="text1"/>
                      <w:sz w:val="21"/>
                      <w:szCs w:val="21"/>
                      <w14:textFill>
                        <w14:solidFill>
                          <w14:schemeClr w14:val="tx1"/>
                        </w14:solidFill>
                      </w14:textFill>
                    </w:rPr>
                    <w:t>，不属于落后产能和严重过剩产能</w:t>
                  </w:r>
                  <w:r>
                    <w:rPr>
                      <w:rFonts w:hint="eastAsia" w:cs="Times New Roman"/>
                      <w:color w:val="000000" w:themeColor="text1"/>
                      <w:sz w:val="21"/>
                      <w:szCs w:val="21"/>
                      <w:lang w:eastAsia="zh-CN"/>
                      <w14:textFill>
                        <w14:solidFill>
                          <w14:schemeClr w14:val="tx1"/>
                        </w14:solidFill>
                      </w14:textFill>
                    </w:rPr>
                    <w:t>。</w:t>
                  </w:r>
                </w:p>
              </w:tc>
              <w:tc>
                <w:tcPr>
                  <w:tcW w:w="512" w:type="dxa"/>
                  <w:shd w:val="clear" w:color="auto" w:fill="auto"/>
                  <w:vAlign w:val="center"/>
                </w:tcPr>
                <w:p w14:paraId="4BB51CC5">
                  <w:pPr>
                    <w:pStyle w:val="7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符合</w:t>
                  </w:r>
                </w:p>
              </w:tc>
            </w:tr>
            <w:tr w14:paraId="5BE7E9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1216" w:type="dxa"/>
                  <w:vMerge w:val="continue"/>
                  <w:shd w:val="clear" w:color="auto" w:fill="auto"/>
                  <w:vAlign w:val="center"/>
                </w:tcPr>
                <w:p w14:paraId="30902C5A">
                  <w:pPr>
                    <w:pStyle w:val="70"/>
                    <w:spacing w:line="240" w:lineRule="auto"/>
                    <w:rPr>
                      <w:color w:val="000000" w:themeColor="text1"/>
                      <w14:textFill>
                        <w14:solidFill>
                          <w14:schemeClr w14:val="tx1"/>
                        </w14:solidFill>
                      </w14:textFill>
                    </w:rPr>
                  </w:pPr>
                </w:p>
              </w:tc>
              <w:tc>
                <w:tcPr>
                  <w:tcW w:w="3148" w:type="dxa"/>
                  <w:shd w:val="clear" w:color="auto" w:fill="auto"/>
                  <w:vAlign w:val="center"/>
                </w:tcPr>
                <w:p w14:paraId="1EFACC68">
                  <w:pPr>
                    <w:pStyle w:val="70"/>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严格控制在优先保护类耕地集中区域新建有色金属冶炼、石油加工、化工、焦化、电镀、制革等行业企业，现有相关行业企业要采用新技术、新工艺，加快提标升级改造步伐。鼓励工业企业集聚发展，提高土地节约集约利用水平，减少土壤污染。</w:t>
                  </w:r>
                </w:p>
              </w:tc>
              <w:tc>
                <w:tcPr>
                  <w:tcW w:w="3149" w:type="dxa"/>
                  <w:shd w:val="clear" w:color="auto" w:fill="auto"/>
                  <w:vAlign w:val="center"/>
                </w:tcPr>
                <w:p w14:paraId="6F0F1661">
                  <w:pPr>
                    <w:pStyle w:val="70"/>
                    <w:spacing w:line="240" w:lineRule="auto"/>
                    <w:jc w:val="both"/>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项目</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位于工业园区内，用地类型为工业用地</w:t>
                  </w:r>
                  <w:r>
                    <w:rPr>
                      <w:rFonts w:hint="eastAsia" w:ascii="Times New Roman" w:hAnsi="Times New Roman" w:eastAsia="宋体" w:cs="Times New Roman"/>
                      <w:color w:val="000000" w:themeColor="text1"/>
                      <w:sz w:val="21"/>
                      <w:szCs w:val="21"/>
                      <w14:textFill>
                        <w14:solidFill>
                          <w14:schemeClr w14:val="tx1"/>
                        </w14:solidFill>
                      </w14:textFill>
                    </w:rPr>
                    <w:t>，项目不属于</w:t>
                  </w:r>
                  <w:r>
                    <w:rPr>
                      <w:rFonts w:hint="default" w:ascii="Times New Roman" w:hAnsi="Times New Roman" w:eastAsia="宋体" w:cs="Times New Roman"/>
                      <w:color w:val="000000" w:themeColor="text1"/>
                      <w:sz w:val="21"/>
                      <w:szCs w:val="21"/>
                      <w14:textFill>
                        <w14:solidFill>
                          <w14:schemeClr w14:val="tx1"/>
                        </w14:solidFill>
                      </w14:textFill>
                    </w:rPr>
                    <w:t>有色金属冶炼、石油加工、化工、焦化、电镀、制革等行业</w:t>
                  </w:r>
                  <w:r>
                    <w:rPr>
                      <w:rFonts w:hint="eastAsia" w:ascii="Times New Roman" w:hAnsi="Times New Roman" w:eastAsia="宋体" w:cs="Times New Roman"/>
                      <w:color w:val="000000" w:themeColor="text1"/>
                      <w:sz w:val="21"/>
                      <w:szCs w:val="21"/>
                      <w14:textFill>
                        <w14:solidFill>
                          <w14:schemeClr w14:val="tx1"/>
                        </w14:solidFill>
                      </w14:textFill>
                    </w:rPr>
                    <w:t>项目</w:t>
                  </w:r>
                  <w:r>
                    <w:rPr>
                      <w:rFonts w:hint="eastAsia" w:cs="Times New Roman"/>
                      <w:color w:val="000000" w:themeColor="text1"/>
                      <w:sz w:val="21"/>
                      <w:szCs w:val="21"/>
                      <w:lang w:eastAsia="zh-CN"/>
                      <w14:textFill>
                        <w14:solidFill>
                          <w14:schemeClr w14:val="tx1"/>
                        </w14:solidFill>
                      </w14:textFill>
                    </w:rPr>
                    <w:t>。</w:t>
                  </w:r>
                </w:p>
              </w:tc>
              <w:tc>
                <w:tcPr>
                  <w:tcW w:w="512" w:type="dxa"/>
                  <w:shd w:val="clear" w:color="auto" w:fill="auto"/>
                  <w:vAlign w:val="center"/>
                </w:tcPr>
                <w:p w14:paraId="07EE8423">
                  <w:pPr>
                    <w:pStyle w:val="7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符合</w:t>
                  </w:r>
                </w:p>
              </w:tc>
            </w:tr>
            <w:tr w14:paraId="593A76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1216" w:type="dxa"/>
                  <w:shd w:val="clear" w:color="auto" w:fill="auto"/>
                  <w:vAlign w:val="center"/>
                </w:tcPr>
                <w:p w14:paraId="1D837ACE">
                  <w:pPr>
                    <w:pStyle w:val="70"/>
                    <w:spacing w:line="240" w:lineRule="auto"/>
                    <w:jc w:val="both"/>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《巴中市“十四五”土壤污染防治规划》</w:t>
                  </w:r>
                </w:p>
              </w:tc>
              <w:tc>
                <w:tcPr>
                  <w:tcW w:w="3148" w:type="dxa"/>
                  <w:shd w:val="clear" w:color="auto" w:fill="auto"/>
                  <w:vAlign w:val="center"/>
                </w:tcPr>
                <w:p w14:paraId="331EB19E">
                  <w:pPr>
                    <w:pStyle w:val="70"/>
                    <w:spacing w:line="240" w:lineRule="auto"/>
                    <w:jc w:val="both"/>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切实加强对重点企业全过程环境监管，防范土壤污染风险。</w:t>
                  </w:r>
                </w:p>
                <w:p w14:paraId="4C8253B7">
                  <w:pPr>
                    <w:pStyle w:val="70"/>
                    <w:spacing w:line="240" w:lineRule="auto"/>
                    <w:jc w:val="both"/>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加强重点行业企业监管。严格重点行业企业准入，强化规划环评刚性约束，鼓励工业企业集聚发展。</w:t>
                  </w:r>
                </w:p>
              </w:tc>
              <w:tc>
                <w:tcPr>
                  <w:tcW w:w="3149" w:type="dxa"/>
                  <w:shd w:val="clear" w:color="auto" w:fill="auto"/>
                  <w:vAlign w:val="center"/>
                </w:tcPr>
                <w:p w14:paraId="50F0A304">
                  <w:pPr>
                    <w:pStyle w:val="70"/>
                    <w:spacing w:line="240" w:lineRule="auto"/>
                    <w:jc w:val="both"/>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项目不属于《行动计划》确定的落后产能或产能严重过剩行业，项目采取了严格的污染治理措施，可确保项目废气、废水污染物达标排放，固废不产生二次污染，环境风险可控；</w:t>
                  </w:r>
                  <w:r>
                    <w:rPr>
                      <w:rFonts w:hint="default" w:ascii="Times New Roman" w:hAnsi="Times New Roman" w:eastAsia="宋体" w:cs="Times New Roman"/>
                      <w:color w:val="000000" w:themeColor="text1"/>
                      <w:sz w:val="21"/>
                      <w:szCs w:val="21"/>
                      <w14:textFill>
                        <w14:solidFill>
                          <w14:schemeClr w14:val="tx1"/>
                        </w14:solidFill>
                      </w14:textFill>
                    </w:rPr>
                    <w:t>采取分区防渗</w:t>
                  </w:r>
                  <w:r>
                    <w:rPr>
                      <w:rFonts w:hint="eastAsia" w:ascii="Times New Roman" w:hAnsi="Times New Roman" w:eastAsia="宋体" w:cs="Times New Roman"/>
                      <w:color w:val="000000" w:themeColor="text1"/>
                      <w:sz w:val="21"/>
                      <w:szCs w:val="21"/>
                      <w:lang w:eastAsia="zh-CN"/>
                      <w14:textFill>
                        <w14:solidFill>
                          <w14:schemeClr w14:val="tx1"/>
                        </w14:solidFill>
                      </w14:textFill>
                    </w:rPr>
                    <w:t>，</w:t>
                  </w:r>
                  <w:r>
                    <w:rPr>
                      <w:rFonts w:hint="default" w:ascii="Times New Roman" w:hAnsi="Times New Roman" w:eastAsia="宋体" w:cs="Times New Roman"/>
                      <w:color w:val="000000" w:themeColor="text1"/>
                      <w:sz w:val="21"/>
                      <w:szCs w:val="21"/>
                      <w14:textFill>
                        <w14:solidFill>
                          <w14:schemeClr w14:val="tx1"/>
                        </w14:solidFill>
                      </w14:textFill>
                    </w:rPr>
                    <w:t>不会改变区域土壤环境功能现状</w:t>
                  </w:r>
                  <w:r>
                    <w:rPr>
                      <w:rFonts w:hint="eastAsia" w:cs="Times New Roman"/>
                      <w:color w:val="000000" w:themeColor="text1"/>
                      <w:sz w:val="21"/>
                      <w:szCs w:val="21"/>
                      <w:lang w:eastAsia="zh-CN"/>
                      <w14:textFill>
                        <w14:solidFill>
                          <w14:schemeClr w14:val="tx1"/>
                        </w14:solidFill>
                      </w14:textFill>
                    </w:rPr>
                    <w:t>。</w:t>
                  </w:r>
                </w:p>
              </w:tc>
              <w:tc>
                <w:tcPr>
                  <w:tcW w:w="512" w:type="dxa"/>
                  <w:shd w:val="clear" w:color="auto" w:fill="auto"/>
                  <w:vAlign w:val="center"/>
                </w:tcPr>
                <w:p w14:paraId="0F0C809B">
                  <w:pPr>
                    <w:pStyle w:val="70"/>
                    <w:spacing w:line="240" w:lineRule="auto"/>
                    <w:jc w:val="center"/>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符合</w:t>
                  </w:r>
                </w:p>
              </w:tc>
            </w:tr>
          </w:tbl>
          <w:p w14:paraId="77B8E2B3">
            <w:pPr>
              <w:pStyle w:val="66"/>
              <w:spacing w:line="360" w:lineRule="auto"/>
              <w:ind w:firstLine="482"/>
              <w:rPr>
                <w:rFonts w:hint="eastAsia" w:ascii="Times New Roman" w:hAnsi="Times New Roman" w:eastAsia="宋体" w:cs="Times New Roman"/>
                <w:color w:val="000000" w:themeColor="text1"/>
                <w:sz w:val="24"/>
                <w:lang w:val="en-US" w:eastAsia="zh-CN"/>
                <w14:textFill>
                  <w14:solidFill>
                    <w14:schemeClr w14:val="tx1"/>
                  </w14:solidFill>
                </w14:textFill>
              </w:rPr>
            </w:pPr>
            <w:r>
              <w:rPr>
                <w:rFonts w:hint="eastAsia" w:ascii="Times New Roman" w:hAnsi="Times New Roman" w:eastAsia="宋体" w:cs="Times New Roman"/>
                <w:color w:val="000000" w:themeColor="text1"/>
                <w:sz w:val="24"/>
                <w:lang w:val="en-US" w:eastAsia="zh-CN"/>
                <w14:textFill>
                  <w14:solidFill>
                    <w14:schemeClr w14:val="tx1"/>
                  </w14:solidFill>
                </w14:textFill>
              </w:rPr>
              <w:t>综上，本项目</w:t>
            </w:r>
            <w:r>
              <w:rPr>
                <w:rFonts w:hint="default" w:ascii="Times New Roman" w:hAnsi="Times New Roman" w:eastAsia="宋体" w:cs="Times New Roman"/>
                <w:color w:val="000000" w:themeColor="text1"/>
                <w:sz w:val="24"/>
                <w14:textFill>
                  <w14:solidFill>
                    <w14:schemeClr w14:val="tx1"/>
                  </w14:solidFill>
                </w14:textFill>
              </w:rPr>
              <w:t>与</w:t>
            </w:r>
            <w:r>
              <w:rPr>
                <w:rFonts w:hint="eastAsia" w:ascii="Times New Roman" w:hAnsi="Times New Roman" w:eastAsia="宋体" w:cs="Times New Roman"/>
                <w:b w:val="0"/>
                <w:bCs w:val="0"/>
                <w:color w:val="000000" w:themeColor="text1"/>
                <w:lang w:val="en-US" w:eastAsia="zh-CN"/>
                <w14:textFill>
                  <w14:solidFill>
                    <w14:schemeClr w14:val="tx1"/>
                  </w14:solidFill>
                </w14:textFill>
              </w:rPr>
              <w:t>土壤污染防治</w:t>
            </w:r>
            <w:r>
              <w:rPr>
                <w:rFonts w:hint="default" w:ascii="Times New Roman" w:hAnsi="Times New Roman" w:eastAsia="宋体" w:cs="Times New Roman"/>
                <w:color w:val="000000" w:themeColor="text1"/>
                <w:sz w:val="24"/>
                <w14:textFill>
                  <w14:solidFill>
                    <w14:schemeClr w14:val="tx1"/>
                  </w14:solidFill>
                </w14:textFill>
              </w:rPr>
              <w:t>相关法规、规范</w:t>
            </w:r>
            <w:r>
              <w:rPr>
                <w:rFonts w:hint="eastAsia" w:ascii="Times New Roman" w:hAnsi="Times New Roman" w:eastAsia="宋体" w:cs="Times New Roman"/>
                <w:color w:val="000000" w:themeColor="text1"/>
                <w:sz w:val="24"/>
                <w:lang w:val="en-US" w:eastAsia="zh-CN"/>
                <w14:textFill>
                  <w14:solidFill>
                    <w14:schemeClr w14:val="tx1"/>
                  </w14:solidFill>
                </w14:textFill>
              </w:rPr>
              <w:t>相符合。</w:t>
            </w:r>
          </w:p>
          <w:p w14:paraId="7D85DADD">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textAlignment w:val="auto"/>
              <w:rPr>
                <w:rFonts w:hint="eastAsia" w:ascii="Times New Roman" w:hAnsi="Times New Roman" w:eastAsia="宋体" w:cs="Times New Roman"/>
                <w:b/>
                <w:bCs/>
                <w:color w:val="000000" w:themeColor="text1"/>
                <w:lang w:val="en-US" w:eastAsia="zh-CN"/>
                <w14:textFill>
                  <w14:solidFill>
                    <w14:schemeClr w14:val="tx1"/>
                  </w14:solidFill>
                </w14:textFill>
              </w:rPr>
            </w:pPr>
            <w:r>
              <w:rPr>
                <w:rFonts w:hint="eastAsia" w:cs="Times New Roman"/>
                <w:b/>
                <w:bCs/>
                <w:color w:val="000000" w:themeColor="text1"/>
                <w:lang w:val="en-US" w:eastAsia="zh-CN"/>
                <w14:textFill>
                  <w14:solidFill>
                    <w14:schemeClr w14:val="tx1"/>
                  </w14:solidFill>
                </w14:textFill>
              </w:rPr>
              <w:t>7</w:t>
            </w:r>
            <w:r>
              <w:rPr>
                <w:rFonts w:hint="eastAsia" w:ascii="Times New Roman" w:hAnsi="Times New Roman" w:eastAsia="宋体" w:cs="Times New Roman"/>
                <w:b/>
                <w:bCs/>
                <w:color w:val="000000" w:themeColor="text1"/>
                <w:lang w:val="en-US" w:eastAsia="zh-CN"/>
                <w14:textFill>
                  <w14:solidFill>
                    <w14:schemeClr w14:val="tx1"/>
                  </w14:solidFill>
                </w14:textFill>
              </w:rPr>
              <w:t>、项目与</w:t>
            </w:r>
            <w:r>
              <w:rPr>
                <w:rFonts w:hint="eastAsia" w:ascii="Times New Roman" w:hAnsi="Times New Roman"/>
                <w:b/>
                <w:bCs/>
                <w:color w:val="000000" w:themeColor="text1"/>
                <w:sz w:val="24"/>
                <w:highlight w:val="none"/>
                <w14:textFill>
                  <w14:solidFill>
                    <w14:schemeClr w14:val="tx1"/>
                  </w14:solidFill>
                </w14:textFill>
              </w:rPr>
              <w:t>固体废弃物</w:t>
            </w:r>
            <w:r>
              <w:rPr>
                <w:rFonts w:hint="eastAsia" w:ascii="Times New Roman" w:hAnsi="Times New Roman" w:eastAsia="宋体" w:cs="Times New Roman"/>
                <w:b/>
                <w:bCs/>
                <w:color w:val="000000" w:themeColor="text1"/>
                <w:lang w:val="en-US" w:eastAsia="zh-CN"/>
                <w14:textFill>
                  <w14:solidFill>
                    <w14:schemeClr w14:val="tx1"/>
                  </w14:solidFill>
                </w14:textFill>
              </w:rPr>
              <w:t>防治的规范文件的符合性分析</w:t>
            </w:r>
          </w:p>
          <w:p w14:paraId="0221D179">
            <w:pPr>
              <w:pStyle w:val="66"/>
              <w:spacing w:line="360" w:lineRule="auto"/>
              <w:rPr>
                <w:rFonts w:hint="eastAsia" w:ascii="Times New Roman" w:hAnsi="Times New Roman" w:eastAsia="宋体" w:cs="Times New Roman"/>
                <w:b/>
                <w:bCs/>
                <w:color w:val="000000" w:themeColor="text1"/>
                <w:lang w:val="en-US" w:eastAsia="zh-CN"/>
                <w14:textFill>
                  <w14:solidFill>
                    <w14:schemeClr w14:val="tx1"/>
                  </w14:solidFill>
                </w14:textFill>
              </w:rPr>
            </w:pPr>
            <w:r>
              <w:rPr>
                <w:color w:val="000000" w:themeColor="text1"/>
                <w14:textFill>
                  <w14:solidFill>
                    <w14:schemeClr w14:val="tx1"/>
                  </w14:solidFill>
                </w14:textFill>
              </w:rPr>
              <w:t>本</w:t>
            </w:r>
            <w:r>
              <w:rPr>
                <w:rFonts w:hint="default" w:ascii="Times New Roman" w:hAnsi="Times New Roman" w:eastAsia="宋体" w:cs="Times New Roman"/>
                <w:b w:val="0"/>
                <w:bCs w:val="0"/>
                <w:color w:val="000000" w:themeColor="text1"/>
                <w:sz w:val="24"/>
                <w14:textFill>
                  <w14:solidFill>
                    <w14:schemeClr w14:val="tx1"/>
                  </w14:solidFill>
                </w14:textFill>
              </w:rPr>
              <w:t>项目</w:t>
            </w:r>
            <w:r>
              <w:rPr>
                <w:rFonts w:hint="eastAsia" w:ascii="Times New Roman" w:hAnsi="Times New Roman"/>
                <w:color w:val="000000" w:themeColor="text1"/>
                <w:sz w:val="24"/>
                <w:highlight w:val="none"/>
                <w14:textFill>
                  <w14:solidFill>
                    <w14:schemeClr w14:val="tx1"/>
                  </w14:solidFill>
                </w14:textFill>
              </w:rPr>
              <w:t>与固体废弃物防治</w:t>
            </w:r>
            <w:r>
              <w:rPr>
                <w:rFonts w:hint="default" w:ascii="Times New Roman" w:hAnsi="Times New Roman" w:eastAsia="宋体" w:cs="Times New Roman"/>
                <w:b w:val="0"/>
                <w:bCs w:val="0"/>
                <w:color w:val="000000" w:themeColor="text1"/>
                <w:sz w:val="24"/>
                <w14:textFill>
                  <w14:solidFill>
                    <w14:schemeClr w14:val="tx1"/>
                  </w14:solidFill>
                </w14:textFill>
              </w:rPr>
              <w:t>相关法</w:t>
            </w:r>
            <w:r>
              <w:rPr>
                <w:rFonts w:hint="default" w:ascii="Times New Roman" w:hAnsi="Times New Roman" w:cs="Times New Roman"/>
                <w:color w:val="000000" w:themeColor="text1"/>
                <w:sz w:val="24"/>
                <w14:textFill>
                  <w14:solidFill>
                    <w14:schemeClr w14:val="tx1"/>
                  </w14:solidFill>
                </w14:textFill>
              </w:rPr>
              <w:t>规</w:t>
            </w:r>
            <w:r>
              <w:rPr>
                <w:rFonts w:hint="default" w:ascii="Times New Roman" w:hAnsi="Times New Roman" w:cs="Times New Roman"/>
                <w:b w:val="0"/>
                <w:bCs w:val="0"/>
                <w:color w:val="000000" w:themeColor="text1"/>
                <w:sz w:val="24"/>
                <w14:textFill>
                  <w14:solidFill>
                    <w14:schemeClr w14:val="tx1"/>
                  </w14:solidFill>
                </w14:textFill>
              </w:rPr>
              <w:t>、规范符合性</w:t>
            </w:r>
            <w:r>
              <w:rPr>
                <w:rFonts w:hint="default" w:ascii="Times New Roman" w:hAnsi="Times New Roman" w:cs="Times New Roman"/>
                <w:color w:val="000000" w:themeColor="text1"/>
                <w:sz w:val="24"/>
                <w14:textFill>
                  <w14:solidFill>
                    <w14:schemeClr w14:val="tx1"/>
                  </w14:solidFill>
                </w14:textFill>
              </w:rPr>
              <w:t>分析</w:t>
            </w:r>
            <w:r>
              <w:rPr>
                <w:rFonts w:hint="default" w:ascii="Times New Roman" w:hAnsi="Times New Roman" w:cs="Times New Roman"/>
                <w:color w:val="000000" w:themeColor="text1"/>
                <w:sz w:val="24"/>
                <w:lang w:eastAsia="zh-CN"/>
                <w14:textFill>
                  <w14:solidFill>
                    <w14:schemeClr w14:val="tx1"/>
                  </w14:solidFill>
                </w14:textFill>
              </w:rPr>
              <w:t>见下</w:t>
            </w:r>
            <w:r>
              <w:rPr>
                <w:rFonts w:hint="default" w:ascii="Times New Roman" w:hAnsi="Times New Roman" w:cs="Times New Roman"/>
                <w:color w:val="000000" w:themeColor="text1"/>
                <w:sz w:val="24"/>
                <w14:textFill>
                  <w14:solidFill>
                    <w14:schemeClr w14:val="tx1"/>
                  </w14:solidFill>
                </w14:textFill>
              </w:rPr>
              <w:t>表所示</w:t>
            </w:r>
            <w:r>
              <w:rPr>
                <w:rFonts w:hint="eastAsia" w:ascii="Times New Roman" w:hAnsi="Times New Roman" w:cs="Times New Roman"/>
                <w:color w:val="000000" w:themeColor="text1"/>
                <w:sz w:val="24"/>
                <w:lang w:eastAsia="zh-CN"/>
                <w14:textFill>
                  <w14:solidFill>
                    <w14:schemeClr w14:val="tx1"/>
                  </w14:solidFill>
                </w14:textFill>
              </w:rPr>
              <w:t>：</w:t>
            </w:r>
          </w:p>
          <w:p w14:paraId="339DB6E9">
            <w:pPr>
              <w:pStyle w:val="68"/>
              <w:spacing w:line="240" w:lineRule="auto"/>
              <w:rPr>
                <w:rFonts w:hint="eastAsia" w:ascii="Times New Roman" w:hAnsi="Times New Roman" w:eastAsia="宋体" w:cs="Times New Roman"/>
                <w:b/>
                <w:bCs/>
                <w:color w:val="000000" w:themeColor="text1"/>
                <w:lang w:val="en-US" w:eastAsia="zh-CN"/>
                <w14:textFill>
                  <w14:solidFill>
                    <w14:schemeClr w14:val="tx1"/>
                  </w14:solidFill>
                </w14:textFill>
              </w:rPr>
            </w:pPr>
            <w:r>
              <w:rPr>
                <w:rFonts w:hint="eastAsia" w:ascii="Times New Roman" w:hAnsi="Times New Roman" w:eastAsia="宋体" w:cs="Times New Roman"/>
                <w:b/>
                <w:bCs/>
                <w:color w:val="000000" w:themeColor="text1"/>
                <w14:textFill>
                  <w14:solidFill>
                    <w14:schemeClr w14:val="tx1"/>
                  </w14:solidFill>
                </w14:textFill>
              </w:rPr>
              <w:t>表1-</w:t>
            </w:r>
            <w:r>
              <w:rPr>
                <w:rFonts w:hint="eastAsia" w:eastAsia="宋体" w:cs="Times New Roman"/>
                <w:b/>
                <w:bCs/>
                <w:color w:val="000000" w:themeColor="text1"/>
                <w:lang w:val="en-US" w:eastAsia="zh-CN"/>
                <w14:textFill>
                  <w14:solidFill>
                    <w14:schemeClr w14:val="tx1"/>
                  </w14:solidFill>
                </w14:textFill>
              </w:rPr>
              <w:t>12</w:t>
            </w:r>
            <w:r>
              <w:rPr>
                <w:rFonts w:hint="eastAsia" w:ascii="Times New Roman" w:hAnsi="Times New Roman" w:eastAsia="宋体" w:cs="Times New Roman"/>
                <w:b/>
                <w:bCs/>
                <w:color w:val="000000" w:themeColor="text1"/>
                <w14:textFill>
                  <w14:solidFill>
                    <w14:schemeClr w14:val="tx1"/>
                  </w14:solidFill>
                </w14:textFill>
              </w:rPr>
              <w:t xml:space="preserve"> 项目与土壤污染防治等相关规划符合性</w:t>
            </w:r>
          </w:p>
          <w:tbl>
            <w:tblPr>
              <w:tblStyle w:val="41"/>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983"/>
              <w:gridCol w:w="4385"/>
              <w:gridCol w:w="1975"/>
              <w:gridCol w:w="654"/>
            </w:tblGrid>
            <w:tr w14:paraId="21F075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983" w:type="dxa"/>
                  <w:shd w:val="clear" w:color="auto" w:fill="auto"/>
                  <w:noWrap w:val="0"/>
                  <w:vAlign w:val="center"/>
                </w:tcPr>
                <w:p w14:paraId="68283AB8">
                  <w:pPr>
                    <w:autoSpaceDE w:val="0"/>
                    <w:autoSpaceDN w:val="0"/>
                    <w:adjustRightInd w:val="0"/>
                    <w:snapToGrid w:val="0"/>
                    <w:spacing w:line="240" w:lineRule="auto"/>
                    <w:jc w:val="center"/>
                    <w:rPr>
                      <w:rFonts w:ascii="Times New Roman" w:hAnsi="Times New Roman"/>
                      <w:b/>
                      <w:bCs/>
                      <w:color w:val="000000" w:themeColor="text1"/>
                      <w:kern w:val="0"/>
                      <w:szCs w:val="21"/>
                      <w:highlight w:val="none"/>
                      <w14:textFill>
                        <w14:solidFill>
                          <w14:schemeClr w14:val="tx1"/>
                        </w14:solidFill>
                      </w14:textFill>
                    </w:rPr>
                  </w:pPr>
                  <w:r>
                    <w:rPr>
                      <w:rFonts w:ascii="Times New Roman" w:hAnsi="Times New Roman"/>
                      <w:b/>
                      <w:bCs/>
                      <w:color w:val="000000" w:themeColor="text1"/>
                      <w:kern w:val="0"/>
                      <w:szCs w:val="21"/>
                      <w:highlight w:val="none"/>
                      <w14:textFill>
                        <w14:solidFill>
                          <w14:schemeClr w14:val="tx1"/>
                        </w14:solidFill>
                      </w14:textFill>
                    </w:rPr>
                    <w:t>政策名称</w:t>
                  </w:r>
                </w:p>
              </w:tc>
              <w:tc>
                <w:tcPr>
                  <w:tcW w:w="4385" w:type="dxa"/>
                  <w:shd w:val="clear" w:color="auto" w:fill="auto"/>
                  <w:noWrap w:val="0"/>
                  <w:vAlign w:val="center"/>
                </w:tcPr>
                <w:p w14:paraId="69662CAA">
                  <w:pPr>
                    <w:autoSpaceDE w:val="0"/>
                    <w:autoSpaceDN w:val="0"/>
                    <w:adjustRightInd w:val="0"/>
                    <w:snapToGrid w:val="0"/>
                    <w:spacing w:line="240" w:lineRule="auto"/>
                    <w:jc w:val="center"/>
                    <w:rPr>
                      <w:rFonts w:ascii="Times New Roman" w:hAnsi="Times New Roman"/>
                      <w:b/>
                      <w:bCs/>
                      <w:color w:val="000000" w:themeColor="text1"/>
                      <w:kern w:val="0"/>
                      <w:szCs w:val="21"/>
                      <w:highlight w:val="none"/>
                      <w14:textFill>
                        <w14:solidFill>
                          <w14:schemeClr w14:val="tx1"/>
                        </w14:solidFill>
                      </w14:textFill>
                    </w:rPr>
                  </w:pPr>
                  <w:r>
                    <w:rPr>
                      <w:rFonts w:ascii="Times New Roman" w:hAnsi="Times New Roman"/>
                      <w:b/>
                      <w:bCs/>
                      <w:color w:val="000000" w:themeColor="text1"/>
                      <w:kern w:val="0"/>
                      <w:szCs w:val="21"/>
                      <w:highlight w:val="none"/>
                      <w14:textFill>
                        <w14:solidFill>
                          <w14:schemeClr w14:val="tx1"/>
                        </w14:solidFill>
                      </w14:textFill>
                    </w:rPr>
                    <w:t>要求</w:t>
                  </w:r>
                </w:p>
              </w:tc>
              <w:tc>
                <w:tcPr>
                  <w:tcW w:w="1975" w:type="dxa"/>
                  <w:shd w:val="clear" w:color="auto" w:fill="auto"/>
                  <w:noWrap w:val="0"/>
                  <w:vAlign w:val="center"/>
                </w:tcPr>
                <w:p w14:paraId="0BA4A2C2">
                  <w:pPr>
                    <w:autoSpaceDE w:val="0"/>
                    <w:autoSpaceDN w:val="0"/>
                    <w:adjustRightInd w:val="0"/>
                    <w:snapToGrid w:val="0"/>
                    <w:spacing w:line="240" w:lineRule="auto"/>
                    <w:jc w:val="center"/>
                    <w:rPr>
                      <w:rFonts w:ascii="Times New Roman" w:hAnsi="Times New Roman"/>
                      <w:b/>
                      <w:bCs/>
                      <w:color w:val="000000" w:themeColor="text1"/>
                      <w:kern w:val="0"/>
                      <w:szCs w:val="21"/>
                      <w:highlight w:val="none"/>
                      <w14:textFill>
                        <w14:solidFill>
                          <w14:schemeClr w14:val="tx1"/>
                        </w14:solidFill>
                      </w14:textFill>
                    </w:rPr>
                  </w:pPr>
                  <w:r>
                    <w:rPr>
                      <w:rFonts w:ascii="Times New Roman" w:hAnsi="Times New Roman"/>
                      <w:b/>
                      <w:bCs/>
                      <w:color w:val="000000" w:themeColor="text1"/>
                      <w:kern w:val="0"/>
                      <w:szCs w:val="21"/>
                      <w:highlight w:val="none"/>
                      <w14:textFill>
                        <w14:solidFill>
                          <w14:schemeClr w14:val="tx1"/>
                        </w14:solidFill>
                      </w14:textFill>
                    </w:rPr>
                    <w:t>本项目情况</w:t>
                  </w:r>
                </w:p>
              </w:tc>
              <w:tc>
                <w:tcPr>
                  <w:tcW w:w="654" w:type="dxa"/>
                  <w:shd w:val="clear" w:color="auto" w:fill="auto"/>
                  <w:noWrap w:val="0"/>
                  <w:vAlign w:val="center"/>
                </w:tcPr>
                <w:p w14:paraId="4616C6DD">
                  <w:pPr>
                    <w:autoSpaceDE w:val="0"/>
                    <w:autoSpaceDN w:val="0"/>
                    <w:adjustRightInd w:val="0"/>
                    <w:snapToGrid w:val="0"/>
                    <w:spacing w:line="240" w:lineRule="auto"/>
                    <w:jc w:val="center"/>
                    <w:rPr>
                      <w:rFonts w:ascii="Times New Roman" w:hAnsi="Times New Roman"/>
                      <w:b/>
                      <w:bCs/>
                      <w:color w:val="000000" w:themeColor="text1"/>
                      <w:kern w:val="0"/>
                      <w:szCs w:val="21"/>
                      <w:highlight w:val="none"/>
                      <w14:textFill>
                        <w14:solidFill>
                          <w14:schemeClr w14:val="tx1"/>
                        </w14:solidFill>
                      </w14:textFill>
                    </w:rPr>
                  </w:pPr>
                  <w:r>
                    <w:rPr>
                      <w:rFonts w:ascii="Times New Roman" w:hAnsi="Times New Roman"/>
                      <w:b/>
                      <w:bCs/>
                      <w:color w:val="000000" w:themeColor="text1"/>
                      <w:kern w:val="0"/>
                      <w:szCs w:val="21"/>
                      <w:highlight w:val="none"/>
                      <w14:textFill>
                        <w14:solidFill>
                          <w14:schemeClr w14:val="tx1"/>
                        </w14:solidFill>
                      </w14:textFill>
                    </w:rPr>
                    <w:t>符合性</w:t>
                  </w:r>
                </w:p>
              </w:tc>
            </w:tr>
            <w:tr w14:paraId="6F3390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51" w:hRule="atLeast"/>
                <w:jc w:val="center"/>
              </w:trPr>
              <w:tc>
                <w:tcPr>
                  <w:tcW w:w="983" w:type="dxa"/>
                  <w:vMerge w:val="restart"/>
                  <w:shd w:val="clear" w:color="auto" w:fill="auto"/>
                  <w:noWrap w:val="0"/>
                  <w:vAlign w:val="center"/>
                </w:tcPr>
                <w:p w14:paraId="6A63D0B0">
                  <w:pPr>
                    <w:autoSpaceDE w:val="0"/>
                    <w:autoSpaceDN w:val="0"/>
                    <w:adjustRightInd w:val="0"/>
                    <w:snapToGrid w:val="0"/>
                    <w:spacing w:line="240" w:lineRule="auto"/>
                    <w:jc w:val="center"/>
                    <w:rPr>
                      <w:rFonts w:ascii="Times New Roman" w:hAnsi="Times New Roman"/>
                      <w:color w:val="000000" w:themeColor="text1"/>
                      <w:kern w:val="0"/>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中华人民共和国生态环境法典</w:t>
                  </w:r>
                  <w:r>
                    <w:rPr>
                      <w:rFonts w:hint="default" w:ascii="Times New Roman" w:hAnsi="Times New Roman" w:eastAsia="宋体" w:cs="Times New Roman"/>
                      <w:color w:val="000000" w:themeColor="text1"/>
                      <w:sz w:val="21"/>
                      <w:szCs w:val="21"/>
                      <w14:textFill>
                        <w14:solidFill>
                          <w14:schemeClr w14:val="tx1"/>
                        </w14:solidFill>
                      </w14:textFill>
                    </w:rPr>
                    <w:t>》</w:t>
                  </w:r>
                </w:p>
              </w:tc>
              <w:tc>
                <w:tcPr>
                  <w:tcW w:w="4385" w:type="dxa"/>
                  <w:shd w:val="clear" w:color="auto" w:fill="auto"/>
                  <w:noWrap w:val="0"/>
                  <w:vAlign w:val="center"/>
                </w:tcPr>
                <w:p w14:paraId="03F5B9E3">
                  <w:pPr>
                    <w:autoSpaceDE w:val="0"/>
                    <w:autoSpaceDN w:val="0"/>
                    <w:adjustRightInd w:val="0"/>
                    <w:snapToGrid w:val="0"/>
                    <w:spacing w:line="240" w:lineRule="auto"/>
                    <w:jc w:val="center"/>
                    <w:rPr>
                      <w:rFonts w:hint="eastAsia" w:ascii="Times New Roman" w:hAnsi="Times New Roman"/>
                      <w:color w:val="000000" w:themeColor="text1"/>
                      <w:kern w:val="0"/>
                      <w:szCs w:val="21"/>
                      <w:highlight w:val="none"/>
                      <w:lang w:eastAsia="zh-CN"/>
                      <w14:textFill>
                        <w14:solidFill>
                          <w14:schemeClr w14:val="tx1"/>
                        </w14:solidFill>
                      </w14:textFill>
                    </w:rPr>
                  </w:pPr>
                  <w:r>
                    <w:rPr>
                      <w:rFonts w:hint="eastAsia" w:ascii="Times New Roman" w:hAnsi="Times New Roman"/>
                      <w:color w:val="000000" w:themeColor="text1"/>
                      <w:kern w:val="0"/>
                      <w:szCs w:val="21"/>
                      <w:highlight w:val="none"/>
                      <w14:textFill>
                        <w14:solidFill>
                          <w14:schemeClr w14:val="tx1"/>
                        </w14:solidFill>
                      </w14:textFill>
                    </w:rPr>
                    <w:t>产生工业固体废物的单位应当建立健全工业固体废物产生、收集、贮存、运输、利用、处置全过程的污染防治责任制度，建立工业固体废物管理台账，如实记录产生工业固体废物的种类、数量、流向、贮存、利用、处置等信息，实现工业固体废物可追溯、可查询，并采取防治工业固体废物污染的措施。</w:t>
                  </w:r>
                </w:p>
              </w:tc>
              <w:tc>
                <w:tcPr>
                  <w:tcW w:w="1975" w:type="dxa"/>
                  <w:vMerge w:val="restart"/>
                  <w:shd w:val="clear" w:color="auto" w:fill="auto"/>
                  <w:noWrap w:val="0"/>
                  <w:vAlign w:val="center"/>
                </w:tcPr>
                <w:p w14:paraId="234C24A5">
                  <w:pPr>
                    <w:autoSpaceDE w:val="0"/>
                    <w:autoSpaceDN w:val="0"/>
                    <w:adjustRightInd w:val="0"/>
                    <w:snapToGrid w:val="0"/>
                    <w:spacing w:line="240" w:lineRule="auto"/>
                    <w:jc w:val="center"/>
                    <w:rPr>
                      <w:rFonts w:hint="eastAsia" w:ascii="Times New Roman" w:hAnsi="Times New Roman" w:eastAsia="宋体"/>
                      <w:color w:val="000000" w:themeColor="text1"/>
                      <w:kern w:val="0"/>
                      <w:szCs w:val="21"/>
                      <w:highlight w:val="none"/>
                      <w:lang w:eastAsia="zh-CN"/>
                      <w14:textFill>
                        <w14:solidFill>
                          <w14:schemeClr w14:val="tx1"/>
                        </w14:solidFill>
                      </w14:textFill>
                    </w:rPr>
                  </w:pPr>
                  <w:r>
                    <w:rPr>
                      <w:rFonts w:hint="eastAsia" w:ascii="Times New Roman" w:hAnsi="Times New Roman"/>
                      <w:color w:val="000000" w:themeColor="text1"/>
                      <w:kern w:val="0"/>
                      <w:szCs w:val="21"/>
                      <w:highlight w:val="none"/>
                      <w14:textFill>
                        <w14:solidFill>
                          <w14:schemeClr w14:val="tx1"/>
                        </w14:solidFill>
                      </w14:textFill>
                    </w:rPr>
                    <w:t>项目设置专人负责项目的环境保护工作，包括：建立废物管理台账、项目建设的暂存场所，采取符合国家环境保护标准的防护措施</w:t>
                  </w:r>
                  <w:r>
                    <w:rPr>
                      <w:rFonts w:hint="eastAsia"/>
                      <w:color w:val="000000" w:themeColor="text1"/>
                      <w:kern w:val="0"/>
                      <w:szCs w:val="21"/>
                      <w:highlight w:val="none"/>
                      <w:lang w:eastAsia="zh-CN"/>
                      <w14:textFill>
                        <w14:solidFill>
                          <w14:schemeClr w14:val="tx1"/>
                        </w14:solidFill>
                      </w14:textFill>
                    </w:rPr>
                    <w:t>。</w:t>
                  </w:r>
                </w:p>
              </w:tc>
              <w:tc>
                <w:tcPr>
                  <w:tcW w:w="654" w:type="dxa"/>
                  <w:shd w:val="clear" w:color="auto" w:fill="auto"/>
                  <w:noWrap w:val="0"/>
                  <w:vAlign w:val="center"/>
                </w:tcPr>
                <w:p w14:paraId="6EF1ED6B">
                  <w:pPr>
                    <w:autoSpaceDE w:val="0"/>
                    <w:autoSpaceDN w:val="0"/>
                    <w:adjustRightInd w:val="0"/>
                    <w:snapToGrid w:val="0"/>
                    <w:spacing w:line="240" w:lineRule="auto"/>
                    <w:jc w:val="center"/>
                    <w:rPr>
                      <w:rFonts w:ascii="Times New Roman" w:hAnsi="Times New Roman"/>
                      <w:color w:val="000000" w:themeColor="text1"/>
                      <w:kern w:val="0"/>
                      <w:szCs w:val="21"/>
                      <w:highlight w:val="none"/>
                      <w14:textFill>
                        <w14:solidFill>
                          <w14:schemeClr w14:val="tx1"/>
                        </w14:solidFill>
                      </w14:textFill>
                    </w:rPr>
                  </w:pPr>
                  <w:r>
                    <w:rPr>
                      <w:rFonts w:hint="eastAsia" w:ascii="Times New Roman" w:hAnsi="Times New Roman"/>
                      <w:color w:val="000000" w:themeColor="text1"/>
                      <w:kern w:val="0"/>
                      <w:szCs w:val="21"/>
                      <w:highlight w:val="none"/>
                      <w14:textFill>
                        <w14:solidFill>
                          <w14:schemeClr w14:val="tx1"/>
                        </w14:solidFill>
                      </w14:textFill>
                    </w:rPr>
                    <w:t>符合</w:t>
                  </w:r>
                </w:p>
              </w:tc>
            </w:tr>
            <w:tr w14:paraId="079D90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83" w:type="dxa"/>
                  <w:vMerge w:val="continue"/>
                  <w:shd w:val="clear" w:color="auto" w:fill="auto"/>
                  <w:noWrap w:val="0"/>
                  <w:vAlign w:val="center"/>
                </w:tcPr>
                <w:p w14:paraId="4F0906BA">
                  <w:pPr>
                    <w:autoSpaceDE w:val="0"/>
                    <w:autoSpaceDN w:val="0"/>
                    <w:adjustRightInd w:val="0"/>
                    <w:snapToGrid w:val="0"/>
                    <w:spacing w:line="240" w:lineRule="auto"/>
                    <w:jc w:val="center"/>
                    <w:rPr>
                      <w:rFonts w:ascii="Times New Roman" w:hAnsi="Times New Roman"/>
                      <w:color w:val="000000" w:themeColor="text1"/>
                      <w:kern w:val="0"/>
                      <w:szCs w:val="21"/>
                      <w:highlight w:val="none"/>
                      <w14:textFill>
                        <w14:solidFill>
                          <w14:schemeClr w14:val="tx1"/>
                        </w14:solidFill>
                      </w14:textFill>
                    </w:rPr>
                  </w:pPr>
                </w:p>
              </w:tc>
              <w:tc>
                <w:tcPr>
                  <w:tcW w:w="4385" w:type="dxa"/>
                  <w:shd w:val="clear" w:color="auto" w:fill="auto"/>
                  <w:noWrap w:val="0"/>
                  <w:vAlign w:val="center"/>
                </w:tcPr>
                <w:p w14:paraId="14768340">
                  <w:pPr>
                    <w:autoSpaceDE w:val="0"/>
                    <w:autoSpaceDN w:val="0"/>
                    <w:adjustRightInd w:val="0"/>
                    <w:snapToGrid w:val="0"/>
                    <w:spacing w:line="240" w:lineRule="auto"/>
                    <w:jc w:val="center"/>
                    <w:rPr>
                      <w:rFonts w:hint="eastAsia" w:ascii="Times New Roman" w:hAnsi="Times New Roman"/>
                      <w:color w:val="000000" w:themeColor="text1"/>
                      <w:kern w:val="0"/>
                      <w:szCs w:val="21"/>
                      <w:highlight w:val="none"/>
                      <w14:textFill>
                        <w14:solidFill>
                          <w14:schemeClr w14:val="tx1"/>
                        </w14:solidFill>
                      </w14:textFill>
                    </w:rPr>
                  </w:pPr>
                  <w:r>
                    <w:rPr>
                      <w:rFonts w:hint="eastAsia" w:ascii="Times New Roman" w:hAnsi="Times New Roman"/>
                      <w:color w:val="000000" w:themeColor="text1"/>
                      <w:kern w:val="0"/>
                      <w:szCs w:val="21"/>
                      <w:highlight w:val="none"/>
                      <w14:textFill>
                        <w14:solidFill>
                          <w14:schemeClr w14:val="tx1"/>
                        </w14:solidFill>
                      </w14:textFill>
                    </w:rPr>
                    <w:t>产生工业固体废物的单位委托他人运输、利用、处置工业固体废物的，应当对受托方的主体资格和技术能力进行核实，依法签订书面合同，在合同中约定污染防治要求。</w:t>
                  </w:r>
                </w:p>
                <w:p w14:paraId="31373710">
                  <w:pPr>
                    <w:autoSpaceDE w:val="0"/>
                    <w:autoSpaceDN w:val="0"/>
                    <w:adjustRightInd w:val="0"/>
                    <w:snapToGrid w:val="0"/>
                    <w:spacing w:line="240" w:lineRule="auto"/>
                    <w:jc w:val="center"/>
                    <w:rPr>
                      <w:rFonts w:hint="eastAsia" w:ascii="Times New Roman" w:hAnsi="Times New Roman"/>
                      <w:color w:val="000000" w:themeColor="text1"/>
                      <w:kern w:val="0"/>
                      <w:szCs w:val="21"/>
                      <w:highlight w:val="none"/>
                      <w:lang w:eastAsia="zh-CN"/>
                      <w14:textFill>
                        <w14:solidFill>
                          <w14:schemeClr w14:val="tx1"/>
                        </w14:solidFill>
                      </w14:textFill>
                    </w:rPr>
                  </w:pPr>
                  <w:r>
                    <w:rPr>
                      <w:rFonts w:hint="eastAsia" w:ascii="Times New Roman" w:hAnsi="Times New Roman"/>
                      <w:color w:val="000000" w:themeColor="text1"/>
                      <w:kern w:val="0"/>
                      <w:szCs w:val="21"/>
                      <w:highlight w:val="none"/>
                      <w14:textFill>
                        <w14:solidFill>
                          <w14:schemeClr w14:val="tx1"/>
                        </w14:solidFill>
                      </w14:textFill>
                    </w:rPr>
                    <w:t>受托方运输、利用、处置工业固体废物，应当依照法律法规规定和合同约定履行污染防治要求，并将运输、利用、处置情况告知产生工业固体废物的单位。</w:t>
                  </w:r>
                </w:p>
              </w:tc>
              <w:tc>
                <w:tcPr>
                  <w:tcW w:w="1975" w:type="dxa"/>
                  <w:vMerge w:val="continue"/>
                  <w:shd w:val="clear" w:color="auto" w:fill="auto"/>
                  <w:noWrap w:val="0"/>
                  <w:vAlign w:val="center"/>
                </w:tcPr>
                <w:p w14:paraId="5CB2A9BB">
                  <w:pPr>
                    <w:autoSpaceDE w:val="0"/>
                    <w:autoSpaceDN w:val="0"/>
                    <w:adjustRightInd w:val="0"/>
                    <w:snapToGrid w:val="0"/>
                    <w:spacing w:line="240" w:lineRule="auto"/>
                    <w:jc w:val="center"/>
                    <w:rPr>
                      <w:rFonts w:ascii="Times New Roman" w:hAnsi="Times New Roman"/>
                      <w:color w:val="000000" w:themeColor="text1"/>
                      <w:kern w:val="0"/>
                      <w:szCs w:val="21"/>
                      <w:highlight w:val="none"/>
                      <w14:textFill>
                        <w14:solidFill>
                          <w14:schemeClr w14:val="tx1"/>
                        </w14:solidFill>
                      </w14:textFill>
                    </w:rPr>
                  </w:pPr>
                </w:p>
              </w:tc>
              <w:tc>
                <w:tcPr>
                  <w:tcW w:w="654" w:type="dxa"/>
                  <w:shd w:val="clear" w:color="auto" w:fill="auto"/>
                  <w:noWrap w:val="0"/>
                  <w:vAlign w:val="center"/>
                </w:tcPr>
                <w:p w14:paraId="61E76969">
                  <w:pPr>
                    <w:autoSpaceDE w:val="0"/>
                    <w:autoSpaceDN w:val="0"/>
                    <w:adjustRightInd w:val="0"/>
                    <w:snapToGrid w:val="0"/>
                    <w:spacing w:line="240" w:lineRule="auto"/>
                    <w:jc w:val="center"/>
                    <w:rPr>
                      <w:rFonts w:ascii="Times New Roman" w:hAnsi="Times New Roman"/>
                      <w:color w:val="000000" w:themeColor="text1"/>
                      <w:kern w:val="0"/>
                      <w:szCs w:val="21"/>
                      <w:highlight w:val="none"/>
                      <w14:textFill>
                        <w14:solidFill>
                          <w14:schemeClr w14:val="tx1"/>
                        </w14:solidFill>
                      </w14:textFill>
                    </w:rPr>
                  </w:pPr>
                  <w:r>
                    <w:rPr>
                      <w:rFonts w:hint="eastAsia" w:ascii="Times New Roman" w:hAnsi="Times New Roman"/>
                      <w:color w:val="000000" w:themeColor="text1"/>
                      <w:kern w:val="0"/>
                      <w:szCs w:val="21"/>
                      <w:highlight w:val="none"/>
                      <w14:textFill>
                        <w14:solidFill>
                          <w14:schemeClr w14:val="tx1"/>
                        </w14:solidFill>
                      </w14:textFill>
                    </w:rPr>
                    <w:t>符合</w:t>
                  </w:r>
                </w:p>
              </w:tc>
            </w:tr>
            <w:tr w14:paraId="7ACDF5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83" w:type="dxa"/>
                  <w:vMerge w:val="restart"/>
                  <w:shd w:val="clear" w:color="auto" w:fill="auto"/>
                  <w:noWrap w:val="0"/>
                  <w:vAlign w:val="center"/>
                </w:tcPr>
                <w:p w14:paraId="3B64DCF7">
                  <w:pPr>
                    <w:autoSpaceDE w:val="0"/>
                    <w:autoSpaceDN w:val="0"/>
                    <w:adjustRightInd w:val="0"/>
                    <w:snapToGrid w:val="0"/>
                    <w:spacing w:line="240" w:lineRule="auto"/>
                    <w:jc w:val="center"/>
                    <w:rPr>
                      <w:rFonts w:ascii="Times New Roman" w:hAnsi="Times New Roman"/>
                      <w:color w:val="000000" w:themeColor="text1"/>
                      <w:kern w:val="0"/>
                      <w:szCs w:val="21"/>
                      <w:highlight w:val="none"/>
                      <w14:textFill>
                        <w14:solidFill>
                          <w14:schemeClr w14:val="tx1"/>
                        </w14:solidFill>
                      </w14:textFill>
                    </w:rPr>
                  </w:pPr>
                  <w:r>
                    <w:rPr>
                      <w:rFonts w:hint="eastAsia" w:ascii="Times New Roman" w:hAnsi="Times New Roman"/>
                      <w:color w:val="000000" w:themeColor="text1"/>
                      <w:kern w:val="0"/>
                      <w:szCs w:val="21"/>
                      <w:highlight w:val="none"/>
                      <w:lang w:eastAsia="zh-CN"/>
                      <w14:textFill>
                        <w14:solidFill>
                          <w14:schemeClr w14:val="tx1"/>
                        </w14:solidFill>
                      </w14:textFill>
                    </w:rPr>
                    <w:t>《</w:t>
                  </w:r>
                  <w:r>
                    <w:rPr>
                      <w:rFonts w:hint="eastAsia" w:ascii="Times New Roman" w:hAnsi="Times New Roman"/>
                      <w:color w:val="000000" w:themeColor="text1"/>
                      <w:kern w:val="0"/>
                      <w:szCs w:val="21"/>
                      <w:highlight w:val="none"/>
                      <w14:textFill>
                        <w14:solidFill>
                          <w14:schemeClr w14:val="tx1"/>
                        </w14:solidFill>
                      </w14:textFill>
                    </w:rPr>
                    <w:t>四川省</w:t>
                  </w:r>
                  <w:r>
                    <w:rPr>
                      <w:rFonts w:hint="eastAsia" w:ascii="Times New Roman" w:hAnsi="Times New Roman"/>
                      <w:color w:val="000000" w:themeColor="text1"/>
                      <w:kern w:val="0"/>
                      <w:szCs w:val="21"/>
                      <w:highlight w:val="none"/>
                      <w:lang w:val="en-US" w:eastAsia="zh-CN"/>
                      <w14:textFill>
                        <w14:solidFill>
                          <w14:schemeClr w14:val="tx1"/>
                        </w14:solidFill>
                      </w14:textFill>
                    </w:rPr>
                    <w:t>固体废物</w:t>
                  </w:r>
                  <w:r>
                    <w:rPr>
                      <w:rFonts w:hint="eastAsia" w:ascii="Times New Roman" w:hAnsi="Times New Roman"/>
                      <w:color w:val="000000" w:themeColor="text1"/>
                      <w:kern w:val="0"/>
                      <w:szCs w:val="21"/>
                      <w:highlight w:val="none"/>
                      <w14:textFill>
                        <w14:solidFill>
                          <w14:schemeClr w14:val="tx1"/>
                        </w14:solidFill>
                      </w14:textFill>
                    </w:rPr>
                    <w:t>污染环境防治条例</w:t>
                  </w:r>
                  <w:r>
                    <w:rPr>
                      <w:rFonts w:hint="eastAsia" w:ascii="Times New Roman" w:hAnsi="Times New Roman"/>
                      <w:color w:val="000000" w:themeColor="text1"/>
                      <w:kern w:val="0"/>
                      <w:szCs w:val="21"/>
                      <w:highlight w:val="none"/>
                      <w:lang w:eastAsia="zh-CN"/>
                      <w14:textFill>
                        <w14:solidFill>
                          <w14:schemeClr w14:val="tx1"/>
                        </w14:solidFill>
                      </w14:textFill>
                    </w:rPr>
                    <w:t>》（</w:t>
                  </w:r>
                  <w:r>
                    <w:rPr>
                      <w:rFonts w:hint="eastAsia" w:ascii="Times New Roman" w:hAnsi="Times New Roman"/>
                      <w:color w:val="000000" w:themeColor="text1"/>
                      <w:kern w:val="0"/>
                      <w:szCs w:val="21"/>
                      <w:highlight w:val="none"/>
                      <w:lang w:val="en-US" w:eastAsia="zh-CN"/>
                      <w14:textFill>
                        <w14:solidFill>
                          <w14:schemeClr w14:val="tx1"/>
                        </w14:solidFill>
                      </w14:textFill>
                    </w:rPr>
                    <w:t>2022修订版</w:t>
                  </w:r>
                  <w:r>
                    <w:rPr>
                      <w:rFonts w:hint="eastAsia" w:ascii="Times New Roman" w:hAnsi="Times New Roman"/>
                      <w:color w:val="000000" w:themeColor="text1"/>
                      <w:kern w:val="0"/>
                      <w:szCs w:val="21"/>
                      <w:highlight w:val="none"/>
                      <w:lang w:eastAsia="zh-CN"/>
                      <w14:textFill>
                        <w14:solidFill>
                          <w14:schemeClr w14:val="tx1"/>
                        </w14:solidFill>
                      </w14:textFill>
                    </w:rPr>
                    <w:t>）</w:t>
                  </w:r>
                </w:p>
              </w:tc>
              <w:tc>
                <w:tcPr>
                  <w:tcW w:w="4385" w:type="dxa"/>
                  <w:shd w:val="clear" w:color="auto" w:fill="auto"/>
                  <w:noWrap w:val="0"/>
                  <w:vAlign w:val="center"/>
                </w:tcPr>
                <w:p w14:paraId="2525A1C5">
                  <w:pPr>
                    <w:autoSpaceDE w:val="0"/>
                    <w:autoSpaceDN w:val="0"/>
                    <w:adjustRightInd w:val="0"/>
                    <w:snapToGrid w:val="0"/>
                    <w:spacing w:line="240" w:lineRule="auto"/>
                    <w:jc w:val="center"/>
                    <w:rPr>
                      <w:rFonts w:hint="eastAsia" w:ascii="Times New Roman" w:hAnsi="Times New Roman" w:eastAsia="宋体"/>
                      <w:color w:val="000000" w:themeColor="text1"/>
                      <w:kern w:val="0"/>
                      <w:szCs w:val="21"/>
                      <w:highlight w:val="none"/>
                      <w:lang w:eastAsia="zh-CN"/>
                      <w14:textFill>
                        <w14:solidFill>
                          <w14:schemeClr w14:val="tx1"/>
                        </w14:solidFill>
                      </w14:textFill>
                    </w:rPr>
                  </w:pPr>
                  <w:r>
                    <w:rPr>
                      <w:rFonts w:hint="eastAsia" w:ascii="Times New Roman" w:hAnsi="Times New Roman"/>
                      <w:color w:val="000000" w:themeColor="text1"/>
                      <w:kern w:val="0"/>
                      <w:szCs w:val="21"/>
                      <w:highlight w:val="none"/>
                      <w14:textFill>
                        <w14:solidFill>
                          <w14:schemeClr w14:val="tx1"/>
                        </w14:solidFill>
                      </w14:textFill>
                    </w:rPr>
                    <w:t>第三条：固体废物污染环境防治坚持预防优先、防治结合、综合治理，实行减量化、资源化、无害化和污染担责原则</w:t>
                  </w:r>
                  <w:r>
                    <w:rPr>
                      <w:rFonts w:hint="eastAsia" w:ascii="Times New Roman" w:hAnsi="Times New Roman"/>
                      <w:color w:val="000000" w:themeColor="text1"/>
                      <w:kern w:val="0"/>
                      <w:szCs w:val="21"/>
                      <w:highlight w:val="none"/>
                      <w:lang w:eastAsia="zh-CN"/>
                      <w14:textFill>
                        <w14:solidFill>
                          <w14:schemeClr w14:val="tx1"/>
                        </w14:solidFill>
                      </w14:textFill>
                    </w:rPr>
                    <w:t>。</w:t>
                  </w:r>
                </w:p>
              </w:tc>
              <w:tc>
                <w:tcPr>
                  <w:tcW w:w="1975" w:type="dxa"/>
                  <w:shd w:val="clear" w:color="auto" w:fill="auto"/>
                  <w:noWrap w:val="0"/>
                  <w:vAlign w:val="center"/>
                </w:tcPr>
                <w:p w14:paraId="191FFC5B">
                  <w:pPr>
                    <w:autoSpaceDE w:val="0"/>
                    <w:autoSpaceDN w:val="0"/>
                    <w:adjustRightInd w:val="0"/>
                    <w:snapToGrid w:val="0"/>
                    <w:spacing w:line="240" w:lineRule="auto"/>
                    <w:jc w:val="center"/>
                    <w:rPr>
                      <w:rFonts w:hint="eastAsia" w:ascii="Times New Roman" w:hAnsi="Times New Roman" w:eastAsia="宋体"/>
                      <w:color w:val="000000" w:themeColor="text1"/>
                      <w:kern w:val="0"/>
                      <w:szCs w:val="21"/>
                      <w:highlight w:val="none"/>
                      <w:lang w:eastAsia="zh-CN"/>
                      <w14:textFill>
                        <w14:solidFill>
                          <w14:schemeClr w14:val="tx1"/>
                        </w14:solidFill>
                      </w14:textFill>
                    </w:rPr>
                  </w:pPr>
                  <w:r>
                    <w:rPr>
                      <w:rFonts w:hint="eastAsia" w:ascii="Times New Roman" w:hAnsi="Times New Roman"/>
                      <w:color w:val="000000" w:themeColor="text1"/>
                      <w:kern w:val="0"/>
                      <w:szCs w:val="21"/>
                      <w:highlight w:val="none"/>
                      <w14:textFill>
                        <w14:solidFill>
                          <w14:schemeClr w14:val="tx1"/>
                        </w14:solidFill>
                      </w14:textFill>
                    </w:rPr>
                    <w:t>项目运营期固体废弃物采取分类收集处置，对于能综合利用的固废进行回收</w:t>
                  </w:r>
                  <w:r>
                    <w:rPr>
                      <w:rFonts w:hint="eastAsia"/>
                      <w:color w:val="000000" w:themeColor="text1"/>
                      <w:kern w:val="0"/>
                      <w:szCs w:val="21"/>
                      <w:highlight w:val="none"/>
                      <w:lang w:eastAsia="zh-CN"/>
                      <w14:textFill>
                        <w14:solidFill>
                          <w14:schemeClr w14:val="tx1"/>
                        </w14:solidFill>
                      </w14:textFill>
                    </w:rPr>
                    <w:t>。</w:t>
                  </w:r>
                </w:p>
              </w:tc>
              <w:tc>
                <w:tcPr>
                  <w:tcW w:w="654" w:type="dxa"/>
                  <w:shd w:val="clear" w:color="auto" w:fill="auto"/>
                  <w:noWrap w:val="0"/>
                  <w:vAlign w:val="center"/>
                </w:tcPr>
                <w:p w14:paraId="16A13069">
                  <w:pPr>
                    <w:autoSpaceDE w:val="0"/>
                    <w:autoSpaceDN w:val="0"/>
                    <w:adjustRightInd w:val="0"/>
                    <w:snapToGrid w:val="0"/>
                    <w:spacing w:line="240" w:lineRule="auto"/>
                    <w:jc w:val="center"/>
                    <w:rPr>
                      <w:rFonts w:hint="eastAsia" w:ascii="Times New Roman" w:hAnsi="Times New Roman"/>
                      <w:color w:val="000000" w:themeColor="text1"/>
                      <w:kern w:val="0"/>
                      <w:szCs w:val="21"/>
                      <w:highlight w:val="none"/>
                      <w14:textFill>
                        <w14:solidFill>
                          <w14:schemeClr w14:val="tx1"/>
                        </w14:solidFill>
                      </w14:textFill>
                    </w:rPr>
                  </w:pPr>
                  <w:r>
                    <w:rPr>
                      <w:rFonts w:hint="eastAsia" w:ascii="Times New Roman" w:hAnsi="Times New Roman"/>
                      <w:color w:val="000000" w:themeColor="text1"/>
                      <w:kern w:val="0"/>
                      <w:szCs w:val="21"/>
                      <w:highlight w:val="none"/>
                      <w14:textFill>
                        <w14:solidFill>
                          <w14:schemeClr w14:val="tx1"/>
                        </w14:solidFill>
                      </w14:textFill>
                    </w:rPr>
                    <w:t>符合</w:t>
                  </w:r>
                </w:p>
              </w:tc>
            </w:tr>
            <w:tr w14:paraId="4EB388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83" w:type="dxa"/>
                  <w:vMerge w:val="continue"/>
                  <w:shd w:val="clear" w:color="auto" w:fill="auto"/>
                  <w:noWrap w:val="0"/>
                  <w:vAlign w:val="center"/>
                </w:tcPr>
                <w:p w14:paraId="0ED13C45">
                  <w:pPr>
                    <w:autoSpaceDE w:val="0"/>
                    <w:autoSpaceDN w:val="0"/>
                    <w:adjustRightInd w:val="0"/>
                    <w:snapToGrid w:val="0"/>
                    <w:spacing w:line="240" w:lineRule="auto"/>
                    <w:jc w:val="center"/>
                    <w:rPr>
                      <w:rFonts w:ascii="Times New Roman" w:hAnsi="Times New Roman"/>
                      <w:color w:val="000000" w:themeColor="text1"/>
                      <w:kern w:val="0"/>
                      <w:szCs w:val="21"/>
                      <w:highlight w:val="none"/>
                      <w14:textFill>
                        <w14:solidFill>
                          <w14:schemeClr w14:val="tx1"/>
                        </w14:solidFill>
                      </w14:textFill>
                    </w:rPr>
                  </w:pPr>
                </w:p>
              </w:tc>
              <w:tc>
                <w:tcPr>
                  <w:tcW w:w="4385" w:type="dxa"/>
                  <w:shd w:val="clear" w:color="auto" w:fill="auto"/>
                  <w:noWrap w:val="0"/>
                  <w:vAlign w:val="center"/>
                </w:tcPr>
                <w:p w14:paraId="6A675E4B">
                  <w:pPr>
                    <w:autoSpaceDE w:val="0"/>
                    <w:autoSpaceDN w:val="0"/>
                    <w:adjustRightInd w:val="0"/>
                    <w:snapToGrid w:val="0"/>
                    <w:spacing w:line="240" w:lineRule="auto"/>
                    <w:jc w:val="center"/>
                    <w:rPr>
                      <w:rFonts w:hint="eastAsia" w:ascii="Times New Roman" w:hAnsi="Times New Roman" w:eastAsia="宋体"/>
                      <w:color w:val="000000" w:themeColor="text1"/>
                      <w:kern w:val="0"/>
                      <w:szCs w:val="21"/>
                      <w:highlight w:val="none"/>
                      <w:lang w:eastAsia="zh-CN"/>
                      <w14:textFill>
                        <w14:solidFill>
                          <w14:schemeClr w14:val="tx1"/>
                        </w14:solidFill>
                      </w14:textFill>
                    </w:rPr>
                  </w:pPr>
                  <w:r>
                    <w:rPr>
                      <w:rFonts w:hint="eastAsia" w:ascii="Times New Roman" w:hAnsi="Times New Roman"/>
                      <w:color w:val="000000" w:themeColor="text1"/>
                      <w:kern w:val="0"/>
                      <w:szCs w:val="21"/>
                      <w:highlight w:val="none"/>
                      <w14:textFill>
                        <w14:solidFill>
                          <w14:schemeClr w14:val="tx1"/>
                        </w14:solidFill>
                      </w14:textFill>
                    </w:rPr>
                    <w:t>第十九条：产生工业固体废物的单位，应当按照国家规定依法取得排污许可、实施清洁生产审核，建立健全固体废物产生、收集、贮存、运输、利用、处置全过程污染环境防治责任和台账管理制度，如实记录固体废物的种类、数量、流向、贮存、利用、处置等信息，实现可追溯、可查询，并采取防扬散、防流失、防渗漏或者其他防止污染环境的措施。禁止向生活垃圾收集设施中投放工业固体废物</w:t>
                  </w:r>
                  <w:r>
                    <w:rPr>
                      <w:rFonts w:hint="eastAsia" w:ascii="Times New Roman" w:hAnsi="Times New Roman"/>
                      <w:color w:val="000000" w:themeColor="text1"/>
                      <w:kern w:val="0"/>
                      <w:szCs w:val="21"/>
                      <w:highlight w:val="none"/>
                      <w:lang w:eastAsia="zh-CN"/>
                      <w14:textFill>
                        <w14:solidFill>
                          <w14:schemeClr w14:val="tx1"/>
                        </w14:solidFill>
                      </w14:textFill>
                    </w:rPr>
                    <w:t>。</w:t>
                  </w:r>
                </w:p>
              </w:tc>
              <w:tc>
                <w:tcPr>
                  <w:tcW w:w="1975" w:type="dxa"/>
                  <w:shd w:val="clear" w:color="auto" w:fill="auto"/>
                  <w:noWrap w:val="0"/>
                  <w:vAlign w:val="center"/>
                </w:tcPr>
                <w:p w14:paraId="59CAF09F">
                  <w:pPr>
                    <w:autoSpaceDE w:val="0"/>
                    <w:autoSpaceDN w:val="0"/>
                    <w:adjustRightInd w:val="0"/>
                    <w:snapToGrid w:val="0"/>
                    <w:spacing w:line="240" w:lineRule="auto"/>
                    <w:jc w:val="center"/>
                    <w:rPr>
                      <w:rFonts w:hint="eastAsia" w:ascii="Times New Roman" w:hAnsi="Times New Roman" w:eastAsia="宋体"/>
                      <w:color w:val="000000" w:themeColor="text1"/>
                      <w:kern w:val="0"/>
                      <w:szCs w:val="21"/>
                      <w:highlight w:val="none"/>
                      <w:lang w:eastAsia="zh-CN"/>
                      <w14:textFill>
                        <w14:solidFill>
                          <w14:schemeClr w14:val="tx1"/>
                        </w14:solidFill>
                      </w14:textFill>
                    </w:rPr>
                  </w:pPr>
                  <w:r>
                    <w:rPr>
                      <w:rFonts w:hint="eastAsia" w:ascii="Times New Roman" w:hAnsi="Times New Roman"/>
                      <w:color w:val="000000" w:themeColor="text1"/>
                      <w:kern w:val="0"/>
                      <w:szCs w:val="21"/>
                      <w:highlight w:val="none"/>
                      <w14:textFill>
                        <w14:solidFill>
                          <w14:schemeClr w14:val="tx1"/>
                        </w14:solidFill>
                      </w14:textFill>
                    </w:rPr>
                    <w:t>项目运营期严格落实排污许可事项、危废转移、处置事项</w:t>
                  </w:r>
                  <w:r>
                    <w:rPr>
                      <w:rFonts w:hint="eastAsia"/>
                      <w:color w:val="000000" w:themeColor="text1"/>
                      <w:kern w:val="0"/>
                      <w:szCs w:val="21"/>
                      <w:highlight w:val="none"/>
                      <w:lang w:eastAsia="zh-CN"/>
                      <w14:textFill>
                        <w14:solidFill>
                          <w14:schemeClr w14:val="tx1"/>
                        </w14:solidFill>
                      </w14:textFill>
                    </w:rPr>
                    <w:t>。</w:t>
                  </w:r>
                </w:p>
              </w:tc>
              <w:tc>
                <w:tcPr>
                  <w:tcW w:w="654" w:type="dxa"/>
                  <w:shd w:val="clear" w:color="auto" w:fill="auto"/>
                  <w:noWrap w:val="0"/>
                  <w:vAlign w:val="center"/>
                </w:tcPr>
                <w:p w14:paraId="77BD48BA">
                  <w:pPr>
                    <w:autoSpaceDE w:val="0"/>
                    <w:autoSpaceDN w:val="0"/>
                    <w:adjustRightInd w:val="0"/>
                    <w:snapToGrid w:val="0"/>
                    <w:spacing w:line="240" w:lineRule="auto"/>
                    <w:jc w:val="center"/>
                    <w:rPr>
                      <w:rFonts w:hint="eastAsia" w:ascii="Times New Roman" w:hAnsi="Times New Roman"/>
                      <w:color w:val="000000" w:themeColor="text1"/>
                      <w:kern w:val="0"/>
                      <w:szCs w:val="21"/>
                      <w:highlight w:val="none"/>
                      <w14:textFill>
                        <w14:solidFill>
                          <w14:schemeClr w14:val="tx1"/>
                        </w14:solidFill>
                      </w14:textFill>
                    </w:rPr>
                  </w:pPr>
                  <w:r>
                    <w:rPr>
                      <w:rFonts w:hint="eastAsia" w:ascii="Times New Roman" w:hAnsi="Times New Roman"/>
                      <w:color w:val="000000" w:themeColor="text1"/>
                      <w:kern w:val="0"/>
                      <w:szCs w:val="21"/>
                      <w:highlight w:val="none"/>
                      <w14:textFill>
                        <w14:solidFill>
                          <w14:schemeClr w14:val="tx1"/>
                        </w14:solidFill>
                      </w14:textFill>
                    </w:rPr>
                    <w:t>符合</w:t>
                  </w:r>
                </w:p>
              </w:tc>
            </w:tr>
            <w:tr w14:paraId="0AC9E0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83" w:type="dxa"/>
                  <w:vMerge w:val="continue"/>
                  <w:shd w:val="clear" w:color="auto" w:fill="auto"/>
                  <w:noWrap w:val="0"/>
                  <w:vAlign w:val="center"/>
                </w:tcPr>
                <w:p w14:paraId="66780BBE">
                  <w:pPr>
                    <w:autoSpaceDE w:val="0"/>
                    <w:autoSpaceDN w:val="0"/>
                    <w:adjustRightInd w:val="0"/>
                    <w:snapToGrid w:val="0"/>
                    <w:spacing w:line="240" w:lineRule="auto"/>
                    <w:jc w:val="center"/>
                    <w:rPr>
                      <w:rFonts w:ascii="Times New Roman" w:hAnsi="Times New Roman"/>
                      <w:color w:val="000000" w:themeColor="text1"/>
                      <w:kern w:val="0"/>
                      <w:szCs w:val="21"/>
                      <w:highlight w:val="none"/>
                      <w14:textFill>
                        <w14:solidFill>
                          <w14:schemeClr w14:val="tx1"/>
                        </w14:solidFill>
                      </w14:textFill>
                    </w:rPr>
                  </w:pPr>
                </w:p>
              </w:tc>
              <w:tc>
                <w:tcPr>
                  <w:tcW w:w="4385" w:type="dxa"/>
                  <w:shd w:val="clear" w:color="auto" w:fill="auto"/>
                  <w:noWrap w:val="0"/>
                  <w:vAlign w:val="center"/>
                </w:tcPr>
                <w:p w14:paraId="7D663E64">
                  <w:pPr>
                    <w:autoSpaceDE w:val="0"/>
                    <w:autoSpaceDN w:val="0"/>
                    <w:adjustRightInd w:val="0"/>
                    <w:snapToGrid w:val="0"/>
                    <w:spacing w:line="240" w:lineRule="auto"/>
                    <w:jc w:val="center"/>
                    <w:rPr>
                      <w:rFonts w:hint="eastAsia" w:ascii="Times New Roman" w:hAnsi="Times New Roman" w:eastAsia="宋体"/>
                      <w:color w:val="000000" w:themeColor="text1"/>
                      <w:kern w:val="0"/>
                      <w:szCs w:val="21"/>
                      <w:highlight w:val="none"/>
                      <w:lang w:eastAsia="zh-CN"/>
                      <w14:textFill>
                        <w14:solidFill>
                          <w14:schemeClr w14:val="tx1"/>
                        </w14:solidFill>
                      </w14:textFill>
                    </w:rPr>
                  </w:pPr>
                  <w:r>
                    <w:rPr>
                      <w:rFonts w:hint="eastAsia" w:ascii="Times New Roman" w:hAnsi="Times New Roman"/>
                      <w:color w:val="000000" w:themeColor="text1"/>
                      <w:kern w:val="0"/>
                      <w:szCs w:val="21"/>
                      <w:highlight w:val="none"/>
                      <w14:textFill>
                        <w14:solidFill>
                          <w14:schemeClr w14:val="tx1"/>
                        </w14:solidFill>
                      </w14:textFill>
                    </w:rPr>
                    <w:t>第二十一条：产生工业固体废物的单位应当根据经济、技术条件对工业固体废物加以利用。对暂时不利用或者不能利用的，应当按照国家规定和环境保护标准采取安全防护措施进行分类存放，或者采取无害化处置措施</w:t>
                  </w:r>
                  <w:r>
                    <w:rPr>
                      <w:rFonts w:hint="eastAsia" w:ascii="Times New Roman" w:hAnsi="Times New Roman"/>
                      <w:color w:val="000000" w:themeColor="text1"/>
                      <w:kern w:val="0"/>
                      <w:szCs w:val="21"/>
                      <w:highlight w:val="none"/>
                      <w:lang w:eastAsia="zh-CN"/>
                      <w14:textFill>
                        <w14:solidFill>
                          <w14:schemeClr w14:val="tx1"/>
                        </w14:solidFill>
                      </w14:textFill>
                    </w:rPr>
                    <w:t>。</w:t>
                  </w:r>
                </w:p>
              </w:tc>
              <w:tc>
                <w:tcPr>
                  <w:tcW w:w="1975" w:type="dxa"/>
                  <w:shd w:val="clear" w:color="auto" w:fill="auto"/>
                  <w:noWrap w:val="0"/>
                  <w:vAlign w:val="center"/>
                </w:tcPr>
                <w:p w14:paraId="1001115A">
                  <w:pPr>
                    <w:autoSpaceDE w:val="0"/>
                    <w:autoSpaceDN w:val="0"/>
                    <w:adjustRightInd w:val="0"/>
                    <w:snapToGrid w:val="0"/>
                    <w:spacing w:line="240" w:lineRule="auto"/>
                    <w:jc w:val="center"/>
                    <w:rPr>
                      <w:rFonts w:hint="eastAsia" w:ascii="Times New Roman" w:hAnsi="Times New Roman" w:eastAsia="宋体"/>
                      <w:color w:val="000000" w:themeColor="text1"/>
                      <w:kern w:val="0"/>
                      <w:szCs w:val="21"/>
                      <w:highlight w:val="none"/>
                      <w:lang w:eastAsia="zh-CN"/>
                      <w14:textFill>
                        <w14:solidFill>
                          <w14:schemeClr w14:val="tx1"/>
                        </w14:solidFill>
                      </w14:textFill>
                    </w:rPr>
                  </w:pPr>
                  <w:r>
                    <w:rPr>
                      <w:rFonts w:hint="eastAsia" w:ascii="Times New Roman" w:hAnsi="Times New Roman"/>
                      <w:color w:val="000000" w:themeColor="text1"/>
                      <w:kern w:val="0"/>
                      <w:szCs w:val="21"/>
                      <w:highlight w:val="none"/>
                      <w14:textFill>
                        <w14:solidFill>
                          <w14:schemeClr w14:val="tx1"/>
                        </w14:solidFill>
                      </w14:textFill>
                    </w:rPr>
                    <w:t>项目运营期固废采取分类收集处置</w:t>
                  </w:r>
                  <w:r>
                    <w:rPr>
                      <w:rFonts w:hint="eastAsia"/>
                      <w:color w:val="000000" w:themeColor="text1"/>
                      <w:kern w:val="0"/>
                      <w:szCs w:val="21"/>
                      <w:highlight w:val="none"/>
                      <w:lang w:eastAsia="zh-CN"/>
                      <w14:textFill>
                        <w14:solidFill>
                          <w14:schemeClr w14:val="tx1"/>
                        </w14:solidFill>
                      </w14:textFill>
                    </w:rPr>
                    <w:t>。</w:t>
                  </w:r>
                </w:p>
              </w:tc>
              <w:tc>
                <w:tcPr>
                  <w:tcW w:w="654" w:type="dxa"/>
                  <w:shd w:val="clear" w:color="auto" w:fill="auto"/>
                  <w:noWrap w:val="0"/>
                  <w:vAlign w:val="center"/>
                </w:tcPr>
                <w:p w14:paraId="2CEF9D33">
                  <w:pPr>
                    <w:autoSpaceDE w:val="0"/>
                    <w:autoSpaceDN w:val="0"/>
                    <w:adjustRightInd w:val="0"/>
                    <w:snapToGrid w:val="0"/>
                    <w:spacing w:line="240" w:lineRule="auto"/>
                    <w:jc w:val="center"/>
                    <w:rPr>
                      <w:rFonts w:hint="eastAsia" w:ascii="Times New Roman" w:hAnsi="Times New Roman"/>
                      <w:color w:val="000000" w:themeColor="text1"/>
                      <w:kern w:val="0"/>
                      <w:szCs w:val="21"/>
                      <w:highlight w:val="none"/>
                      <w14:textFill>
                        <w14:solidFill>
                          <w14:schemeClr w14:val="tx1"/>
                        </w14:solidFill>
                      </w14:textFill>
                    </w:rPr>
                  </w:pPr>
                  <w:r>
                    <w:rPr>
                      <w:rFonts w:hint="eastAsia" w:ascii="Times New Roman" w:hAnsi="Times New Roman"/>
                      <w:color w:val="000000" w:themeColor="text1"/>
                      <w:kern w:val="0"/>
                      <w:szCs w:val="21"/>
                      <w:highlight w:val="none"/>
                      <w14:textFill>
                        <w14:solidFill>
                          <w14:schemeClr w14:val="tx1"/>
                        </w14:solidFill>
                      </w14:textFill>
                    </w:rPr>
                    <w:t>符合</w:t>
                  </w:r>
                </w:p>
              </w:tc>
            </w:tr>
          </w:tbl>
          <w:p w14:paraId="11587366">
            <w:pPr>
              <w:pStyle w:val="66"/>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b/>
                <w:bCs/>
                <w:color w:val="000000" w:themeColor="text1"/>
                <w14:textFill>
                  <w14:solidFill>
                    <w14:schemeClr w14:val="tx1"/>
                  </w14:solidFill>
                </w14:textFill>
              </w:rPr>
            </w:pPr>
            <w:r>
              <w:rPr>
                <w:rFonts w:hint="eastAsia" w:ascii="Times New Roman" w:hAnsi="Times New Roman" w:eastAsia="宋体" w:cs="Times New Roman"/>
                <w:color w:val="000000" w:themeColor="text1"/>
                <w:sz w:val="24"/>
                <w:lang w:val="en-US" w:eastAsia="zh-CN"/>
                <w14:textFill>
                  <w14:solidFill>
                    <w14:schemeClr w14:val="tx1"/>
                  </w14:solidFill>
                </w14:textFill>
              </w:rPr>
              <w:t>综上，本项目</w:t>
            </w:r>
            <w:r>
              <w:rPr>
                <w:rFonts w:hint="default" w:ascii="Times New Roman" w:hAnsi="Times New Roman" w:eastAsia="宋体" w:cs="Times New Roman"/>
                <w:color w:val="000000" w:themeColor="text1"/>
                <w:sz w:val="24"/>
                <w14:textFill>
                  <w14:solidFill>
                    <w14:schemeClr w14:val="tx1"/>
                  </w14:solidFill>
                </w14:textFill>
              </w:rPr>
              <w:t>与</w:t>
            </w:r>
            <w:r>
              <w:rPr>
                <w:rFonts w:hint="eastAsia" w:ascii="Times New Roman" w:hAnsi="Times New Roman" w:eastAsia="宋体" w:cs="Times New Roman"/>
                <w:color w:val="000000" w:themeColor="text1"/>
                <w:sz w:val="24"/>
                <w:lang w:val="en-US" w:eastAsia="zh-CN"/>
                <w14:textFill>
                  <w14:solidFill>
                    <w14:schemeClr w14:val="tx1"/>
                  </w14:solidFill>
                </w14:textFill>
              </w:rPr>
              <w:t>固体废弃物</w:t>
            </w:r>
            <w:r>
              <w:rPr>
                <w:rFonts w:hint="default" w:ascii="Times New Roman" w:hAnsi="Times New Roman" w:eastAsia="宋体" w:cs="Times New Roman"/>
                <w:color w:val="000000" w:themeColor="text1"/>
                <w:sz w:val="24"/>
                <w14:textFill>
                  <w14:solidFill>
                    <w14:schemeClr w14:val="tx1"/>
                  </w14:solidFill>
                </w14:textFill>
              </w:rPr>
              <w:t>防治相关法规、规范</w:t>
            </w:r>
            <w:r>
              <w:rPr>
                <w:rFonts w:hint="eastAsia" w:ascii="Times New Roman" w:hAnsi="Times New Roman" w:eastAsia="宋体" w:cs="Times New Roman"/>
                <w:color w:val="000000" w:themeColor="text1"/>
                <w:sz w:val="24"/>
                <w:lang w:val="en-US" w:eastAsia="zh-CN"/>
                <w14:textFill>
                  <w14:solidFill>
                    <w14:schemeClr w14:val="tx1"/>
                  </w14:solidFill>
                </w14:textFill>
              </w:rPr>
              <w:t>相符合。</w:t>
            </w:r>
          </w:p>
          <w:p w14:paraId="62ABFBD1">
            <w:pPr>
              <w:pStyle w:val="66"/>
              <w:keepNext w:val="0"/>
              <w:keepLines w:val="0"/>
              <w:pageBreakBefore w:val="0"/>
              <w:widowControl w:val="0"/>
              <w:kinsoku/>
              <w:wordWrap/>
              <w:overflowPunct/>
              <w:topLinePunct w:val="0"/>
              <w:autoSpaceDE w:val="0"/>
              <w:autoSpaceDN w:val="0"/>
              <w:bidi w:val="0"/>
              <w:adjustRightInd w:val="0"/>
              <w:snapToGrid w:val="0"/>
              <w:spacing w:line="360" w:lineRule="auto"/>
              <w:ind w:firstLine="482" w:firstLineChars="200"/>
              <w:textAlignment w:val="auto"/>
              <w:rPr>
                <w:rFonts w:hint="eastAsia"/>
                <w:b/>
                <w:bCs/>
                <w:color w:val="000000" w:themeColor="text1"/>
                <w14:textFill>
                  <w14:solidFill>
                    <w14:schemeClr w14:val="tx1"/>
                  </w14:solidFill>
                </w14:textFill>
              </w:rPr>
            </w:pPr>
            <w:r>
              <w:rPr>
                <w:rFonts w:hint="eastAsia"/>
                <w:b/>
                <w:bCs/>
                <w:color w:val="000000" w:themeColor="text1"/>
                <w:lang w:val="en-US" w:eastAsia="zh-CN"/>
                <w14:textFill>
                  <w14:solidFill>
                    <w14:schemeClr w14:val="tx1"/>
                  </w14:solidFill>
                </w14:textFill>
              </w:rPr>
              <w:t>8、</w:t>
            </w:r>
            <w:r>
              <w:rPr>
                <w:rFonts w:hint="eastAsia"/>
                <w:b/>
                <w:bCs/>
                <w:color w:val="000000" w:themeColor="text1"/>
                <w14:textFill>
                  <w14:solidFill>
                    <w14:schemeClr w14:val="tx1"/>
                  </w14:solidFill>
                </w14:textFill>
              </w:rPr>
              <w:t>与《四川省、重庆市长江经济带发展负面清单实施细则（试行，2022年版）》（川长江办〔2022〕17号）的符合性分析</w:t>
            </w:r>
          </w:p>
          <w:p w14:paraId="0E5F16DB">
            <w:pPr>
              <w:pStyle w:val="66"/>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eastAsia="宋体"/>
                <w:b/>
                <w:bCs/>
                <w:color w:val="000000" w:themeColor="text1"/>
                <w:lang w:eastAsia="zh-CN"/>
                <w14:textFill>
                  <w14:solidFill>
                    <w14:schemeClr w14:val="tx1"/>
                  </w14:solidFill>
                </w14:textFill>
              </w:rPr>
            </w:pPr>
            <w:r>
              <w:rPr>
                <w:color w:val="000000" w:themeColor="text1"/>
                <w14:textFill>
                  <w14:solidFill>
                    <w14:schemeClr w14:val="tx1"/>
                  </w14:solidFill>
                </w14:textFill>
              </w:rPr>
              <w:t>本</w:t>
            </w:r>
            <w:r>
              <w:rPr>
                <w:rFonts w:hint="default" w:ascii="Times New Roman" w:hAnsi="Times New Roman" w:eastAsia="宋体" w:cs="Times New Roman"/>
                <w:b w:val="0"/>
                <w:bCs w:val="0"/>
                <w:color w:val="000000" w:themeColor="text1"/>
                <w:sz w:val="24"/>
                <w14:textFill>
                  <w14:solidFill>
                    <w14:schemeClr w14:val="tx1"/>
                  </w14:solidFill>
                </w14:textFill>
              </w:rPr>
              <w:t>项</w:t>
            </w:r>
            <w:r>
              <w:rPr>
                <w:rFonts w:hint="default" w:ascii="Times New Roman" w:hAnsi="Times New Roman" w:cs="Times New Roman"/>
                <w:b w:val="0"/>
                <w:bCs w:val="0"/>
                <w:color w:val="000000" w:themeColor="text1"/>
                <w:sz w:val="24"/>
                <w14:textFill>
                  <w14:solidFill>
                    <w14:schemeClr w14:val="tx1"/>
                  </w14:solidFill>
                </w14:textFill>
              </w:rPr>
              <w:t>目</w:t>
            </w:r>
            <w:r>
              <w:rPr>
                <w:rFonts w:hint="eastAsia" w:ascii="Times New Roman" w:hAnsi="Times New Roman" w:cs="Times New Roman"/>
                <w:b w:val="0"/>
                <w:bCs w:val="0"/>
                <w:color w:val="000000" w:themeColor="text1"/>
                <w:sz w:val="24"/>
                <w14:textFill>
                  <w14:solidFill>
                    <w14:schemeClr w14:val="tx1"/>
                  </w14:solidFill>
                </w14:textFill>
              </w:rPr>
              <w:t>与《四川省、重庆市长江经济带发展负面清单实施细则（试行，2022年版）》（川长江办〔2022〕17号）</w:t>
            </w:r>
            <w:r>
              <w:rPr>
                <w:rFonts w:hint="default" w:ascii="Times New Roman" w:hAnsi="Times New Roman" w:cs="Times New Roman"/>
                <w:b w:val="0"/>
                <w:bCs w:val="0"/>
                <w:color w:val="000000" w:themeColor="text1"/>
                <w:sz w:val="24"/>
                <w14:textFill>
                  <w14:solidFill>
                    <w14:schemeClr w14:val="tx1"/>
                  </w14:solidFill>
                </w14:textFill>
              </w:rPr>
              <w:t>符合性</w:t>
            </w:r>
            <w:r>
              <w:rPr>
                <w:rFonts w:hint="default" w:ascii="Times New Roman" w:hAnsi="Times New Roman" w:cs="Times New Roman"/>
                <w:color w:val="000000" w:themeColor="text1"/>
                <w:sz w:val="24"/>
                <w14:textFill>
                  <w14:solidFill>
                    <w14:schemeClr w14:val="tx1"/>
                  </w14:solidFill>
                </w14:textFill>
              </w:rPr>
              <w:t>分析</w:t>
            </w:r>
            <w:r>
              <w:rPr>
                <w:rFonts w:hint="default" w:ascii="Times New Roman" w:hAnsi="Times New Roman" w:cs="Times New Roman"/>
                <w:color w:val="000000" w:themeColor="text1"/>
                <w:sz w:val="24"/>
                <w:lang w:eastAsia="zh-CN"/>
                <w14:textFill>
                  <w14:solidFill>
                    <w14:schemeClr w14:val="tx1"/>
                  </w14:solidFill>
                </w14:textFill>
              </w:rPr>
              <w:t>见下</w:t>
            </w:r>
            <w:r>
              <w:rPr>
                <w:rFonts w:hint="default" w:ascii="Times New Roman" w:hAnsi="Times New Roman" w:cs="Times New Roman"/>
                <w:color w:val="000000" w:themeColor="text1"/>
                <w:sz w:val="24"/>
                <w14:textFill>
                  <w14:solidFill>
                    <w14:schemeClr w14:val="tx1"/>
                  </w14:solidFill>
                </w14:textFill>
              </w:rPr>
              <w:t>表所示</w:t>
            </w:r>
            <w:r>
              <w:rPr>
                <w:rFonts w:hint="eastAsia" w:cs="Times New Roman"/>
                <w:color w:val="000000" w:themeColor="text1"/>
                <w:sz w:val="24"/>
                <w:lang w:eastAsia="zh-CN"/>
                <w14:textFill>
                  <w14:solidFill>
                    <w14:schemeClr w14:val="tx1"/>
                  </w14:solidFill>
                </w14:textFill>
              </w:rPr>
              <w:t>：</w:t>
            </w:r>
          </w:p>
          <w:p w14:paraId="48B21DA8">
            <w:pPr>
              <w:pStyle w:val="68"/>
              <w:rPr>
                <w:rFonts w:hint="eastAsia" w:ascii="Times New Roman" w:hAnsi="Times New Roman" w:eastAsia="宋体" w:cs="Times New Roman"/>
                <w:b/>
                <w:bCs/>
                <w:color w:val="000000" w:themeColor="text1"/>
                <w14:textFill>
                  <w14:solidFill>
                    <w14:schemeClr w14:val="tx1"/>
                  </w14:solidFill>
                </w14:textFill>
              </w:rPr>
            </w:pPr>
            <w:r>
              <w:rPr>
                <w:rFonts w:hint="eastAsia" w:ascii="Times New Roman" w:hAnsi="Times New Roman" w:eastAsia="宋体" w:cs="Times New Roman"/>
                <w:b/>
                <w:bCs/>
                <w:color w:val="000000" w:themeColor="text1"/>
                <w14:textFill>
                  <w14:solidFill>
                    <w14:schemeClr w14:val="tx1"/>
                  </w14:solidFill>
                </w14:textFill>
              </w:rPr>
              <w:t>表1-</w:t>
            </w:r>
            <w:r>
              <w:rPr>
                <w:rFonts w:hint="eastAsia" w:eastAsia="宋体" w:cs="Times New Roman"/>
                <w:b/>
                <w:bCs/>
                <w:color w:val="000000" w:themeColor="text1"/>
                <w:lang w:val="en-US" w:eastAsia="zh-CN"/>
                <w14:textFill>
                  <w14:solidFill>
                    <w14:schemeClr w14:val="tx1"/>
                  </w14:solidFill>
                </w14:textFill>
              </w:rPr>
              <w:t>13</w:t>
            </w:r>
            <w:r>
              <w:rPr>
                <w:rFonts w:hint="eastAsia" w:ascii="Times New Roman" w:hAnsi="Times New Roman" w:eastAsia="宋体" w:cs="Times New Roman"/>
                <w:b/>
                <w:bCs/>
                <w:color w:val="000000" w:themeColor="text1"/>
                <w14:textFill>
                  <w14:solidFill>
                    <w14:schemeClr w14:val="tx1"/>
                  </w14:solidFill>
                </w14:textFill>
              </w:rPr>
              <w:t xml:space="preserve">  项目与《四川省、重庆市长江经济带发展负面清单实施细则（试行，2022年版）》（川长江办〔2022〕17号）的符合性</w:t>
            </w:r>
          </w:p>
          <w:tbl>
            <w:tblPr>
              <w:tblStyle w:val="41"/>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57" w:type="dxa"/>
                <w:bottom w:w="0" w:type="dxa"/>
                <w:right w:w="57" w:type="dxa"/>
              </w:tblCellMar>
            </w:tblPr>
            <w:tblGrid>
              <w:gridCol w:w="5870"/>
              <w:gridCol w:w="1585"/>
              <w:gridCol w:w="569"/>
            </w:tblGrid>
            <w:tr w14:paraId="2A034E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5870" w:type="dxa"/>
                  <w:shd w:val="clear" w:color="auto" w:fill="auto"/>
                  <w:vAlign w:val="center"/>
                </w:tcPr>
                <w:p w14:paraId="441B733A">
                  <w:pPr>
                    <w:pStyle w:val="70"/>
                    <w:spacing w:line="240" w:lineRule="auto"/>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color w:val="000000" w:themeColor="text1"/>
                      <w:sz w:val="21"/>
                      <w:szCs w:val="21"/>
                      <w:lang w:val="en-US" w:eastAsia="zh-CN"/>
                      <w14:textFill>
                        <w14:solidFill>
                          <w14:schemeClr w14:val="tx1"/>
                        </w14:solidFill>
                      </w14:textFill>
                    </w:rPr>
                    <w:t>川长江办〔2022〕17号</w:t>
                  </w: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要求</w:t>
                  </w:r>
                </w:p>
              </w:tc>
              <w:tc>
                <w:tcPr>
                  <w:tcW w:w="1585" w:type="dxa"/>
                  <w:shd w:val="clear" w:color="auto" w:fill="auto"/>
                  <w:vAlign w:val="center"/>
                </w:tcPr>
                <w:p w14:paraId="4EB32739">
                  <w:pPr>
                    <w:pStyle w:val="70"/>
                    <w:spacing w:line="240" w:lineRule="auto"/>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本项目情况</w:t>
                  </w:r>
                </w:p>
              </w:tc>
              <w:tc>
                <w:tcPr>
                  <w:tcW w:w="569" w:type="dxa"/>
                  <w:shd w:val="clear" w:color="auto" w:fill="auto"/>
                  <w:vAlign w:val="center"/>
                </w:tcPr>
                <w:p w14:paraId="2590D70D">
                  <w:pPr>
                    <w:pStyle w:val="70"/>
                    <w:spacing w:line="240" w:lineRule="auto"/>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符合性</w:t>
                  </w:r>
                </w:p>
              </w:tc>
            </w:tr>
            <w:tr w14:paraId="5549B6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5870" w:type="dxa"/>
                  <w:shd w:val="clear" w:color="auto" w:fill="auto"/>
                  <w:vAlign w:val="center"/>
                </w:tcPr>
                <w:p w14:paraId="0D5FA830">
                  <w:pPr>
                    <w:pStyle w:val="70"/>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 xml:space="preserve">第五条 </w:t>
                  </w:r>
                  <w:r>
                    <w:rPr>
                      <w:rFonts w:hint="default" w:ascii="Times New Roman" w:hAnsi="Times New Roman" w:eastAsia="宋体" w:cs="Times New Roman"/>
                      <w:color w:val="000000" w:themeColor="text1"/>
                      <w:sz w:val="21"/>
                      <w:szCs w:val="21"/>
                      <w14:textFill>
                        <w14:solidFill>
                          <w14:schemeClr w14:val="tx1"/>
                        </w14:solidFill>
                      </w14:textFill>
                    </w:rPr>
                    <w:t>禁止新建、改建和扩建不符合全国港口布局规划，以及</w:t>
                  </w:r>
                  <w:r>
                    <w:rPr>
                      <w:rFonts w:hint="eastAsia" w:ascii="Times New Roman" w:hAnsi="Times New Roman" w:eastAsia="宋体" w:cs="Times New Roman"/>
                      <w:color w:val="000000" w:themeColor="text1"/>
                      <w:sz w:val="21"/>
                      <w:szCs w:val="21"/>
                      <w14:textFill>
                        <w14:solidFill>
                          <w14:schemeClr w14:val="tx1"/>
                        </w14:solidFill>
                      </w14:textFill>
                    </w:rPr>
                    <w:t>《四川省</w:t>
                  </w:r>
                  <w:r>
                    <w:rPr>
                      <w:rFonts w:hint="default" w:ascii="Times New Roman" w:hAnsi="Times New Roman" w:eastAsia="宋体" w:cs="Times New Roman"/>
                      <w:color w:val="000000" w:themeColor="text1"/>
                      <w:sz w:val="21"/>
                      <w:szCs w:val="21"/>
                      <w14:textFill>
                        <w14:solidFill>
                          <w14:schemeClr w14:val="tx1"/>
                        </w14:solidFill>
                      </w14:textFill>
                    </w:rPr>
                    <w:t>内河水运发展规划</w:t>
                  </w:r>
                  <w:r>
                    <w:rPr>
                      <w:rFonts w:hint="eastAsia" w:ascii="Times New Roman" w:hAnsi="Times New Roman" w:eastAsia="宋体" w:cs="Times New Roman"/>
                      <w:color w:val="000000" w:themeColor="text1"/>
                      <w:sz w:val="21"/>
                      <w:szCs w:val="21"/>
                      <w14:textFill>
                        <w14:solidFill>
                          <w14:schemeClr w14:val="tx1"/>
                        </w14:solidFill>
                      </w14:textFill>
                    </w:rPr>
                    <w:t>》《泸州-宜宾-乐山港</w:t>
                  </w:r>
                  <w:r>
                    <w:rPr>
                      <w:rFonts w:hint="default" w:ascii="Times New Roman" w:hAnsi="Times New Roman" w:eastAsia="宋体" w:cs="Times New Roman"/>
                      <w:color w:val="000000" w:themeColor="text1"/>
                      <w:sz w:val="21"/>
                      <w:szCs w:val="21"/>
                      <w14:textFill>
                        <w14:solidFill>
                          <w14:schemeClr w14:val="tx1"/>
                        </w14:solidFill>
                      </w14:textFill>
                    </w:rPr>
                    <w:t>口群布局规划</w:t>
                  </w:r>
                  <w:r>
                    <w:rPr>
                      <w:rFonts w:hint="eastAsia" w:ascii="Times New Roman" w:hAnsi="Times New Roman" w:eastAsia="宋体" w:cs="Times New Roman"/>
                      <w:color w:val="000000" w:themeColor="text1"/>
                      <w:sz w:val="21"/>
                      <w:szCs w:val="21"/>
                      <w14:textFill>
                        <w14:solidFill>
                          <w14:schemeClr w14:val="tx1"/>
                        </w14:solidFill>
                      </w14:textFill>
                    </w:rPr>
                    <w:t>》《</w:t>
                  </w:r>
                  <w:r>
                    <w:rPr>
                      <w:rFonts w:hint="default" w:ascii="Times New Roman" w:hAnsi="Times New Roman" w:eastAsia="宋体" w:cs="Times New Roman"/>
                      <w:color w:val="000000" w:themeColor="text1"/>
                      <w:sz w:val="21"/>
                      <w:szCs w:val="21"/>
                      <w14:textFill>
                        <w14:solidFill>
                          <w14:schemeClr w14:val="tx1"/>
                        </w14:solidFill>
                      </w14:textFill>
                    </w:rPr>
                    <w:t>重庆港总体规划</w:t>
                  </w:r>
                  <w:r>
                    <w:rPr>
                      <w:rFonts w:hint="eastAsia" w:ascii="Times New Roman" w:hAnsi="Times New Roman" w:eastAsia="宋体" w:cs="Times New Roman"/>
                      <w:color w:val="000000" w:themeColor="text1"/>
                      <w:sz w:val="21"/>
                      <w:szCs w:val="21"/>
                      <w14:textFill>
                        <w14:solidFill>
                          <w14:schemeClr w14:val="tx1"/>
                        </w14:solidFill>
                      </w14:textFill>
                    </w:rPr>
                    <w:t>（</w:t>
                  </w:r>
                  <w:r>
                    <w:rPr>
                      <w:rFonts w:hint="default" w:ascii="Times New Roman" w:hAnsi="Times New Roman" w:eastAsia="宋体" w:cs="Times New Roman"/>
                      <w:color w:val="000000" w:themeColor="text1"/>
                      <w:sz w:val="21"/>
                      <w:szCs w:val="21"/>
                      <w14:textFill>
                        <w14:solidFill>
                          <w14:schemeClr w14:val="tx1"/>
                        </w14:solidFill>
                      </w14:textFill>
                    </w:rPr>
                    <w:t>2035</w:t>
                  </w:r>
                  <w:r>
                    <w:rPr>
                      <w:rFonts w:hint="eastAsia" w:ascii="Times New Roman" w:hAnsi="Times New Roman" w:eastAsia="宋体" w:cs="Times New Roman"/>
                      <w:color w:val="000000" w:themeColor="text1"/>
                      <w:sz w:val="21"/>
                      <w:szCs w:val="21"/>
                      <w14:textFill>
                        <w14:solidFill>
                          <w14:schemeClr w14:val="tx1"/>
                        </w14:solidFill>
                      </w14:textFill>
                    </w:rPr>
                    <w:t>）》</w:t>
                  </w:r>
                  <w:r>
                    <w:rPr>
                      <w:rFonts w:hint="default" w:ascii="Times New Roman" w:hAnsi="Times New Roman" w:eastAsia="宋体" w:cs="Times New Roman"/>
                      <w:color w:val="000000" w:themeColor="text1"/>
                      <w:sz w:val="21"/>
                      <w:szCs w:val="21"/>
                      <w14:textFill>
                        <w14:solidFill>
                          <w14:schemeClr w14:val="tx1"/>
                        </w14:solidFill>
                      </w14:textFill>
                    </w:rPr>
                    <w:t>等省级港口布局规划</w:t>
                  </w:r>
                  <w:r>
                    <w:rPr>
                      <w:rFonts w:hint="eastAsia" w:ascii="Times New Roman" w:hAnsi="Times New Roman" w:eastAsia="宋体" w:cs="Times New Roman"/>
                      <w:color w:val="000000" w:themeColor="text1"/>
                      <w:sz w:val="21"/>
                      <w:szCs w:val="21"/>
                      <w14:textFill>
                        <w14:solidFill>
                          <w14:schemeClr w14:val="tx1"/>
                        </w14:solidFill>
                      </w14:textFill>
                    </w:rPr>
                    <w:t>及</w:t>
                  </w:r>
                  <w:r>
                    <w:rPr>
                      <w:rFonts w:hint="default" w:ascii="Times New Roman" w:hAnsi="Times New Roman" w:eastAsia="宋体" w:cs="Times New Roman"/>
                      <w:color w:val="000000" w:themeColor="text1"/>
                      <w:sz w:val="21"/>
                      <w:szCs w:val="21"/>
                      <w14:textFill>
                        <w14:solidFill>
                          <w14:schemeClr w14:val="tx1"/>
                        </w14:solidFill>
                      </w14:textFill>
                    </w:rPr>
                    <w:t>市级港口总体规划的码头项目。</w:t>
                  </w:r>
                </w:p>
              </w:tc>
              <w:tc>
                <w:tcPr>
                  <w:tcW w:w="1585" w:type="dxa"/>
                  <w:shd w:val="clear" w:color="auto" w:fill="auto"/>
                  <w:vAlign w:val="center"/>
                </w:tcPr>
                <w:p w14:paraId="0145CD8A">
                  <w:pPr>
                    <w:pStyle w:val="7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不涉及</w:t>
                  </w:r>
                </w:p>
              </w:tc>
              <w:tc>
                <w:tcPr>
                  <w:tcW w:w="569" w:type="dxa"/>
                  <w:shd w:val="clear" w:color="auto" w:fill="auto"/>
                  <w:vAlign w:val="center"/>
                </w:tcPr>
                <w:p w14:paraId="626F90BC">
                  <w:pPr>
                    <w:pStyle w:val="7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w:t>
                  </w:r>
                </w:p>
              </w:tc>
            </w:tr>
            <w:tr w14:paraId="22411C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5870" w:type="dxa"/>
                  <w:shd w:val="clear" w:color="auto" w:fill="auto"/>
                  <w:vAlign w:val="center"/>
                </w:tcPr>
                <w:p w14:paraId="49132EBB">
                  <w:pPr>
                    <w:pStyle w:val="70"/>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第六条</w:t>
                  </w:r>
                  <w:r>
                    <w:rPr>
                      <w:rFonts w:hint="eastAsia" w:ascii="Times New Roman" w:hAnsi="Times New Roman" w:eastAsia="宋体" w:cs="Times New Roman"/>
                      <w:color w:val="000000" w:themeColor="text1"/>
                      <w:sz w:val="21"/>
                      <w:szCs w:val="21"/>
                      <w14:textFill>
                        <w14:solidFill>
                          <w14:schemeClr w14:val="tx1"/>
                        </w14:solidFill>
                      </w14:textFill>
                    </w:rPr>
                    <w:t xml:space="preserve"> </w:t>
                  </w:r>
                  <w:r>
                    <w:rPr>
                      <w:rFonts w:hint="default" w:ascii="Times New Roman" w:hAnsi="Times New Roman" w:eastAsia="宋体" w:cs="Times New Roman"/>
                      <w:color w:val="000000" w:themeColor="text1"/>
                      <w:sz w:val="21"/>
                      <w:szCs w:val="21"/>
                      <w14:textFill>
                        <w14:solidFill>
                          <w14:schemeClr w14:val="tx1"/>
                        </w14:solidFill>
                      </w14:textFill>
                    </w:rPr>
                    <w:t>禁止新建改建和扩建不符合《长江干线过江通道布局规划</w:t>
                  </w:r>
                  <w:r>
                    <w:rPr>
                      <w:rFonts w:hint="eastAsia" w:ascii="Times New Roman" w:hAnsi="Times New Roman" w:eastAsia="宋体" w:cs="Times New Roman"/>
                      <w:color w:val="000000" w:themeColor="text1"/>
                      <w:sz w:val="21"/>
                      <w:szCs w:val="21"/>
                      <w14:textFill>
                        <w14:solidFill>
                          <w14:schemeClr w14:val="tx1"/>
                        </w14:solidFill>
                      </w14:textFill>
                    </w:rPr>
                    <w:t>（2</w:t>
                  </w:r>
                  <w:r>
                    <w:rPr>
                      <w:rFonts w:hint="default" w:ascii="Times New Roman" w:hAnsi="Times New Roman" w:eastAsia="宋体" w:cs="Times New Roman"/>
                      <w:color w:val="000000" w:themeColor="text1"/>
                      <w:sz w:val="21"/>
                      <w:szCs w:val="21"/>
                      <w14:textFill>
                        <w14:solidFill>
                          <w14:schemeClr w14:val="tx1"/>
                        </w14:solidFill>
                      </w14:textFill>
                    </w:rPr>
                    <w:t>020-2035</w:t>
                  </w:r>
                  <w:r>
                    <w:rPr>
                      <w:rFonts w:hint="eastAsia" w:ascii="Times New Roman" w:hAnsi="Times New Roman" w:eastAsia="宋体" w:cs="Times New Roman"/>
                      <w:color w:val="000000" w:themeColor="text1"/>
                      <w:sz w:val="21"/>
                      <w:szCs w:val="21"/>
                      <w14:textFill>
                        <w14:solidFill>
                          <w14:schemeClr w14:val="tx1"/>
                        </w14:solidFill>
                      </w14:textFill>
                    </w:rPr>
                    <w:t>年）》</w:t>
                  </w:r>
                  <w:r>
                    <w:rPr>
                      <w:rFonts w:hint="default" w:ascii="Times New Roman" w:hAnsi="Times New Roman" w:eastAsia="宋体" w:cs="Times New Roman"/>
                      <w:color w:val="000000" w:themeColor="text1"/>
                      <w:sz w:val="21"/>
                      <w:szCs w:val="21"/>
                      <w14:textFill>
                        <w14:solidFill>
                          <w14:schemeClr w14:val="tx1"/>
                        </w14:solidFill>
                      </w14:textFill>
                    </w:rPr>
                    <w:t>的过长江通道项目</w:t>
                  </w:r>
                  <w:r>
                    <w:rPr>
                      <w:rFonts w:hint="eastAsia" w:ascii="Times New Roman" w:hAnsi="Times New Roman" w:eastAsia="宋体" w:cs="Times New Roman"/>
                      <w:color w:val="000000" w:themeColor="text1"/>
                      <w:sz w:val="21"/>
                      <w:szCs w:val="21"/>
                      <w14:textFill>
                        <w14:solidFill>
                          <w14:schemeClr w14:val="tx1"/>
                        </w14:solidFill>
                      </w14:textFill>
                    </w:rPr>
                    <w:t>（</w:t>
                  </w:r>
                  <w:r>
                    <w:rPr>
                      <w:rFonts w:hint="default" w:ascii="Times New Roman" w:hAnsi="Times New Roman" w:eastAsia="宋体" w:cs="Times New Roman"/>
                      <w:color w:val="000000" w:themeColor="text1"/>
                      <w:sz w:val="21"/>
                      <w:szCs w:val="21"/>
                      <w14:textFill>
                        <w14:solidFill>
                          <w14:schemeClr w14:val="tx1"/>
                        </w14:solidFill>
                      </w14:textFill>
                    </w:rPr>
                    <w:t>含桥梁、</w:t>
                  </w:r>
                  <w:r>
                    <w:rPr>
                      <w:rFonts w:hint="eastAsia" w:ascii="Times New Roman" w:hAnsi="Times New Roman" w:eastAsia="宋体" w:cs="Times New Roman"/>
                      <w:color w:val="000000" w:themeColor="text1"/>
                      <w:sz w:val="21"/>
                      <w:szCs w:val="21"/>
                      <w14:textFill>
                        <w14:solidFill>
                          <w14:schemeClr w14:val="tx1"/>
                        </w14:solidFill>
                      </w14:textFill>
                    </w:rPr>
                    <w:t>隧道）</w:t>
                  </w:r>
                  <w:r>
                    <w:rPr>
                      <w:rFonts w:hint="default" w:ascii="Times New Roman" w:hAnsi="Times New Roman" w:eastAsia="宋体" w:cs="Times New Roman"/>
                      <w:color w:val="000000" w:themeColor="text1"/>
                      <w:sz w:val="21"/>
                      <w:szCs w:val="21"/>
                      <w14:textFill>
                        <w14:solidFill>
                          <w14:schemeClr w14:val="tx1"/>
                        </w14:solidFill>
                      </w14:textFill>
                    </w:rPr>
                    <w:t>，国家发展改革委同意过长江通道线位调整的除外。</w:t>
                  </w:r>
                </w:p>
              </w:tc>
              <w:tc>
                <w:tcPr>
                  <w:tcW w:w="1585" w:type="dxa"/>
                  <w:shd w:val="clear" w:color="auto" w:fill="auto"/>
                  <w:vAlign w:val="center"/>
                </w:tcPr>
                <w:p w14:paraId="5B284C86">
                  <w:pPr>
                    <w:pStyle w:val="7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不涉及</w:t>
                  </w:r>
                </w:p>
              </w:tc>
              <w:tc>
                <w:tcPr>
                  <w:tcW w:w="569" w:type="dxa"/>
                  <w:shd w:val="clear" w:color="auto" w:fill="auto"/>
                  <w:vAlign w:val="center"/>
                </w:tcPr>
                <w:p w14:paraId="5283CFAA">
                  <w:pPr>
                    <w:pStyle w:val="7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w:t>
                  </w:r>
                </w:p>
              </w:tc>
            </w:tr>
            <w:tr w14:paraId="32429C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5870" w:type="dxa"/>
                  <w:shd w:val="clear" w:color="auto" w:fill="auto"/>
                  <w:vAlign w:val="center"/>
                </w:tcPr>
                <w:p w14:paraId="757FF6C3">
                  <w:pPr>
                    <w:pStyle w:val="70"/>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第七条</w:t>
                  </w:r>
                  <w:r>
                    <w:rPr>
                      <w:rFonts w:hint="eastAsia" w:ascii="Times New Roman" w:hAnsi="Times New Roman" w:eastAsia="宋体" w:cs="Times New Roman"/>
                      <w:color w:val="000000" w:themeColor="text1"/>
                      <w:sz w:val="21"/>
                      <w:szCs w:val="21"/>
                      <w14:textFill>
                        <w14:solidFill>
                          <w14:schemeClr w14:val="tx1"/>
                        </w14:solidFill>
                      </w14:textFill>
                    </w:rPr>
                    <w:t xml:space="preserve"> </w:t>
                  </w:r>
                  <w:r>
                    <w:rPr>
                      <w:rFonts w:hint="default" w:ascii="Times New Roman" w:hAnsi="Times New Roman" w:eastAsia="宋体" w:cs="Times New Roman"/>
                      <w:color w:val="000000" w:themeColor="text1"/>
                      <w:sz w:val="21"/>
                      <w:szCs w:val="21"/>
                      <w14:textFill>
                        <w14:solidFill>
                          <w14:schemeClr w14:val="tx1"/>
                        </w14:solidFill>
                      </w14:textFill>
                    </w:rPr>
                    <w:t>禁止在自然保护区核心区</w:t>
                  </w:r>
                  <w:r>
                    <w:rPr>
                      <w:rFonts w:hint="eastAsia" w:ascii="Times New Roman" w:hAnsi="Times New Roman" w:eastAsia="宋体" w:cs="Times New Roman"/>
                      <w:color w:val="000000" w:themeColor="text1"/>
                      <w:sz w:val="21"/>
                      <w:szCs w:val="21"/>
                      <w14:textFill>
                        <w14:solidFill>
                          <w14:schemeClr w14:val="tx1"/>
                        </w14:solidFill>
                      </w14:textFill>
                    </w:rPr>
                    <w:t>、</w:t>
                  </w:r>
                  <w:r>
                    <w:rPr>
                      <w:rFonts w:hint="default" w:ascii="Times New Roman" w:hAnsi="Times New Roman" w:eastAsia="宋体" w:cs="Times New Roman"/>
                      <w:color w:val="000000" w:themeColor="text1"/>
                      <w:sz w:val="21"/>
                      <w:szCs w:val="21"/>
                      <w14:textFill>
                        <w14:solidFill>
                          <w14:schemeClr w14:val="tx1"/>
                        </w14:solidFill>
                      </w14:textFill>
                    </w:rPr>
                    <w:t>缓冲区的岸线和河段范围内投资建设旅游和生产经营项目。自然保护区的内部未分区的依照核心区和缓冲区的规定管控。</w:t>
                  </w:r>
                </w:p>
              </w:tc>
              <w:tc>
                <w:tcPr>
                  <w:tcW w:w="1585" w:type="dxa"/>
                  <w:shd w:val="clear" w:color="auto" w:fill="auto"/>
                  <w:vAlign w:val="center"/>
                </w:tcPr>
                <w:p w14:paraId="548D05FC">
                  <w:pPr>
                    <w:pStyle w:val="7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不涉及</w:t>
                  </w:r>
                </w:p>
              </w:tc>
              <w:tc>
                <w:tcPr>
                  <w:tcW w:w="569" w:type="dxa"/>
                  <w:shd w:val="clear" w:color="auto" w:fill="auto"/>
                  <w:vAlign w:val="center"/>
                </w:tcPr>
                <w:p w14:paraId="3D0D430F">
                  <w:pPr>
                    <w:pStyle w:val="7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w:t>
                  </w:r>
                </w:p>
              </w:tc>
            </w:tr>
            <w:tr w14:paraId="4B5FD3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5870" w:type="dxa"/>
                  <w:shd w:val="clear" w:color="auto" w:fill="auto"/>
                  <w:vAlign w:val="center"/>
                </w:tcPr>
                <w:p w14:paraId="6E1E6561">
                  <w:pPr>
                    <w:pStyle w:val="70"/>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第八条 禁止违反风景名胜区规划，在风景名胜区内设立各类开发区。禁止在风景名胜区核心景区的岸线和河段范围内建设宾馆、招待所、培训中心、疗养院以及与风景名胜资源保护无关的项目。</w:t>
                  </w:r>
                </w:p>
              </w:tc>
              <w:tc>
                <w:tcPr>
                  <w:tcW w:w="1585" w:type="dxa"/>
                  <w:shd w:val="clear" w:color="auto" w:fill="auto"/>
                  <w:vAlign w:val="center"/>
                </w:tcPr>
                <w:p w14:paraId="1FA3A8F3">
                  <w:pPr>
                    <w:pStyle w:val="7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不涉及</w:t>
                  </w:r>
                </w:p>
              </w:tc>
              <w:tc>
                <w:tcPr>
                  <w:tcW w:w="569" w:type="dxa"/>
                  <w:shd w:val="clear" w:color="auto" w:fill="auto"/>
                  <w:vAlign w:val="center"/>
                </w:tcPr>
                <w:p w14:paraId="720273AD">
                  <w:pPr>
                    <w:pStyle w:val="7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w:t>
                  </w:r>
                </w:p>
              </w:tc>
            </w:tr>
            <w:tr w14:paraId="612920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5870" w:type="dxa"/>
                  <w:shd w:val="clear" w:color="auto" w:fill="auto"/>
                  <w:vAlign w:val="center"/>
                </w:tcPr>
                <w:p w14:paraId="5001078E">
                  <w:pPr>
                    <w:pStyle w:val="70"/>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第九条 禁止在饮用水水源准保护区的岸线和河段范围内新建、扩建对水体污染严重的建设项目，禁止改建增加排污量的建设项目。</w:t>
                  </w:r>
                </w:p>
              </w:tc>
              <w:tc>
                <w:tcPr>
                  <w:tcW w:w="1585" w:type="dxa"/>
                  <w:shd w:val="clear" w:color="auto" w:fill="auto"/>
                  <w:vAlign w:val="center"/>
                </w:tcPr>
                <w:p w14:paraId="5BCD6AE8">
                  <w:pPr>
                    <w:pStyle w:val="7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不涉及</w:t>
                  </w:r>
                </w:p>
              </w:tc>
              <w:tc>
                <w:tcPr>
                  <w:tcW w:w="569" w:type="dxa"/>
                  <w:shd w:val="clear" w:color="auto" w:fill="auto"/>
                  <w:vAlign w:val="center"/>
                </w:tcPr>
                <w:p w14:paraId="5819E53D">
                  <w:pPr>
                    <w:pStyle w:val="7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w:t>
                  </w:r>
                </w:p>
              </w:tc>
            </w:tr>
            <w:tr w14:paraId="0FEAAB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5870" w:type="dxa"/>
                  <w:shd w:val="clear" w:color="auto" w:fill="auto"/>
                  <w:vAlign w:val="center"/>
                </w:tcPr>
                <w:p w14:paraId="2D92823B">
                  <w:pPr>
                    <w:pStyle w:val="70"/>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第十条 饮用水水源二级保护区的岸线和河段范围内，除遵守准保护区规定外，禁止新建、改建、扩建排放污染物的投资建设项目；禁止从事对水体有污染的水产养殖等活动。</w:t>
                  </w:r>
                </w:p>
              </w:tc>
              <w:tc>
                <w:tcPr>
                  <w:tcW w:w="1585" w:type="dxa"/>
                  <w:shd w:val="clear" w:color="auto" w:fill="auto"/>
                  <w:vAlign w:val="center"/>
                </w:tcPr>
                <w:p w14:paraId="2D56BBD8">
                  <w:pPr>
                    <w:pStyle w:val="7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不涉及</w:t>
                  </w:r>
                </w:p>
              </w:tc>
              <w:tc>
                <w:tcPr>
                  <w:tcW w:w="569" w:type="dxa"/>
                  <w:shd w:val="clear" w:color="auto" w:fill="auto"/>
                  <w:vAlign w:val="center"/>
                </w:tcPr>
                <w:p w14:paraId="34D4EB42">
                  <w:pPr>
                    <w:pStyle w:val="7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w:t>
                  </w:r>
                </w:p>
              </w:tc>
            </w:tr>
            <w:tr w14:paraId="6BCA57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5870" w:type="dxa"/>
                  <w:shd w:val="clear" w:color="auto" w:fill="auto"/>
                  <w:vAlign w:val="center"/>
                </w:tcPr>
                <w:p w14:paraId="038FD73A">
                  <w:pPr>
                    <w:pStyle w:val="70"/>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第十一条 饮用水水源一级保护区的岸线和河段范围内，除遵守二级保护区规定外，禁止新建、改建、扩建与供水设施和保护水源无关的项目，以及网箱养殖、畜禽养殖、旅游等可能污染饮用水水体的投资建设项目。</w:t>
                  </w:r>
                </w:p>
              </w:tc>
              <w:tc>
                <w:tcPr>
                  <w:tcW w:w="1585" w:type="dxa"/>
                  <w:shd w:val="clear" w:color="auto" w:fill="auto"/>
                  <w:vAlign w:val="center"/>
                </w:tcPr>
                <w:p w14:paraId="59BCD0CA">
                  <w:pPr>
                    <w:pStyle w:val="7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不涉及</w:t>
                  </w:r>
                </w:p>
              </w:tc>
              <w:tc>
                <w:tcPr>
                  <w:tcW w:w="569" w:type="dxa"/>
                  <w:shd w:val="clear" w:color="auto" w:fill="auto"/>
                  <w:vAlign w:val="center"/>
                </w:tcPr>
                <w:p w14:paraId="509FECA9">
                  <w:pPr>
                    <w:pStyle w:val="7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w:t>
                  </w:r>
                </w:p>
              </w:tc>
            </w:tr>
            <w:tr w14:paraId="16575B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5870" w:type="dxa"/>
                  <w:shd w:val="clear" w:color="auto" w:fill="auto"/>
                  <w:vAlign w:val="center"/>
                </w:tcPr>
                <w:p w14:paraId="1BE84C8B">
                  <w:pPr>
                    <w:pStyle w:val="70"/>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第十二条 禁止在水产种质资源保护区岸线和河段范围内新建围湖造田、围湖造地或挖沙采石等投资建设项目。</w:t>
                  </w:r>
                </w:p>
              </w:tc>
              <w:tc>
                <w:tcPr>
                  <w:tcW w:w="1585" w:type="dxa"/>
                  <w:shd w:val="clear" w:color="auto" w:fill="auto"/>
                  <w:vAlign w:val="center"/>
                </w:tcPr>
                <w:p w14:paraId="30E74AE3">
                  <w:pPr>
                    <w:pStyle w:val="7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不涉及</w:t>
                  </w:r>
                </w:p>
              </w:tc>
              <w:tc>
                <w:tcPr>
                  <w:tcW w:w="569" w:type="dxa"/>
                  <w:shd w:val="clear" w:color="auto" w:fill="auto"/>
                  <w:vAlign w:val="center"/>
                </w:tcPr>
                <w:p w14:paraId="4D086707">
                  <w:pPr>
                    <w:pStyle w:val="7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w:t>
                  </w:r>
                </w:p>
              </w:tc>
            </w:tr>
            <w:tr w14:paraId="164E8F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5870" w:type="dxa"/>
                  <w:shd w:val="clear" w:color="auto" w:fill="auto"/>
                  <w:vAlign w:val="center"/>
                </w:tcPr>
                <w:p w14:paraId="58DA5E77">
                  <w:pPr>
                    <w:pStyle w:val="70"/>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第十三条 禁止在国家湿地公园的岸线和河段范围内开（围）垦、填埋或者排干湿地，截断湿地水源，挖沙、采矿，倾倒有毒有害物质、废弃物、垃圾，从事房地产、度假村、高尔夫球场、风力发电、光伏发电等任何不符合主体功能定位的建设项目和开发活动，破坏野生动物栖息地和迁徙通道、鱼类</w:t>
                  </w:r>
                  <w:r>
                    <w:rPr>
                      <w:rFonts w:hint="eastAsia" w:cs="Times New Roman"/>
                      <w:color w:val="000000" w:themeColor="text1"/>
                      <w:sz w:val="21"/>
                      <w:szCs w:val="21"/>
                      <w:lang w:eastAsia="zh-CN"/>
                      <w14:textFill>
                        <w14:solidFill>
                          <w14:schemeClr w14:val="tx1"/>
                        </w14:solidFill>
                      </w14:textFill>
                    </w:rPr>
                    <w:t>洄游</w:t>
                  </w:r>
                  <w:r>
                    <w:rPr>
                      <w:rFonts w:hint="eastAsia" w:ascii="Times New Roman" w:hAnsi="Times New Roman" w:eastAsia="宋体" w:cs="Times New Roman"/>
                      <w:color w:val="000000" w:themeColor="text1"/>
                      <w:sz w:val="21"/>
                      <w:szCs w:val="21"/>
                      <w14:textFill>
                        <w14:solidFill>
                          <w14:schemeClr w14:val="tx1"/>
                        </w14:solidFill>
                      </w14:textFill>
                    </w:rPr>
                    <w:t>通道。</w:t>
                  </w:r>
                </w:p>
              </w:tc>
              <w:tc>
                <w:tcPr>
                  <w:tcW w:w="1585" w:type="dxa"/>
                  <w:shd w:val="clear" w:color="auto" w:fill="auto"/>
                  <w:vAlign w:val="center"/>
                </w:tcPr>
                <w:p w14:paraId="1D8C89A8">
                  <w:pPr>
                    <w:pStyle w:val="7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不涉及</w:t>
                  </w:r>
                </w:p>
              </w:tc>
              <w:tc>
                <w:tcPr>
                  <w:tcW w:w="569" w:type="dxa"/>
                  <w:shd w:val="clear" w:color="auto" w:fill="auto"/>
                  <w:vAlign w:val="center"/>
                </w:tcPr>
                <w:p w14:paraId="7E5871AC">
                  <w:pPr>
                    <w:pStyle w:val="7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w:t>
                  </w:r>
                </w:p>
              </w:tc>
            </w:tr>
            <w:tr w14:paraId="14A905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5870" w:type="dxa"/>
                  <w:shd w:val="clear" w:color="auto" w:fill="auto"/>
                  <w:vAlign w:val="center"/>
                </w:tcPr>
                <w:p w14:paraId="4816FBEE">
                  <w:pPr>
                    <w:pStyle w:val="70"/>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第十四条 禁止违法利用、占用长江流域河湖岸线。禁止在《长江岸线保护和开发利用总体规划》划定的岸线保护区和岸线保留区内投资建设除事关公共安全及公众利益的防洪护岸、河道治理、供水、生态环境保护、航道整治、国家重要基础设施以外的项目。</w:t>
                  </w:r>
                </w:p>
              </w:tc>
              <w:tc>
                <w:tcPr>
                  <w:tcW w:w="1585" w:type="dxa"/>
                  <w:shd w:val="clear" w:color="auto" w:fill="auto"/>
                  <w:vAlign w:val="center"/>
                </w:tcPr>
                <w:p w14:paraId="1F6C5A00">
                  <w:pPr>
                    <w:pStyle w:val="7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不涉及</w:t>
                  </w:r>
                </w:p>
              </w:tc>
              <w:tc>
                <w:tcPr>
                  <w:tcW w:w="569" w:type="dxa"/>
                  <w:shd w:val="clear" w:color="auto" w:fill="auto"/>
                  <w:vAlign w:val="center"/>
                </w:tcPr>
                <w:p w14:paraId="70B55480">
                  <w:pPr>
                    <w:pStyle w:val="7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w:t>
                  </w:r>
                </w:p>
              </w:tc>
            </w:tr>
            <w:tr w14:paraId="25B60D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5870" w:type="dxa"/>
                  <w:shd w:val="clear" w:color="auto" w:fill="auto"/>
                  <w:vAlign w:val="center"/>
                </w:tcPr>
                <w:p w14:paraId="28BDAB7A">
                  <w:pPr>
                    <w:pStyle w:val="70"/>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第十五条 禁止在《全国重要江河湖泊水功能区划》划定的河段及湖泊保护区、保留区内投资建设不利于水资源及自然生态保护的项目。</w:t>
                  </w:r>
                </w:p>
              </w:tc>
              <w:tc>
                <w:tcPr>
                  <w:tcW w:w="1585" w:type="dxa"/>
                  <w:shd w:val="clear" w:color="auto" w:fill="auto"/>
                  <w:vAlign w:val="center"/>
                </w:tcPr>
                <w:p w14:paraId="56C5D284">
                  <w:pPr>
                    <w:pStyle w:val="7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不涉及</w:t>
                  </w:r>
                </w:p>
              </w:tc>
              <w:tc>
                <w:tcPr>
                  <w:tcW w:w="569" w:type="dxa"/>
                  <w:shd w:val="clear" w:color="auto" w:fill="auto"/>
                  <w:vAlign w:val="center"/>
                </w:tcPr>
                <w:p w14:paraId="3F3D38A1">
                  <w:pPr>
                    <w:pStyle w:val="7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w:t>
                  </w:r>
                </w:p>
              </w:tc>
            </w:tr>
            <w:tr w14:paraId="67EEB5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5870" w:type="dxa"/>
                  <w:shd w:val="clear" w:color="auto" w:fill="auto"/>
                  <w:vAlign w:val="center"/>
                </w:tcPr>
                <w:p w14:paraId="1A46E06D">
                  <w:pPr>
                    <w:pStyle w:val="70"/>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第十六条 禁止在长江流域江河、湖泊新设、改设或者扩大排污口，经有管辖权的生态环境主管部门或者长江流域生态环境监督管理机构同意的除外。</w:t>
                  </w:r>
                </w:p>
              </w:tc>
              <w:tc>
                <w:tcPr>
                  <w:tcW w:w="1585" w:type="dxa"/>
                  <w:shd w:val="clear" w:color="auto" w:fill="auto"/>
                  <w:vAlign w:val="center"/>
                </w:tcPr>
                <w:p w14:paraId="4219E0F2">
                  <w:pPr>
                    <w:pStyle w:val="7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项目不涉及新设、改设或扩大排污口。</w:t>
                  </w:r>
                </w:p>
              </w:tc>
              <w:tc>
                <w:tcPr>
                  <w:tcW w:w="569" w:type="dxa"/>
                  <w:shd w:val="clear" w:color="auto" w:fill="auto"/>
                  <w:vAlign w:val="center"/>
                </w:tcPr>
                <w:p w14:paraId="4CC9D85E">
                  <w:pPr>
                    <w:pStyle w:val="7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符合</w:t>
                  </w:r>
                </w:p>
              </w:tc>
            </w:tr>
            <w:tr w14:paraId="24356A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5870" w:type="dxa"/>
                  <w:shd w:val="clear" w:color="auto" w:fill="auto"/>
                  <w:vAlign w:val="center"/>
                </w:tcPr>
                <w:p w14:paraId="3D590092">
                  <w:pPr>
                    <w:pStyle w:val="70"/>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第十七条禁止在长江干流、大渡河、岷江、赤水河、沱江、嘉陵江、乌江、汉江和51个（四川省45个、重庆市6个）水生生物保护区开展生产性捕捞。</w:t>
                  </w:r>
                </w:p>
              </w:tc>
              <w:tc>
                <w:tcPr>
                  <w:tcW w:w="1585" w:type="dxa"/>
                  <w:shd w:val="clear" w:color="auto" w:fill="auto"/>
                  <w:vAlign w:val="center"/>
                </w:tcPr>
                <w:p w14:paraId="7764DB67">
                  <w:pPr>
                    <w:pStyle w:val="7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不涉及</w:t>
                  </w:r>
                </w:p>
              </w:tc>
              <w:tc>
                <w:tcPr>
                  <w:tcW w:w="569" w:type="dxa"/>
                  <w:shd w:val="clear" w:color="auto" w:fill="auto"/>
                  <w:vAlign w:val="center"/>
                </w:tcPr>
                <w:p w14:paraId="515BCACB">
                  <w:pPr>
                    <w:pStyle w:val="7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w:t>
                  </w:r>
                </w:p>
              </w:tc>
            </w:tr>
            <w:tr w14:paraId="12BCB8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5870" w:type="dxa"/>
                  <w:shd w:val="clear" w:color="auto" w:fill="auto"/>
                  <w:vAlign w:val="center"/>
                </w:tcPr>
                <w:p w14:paraId="6E0DF28A">
                  <w:pPr>
                    <w:pStyle w:val="70"/>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第十八条 禁止在长江干支流、重要湖泊岸线一公里范围内新建、扩建化工园区和化工项目。</w:t>
                  </w:r>
                </w:p>
              </w:tc>
              <w:tc>
                <w:tcPr>
                  <w:tcW w:w="1585" w:type="dxa"/>
                  <w:shd w:val="clear" w:color="auto" w:fill="auto"/>
                  <w:vAlign w:val="center"/>
                </w:tcPr>
                <w:p w14:paraId="36E05428">
                  <w:pPr>
                    <w:pStyle w:val="7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项目不涉及新建、扩建化工项目。</w:t>
                  </w:r>
                </w:p>
              </w:tc>
              <w:tc>
                <w:tcPr>
                  <w:tcW w:w="569" w:type="dxa"/>
                  <w:shd w:val="clear" w:color="auto" w:fill="auto"/>
                  <w:vAlign w:val="center"/>
                </w:tcPr>
                <w:p w14:paraId="2956BB58">
                  <w:pPr>
                    <w:pStyle w:val="7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符合</w:t>
                  </w:r>
                </w:p>
              </w:tc>
            </w:tr>
            <w:tr w14:paraId="296E1A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5870" w:type="dxa"/>
                  <w:shd w:val="clear" w:color="auto" w:fill="auto"/>
                  <w:vAlign w:val="center"/>
                </w:tcPr>
                <w:p w14:paraId="340ABD92">
                  <w:pPr>
                    <w:pStyle w:val="70"/>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第十九条 禁止在长江干流岸线三公里范围内和重要支流岸线一公里范围内新建、改建、扩建尾矿库、冶炼渣库、磷石膏库，以提升安全、生态环境保护水平为目的的改建除外。</w:t>
                  </w:r>
                </w:p>
              </w:tc>
              <w:tc>
                <w:tcPr>
                  <w:tcW w:w="1585" w:type="dxa"/>
                  <w:shd w:val="clear" w:color="auto" w:fill="auto"/>
                  <w:vAlign w:val="center"/>
                </w:tcPr>
                <w:p w14:paraId="0AAE6EE4">
                  <w:pPr>
                    <w:pStyle w:val="7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不涉及</w:t>
                  </w:r>
                </w:p>
              </w:tc>
              <w:tc>
                <w:tcPr>
                  <w:tcW w:w="569" w:type="dxa"/>
                  <w:shd w:val="clear" w:color="auto" w:fill="auto"/>
                  <w:vAlign w:val="center"/>
                </w:tcPr>
                <w:p w14:paraId="08FFA315">
                  <w:pPr>
                    <w:pStyle w:val="7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w:t>
                  </w:r>
                </w:p>
              </w:tc>
            </w:tr>
            <w:tr w14:paraId="71DC2E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5870" w:type="dxa"/>
                  <w:shd w:val="clear" w:color="auto" w:fill="auto"/>
                  <w:vAlign w:val="center"/>
                </w:tcPr>
                <w:p w14:paraId="278D74EF">
                  <w:pPr>
                    <w:pStyle w:val="70"/>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第二十条 禁止在生态保护红线区域、永久基本农田集中区域和其他需要特别保护的区域内选址建设尾矿库、冶炼渣库磷石膏库。</w:t>
                  </w:r>
                </w:p>
              </w:tc>
              <w:tc>
                <w:tcPr>
                  <w:tcW w:w="1585" w:type="dxa"/>
                  <w:shd w:val="clear" w:color="auto" w:fill="auto"/>
                  <w:vAlign w:val="center"/>
                </w:tcPr>
                <w:p w14:paraId="24255FC9">
                  <w:pPr>
                    <w:pStyle w:val="7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不涉及</w:t>
                  </w:r>
                </w:p>
              </w:tc>
              <w:tc>
                <w:tcPr>
                  <w:tcW w:w="569" w:type="dxa"/>
                  <w:shd w:val="clear" w:color="auto" w:fill="auto"/>
                  <w:vAlign w:val="center"/>
                </w:tcPr>
                <w:p w14:paraId="24DDC67C">
                  <w:pPr>
                    <w:pStyle w:val="7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w:t>
                  </w:r>
                </w:p>
              </w:tc>
            </w:tr>
            <w:tr w14:paraId="690D0C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5870" w:type="dxa"/>
                  <w:shd w:val="clear" w:color="auto" w:fill="auto"/>
                  <w:vAlign w:val="center"/>
                </w:tcPr>
                <w:p w14:paraId="1B3D85FE">
                  <w:pPr>
                    <w:pStyle w:val="70"/>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第二十一条 禁止在合规园区外新建、扩建钢铁、石化、化工、焦化、建材、有色、制浆造纸等高污染项目。</w:t>
                  </w:r>
                </w:p>
              </w:tc>
              <w:tc>
                <w:tcPr>
                  <w:tcW w:w="1585" w:type="dxa"/>
                  <w:shd w:val="clear" w:color="auto" w:fill="auto"/>
                  <w:vAlign w:val="center"/>
                </w:tcPr>
                <w:p w14:paraId="3E054A49">
                  <w:pPr>
                    <w:pStyle w:val="70"/>
                    <w:spacing w:line="240" w:lineRule="auto"/>
                    <w:jc w:val="center"/>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项目</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不属于</w:t>
                  </w:r>
                  <w:r>
                    <w:rPr>
                      <w:rFonts w:hint="eastAsia" w:ascii="Times New Roman" w:hAnsi="Times New Roman" w:eastAsia="宋体" w:cs="Times New Roman"/>
                      <w:color w:val="000000" w:themeColor="text1"/>
                      <w:sz w:val="21"/>
                      <w:szCs w:val="21"/>
                      <w14:textFill>
                        <w14:solidFill>
                          <w14:schemeClr w14:val="tx1"/>
                        </w14:solidFill>
                      </w14:textFill>
                    </w:rPr>
                    <w:t>钢铁、石化、化工、焦化、建材、有色、制浆造纸等高污染项目</w:t>
                  </w:r>
                  <w:r>
                    <w:rPr>
                      <w:rFonts w:hint="eastAsia" w:cs="Times New Roman"/>
                      <w:color w:val="000000" w:themeColor="text1"/>
                      <w:sz w:val="21"/>
                      <w:szCs w:val="21"/>
                      <w:lang w:eastAsia="zh-CN"/>
                      <w14:textFill>
                        <w14:solidFill>
                          <w14:schemeClr w14:val="tx1"/>
                        </w14:solidFill>
                      </w14:textFill>
                    </w:rPr>
                    <w:t>。</w:t>
                  </w:r>
                </w:p>
              </w:tc>
              <w:tc>
                <w:tcPr>
                  <w:tcW w:w="569" w:type="dxa"/>
                  <w:shd w:val="clear" w:color="auto" w:fill="auto"/>
                  <w:vAlign w:val="center"/>
                </w:tcPr>
                <w:p w14:paraId="0C5711A4">
                  <w:pPr>
                    <w:pStyle w:val="7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符合</w:t>
                  </w:r>
                </w:p>
              </w:tc>
            </w:tr>
            <w:tr w14:paraId="4E6D30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5870" w:type="dxa"/>
                  <w:shd w:val="clear" w:color="auto" w:fill="auto"/>
                  <w:vAlign w:val="center"/>
                </w:tcPr>
                <w:p w14:paraId="7E88863E">
                  <w:pPr>
                    <w:pStyle w:val="70"/>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第二十二条 禁止新建、扩建不符合国家石化、现代煤化工等产业布局规划的项目。</w:t>
                  </w:r>
                </w:p>
              </w:tc>
              <w:tc>
                <w:tcPr>
                  <w:tcW w:w="1585" w:type="dxa"/>
                  <w:shd w:val="clear" w:color="auto" w:fill="auto"/>
                  <w:vAlign w:val="center"/>
                </w:tcPr>
                <w:p w14:paraId="21C23A6B">
                  <w:pPr>
                    <w:pStyle w:val="7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不涉及</w:t>
                  </w:r>
                </w:p>
              </w:tc>
              <w:tc>
                <w:tcPr>
                  <w:tcW w:w="569" w:type="dxa"/>
                  <w:shd w:val="clear" w:color="auto" w:fill="auto"/>
                  <w:vAlign w:val="center"/>
                </w:tcPr>
                <w:p w14:paraId="5278100C">
                  <w:pPr>
                    <w:pStyle w:val="7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w:t>
                  </w:r>
                </w:p>
              </w:tc>
            </w:tr>
            <w:tr w14:paraId="3D479E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5870" w:type="dxa"/>
                  <w:shd w:val="clear" w:color="auto" w:fill="auto"/>
                  <w:vAlign w:val="center"/>
                </w:tcPr>
                <w:p w14:paraId="545630AD">
                  <w:pPr>
                    <w:pStyle w:val="70"/>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第二十三条 禁止新建、扩建法律法规和相关政策明令禁止的落后产能项目。对《产业结构调整指导目录》中淘汰类项目，禁止投资；限制类的新建项目，禁止投资，对属于限制类的现有生产能力，允许企业在一定期限内采取措施改造升级。</w:t>
                  </w:r>
                </w:p>
              </w:tc>
              <w:tc>
                <w:tcPr>
                  <w:tcW w:w="1585" w:type="dxa"/>
                  <w:shd w:val="clear" w:color="auto" w:fill="auto"/>
                  <w:vAlign w:val="center"/>
                </w:tcPr>
                <w:p w14:paraId="448E37A1">
                  <w:pPr>
                    <w:pStyle w:val="70"/>
                    <w:spacing w:line="240" w:lineRule="auto"/>
                    <w:jc w:val="center"/>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项目不属于《产业结构调整指导目录（2024年本）》中淘汰类、限制类项目</w:t>
                  </w:r>
                  <w:r>
                    <w:rPr>
                      <w:rFonts w:hint="eastAsia" w:cs="Times New Roman"/>
                      <w:color w:val="000000" w:themeColor="text1"/>
                      <w:sz w:val="21"/>
                      <w:szCs w:val="21"/>
                      <w:lang w:eastAsia="zh-CN"/>
                      <w14:textFill>
                        <w14:solidFill>
                          <w14:schemeClr w14:val="tx1"/>
                        </w14:solidFill>
                      </w14:textFill>
                    </w:rPr>
                    <w:t>。</w:t>
                  </w:r>
                </w:p>
              </w:tc>
              <w:tc>
                <w:tcPr>
                  <w:tcW w:w="569" w:type="dxa"/>
                  <w:shd w:val="clear" w:color="auto" w:fill="auto"/>
                  <w:vAlign w:val="center"/>
                </w:tcPr>
                <w:p w14:paraId="090780AE">
                  <w:pPr>
                    <w:pStyle w:val="7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符合</w:t>
                  </w:r>
                </w:p>
              </w:tc>
            </w:tr>
            <w:tr w14:paraId="2217E1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5870" w:type="dxa"/>
                  <w:shd w:val="clear" w:color="auto" w:fill="auto"/>
                  <w:vAlign w:val="center"/>
                </w:tcPr>
                <w:p w14:paraId="576564CC">
                  <w:pPr>
                    <w:pStyle w:val="70"/>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第二十四条 禁止新建、扩建不符合国家产能置换要求的严重过剩产能行业的项目。对于不符合国家产能置换要求的严重过剩产能行业，不得以其他任何名义、任何方式备案新增产能项目。</w:t>
                  </w:r>
                </w:p>
              </w:tc>
              <w:tc>
                <w:tcPr>
                  <w:tcW w:w="1585" w:type="dxa"/>
                  <w:shd w:val="clear" w:color="auto" w:fill="auto"/>
                  <w:vAlign w:val="center"/>
                </w:tcPr>
                <w:p w14:paraId="55A2A823">
                  <w:pPr>
                    <w:pStyle w:val="70"/>
                    <w:spacing w:line="240" w:lineRule="auto"/>
                    <w:jc w:val="center"/>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项目不属于严重过剩产能行业</w:t>
                  </w:r>
                  <w:r>
                    <w:rPr>
                      <w:rFonts w:hint="eastAsia" w:cs="Times New Roman"/>
                      <w:color w:val="000000" w:themeColor="text1"/>
                      <w:sz w:val="21"/>
                      <w:szCs w:val="21"/>
                      <w:lang w:eastAsia="zh-CN"/>
                      <w14:textFill>
                        <w14:solidFill>
                          <w14:schemeClr w14:val="tx1"/>
                        </w14:solidFill>
                      </w14:textFill>
                    </w:rPr>
                    <w:t>。</w:t>
                  </w:r>
                </w:p>
              </w:tc>
              <w:tc>
                <w:tcPr>
                  <w:tcW w:w="569" w:type="dxa"/>
                  <w:shd w:val="clear" w:color="auto" w:fill="auto"/>
                  <w:vAlign w:val="center"/>
                </w:tcPr>
                <w:p w14:paraId="6A2FCB75">
                  <w:pPr>
                    <w:pStyle w:val="7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符合</w:t>
                  </w:r>
                </w:p>
              </w:tc>
            </w:tr>
            <w:tr w14:paraId="20E3A1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5870" w:type="dxa"/>
                  <w:shd w:val="clear" w:color="auto" w:fill="auto"/>
                  <w:vAlign w:val="center"/>
                </w:tcPr>
                <w:p w14:paraId="72EEDC8D">
                  <w:pPr>
                    <w:pStyle w:val="70"/>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第二十五条 禁止建设以下燃油汽车投资项目（不在中国境内销售产品的投资项目除外）：</w:t>
                  </w:r>
                </w:p>
                <w:p w14:paraId="6FDF8032">
                  <w:pPr>
                    <w:pStyle w:val="70"/>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（一）新建独立燃油汽车企业；</w:t>
                  </w:r>
                </w:p>
                <w:p w14:paraId="3F4C72DF">
                  <w:pPr>
                    <w:pStyle w:val="70"/>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（二）现有汽车企业跨乘用车、商用车类别建设燃油汽车生产能力；</w:t>
                  </w:r>
                </w:p>
                <w:p w14:paraId="19E8A4F1">
                  <w:pPr>
                    <w:pStyle w:val="70"/>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（三）外省现有燃油汽车企业整体搬迁至本省（列入国家级区域发展规划或不改变企业股权结构的项目除外）；</w:t>
                  </w:r>
                </w:p>
                <w:p w14:paraId="701A65EF">
                  <w:pPr>
                    <w:pStyle w:val="70"/>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（四）对行业管理部门特别公示的燃油汽车企业进行投资（企业原有股东投资或将该企业转为非独立法人的投资项目除外）。</w:t>
                  </w:r>
                </w:p>
              </w:tc>
              <w:tc>
                <w:tcPr>
                  <w:tcW w:w="1585" w:type="dxa"/>
                  <w:shd w:val="clear" w:color="auto" w:fill="auto"/>
                  <w:vAlign w:val="center"/>
                </w:tcPr>
                <w:p w14:paraId="189647E0">
                  <w:pPr>
                    <w:pStyle w:val="7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不涉及</w:t>
                  </w:r>
                </w:p>
              </w:tc>
              <w:tc>
                <w:tcPr>
                  <w:tcW w:w="569" w:type="dxa"/>
                  <w:shd w:val="clear" w:color="auto" w:fill="auto"/>
                  <w:vAlign w:val="center"/>
                </w:tcPr>
                <w:p w14:paraId="172EE4E6">
                  <w:pPr>
                    <w:pStyle w:val="7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w:t>
                  </w:r>
                </w:p>
              </w:tc>
            </w:tr>
            <w:tr w14:paraId="4E27EF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5870" w:type="dxa"/>
                  <w:shd w:val="clear" w:color="auto" w:fill="auto"/>
                  <w:vAlign w:val="center"/>
                </w:tcPr>
                <w:p w14:paraId="5BA33E4B">
                  <w:pPr>
                    <w:pStyle w:val="70"/>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第二十六条 禁止新建、扩建不符合要求的高耗能、高排放、低水平项目。</w:t>
                  </w:r>
                </w:p>
              </w:tc>
              <w:tc>
                <w:tcPr>
                  <w:tcW w:w="1585" w:type="dxa"/>
                  <w:shd w:val="clear" w:color="auto" w:fill="auto"/>
                  <w:vAlign w:val="center"/>
                </w:tcPr>
                <w:p w14:paraId="14B28B28">
                  <w:pPr>
                    <w:pStyle w:val="7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项目不属于高能耗、高排放、低水平项目。</w:t>
                  </w:r>
                </w:p>
              </w:tc>
              <w:tc>
                <w:tcPr>
                  <w:tcW w:w="569" w:type="dxa"/>
                  <w:shd w:val="clear" w:color="auto" w:fill="auto"/>
                  <w:vAlign w:val="center"/>
                </w:tcPr>
                <w:p w14:paraId="7A7ACDF2">
                  <w:pPr>
                    <w:pStyle w:val="7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符合</w:t>
                  </w:r>
                </w:p>
              </w:tc>
            </w:tr>
          </w:tbl>
          <w:p w14:paraId="14F79FB1">
            <w:pPr>
              <w:pStyle w:val="66"/>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eastAsia="宋体"/>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综上，</w:t>
            </w:r>
            <w:r>
              <w:rPr>
                <w:rFonts w:hint="default" w:ascii="Times New Roman" w:hAnsi="Times New Roman" w:cs="Times New Roman"/>
                <w:b w:val="0"/>
                <w:bCs w:val="0"/>
                <w:color w:val="000000" w:themeColor="text1"/>
                <w:sz w:val="24"/>
                <w14:textFill>
                  <w14:solidFill>
                    <w14:schemeClr w14:val="tx1"/>
                  </w14:solidFill>
                </w14:textFill>
              </w:rPr>
              <w:t>本项目符合川长江办〔2022〕17号文</w:t>
            </w:r>
            <w:r>
              <w:rPr>
                <w:rFonts w:hint="eastAsia" w:ascii="Times New Roman" w:hAnsi="Times New Roman" w:cs="Times New Roman"/>
                <w:b w:val="0"/>
                <w:bCs w:val="0"/>
                <w:color w:val="000000" w:themeColor="text1"/>
                <w:sz w:val="24"/>
                <w:lang w:val="en-US" w:eastAsia="zh-CN"/>
                <w14:textFill>
                  <w14:solidFill>
                    <w14:schemeClr w14:val="tx1"/>
                  </w14:solidFill>
                </w14:textFill>
              </w:rPr>
              <w:t>相关</w:t>
            </w:r>
            <w:r>
              <w:rPr>
                <w:rFonts w:hint="default" w:ascii="Times New Roman" w:hAnsi="Times New Roman" w:cs="Times New Roman"/>
                <w:b w:val="0"/>
                <w:bCs w:val="0"/>
                <w:color w:val="000000" w:themeColor="text1"/>
                <w:sz w:val="24"/>
                <w14:textFill>
                  <w14:solidFill>
                    <w14:schemeClr w14:val="tx1"/>
                  </w14:solidFill>
                </w14:textFill>
              </w:rPr>
              <w:t>要求</w:t>
            </w:r>
            <w:r>
              <w:rPr>
                <w:rFonts w:hint="eastAsia" w:ascii="Times New Roman" w:hAnsi="Times New Roman" w:cs="Times New Roman"/>
                <w:b w:val="0"/>
                <w:bCs w:val="0"/>
                <w:color w:val="000000" w:themeColor="text1"/>
                <w:sz w:val="24"/>
                <w:lang w:eastAsia="zh-CN"/>
                <w14:textFill>
                  <w14:solidFill>
                    <w14:schemeClr w14:val="tx1"/>
                  </w14:solidFill>
                </w14:textFill>
              </w:rPr>
              <w:t>。</w:t>
            </w:r>
          </w:p>
          <w:p w14:paraId="7E0B98FC">
            <w:pPr>
              <w:pStyle w:val="66"/>
              <w:keepNext w:val="0"/>
              <w:keepLines w:val="0"/>
              <w:pageBreakBefore w:val="0"/>
              <w:widowControl w:val="0"/>
              <w:kinsoku/>
              <w:wordWrap/>
              <w:overflowPunct/>
              <w:topLinePunct w:val="0"/>
              <w:autoSpaceDE w:val="0"/>
              <w:autoSpaceDN w:val="0"/>
              <w:bidi w:val="0"/>
              <w:adjustRightInd w:val="0"/>
              <w:snapToGrid w:val="0"/>
              <w:spacing w:line="360" w:lineRule="auto"/>
              <w:ind w:firstLine="482" w:firstLineChars="200"/>
              <w:textAlignment w:val="auto"/>
              <w:rPr>
                <w:b/>
                <w:bCs/>
                <w:color w:val="000000" w:themeColor="text1"/>
                <w14:textFill>
                  <w14:solidFill>
                    <w14:schemeClr w14:val="tx1"/>
                  </w14:solidFill>
                </w14:textFill>
              </w:rPr>
            </w:pPr>
            <w:r>
              <w:rPr>
                <w:rFonts w:hint="eastAsia"/>
                <w:b/>
                <w:bCs/>
                <w:color w:val="000000" w:themeColor="text1"/>
                <w:lang w:val="en-US" w:eastAsia="zh-CN"/>
                <w14:textFill>
                  <w14:solidFill>
                    <w14:schemeClr w14:val="tx1"/>
                  </w14:solidFill>
                </w14:textFill>
              </w:rPr>
              <w:t>9</w:t>
            </w:r>
            <w:r>
              <w:rPr>
                <w:rFonts w:hint="eastAsia" w:ascii="Times New Roman" w:hAnsi="Times New Roman" w:eastAsia="宋体" w:cs="Times New Roman"/>
                <w:b/>
                <w:bCs/>
                <w:color w:val="000000" w:themeColor="text1"/>
                <w:lang w:val="en-US" w:eastAsia="zh-CN"/>
                <w14:textFill>
                  <w14:solidFill>
                    <w14:schemeClr w14:val="tx1"/>
                  </w14:solidFill>
                </w14:textFill>
              </w:rPr>
              <w:t>、</w:t>
            </w:r>
            <w:r>
              <w:rPr>
                <w:rFonts w:hint="default" w:ascii="Times New Roman" w:hAnsi="Times New Roman" w:eastAsia="宋体" w:cs="Times New Roman"/>
                <w:b/>
                <w:bCs/>
                <w:color w:val="000000" w:themeColor="text1"/>
                <w:lang w:val="en-US" w:eastAsia="zh-CN"/>
                <w14:textFill>
                  <w14:solidFill>
                    <w14:schemeClr w14:val="tx1"/>
                  </w14:solidFill>
                </w14:textFill>
              </w:rPr>
              <w:t>与《关于印发集成电路制造、锂离子电池及相关电池材料制造、电解铝、水泥制造四个行业建设项目环境影响评价文件审批原则的通知》（环办环评〔2023〕18号）符合性</w:t>
            </w:r>
          </w:p>
          <w:p w14:paraId="45E36DB3">
            <w:pPr>
              <w:pStyle w:val="66"/>
              <w:spacing w:line="360" w:lineRule="auto"/>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本项目与</w:t>
            </w:r>
            <w:r>
              <w:rPr>
                <w:rFonts w:hint="default" w:ascii="Times New Roman" w:hAnsi="Times New Roman" w:eastAsia="宋体" w:cs="Times New Roman"/>
                <w:color w:val="000000" w:themeColor="text1"/>
                <w:lang w:val="en-US" w:eastAsia="zh-CN"/>
                <w14:textFill>
                  <w14:solidFill>
                    <w14:schemeClr w14:val="tx1"/>
                  </w14:solidFill>
                </w14:textFill>
              </w:rPr>
              <w:t>环办环评〔2023〕18号</w:t>
            </w:r>
            <w:r>
              <w:rPr>
                <w:rFonts w:hint="eastAsia" w:ascii="Times New Roman" w:hAnsi="Times New Roman" w:eastAsia="宋体" w:cs="Times New Roman"/>
                <w:color w:val="000000" w:themeColor="text1"/>
                <w:lang w:val="en-US" w:eastAsia="zh-CN"/>
                <w14:textFill>
                  <w14:solidFill>
                    <w14:schemeClr w14:val="tx1"/>
                  </w14:solidFill>
                </w14:textFill>
              </w:rPr>
              <w:t>相关内容符合性分析见下表所示：</w:t>
            </w:r>
          </w:p>
          <w:p w14:paraId="4DD04BA3">
            <w:pPr>
              <w:pStyle w:val="68"/>
              <w:spacing w:line="240" w:lineRule="auto"/>
              <w:rPr>
                <w:rFonts w:hint="eastAsia" w:ascii="Times New Roman" w:hAnsi="Times New Roman" w:eastAsia="宋体" w:cs="Times New Roman"/>
                <w:b/>
                <w:bCs/>
                <w:color w:val="000000" w:themeColor="text1"/>
                <w14:textFill>
                  <w14:solidFill>
                    <w14:schemeClr w14:val="tx1"/>
                  </w14:solidFill>
                </w14:textFill>
              </w:rPr>
            </w:pPr>
            <w:r>
              <w:rPr>
                <w:rFonts w:hint="eastAsia" w:ascii="Times New Roman" w:hAnsi="Times New Roman" w:eastAsia="宋体" w:cs="Times New Roman"/>
                <w:b/>
                <w:bCs/>
                <w:color w:val="000000" w:themeColor="text1"/>
                <w14:textFill>
                  <w14:solidFill>
                    <w14:schemeClr w14:val="tx1"/>
                  </w14:solidFill>
                </w14:textFill>
              </w:rPr>
              <w:t>表1-</w:t>
            </w:r>
            <w:r>
              <w:rPr>
                <w:rFonts w:hint="eastAsia" w:eastAsia="宋体" w:cs="Times New Roman"/>
                <w:b/>
                <w:bCs/>
                <w:color w:val="000000" w:themeColor="text1"/>
                <w:lang w:val="en-US" w:eastAsia="zh-CN"/>
                <w14:textFill>
                  <w14:solidFill>
                    <w14:schemeClr w14:val="tx1"/>
                  </w14:solidFill>
                </w14:textFill>
              </w:rPr>
              <w:t>14</w:t>
            </w:r>
            <w:r>
              <w:rPr>
                <w:rFonts w:hint="eastAsia" w:ascii="Times New Roman" w:hAnsi="Times New Roman" w:eastAsia="宋体" w:cs="Times New Roman"/>
                <w:b/>
                <w:bCs/>
                <w:color w:val="000000" w:themeColor="text1"/>
                <w14:textFill>
                  <w14:solidFill>
                    <w14:schemeClr w14:val="tx1"/>
                  </w14:solidFill>
                </w14:textFill>
              </w:rPr>
              <w:t xml:space="preserve">  项目与</w:t>
            </w:r>
            <w:r>
              <w:rPr>
                <w:rFonts w:hint="default" w:eastAsia="宋体" w:cs="Times New Roman"/>
                <w:b/>
                <w:bCs/>
                <w:color w:val="000000" w:themeColor="text1"/>
                <w:lang w:val="en-US" w:eastAsia="zh-CN"/>
                <w14:textFill>
                  <w14:solidFill>
                    <w14:schemeClr w14:val="tx1"/>
                  </w14:solidFill>
                </w14:textFill>
              </w:rPr>
              <w:t>环办环评〔2023〕18号</w:t>
            </w:r>
            <w:r>
              <w:rPr>
                <w:rFonts w:hint="eastAsia" w:eastAsia="宋体" w:cs="Times New Roman"/>
                <w:b/>
                <w:bCs/>
                <w:color w:val="000000" w:themeColor="text1"/>
                <w:lang w:val="en-US" w:eastAsia="zh-CN"/>
                <w14:textFill>
                  <w14:solidFill>
                    <w14:schemeClr w14:val="tx1"/>
                  </w14:solidFill>
                </w14:textFill>
              </w:rPr>
              <w:t>相</w:t>
            </w:r>
            <w:r>
              <w:rPr>
                <w:rFonts w:hint="eastAsia" w:ascii="Times New Roman" w:hAnsi="Times New Roman" w:eastAsia="宋体" w:cs="Times New Roman"/>
                <w:b/>
                <w:bCs/>
                <w:color w:val="000000" w:themeColor="text1"/>
                <w14:textFill>
                  <w14:solidFill>
                    <w14:schemeClr w14:val="tx1"/>
                  </w14:solidFill>
                </w14:textFill>
              </w:rPr>
              <w:t>关</w:t>
            </w:r>
            <w:r>
              <w:rPr>
                <w:rFonts w:hint="eastAsia" w:eastAsia="宋体" w:cs="Times New Roman"/>
                <w:b/>
                <w:bCs/>
                <w:color w:val="000000" w:themeColor="text1"/>
                <w:lang w:val="en-US" w:eastAsia="zh-CN"/>
                <w14:textFill>
                  <w14:solidFill>
                    <w14:schemeClr w14:val="tx1"/>
                  </w14:solidFill>
                </w14:textFill>
              </w:rPr>
              <w:t>内容</w:t>
            </w:r>
            <w:r>
              <w:rPr>
                <w:rFonts w:hint="eastAsia" w:ascii="Times New Roman" w:hAnsi="Times New Roman" w:eastAsia="宋体" w:cs="Times New Roman"/>
                <w:b/>
                <w:bCs/>
                <w:color w:val="000000" w:themeColor="text1"/>
                <w14:textFill>
                  <w14:solidFill>
                    <w14:schemeClr w14:val="tx1"/>
                  </w14:solidFill>
                </w14:textFill>
              </w:rPr>
              <w:t>符合性</w:t>
            </w:r>
          </w:p>
          <w:tbl>
            <w:tblPr>
              <w:tblStyle w:val="41"/>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57" w:type="dxa"/>
                <w:bottom w:w="0" w:type="dxa"/>
                <w:right w:w="57" w:type="dxa"/>
              </w:tblCellMar>
            </w:tblPr>
            <w:tblGrid>
              <w:gridCol w:w="4808"/>
              <w:gridCol w:w="2647"/>
              <w:gridCol w:w="569"/>
            </w:tblGrid>
            <w:tr w14:paraId="6C9EDA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4808" w:type="dxa"/>
                  <w:shd w:val="clear" w:color="auto" w:fill="auto"/>
                  <w:vAlign w:val="center"/>
                </w:tcPr>
                <w:p w14:paraId="190C45B7">
                  <w:pPr>
                    <w:pStyle w:val="70"/>
                    <w:spacing w:line="240" w:lineRule="auto"/>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锂离子电池及相关电池材料制造建设项目环境影响评价文件审批原则（2024年版）相关要求</w:t>
                  </w:r>
                </w:p>
              </w:tc>
              <w:tc>
                <w:tcPr>
                  <w:tcW w:w="2647" w:type="dxa"/>
                  <w:shd w:val="clear" w:color="auto" w:fill="auto"/>
                  <w:vAlign w:val="center"/>
                </w:tcPr>
                <w:p w14:paraId="53C77A48">
                  <w:pPr>
                    <w:pStyle w:val="70"/>
                    <w:spacing w:line="240" w:lineRule="auto"/>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本项目情况</w:t>
                  </w:r>
                </w:p>
              </w:tc>
              <w:tc>
                <w:tcPr>
                  <w:tcW w:w="569" w:type="dxa"/>
                  <w:shd w:val="clear" w:color="auto" w:fill="auto"/>
                  <w:vAlign w:val="center"/>
                </w:tcPr>
                <w:p w14:paraId="58A45184">
                  <w:pPr>
                    <w:pStyle w:val="70"/>
                    <w:spacing w:line="240" w:lineRule="auto"/>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符合性</w:t>
                  </w:r>
                </w:p>
              </w:tc>
            </w:tr>
            <w:tr w14:paraId="02E7A3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4808" w:type="dxa"/>
                  <w:shd w:val="clear" w:color="auto" w:fill="auto"/>
                  <w:vAlign w:val="center"/>
                </w:tcPr>
                <w:p w14:paraId="64B26278">
                  <w:pPr>
                    <w:pStyle w:val="70"/>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第二条 项目应符合生态环境保护相关法律法规、法定规划，以及相关产业结构调整、区域及行业碳达峰碳中和目标、重点污染物总量控制等政策要求。</w:t>
                  </w:r>
                </w:p>
              </w:tc>
              <w:tc>
                <w:tcPr>
                  <w:tcW w:w="2647" w:type="dxa"/>
                  <w:shd w:val="clear" w:color="auto" w:fill="auto"/>
                  <w:vAlign w:val="center"/>
                </w:tcPr>
                <w:p w14:paraId="7C304C1B">
                  <w:pPr>
                    <w:pStyle w:val="70"/>
                    <w:spacing w:line="240" w:lineRule="auto"/>
                    <w:jc w:val="both"/>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项目建设符合国家现行法律法规、产业政策要求</w:t>
                  </w:r>
                  <w:r>
                    <w:rPr>
                      <w:rFonts w:hint="eastAsia" w:cs="Times New Roman"/>
                      <w:color w:val="000000" w:themeColor="text1"/>
                      <w:sz w:val="21"/>
                      <w:szCs w:val="21"/>
                      <w:lang w:eastAsia="zh-CN"/>
                      <w14:textFill>
                        <w14:solidFill>
                          <w14:schemeClr w14:val="tx1"/>
                        </w14:solidFill>
                      </w14:textFill>
                    </w:rPr>
                    <w:t>。</w:t>
                  </w:r>
                </w:p>
              </w:tc>
              <w:tc>
                <w:tcPr>
                  <w:tcW w:w="569" w:type="dxa"/>
                  <w:shd w:val="clear" w:color="auto" w:fill="auto"/>
                  <w:vAlign w:val="center"/>
                </w:tcPr>
                <w:p w14:paraId="7A9ACD6E">
                  <w:pPr>
                    <w:pStyle w:val="70"/>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符合</w:t>
                  </w:r>
                </w:p>
              </w:tc>
            </w:tr>
            <w:tr w14:paraId="375E19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4808" w:type="dxa"/>
                  <w:shd w:val="clear" w:color="auto" w:fill="auto"/>
                  <w:vAlign w:val="center"/>
                </w:tcPr>
                <w:p w14:paraId="1F7F326B">
                  <w:pPr>
                    <w:pStyle w:val="70"/>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第三条 项目选址应符合生态环境分区管控要求，不得位于法律法规明令禁止建设的区域，应避开生态保护红线。新建、扩建涉及正极材料前驱体和锂盐制造的建设项目（盐湖资源类锂盐制造项目除外）应布设在依法合规设立的产业园区内，符合园区规划及规划环境影响评价要求。</w:t>
                  </w:r>
                </w:p>
              </w:tc>
              <w:tc>
                <w:tcPr>
                  <w:tcW w:w="2647" w:type="dxa"/>
                  <w:shd w:val="clear" w:color="auto" w:fill="auto"/>
                  <w:vAlign w:val="center"/>
                </w:tcPr>
                <w:p w14:paraId="3D646482">
                  <w:pPr>
                    <w:pStyle w:val="70"/>
                    <w:spacing w:line="240" w:lineRule="auto"/>
                    <w:jc w:val="both"/>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项目位于</w:t>
                  </w:r>
                  <w:r>
                    <w:rPr>
                      <w:rFonts w:hint="eastAsia" w:ascii="Times New Roman" w:hAnsi="Times New Roman" w:eastAsia="宋体" w:cs="Times New Roman"/>
                      <w:color w:val="000000" w:themeColor="text1"/>
                      <w:sz w:val="21"/>
                      <w:szCs w:val="21"/>
                      <w:lang w:eastAsia="zh-CN"/>
                      <w14:textFill>
                        <w14:solidFill>
                          <w14:schemeClr w14:val="tx1"/>
                        </w14:solidFill>
                      </w14:textFill>
                    </w:rPr>
                    <w:t>四川巴中经济开发区</w:t>
                  </w:r>
                  <w:r>
                    <w:rPr>
                      <w:rFonts w:hint="default" w:ascii="Times New Roman" w:hAnsi="Times New Roman" w:eastAsia="宋体" w:cs="Times New Roman"/>
                      <w:color w:val="000000" w:themeColor="text1"/>
                      <w:sz w:val="21"/>
                      <w:szCs w:val="21"/>
                      <w14:textFill>
                        <w14:solidFill>
                          <w14:schemeClr w14:val="tx1"/>
                        </w14:solidFill>
                      </w14:textFill>
                    </w:rPr>
                    <w:t>核心区</w:t>
                  </w:r>
                  <w:r>
                    <w:rPr>
                      <w:rFonts w:hint="eastAsia" w:ascii="Times New Roman" w:hAnsi="Times New Roman" w:eastAsia="宋体" w:cs="Times New Roman"/>
                      <w:color w:val="000000" w:themeColor="text1"/>
                      <w:sz w:val="21"/>
                      <w:szCs w:val="21"/>
                      <w14:textFill>
                        <w14:solidFill>
                          <w14:schemeClr w14:val="tx1"/>
                        </w14:solidFill>
                      </w14:textFill>
                    </w:rPr>
                    <w:t>低空</w:t>
                  </w:r>
                  <w:r>
                    <w:rPr>
                      <w:rFonts w:hint="eastAsia" w:cs="Times New Roman"/>
                      <w:color w:val="000000" w:themeColor="text1"/>
                      <w:sz w:val="21"/>
                      <w:szCs w:val="21"/>
                      <w:lang w:val="en-US" w:eastAsia="zh-CN"/>
                      <w14:textFill>
                        <w14:solidFill>
                          <w14:schemeClr w14:val="tx1"/>
                        </w14:solidFill>
                      </w14:textFill>
                    </w:rPr>
                    <w:t>数字</w:t>
                  </w:r>
                  <w:r>
                    <w:rPr>
                      <w:rFonts w:hint="eastAsia" w:ascii="Times New Roman" w:hAnsi="Times New Roman" w:eastAsia="宋体" w:cs="Times New Roman"/>
                      <w:color w:val="000000" w:themeColor="text1"/>
                      <w:sz w:val="21"/>
                      <w:szCs w:val="21"/>
                      <w14:textFill>
                        <w14:solidFill>
                          <w14:schemeClr w14:val="tx1"/>
                        </w14:solidFill>
                      </w14:textFill>
                    </w:rPr>
                    <w:t>经济产业园</w:t>
                  </w:r>
                  <w:r>
                    <w:rPr>
                      <w:rFonts w:hint="default" w:ascii="Times New Roman" w:hAnsi="Times New Roman" w:eastAsia="宋体" w:cs="Times New Roman"/>
                      <w:color w:val="000000" w:themeColor="text1"/>
                      <w:sz w:val="21"/>
                      <w:szCs w:val="21"/>
                      <w14:textFill>
                        <w14:solidFill>
                          <w14:schemeClr w14:val="tx1"/>
                        </w14:solidFill>
                      </w14:textFill>
                    </w:rPr>
                    <w:t>，符合园区规划及规划环境影响评价要求</w:t>
                  </w:r>
                  <w:r>
                    <w:rPr>
                      <w:rFonts w:hint="eastAsia" w:cs="Times New Roman"/>
                      <w:color w:val="000000" w:themeColor="text1"/>
                      <w:sz w:val="21"/>
                      <w:szCs w:val="21"/>
                      <w:lang w:eastAsia="zh-CN"/>
                      <w14:textFill>
                        <w14:solidFill>
                          <w14:schemeClr w14:val="tx1"/>
                        </w14:solidFill>
                      </w14:textFill>
                    </w:rPr>
                    <w:t>。</w:t>
                  </w:r>
                </w:p>
              </w:tc>
              <w:tc>
                <w:tcPr>
                  <w:tcW w:w="569" w:type="dxa"/>
                  <w:shd w:val="clear" w:color="auto" w:fill="auto"/>
                  <w:vAlign w:val="center"/>
                </w:tcPr>
                <w:p w14:paraId="3032FCF0">
                  <w:pPr>
                    <w:pStyle w:val="70"/>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符合</w:t>
                  </w:r>
                </w:p>
              </w:tc>
            </w:tr>
            <w:tr w14:paraId="797F10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4808" w:type="dxa"/>
                  <w:shd w:val="clear" w:color="auto" w:fill="auto"/>
                  <w:vAlign w:val="center"/>
                </w:tcPr>
                <w:p w14:paraId="1237145F">
                  <w:pPr>
                    <w:pStyle w:val="70"/>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第四条 新建、改建、扩建项目应采用资源利用率高、污染物产生量小的清洁生产技术、工艺和设备，单位产品的能耗、物耗、水耗、资源综合利用和污染物控制等指标应达到行业先进水平。新建锂离子电池制造项目清洁生产指标宜达到《电池行业清洁生产评价指标体系》中国内清洁生产先进水平。</w:t>
                  </w:r>
                </w:p>
              </w:tc>
              <w:tc>
                <w:tcPr>
                  <w:tcW w:w="2647" w:type="dxa"/>
                  <w:shd w:val="clear" w:color="auto" w:fill="auto"/>
                  <w:vAlign w:val="center"/>
                </w:tcPr>
                <w:p w14:paraId="15B0F1D8">
                  <w:pPr>
                    <w:pStyle w:val="70"/>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项目采用国内先进的生产工艺、设备及污染治理水平，能耗、物耗与水耗等均能达到国内同类企业先进水平</w:t>
                  </w:r>
                  <w:r>
                    <w:rPr>
                      <w:rFonts w:hint="eastAsia" w:ascii="Times New Roman" w:hAnsi="Times New Roman" w:eastAsia="宋体" w:cs="Times New Roman"/>
                      <w:color w:val="000000" w:themeColor="text1"/>
                      <w:sz w:val="21"/>
                      <w:szCs w:val="21"/>
                      <w:lang w:eastAsia="zh-CN"/>
                      <w14:textFill>
                        <w14:solidFill>
                          <w14:schemeClr w14:val="tx1"/>
                        </w14:solidFill>
                      </w14:textFill>
                    </w:rPr>
                    <w:t>（</w:t>
                  </w:r>
                  <w:r>
                    <w:rPr>
                      <w:rFonts w:hint="default" w:ascii="Times New Roman" w:hAnsi="Times New Roman" w:cs="Times New Roman"/>
                      <w:color w:val="000000" w:themeColor="text1"/>
                      <w:sz w:val="21"/>
                      <w:szCs w:val="21"/>
                      <w:lang w:eastAsia="zh-CN"/>
                      <w14:textFill>
                        <w14:solidFill>
                          <w14:schemeClr w14:val="tx1"/>
                        </w14:solidFill>
                      </w14:textFill>
                    </w:rPr>
                    <w:t>Ⅱ</w:t>
                  </w:r>
                  <w:r>
                    <w:rPr>
                      <w:rFonts w:hint="eastAsia" w:cs="Times New Roman"/>
                      <w:color w:val="000000" w:themeColor="text1"/>
                      <w:sz w:val="21"/>
                      <w:szCs w:val="21"/>
                      <w:lang w:eastAsia="zh-CN"/>
                      <w14:textFill>
                        <w14:solidFill>
                          <w14:schemeClr w14:val="tx1"/>
                        </w14:solidFill>
                      </w14:textFill>
                    </w:rPr>
                    <w:t>级</w:t>
                  </w:r>
                  <w:r>
                    <w:rPr>
                      <w:rFonts w:hint="eastAsia" w:ascii="Times New Roman" w:hAnsi="Times New Roman" w:eastAsia="宋体" w:cs="Times New Roman"/>
                      <w:color w:val="000000" w:themeColor="text1"/>
                      <w:sz w:val="21"/>
                      <w:szCs w:val="21"/>
                      <w:lang w:eastAsia="zh-CN"/>
                      <w14:textFill>
                        <w14:solidFill>
                          <w14:schemeClr w14:val="tx1"/>
                        </w14:solidFill>
                      </w14:textFill>
                    </w:rPr>
                    <w:t>）</w:t>
                  </w:r>
                  <w:r>
                    <w:rPr>
                      <w:rFonts w:hint="eastAsia" w:cs="Times New Roman"/>
                      <w:color w:val="000000" w:themeColor="text1"/>
                      <w:sz w:val="21"/>
                      <w:szCs w:val="21"/>
                      <w:lang w:eastAsia="zh-CN"/>
                      <w14:textFill>
                        <w14:solidFill>
                          <w14:schemeClr w14:val="tx1"/>
                        </w14:solidFill>
                      </w14:textFill>
                    </w:rPr>
                    <w:t>。</w:t>
                  </w:r>
                </w:p>
              </w:tc>
              <w:tc>
                <w:tcPr>
                  <w:tcW w:w="569" w:type="dxa"/>
                  <w:shd w:val="clear" w:color="auto" w:fill="auto"/>
                  <w:vAlign w:val="center"/>
                </w:tcPr>
                <w:p w14:paraId="4913ED7F">
                  <w:pPr>
                    <w:pStyle w:val="70"/>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符合</w:t>
                  </w:r>
                </w:p>
              </w:tc>
            </w:tr>
            <w:tr w14:paraId="7E788B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4808" w:type="dxa"/>
                  <w:shd w:val="clear" w:color="auto" w:fill="auto"/>
                  <w:vAlign w:val="center"/>
                </w:tcPr>
                <w:p w14:paraId="05423109">
                  <w:pPr>
                    <w:pStyle w:val="70"/>
                    <w:numPr>
                      <w:ilvl w:val="0"/>
                      <w:numId w:val="3"/>
                    </w:numPr>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项目应根据工程内容、原辅材料性质、工艺流程情况配备高效的除尘、脱硫、脱硝以及特征污染物治理设施，依据废气特征等合理选择治理技术。</w:t>
                  </w:r>
                </w:p>
                <w:p w14:paraId="1B8FF679">
                  <w:pPr>
                    <w:pStyle w:val="70"/>
                    <w:numPr>
                      <w:ilvl w:val="0"/>
                      <w:numId w:val="0"/>
                    </w:numPr>
                    <w:spacing w:line="240" w:lineRule="auto"/>
                    <w:jc w:val="both"/>
                    <w:rPr>
                      <w:rFonts w:hint="eastAsia" w:ascii="宋体" w:hAnsi="宋体" w:eastAsia="宋体" w:cs="宋体"/>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锂离子电池涂布、极片烘烤工序应配备N-甲基吡咯烷酮</w:t>
                  </w:r>
                  <w:r>
                    <w:rPr>
                      <w:rFonts w:hint="eastAsia" w:cs="Times New Roman"/>
                      <w:color w:val="000000" w:themeColor="text1"/>
                      <w:sz w:val="21"/>
                      <w:szCs w:val="21"/>
                      <w:lang w:eastAsia="zh-CN"/>
                      <w14:textFill>
                        <w14:solidFill>
                          <w14:schemeClr w14:val="tx1"/>
                        </w14:solidFill>
                      </w14:textFill>
                    </w:rPr>
                    <w:t>（</w:t>
                  </w:r>
                  <w:r>
                    <w:rPr>
                      <w:rFonts w:hint="default" w:ascii="Times New Roman" w:hAnsi="Times New Roman" w:eastAsia="宋体" w:cs="Times New Roman"/>
                      <w:color w:val="000000" w:themeColor="text1"/>
                      <w:sz w:val="21"/>
                      <w:szCs w:val="21"/>
                      <w14:textFill>
                        <w14:solidFill>
                          <w14:schemeClr w14:val="tx1"/>
                        </w14:solidFill>
                      </w14:textFill>
                    </w:rPr>
                    <w:t>NMP</w:t>
                  </w:r>
                  <w:r>
                    <w:rPr>
                      <w:rFonts w:hint="eastAsia" w:cs="Times New Roman"/>
                      <w:color w:val="000000" w:themeColor="text1"/>
                      <w:sz w:val="21"/>
                      <w:szCs w:val="21"/>
                      <w:lang w:eastAsia="zh-CN"/>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回收装置，设置挥发</w:t>
                  </w:r>
                  <w:r>
                    <w:rPr>
                      <w:rFonts w:hint="default" w:ascii="Times New Roman" w:hAnsi="Times New Roman" w:eastAsia="宋体" w:cs="Times New Roman"/>
                      <w:color w:val="000000" w:themeColor="text1"/>
                      <w:sz w:val="21"/>
                      <w:szCs w:val="21"/>
                      <w14:textFill>
                        <w14:solidFill>
                          <w14:schemeClr w14:val="tx1"/>
                        </w14:solidFill>
                      </w14:textFill>
                    </w:rPr>
                    <w:t>性有机物吸附或燃烧等装置，排</w:t>
                  </w:r>
                  <w:r>
                    <w:rPr>
                      <w:rFonts w:hint="eastAsia" w:ascii="宋体" w:hAnsi="宋体" w:eastAsia="宋体" w:cs="宋体"/>
                      <w:color w:val="000000" w:themeColor="text1"/>
                      <w:sz w:val="21"/>
                      <w:szCs w:val="21"/>
                      <w14:textFill>
                        <w14:solidFill>
                          <w14:schemeClr w14:val="tx1"/>
                        </w14:solidFill>
                      </w14:textFill>
                    </w:rPr>
                    <w:t>放的废气污染物应符合《电池工业污染物排放标准》</w:t>
                  </w:r>
                  <w:r>
                    <w:rPr>
                      <w:rFonts w:hint="eastAsia" w:ascii="宋体" w:hAnsi="宋体" w:cs="宋体"/>
                      <w:color w:val="000000" w:themeColor="text1"/>
                      <w:sz w:val="21"/>
                      <w:szCs w:val="21"/>
                      <w:lang w:eastAsia="zh-CN"/>
                      <w14:textFill>
                        <w14:solidFill>
                          <w14:schemeClr w14:val="tx1"/>
                        </w14:solidFill>
                      </w14:textFill>
                    </w:rPr>
                    <w:t>（</w:t>
                  </w:r>
                  <w:r>
                    <w:rPr>
                      <w:rFonts w:hint="default" w:ascii="Times New Roman" w:hAnsi="Times New Roman" w:eastAsia="宋体" w:cs="Times New Roman"/>
                      <w:color w:val="000000" w:themeColor="text1"/>
                      <w:sz w:val="21"/>
                      <w:szCs w:val="21"/>
                      <w14:textFill>
                        <w14:solidFill>
                          <w14:schemeClr w14:val="tx1"/>
                        </w14:solidFill>
                      </w14:textFill>
                    </w:rPr>
                    <w:t>GB30484</w:t>
                  </w:r>
                  <w:r>
                    <w:rPr>
                      <w:rFonts w:hint="eastAsia" w:cs="Times New Roman"/>
                      <w:color w:val="000000" w:themeColor="text1"/>
                      <w:sz w:val="21"/>
                      <w:szCs w:val="21"/>
                      <w:lang w:eastAsia="zh-CN"/>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要求。</w:t>
                  </w:r>
                </w:p>
                <w:p w14:paraId="2181D26E">
                  <w:pPr>
                    <w:pStyle w:val="70"/>
                    <w:numPr>
                      <w:ilvl w:val="0"/>
                      <w:numId w:val="0"/>
                    </w:numPr>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正极材料制造涉及氨、硫酸雾、磷酸雾排放的应配备吸收、洗涤装置。以锂辉石、锂云母、锂渣等为原料进行焙烧生产锂盐及其他中间产品的，焙烧烟气净化装置应具备去除氟化物</w:t>
                  </w:r>
                  <w:r>
                    <w:rPr>
                      <w:rFonts w:hint="eastAsia" w:ascii="宋体" w:hAnsi="宋体" w:cs="宋体"/>
                      <w:color w:val="000000" w:themeColor="text1"/>
                      <w:sz w:val="21"/>
                      <w:szCs w:val="21"/>
                      <w:lang w:eastAsia="zh-CN"/>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锂云母类</w:t>
                  </w:r>
                  <w:r>
                    <w:rPr>
                      <w:rFonts w:hint="eastAsia" w:ascii="宋体" w:hAnsi="宋体" w:cs="宋体"/>
                      <w:color w:val="000000" w:themeColor="text1"/>
                      <w:sz w:val="21"/>
                      <w:szCs w:val="21"/>
                      <w:lang w:eastAsia="zh-CN"/>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w:t>
                  </w:r>
                  <w:r>
                    <w:rPr>
                      <w:rFonts w:hint="default" w:ascii="Times New Roman" w:hAnsi="Times New Roman" w:eastAsia="宋体" w:cs="Times New Roman"/>
                      <w:color w:val="000000" w:themeColor="text1"/>
                      <w:sz w:val="21"/>
                      <w:szCs w:val="21"/>
                      <w14:textFill>
                        <w14:solidFill>
                          <w14:schemeClr w14:val="tx1"/>
                        </w14:solidFill>
                      </w14:textFill>
                    </w:rPr>
                    <w:t>重金属等污染物的功能，硫酸酸化焙烧等工序还应配备酸雾吸</w:t>
                  </w:r>
                  <w:r>
                    <w:rPr>
                      <w:rFonts w:hint="eastAsia" w:ascii="宋体" w:hAnsi="宋体" w:eastAsia="宋体" w:cs="宋体"/>
                      <w:color w:val="000000" w:themeColor="text1"/>
                      <w:sz w:val="21"/>
                      <w:szCs w:val="21"/>
                      <w14:textFill>
                        <w14:solidFill>
                          <w14:schemeClr w14:val="tx1"/>
                        </w14:solidFill>
                      </w14:textFill>
                    </w:rPr>
                    <w:t>收装置。锂盐制造和正极材料制造项目排放的废气污染物应符合《无机化学工业污染物排放标准》</w:t>
                  </w:r>
                  <w:r>
                    <w:rPr>
                      <w:rFonts w:hint="eastAsia" w:ascii="宋体" w:hAnsi="宋体" w:cs="宋体"/>
                      <w:color w:val="000000" w:themeColor="text1"/>
                      <w:sz w:val="21"/>
                      <w:szCs w:val="21"/>
                      <w:lang w:eastAsia="zh-CN"/>
                      <w14:textFill>
                        <w14:solidFill>
                          <w14:schemeClr w14:val="tx1"/>
                        </w14:solidFill>
                      </w14:textFill>
                    </w:rPr>
                    <w:t>（</w:t>
                  </w:r>
                  <w:r>
                    <w:rPr>
                      <w:rFonts w:hint="default" w:ascii="Times New Roman" w:hAnsi="Times New Roman" w:eastAsia="宋体" w:cs="Times New Roman"/>
                      <w:color w:val="000000" w:themeColor="text1"/>
                      <w:sz w:val="21"/>
                      <w:szCs w:val="21"/>
                      <w14:textFill>
                        <w14:solidFill>
                          <w14:schemeClr w14:val="tx1"/>
                        </w14:solidFill>
                      </w14:textFill>
                    </w:rPr>
                    <w:t>GB31573</w:t>
                  </w:r>
                  <w:r>
                    <w:rPr>
                      <w:rFonts w:hint="eastAsia" w:cs="Times New Roman"/>
                      <w:color w:val="000000" w:themeColor="text1"/>
                      <w:sz w:val="21"/>
                      <w:szCs w:val="21"/>
                      <w:lang w:eastAsia="zh-CN"/>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要求。</w:t>
                  </w:r>
                </w:p>
                <w:p w14:paraId="63ECA83E">
                  <w:pPr>
                    <w:pStyle w:val="70"/>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负极材料制造涉及使用沥青物料的应设置沥青烟、苯并[a]花、挥发性有机物治理设施，采用吸附或燃烧等方法处理；包覆、炭化、石墨化工序应配备高效烟气收集系统及除尘设施，并根据原燃料类型、填充物料含硫量及烟气特征设置必要的脱硫、脱硝设施。……石墨类负极材料制造项目炉窑烟气执行《工业炉窑大气污染物排放标准》（GB9078），其他环节废气执行《大气污染物综合排放标准》（GB16297）要求。</w:t>
                  </w:r>
                </w:p>
                <w:p w14:paraId="3BEC805D">
                  <w:pPr>
                    <w:pStyle w:val="70"/>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涉及使用VOCs物料的，厂区内挥发性有机物无组织排放控制还应符合《挥发性有机物无组织排放控制标准》（GB37822）相关要求。大气环境防护距离范围内不应有居民区、学校、医院等环境敏感目标。有地方污染物排放标准的，废气排放还应符合地方标准要求。</w:t>
                  </w:r>
                </w:p>
              </w:tc>
              <w:tc>
                <w:tcPr>
                  <w:tcW w:w="2647" w:type="dxa"/>
                  <w:shd w:val="clear" w:color="auto" w:fill="auto"/>
                  <w:vAlign w:val="center"/>
                </w:tcPr>
                <w:p w14:paraId="20E242DB">
                  <w:pPr>
                    <w:pStyle w:val="7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cs="Times New Roman"/>
                      <w:color w:val="000000" w:themeColor="text1"/>
                      <w:sz w:val="21"/>
                      <w:szCs w:val="21"/>
                      <w:lang w:val="en-US" w:eastAsia="zh-CN"/>
                      <w14:textFill>
                        <w14:solidFill>
                          <w14:schemeClr w14:val="tx1"/>
                        </w14:solidFill>
                      </w14:textFill>
                    </w:rPr>
                    <w:t>项目</w:t>
                  </w:r>
                  <w:r>
                    <w:rPr>
                      <w:rFonts w:hint="default" w:ascii="Times New Roman" w:hAnsi="Times New Roman" w:cs="Times New Roman"/>
                      <w:color w:val="000000" w:themeColor="text1"/>
                      <w:sz w:val="21"/>
                      <w:szCs w:val="21"/>
                      <w:lang w:val="en-US" w:eastAsia="zh-CN"/>
                      <w14:textFill>
                        <w14:solidFill>
                          <w14:schemeClr w14:val="tx1"/>
                        </w14:solidFill>
                      </w14:textFill>
                    </w:rPr>
                    <w:t>生产车间均密闭，</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项目涂布烘干工序产生的NMP废气经NMP回收处理装置（TA00</w:t>
                  </w:r>
                  <w:r>
                    <w:rPr>
                      <w:rFonts w:hint="eastAsia" w:cs="Times New Roman"/>
                      <w:color w:val="000000" w:themeColor="text1"/>
                      <w:sz w:val="21"/>
                      <w:szCs w:val="21"/>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）处理后通过1根</w:t>
                  </w:r>
                  <w:r>
                    <w:rPr>
                      <w:rFonts w:hint="eastAsia" w:cs="Times New Roman"/>
                      <w:color w:val="000000" w:themeColor="text1"/>
                      <w:sz w:val="21"/>
                      <w:szCs w:val="21"/>
                      <w:lang w:val="en-US" w:eastAsia="zh-CN"/>
                      <w14:textFill>
                        <w14:solidFill>
                          <w14:schemeClr w14:val="tx1"/>
                        </w14:solidFill>
                      </w14:textFill>
                    </w:rPr>
                    <w:t>25</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m高排气筒（DA001）排放；电解液注液、</w:t>
                  </w:r>
                  <w:r>
                    <w:rPr>
                      <w:rFonts w:hint="eastAsia" w:cs="Times New Roman"/>
                      <w:color w:val="000000" w:themeColor="text1"/>
                      <w:sz w:val="21"/>
                      <w:szCs w:val="21"/>
                      <w:lang w:val="en-US" w:eastAsia="zh-CN"/>
                      <w14:textFill>
                        <w14:solidFill>
                          <w14:schemeClr w14:val="tx1"/>
                        </w14:solidFill>
                      </w14:textFill>
                    </w:rPr>
                    <w:t>二封、电池拆解等工序产生的有机废气</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经集气管道引至二级活性炭吸附装置（TA00</w:t>
                  </w:r>
                  <w:r>
                    <w:rPr>
                      <w:rFonts w:hint="eastAsia" w:cs="Times New Roman"/>
                      <w:color w:val="000000" w:themeColor="text1"/>
                      <w:sz w:val="21"/>
                      <w:szCs w:val="21"/>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）处理后，一根</w:t>
                  </w:r>
                  <w:r>
                    <w:rPr>
                      <w:rFonts w:hint="eastAsia" w:cs="Times New Roman"/>
                      <w:color w:val="000000" w:themeColor="text1"/>
                      <w:sz w:val="21"/>
                      <w:szCs w:val="21"/>
                      <w:lang w:val="en-US" w:eastAsia="zh-CN"/>
                      <w14:textFill>
                        <w14:solidFill>
                          <w14:schemeClr w14:val="tx1"/>
                        </w14:solidFill>
                      </w14:textFill>
                    </w:rPr>
                    <w:t>25</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m排气筒（DA002）排放</w:t>
                  </w:r>
                  <w:r>
                    <w:rPr>
                      <w:rFonts w:hint="eastAsia" w:cs="Times New Roman"/>
                      <w:color w:val="000000" w:themeColor="text1"/>
                      <w:sz w:val="21"/>
                      <w:szCs w:val="21"/>
                      <w:lang w:val="en-US" w:eastAsia="zh-CN"/>
                      <w14:textFill>
                        <w14:solidFill>
                          <w14:schemeClr w14:val="tx1"/>
                        </w14:solidFill>
                      </w14:textFill>
                    </w:rPr>
                    <w:t>。</w:t>
                  </w:r>
                </w:p>
              </w:tc>
              <w:tc>
                <w:tcPr>
                  <w:tcW w:w="569" w:type="dxa"/>
                  <w:shd w:val="clear" w:color="auto" w:fill="auto"/>
                  <w:vAlign w:val="center"/>
                </w:tcPr>
                <w:p w14:paraId="54085977">
                  <w:pPr>
                    <w:pStyle w:val="7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符合</w:t>
                  </w:r>
                </w:p>
              </w:tc>
            </w:tr>
            <w:tr w14:paraId="4225DE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4808" w:type="dxa"/>
                  <w:shd w:val="clear" w:color="auto" w:fill="auto"/>
                  <w:vAlign w:val="center"/>
                </w:tcPr>
                <w:p w14:paraId="503BF498">
                  <w:pPr>
                    <w:pStyle w:val="70"/>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第六条 鼓励将温室气体排放纳入建设项目环境影响评价，核算项目温室气体排放量，推进减污降碳协同增效，推动减碳技术创新示范应用。优先采用电、天然气等清洁能源或新能源加热方式，鼓励高温烟气余热回收。</w:t>
                  </w:r>
                </w:p>
              </w:tc>
              <w:tc>
                <w:tcPr>
                  <w:tcW w:w="2647" w:type="dxa"/>
                  <w:shd w:val="clear" w:color="auto" w:fill="auto"/>
                  <w:vAlign w:val="center"/>
                </w:tcPr>
                <w:p w14:paraId="60C2B369">
                  <w:pPr>
                    <w:pStyle w:val="7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项目采用电</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能</w:t>
                  </w:r>
                  <w:r>
                    <w:rPr>
                      <w:rFonts w:hint="default" w:ascii="Times New Roman" w:hAnsi="Times New Roman" w:eastAsia="宋体" w:cs="Times New Roman"/>
                      <w:color w:val="000000" w:themeColor="text1"/>
                      <w:sz w:val="21"/>
                      <w:szCs w:val="21"/>
                      <w14:textFill>
                        <w14:solidFill>
                          <w14:schemeClr w14:val="tx1"/>
                        </w14:solidFill>
                      </w14:textFill>
                    </w:rPr>
                    <w:t>。</w:t>
                  </w:r>
                </w:p>
              </w:tc>
              <w:tc>
                <w:tcPr>
                  <w:tcW w:w="569" w:type="dxa"/>
                  <w:shd w:val="clear" w:color="auto" w:fill="auto"/>
                  <w:vAlign w:val="center"/>
                </w:tcPr>
                <w:p w14:paraId="6CF1D28C">
                  <w:pPr>
                    <w:pStyle w:val="7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符合</w:t>
                  </w:r>
                </w:p>
              </w:tc>
            </w:tr>
            <w:tr w14:paraId="33EA91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4808" w:type="dxa"/>
                  <w:shd w:val="clear" w:color="auto" w:fill="auto"/>
                  <w:vAlign w:val="center"/>
                </w:tcPr>
                <w:p w14:paraId="19C9699D">
                  <w:pPr>
                    <w:pStyle w:val="70"/>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第七条 做好清污分流、雨污分流、分类收集、分质处理。生产废水优先回用，污染雨水收集处理。</w:t>
                  </w:r>
                </w:p>
                <w:p w14:paraId="715553BC">
                  <w:pPr>
                    <w:pStyle w:val="70"/>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含盐废水应根据来水水质和排水去向，有针对性设置具备脱氮、脱盐、除氟（锂云母类）、除重金属等功能的处理设施。严禁生产废水未经有效处理直接排入城镇污水收集处理系统。锂离子电池制造项目废水排放执行《电池工业污染物排放标准》（GB30484）要求；锂盐制造、正极材料制造、钛酸锂负极材料制造等项目排放的废水污染物应符合《无机化学工业污染物排放标准》（GB31573）要求；石墨类负极材料制造等执行《污水综合排放标准》（GB8978）相关要求。有地方污染物排放标准的，废水排放还应符合地方标准要求。</w:t>
                  </w:r>
                </w:p>
              </w:tc>
              <w:tc>
                <w:tcPr>
                  <w:tcW w:w="2647" w:type="dxa"/>
                  <w:shd w:val="clear" w:color="auto" w:fill="auto"/>
                  <w:vAlign w:val="center"/>
                </w:tcPr>
                <w:p w14:paraId="51D70003">
                  <w:pPr>
                    <w:pStyle w:val="15"/>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项目排水实行</w:t>
                  </w:r>
                  <w:r>
                    <w:rPr>
                      <w:rFonts w:hint="eastAsia" w:ascii="Times New Roman" w:hAnsi="Times New Roman" w:eastAsia="宋体" w:cs="Times New Roman"/>
                      <w:color w:val="000000" w:themeColor="text1"/>
                      <w:sz w:val="21"/>
                      <w:szCs w:val="21"/>
                      <w:lang w:eastAsia="zh-CN"/>
                      <w14:textFill>
                        <w14:solidFill>
                          <w14:schemeClr w14:val="tx1"/>
                        </w14:solidFill>
                      </w14:textFill>
                    </w:rPr>
                    <w:t>“</w:t>
                  </w:r>
                  <w:r>
                    <w:rPr>
                      <w:rFonts w:hint="default" w:ascii="Times New Roman" w:hAnsi="Times New Roman" w:eastAsia="宋体" w:cs="Times New Roman"/>
                      <w:color w:val="000000" w:themeColor="text1"/>
                      <w:sz w:val="21"/>
                      <w:szCs w:val="21"/>
                      <w14:textFill>
                        <w14:solidFill>
                          <w14:schemeClr w14:val="tx1"/>
                        </w14:solidFill>
                      </w14:textFill>
                    </w:rPr>
                    <w:t>雨污分流、分类收集、分质处理</w:t>
                  </w:r>
                  <w:r>
                    <w:rPr>
                      <w:rFonts w:hint="eastAsia" w:ascii="Times New Roman" w:hAnsi="Times New Roman" w:eastAsia="宋体" w:cs="Times New Roman"/>
                      <w:color w:val="000000" w:themeColor="text1"/>
                      <w:sz w:val="21"/>
                      <w:szCs w:val="21"/>
                      <w:lang w:eastAsia="zh-CN"/>
                      <w14:textFill>
                        <w14:solidFill>
                          <w14:schemeClr w14:val="tx1"/>
                        </w14:solidFill>
                      </w14:textFill>
                    </w:rPr>
                    <w:t>”</w:t>
                  </w:r>
                  <w:r>
                    <w:rPr>
                      <w:rFonts w:hint="default" w:ascii="Times New Roman" w:hAnsi="Times New Roman" w:eastAsia="宋体" w:cs="Times New Roman"/>
                      <w:color w:val="000000" w:themeColor="text1"/>
                      <w:sz w:val="21"/>
                      <w:szCs w:val="21"/>
                      <w14:textFill>
                        <w14:solidFill>
                          <w14:schemeClr w14:val="tx1"/>
                        </w14:solidFill>
                      </w14:textFill>
                    </w:rPr>
                    <w:t>。项目</w:t>
                  </w:r>
                  <w:r>
                    <w:rPr>
                      <w:rFonts w:hint="eastAsia" w:cs="Times New Roman"/>
                      <w:color w:val="000000" w:themeColor="text1"/>
                      <w:sz w:val="21"/>
                      <w:szCs w:val="21"/>
                      <w:lang w:val="en-US" w:eastAsia="zh-CN"/>
                      <w14:textFill>
                        <w14:solidFill>
                          <w14:schemeClr w14:val="tx1"/>
                        </w14:solidFill>
                      </w14:textFill>
                    </w:rPr>
                    <w:t>生产废水经厂区污水处理设施处理后同生活污水及纯水制备浓水、反冲洗水、空压冷凝水排入厂区预处理池处理</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达到《电池工业污染物排放标准》（GB 30484-2013）表2中</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间接排放</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t>及满足污水处理厂进水水质要求</w:t>
                  </w:r>
                  <w:r>
                    <w:rPr>
                      <w:rFonts w:hint="default" w:ascii="Times New Roman" w:hAnsi="Times New Roman" w:eastAsia="宋体" w:cs="Times New Roman"/>
                      <w:color w:val="000000" w:themeColor="text1"/>
                      <w:sz w:val="21"/>
                      <w:szCs w:val="21"/>
                      <w14:textFill>
                        <w14:solidFill>
                          <w14:schemeClr w14:val="tx1"/>
                        </w14:solidFill>
                      </w14:textFill>
                    </w:rPr>
                    <w:t>，最终进入</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园区</w:t>
                  </w:r>
                  <w:r>
                    <w:rPr>
                      <w:rFonts w:hint="default" w:ascii="Times New Roman" w:hAnsi="Times New Roman" w:eastAsia="宋体" w:cs="Times New Roman"/>
                      <w:color w:val="000000" w:themeColor="text1"/>
                      <w:sz w:val="21"/>
                      <w:szCs w:val="21"/>
                      <w14:textFill>
                        <w14:solidFill>
                          <w14:schemeClr w14:val="tx1"/>
                        </w14:solidFill>
                      </w14:textFill>
                    </w:rPr>
                    <w:t>污水处理厂处理。</w:t>
                  </w:r>
                </w:p>
              </w:tc>
              <w:tc>
                <w:tcPr>
                  <w:tcW w:w="569" w:type="dxa"/>
                  <w:shd w:val="clear" w:color="auto" w:fill="auto"/>
                  <w:vAlign w:val="center"/>
                </w:tcPr>
                <w:p w14:paraId="7B56D274">
                  <w:pPr>
                    <w:pStyle w:val="7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符合</w:t>
                  </w:r>
                </w:p>
              </w:tc>
            </w:tr>
            <w:tr w14:paraId="671696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4808" w:type="dxa"/>
                  <w:shd w:val="clear" w:color="auto" w:fill="auto"/>
                  <w:vAlign w:val="center"/>
                </w:tcPr>
                <w:p w14:paraId="15A595C9">
                  <w:pPr>
                    <w:pStyle w:val="70"/>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第八条 土壤及地下水污染防治应坚持源头控制、分区防控、跟踪监测和应急响应的防控原则。项目应对涉及有毒有害物质生产、使用、贮存、运输、回收、处置、排放的装置、设备设施及场所，提出防腐蚀、防渗漏、防流失、防扬散等土壤和地下水污染防治具体措施，并根据环境保护目标的敏感程度、项目平面布局、水文地质条件等采取分区防渗措施，提出有效的土壤、地下水监控和应急方案，避免污染土壤和地下水。对于可能受影响的地下水环境敏感目标，应提出保护措施；涉及饮用水功能的，强化地下水环境保护措施，确保饮用水安全。涉及土壤污染重点监管单位的新建、改建、扩建项目，需提出土壤污染隐患排查、土壤和地下水自行监测相关要求。</w:t>
                  </w:r>
                </w:p>
              </w:tc>
              <w:tc>
                <w:tcPr>
                  <w:tcW w:w="2647" w:type="dxa"/>
                  <w:shd w:val="clear" w:color="auto" w:fill="auto"/>
                  <w:vAlign w:val="center"/>
                </w:tcPr>
                <w:p w14:paraId="7DDA5B06">
                  <w:pPr>
                    <w:pStyle w:val="7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项目根据《环境影响评价技术导则 地下水环境》（HJ610-2016）防渗分区原则，将项目区域划分为重点防渗区、一般防渗区。</w:t>
                  </w:r>
                </w:p>
              </w:tc>
              <w:tc>
                <w:tcPr>
                  <w:tcW w:w="569" w:type="dxa"/>
                  <w:shd w:val="clear" w:color="auto" w:fill="auto"/>
                  <w:vAlign w:val="center"/>
                </w:tcPr>
                <w:p w14:paraId="78FE87BA">
                  <w:pPr>
                    <w:pStyle w:val="7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符合</w:t>
                  </w:r>
                </w:p>
              </w:tc>
            </w:tr>
            <w:tr w14:paraId="205DA7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4808" w:type="dxa"/>
                  <w:shd w:val="clear" w:color="auto" w:fill="auto"/>
                  <w:vAlign w:val="center"/>
                </w:tcPr>
                <w:p w14:paraId="41668E77">
                  <w:pPr>
                    <w:pStyle w:val="70"/>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第九条 按照减量化、资源化、无害化原则，妥善处理处置固体废物。NMP废液、废浆料等应严格管理，规范其收集、贮存、资源化利用等过程各项环境管理要求；废水处理产生的结晶盐作为副产品外售的应满足适用的产品质量标准要求；鼓励锂渣综合利用，无法综合利用的明确处理或处置去向，属于危险废物的应落实危险废物相关管理要求。固体废物贮存和处置应符合《危险废物贮存污染控制标准》（GB18597）、《危险废物填埋污染控制标准》（GB18598）、《一般工业固体废物贮存和填埋污染控制标准》（GB18599）；《危险废物焚烧污染控制标准》（GB18484）等相关要求。</w:t>
                  </w:r>
                </w:p>
              </w:tc>
              <w:tc>
                <w:tcPr>
                  <w:tcW w:w="2647" w:type="dxa"/>
                  <w:shd w:val="clear" w:color="auto" w:fill="auto"/>
                  <w:vAlign w:val="center"/>
                </w:tcPr>
                <w:p w14:paraId="591BB82A">
                  <w:pPr>
                    <w:pStyle w:val="7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项目严格按照</w:t>
                  </w:r>
                  <w:r>
                    <w:rPr>
                      <w:rFonts w:hint="eastAsia" w:ascii="Times New Roman" w:hAnsi="Times New Roman" w:eastAsia="宋体" w:cs="Times New Roman"/>
                      <w:color w:val="000000" w:themeColor="text1"/>
                      <w:sz w:val="21"/>
                      <w:szCs w:val="21"/>
                      <w:lang w:eastAsia="zh-CN"/>
                      <w14:textFill>
                        <w14:solidFill>
                          <w14:schemeClr w14:val="tx1"/>
                        </w14:solidFill>
                      </w14:textFill>
                    </w:rPr>
                    <w:t>“</w:t>
                  </w:r>
                  <w:r>
                    <w:rPr>
                      <w:rFonts w:hint="default" w:ascii="Times New Roman" w:hAnsi="Times New Roman" w:eastAsia="宋体" w:cs="Times New Roman"/>
                      <w:color w:val="000000" w:themeColor="text1"/>
                      <w:sz w:val="21"/>
                      <w:szCs w:val="21"/>
                      <w14:textFill>
                        <w14:solidFill>
                          <w14:schemeClr w14:val="tx1"/>
                        </w14:solidFill>
                      </w14:textFill>
                    </w:rPr>
                    <w:t>减量化、资源化、无害化</w:t>
                  </w:r>
                  <w:r>
                    <w:rPr>
                      <w:rFonts w:hint="eastAsia" w:ascii="Times New Roman" w:hAnsi="Times New Roman" w:eastAsia="宋体" w:cs="Times New Roman"/>
                      <w:color w:val="000000" w:themeColor="text1"/>
                      <w:sz w:val="21"/>
                      <w:szCs w:val="21"/>
                      <w:lang w:eastAsia="zh-CN"/>
                      <w14:textFill>
                        <w14:solidFill>
                          <w14:schemeClr w14:val="tx1"/>
                        </w14:solidFill>
                      </w14:textFill>
                    </w:rPr>
                    <w:t>”</w:t>
                  </w:r>
                  <w:r>
                    <w:rPr>
                      <w:rFonts w:hint="default" w:ascii="Times New Roman" w:hAnsi="Times New Roman" w:eastAsia="宋体" w:cs="Times New Roman"/>
                      <w:color w:val="000000" w:themeColor="text1"/>
                      <w:sz w:val="21"/>
                      <w:szCs w:val="21"/>
                      <w14:textFill>
                        <w14:solidFill>
                          <w14:schemeClr w14:val="tx1"/>
                        </w14:solidFill>
                      </w14:textFill>
                    </w:rPr>
                    <w:t>原则，对项目产生的固废分类收集、处置；固废暂存严格按照《一般工业固体废物贮存和填埋污染控制标准》（GB18599-2020）、《危险废物贮存污染控制标准》（GB18597-2023）执行。</w:t>
                  </w:r>
                </w:p>
              </w:tc>
              <w:tc>
                <w:tcPr>
                  <w:tcW w:w="569" w:type="dxa"/>
                  <w:shd w:val="clear" w:color="auto" w:fill="auto"/>
                  <w:vAlign w:val="center"/>
                </w:tcPr>
                <w:p w14:paraId="278F6D3A">
                  <w:pPr>
                    <w:pStyle w:val="7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符合</w:t>
                  </w:r>
                </w:p>
              </w:tc>
            </w:tr>
            <w:tr w14:paraId="3360EB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4808" w:type="dxa"/>
                  <w:shd w:val="clear" w:color="auto" w:fill="auto"/>
                  <w:vAlign w:val="center"/>
                </w:tcPr>
                <w:p w14:paraId="1DAAED3A">
                  <w:pPr>
                    <w:pStyle w:val="70"/>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第十条 优化厂区平面布置，优先选择低噪声设备和工艺，采取减振、隔声、消声等措施有效控制噪声污染。加强厂区内固定设备、运输工具、货物装卸等噪声源管理，同时避免突发噪声扰民。厂界噪声应满足《工业企业厂界环境噪声排放标准》（GB12348）要求。位于噪声敏感建筑物集中区域的改建、扩建项目，应强化噪声污染防治措施，进一步降低噪声影响。</w:t>
                  </w:r>
                </w:p>
              </w:tc>
              <w:tc>
                <w:tcPr>
                  <w:tcW w:w="2647" w:type="dxa"/>
                  <w:shd w:val="clear" w:color="auto" w:fill="auto"/>
                  <w:vAlign w:val="center"/>
                </w:tcPr>
                <w:p w14:paraId="776D181D">
                  <w:pPr>
                    <w:pStyle w:val="70"/>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根据总平面布置图可知，项目主要生产设备位于生产车间内部，远离了厂界，同时采取减振、隔声、消声等措施后，厂界噪声可满足《工业企业厂界环境噪声排放标准》（GB12348-2008）3类标准。</w:t>
                  </w:r>
                </w:p>
              </w:tc>
              <w:tc>
                <w:tcPr>
                  <w:tcW w:w="569" w:type="dxa"/>
                  <w:shd w:val="clear" w:color="auto" w:fill="auto"/>
                  <w:vAlign w:val="center"/>
                </w:tcPr>
                <w:p w14:paraId="53A73572">
                  <w:pPr>
                    <w:pStyle w:val="70"/>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符合</w:t>
                  </w:r>
                </w:p>
              </w:tc>
            </w:tr>
          </w:tbl>
          <w:p w14:paraId="07E17568">
            <w:pPr>
              <w:spacing w:line="360" w:lineRule="auto"/>
              <w:ind w:firstLine="480" w:firstLineChars="200"/>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kern w:val="0"/>
                <w:sz w:val="24"/>
                <w:szCs w:val="21"/>
                <w14:textFill>
                  <w14:solidFill>
                    <w14:schemeClr w14:val="tx1"/>
                  </w14:solidFill>
                </w14:textFill>
              </w:rPr>
              <w:t>综上所述，本项目建设与锂离子电池及相关电池材料制造建设项目环境影响评价</w:t>
            </w:r>
            <w:r>
              <w:rPr>
                <w:rFonts w:hint="default" w:ascii="Times New Roman" w:hAnsi="Times New Roman" w:eastAsia="宋体" w:cs="Times New Roman"/>
                <w:color w:val="000000" w:themeColor="text1"/>
                <w:sz w:val="24"/>
                <w:highlight w:val="none"/>
                <w14:textFill>
                  <w14:solidFill>
                    <w14:schemeClr w14:val="tx1"/>
                  </w14:solidFill>
                </w14:textFill>
              </w:rPr>
              <w:t>文件审批原则相符合。</w:t>
            </w:r>
          </w:p>
          <w:p w14:paraId="59CA5007">
            <w:pPr>
              <w:pStyle w:val="66"/>
              <w:keepNext w:val="0"/>
              <w:keepLines w:val="0"/>
              <w:pageBreakBefore w:val="0"/>
              <w:widowControl w:val="0"/>
              <w:kinsoku/>
              <w:wordWrap/>
              <w:overflowPunct/>
              <w:topLinePunct w:val="0"/>
              <w:autoSpaceDE w:val="0"/>
              <w:autoSpaceDN w:val="0"/>
              <w:bidi w:val="0"/>
              <w:adjustRightInd w:val="0"/>
              <w:snapToGrid w:val="0"/>
              <w:spacing w:line="360" w:lineRule="auto"/>
              <w:ind w:firstLine="482" w:firstLineChars="200"/>
              <w:textAlignment w:val="auto"/>
              <w:rPr>
                <w:rFonts w:hint="eastAsia"/>
                <w:b/>
                <w:bCs/>
                <w:color w:val="000000" w:themeColor="text1"/>
                <w14:textFill>
                  <w14:solidFill>
                    <w14:schemeClr w14:val="tx1"/>
                  </w14:solidFill>
                </w14:textFill>
              </w:rPr>
            </w:pPr>
            <w:r>
              <w:rPr>
                <w:rFonts w:hint="eastAsia"/>
                <w:b/>
                <w:bCs/>
                <w:color w:val="000000" w:themeColor="text1"/>
                <w:lang w:val="en-US" w:eastAsia="zh-CN"/>
                <w14:textFill>
                  <w14:solidFill>
                    <w14:schemeClr w14:val="tx1"/>
                  </w14:solidFill>
                </w14:textFill>
              </w:rPr>
              <w:t>10、</w:t>
            </w:r>
            <w:r>
              <w:rPr>
                <w:rFonts w:hint="eastAsia"/>
                <w:b/>
                <w:bCs/>
                <w:color w:val="000000" w:themeColor="text1"/>
                <w14:textFill>
                  <w14:solidFill>
                    <w14:schemeClr w14:val="tx1"/>
                  </w14:solidFill>
                </w14:textFill>
              </w:rPr>
              <w:t>与《</w:t>
            </w:r>
            <w:r>
              <w:rPr>
                <w:rFonts w:hint="eastAsia"/>
                <w:b/>
                <w:bCs/>
                <w:color w:val="000000" w:themeColor="text1"/>
                <w:lang w:val="en-US" w:eastAsia="zh-CN"/>
                <w14:textFill>
                  <w14:solidFill>
                    <w14:schemeClr w14:val="tx1"/>
                  </w14:solidFill>
                </w14:textFill>
              </w:rPr>
              <w:t>锂离子电池工厂设计标准</w:t>
            </w:r>
            <w:r>
              <w:rPr>
                <w:rFonts w:hint="eastAsia"/>
                <w:b/>
                <w:bCs/>
                <w:color w:val="000000" w:themeColor="text1"/>
                <w14:textFill>
                  <w14:solidFill>
                    <w14:schemeClr w14:val="tx1"/>
                  </w14:solidFill>
                </w14:textFill>
              </w:rPr>
              <w:t>》（</w:t>
            </w:r>
            <w:r>
              <w:rPr>
                <w:rFonts w:hint="eastAsia"/>
                <w:b/>
                <w:bCs/>
                <w:color w:val="000000" w:themeColor="text1"/>
                <w:lang w:val="en-US" w:eastAsia="zh-CN"/>
                <w14:textFill>
                  <w14:solidFill>
                    <w14:schemeClr w14:val="tx1"/>
                  </w14:solidFill>
                </w14:textFill>
              </w:rPr>
              <w:t>GB 51377-2019</w:t>
            </w:r>
            <w:r>
              <w:rPr>
                <w:rFonts w:hint="eastAsia"/>
                <w:b/>
                <w:bCs/>
                <w:color w:val="000000" w:themeColor="text1"/>
                <w14:textFill>
                  <w14:solidFill>
                    <w14:schemeClr w14:val="tx1"/>
                  </w14:solidFill>
                </w14:textFill>
              </w:rPr>
              <w:t>）的符合性分析</w:t>
            </w:r>
          </w:p>
          <w:p w14:paraId="534444E2">
            <w:pPr>
              <w:pStyle w:val="66"/>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eastAsia="宋体"/>
                <w:b/>
                <w:bCs/>
                <w:color w:val="000000" w:themeColor="text1"/>
                <w:lang w:eastAsia="zh-CN"/>
                <w14:textFill>
                  <w14:solidFill>
                    <w14:schemeClr w14:val="tx1"/>
                  </w14:solidFill>
                </w14:textFill>
              </w:rPr>
            </w:pPr>
            <w:r>
              <w:rPr>
                <w:color w:val="000000" w:themeColor="text1"/>
                <w14:textFill>
                  <w14:solidFill>
                    <w14:schemeClr w14:val="tx1"/>
                  </w14:solidFill>
                </w14:textFill>
              </w:rPr>
              <w:t>本</w:t>
            </w:r>
            <w:r>
              <w:rPr>
                <w:rFonts w:hint="default" w:ascii="Times New Roman" w:hAnsi="Times New Roman" w:eastAsia="宋体" w:cs="Times New Roman"/>
                <w:b w:val="0"/>
                <w:bCs w:val="0"/>
                <w:color w:val="000000" w:themeColor="text1"/>
                <w:sz w:val="24"/>
                <w14:textFill>
                  <w14:solidFill>
                    <w14:schemeClr w14:val="tx1"/>
                  </w14:solidFill>
                </w14:textFill>
              </w:rPr>
              <w:t>项</w:t>
            </w:r>
            <w:r>
              <w:rPr>
                <w:rFonts w:hint="default" w:ascii="Times New Roman" w:hAnsi="Times New Roman" w:cs="Times New Roman"/>
                <w:b w:val="0"/>
                <w:bCs w:val="0"/>
                <w:color w:val="000000" w:themeColor="text1"/>
                <w:sz w:val="24"/>
                <w14:textFill>
                  <w14:solidFill>
                    <w14:schemeClr w14:val="tx1"/>
                  </w14:solidFill>
                </w14:textFill>
              </w:rPr>
              <w:t>目</w:t>
            </w:r>
            <w:r>
              <w:rPr>
                <w:rFonts w:hint="eastAsia" w:ascii="Times New Roman" w:hAnsi="Times New Roman" w:cs="Times New Roman"/>
                <w:b w:val="0"/>
                <w:bCs w:val="0"/>
                <w:color w:val="000000" w:themeColor="text1"/>
                <w:sz w:val="24"/>
                <w14:textFill>
                  <w14:solidFill>
                    <w14:schemeClr w14:val="tx1"/>
                  </w14:solidFill>
                </w14:textFill>
              </w:rPr>
              <w:t>与</w:t>
            </w:r>
            <w:r>
              <w:rPr>
                <w:rFonts w:hint="eastAsia"/>
                <w:b w:val="0"/>
                <w:bCs w:val="0"/>
                <w:color w:val="000000" w:themeColor="text1"/>
                <w14:textFill>
                  <w14:solidFill>
                    <w14:schemeClr w14:val="tx1"/>
                  </w14:solidFill>
                </w14:textFill>
              </w:rPr>
              <w:t>《</w:t>
            </w:r>
            <w:r>
              <w:rPr>
                <w:rFonts w:hint="eastAsia"/>
                <w:b w:val="0"/>
                <w:bCs w:val="0"/>
                <w:color w:val="000000" w:themeColor="text1"/>
                <w:lang w:val="en-US" w:eastAsia="zh-CN"/>
                <w14:textFill>
                  <w14:solidFill>
                    <w14:schemeClr w14:val="tx1"/>
                  </w14:solidFill>
                </w14:textFill>
              </w:rPr>
              <w:t>锂离子电池工厂设计标准</w:t>
            </w:r>
            <w:r>
              <w:rPr>
                <w:rFonts w:hint="eastAsia"/>
                <w:b w:val="0"/>
                <w:bCs w:val="0"/>
                <w:color w:val="000000" w:themeColor="text1"/>
                <w14:textFill>
                  <w14:solidFill>
                    <w14:schemeClr w14:val="tx1"/>
                  </w14:solidFill>
                </w14:textFill>
              </w:rPr>
              <w:t>》（</w:t>
            </w:r>
            <w:r>
              <w:rPr>
                <w:rFonts w:hint="eastAsia"/>
                <w:b w:val="0"/>
                <w:bCs w:val="0"/>
                <w:color w:val="000000" w:themeColor="text1"/>
                <w:lang w:val="en-US" w:eastAsia="zh-CN"/>
                <w14:textFill>
                  <w14:solidFill>
                    <w14:schemeClr w14:val="tx1"/>
                  </w14:solidFill>
                </w14:textFill>
              </w:rPr>
              <w:t>GB 51377-2019</w:t>
            </w:r>
            <w:r>
              <w:rPr>
                <w:rFonts w:hint="eastAsia"/>
                <w:b w:val="0"/>
                <w:bCs w:val="0"/>
                <w:color w:val="000000" w:themeColor="text1"/>
                <w14:textFill>
                  <w14:solidFill>
                    <w14:schemeClr w14:val="tx1"/>
                  </w14:solidFill>
                </w14:textFill>
              </w:rPr>
              <w:t>）</w:t>
            </w:r>
            <w:r>
              <w:rPr>
                <w:rFonts w:hint="default" w:ascii="Times New Roman" w:hAnsi="Times New Roman" w:cs="Times New Roman"/>
                <w:b w:val="0"/>
                <w:bCs w:val="0"/>
                <w:color w:val="000000" w:themeColor="text1"/>
                <w:sz w:val="24"/>
                <w14:textFill>
                  <w14:solidFill>
                    <w14:schemeClr w14:val="tx1"/>
                  </w14:solidFill>
                </w14:textFill>
              </w:rPr>
              <w:t>符合性</w:t>
            </w:r>
            <w:r>
              <w:rPr>
                <w:rFonts w:hint="default" w:ascii="Times New Roman" w:hAnsi="Times New Roman" w:cs="Times New Roman"/>
                <w:color w:val="000000" w:themeColor="text1"/>
                <w:sz w:val="24"/>
                <w14:textFill>
                  <w14:solidFill>
                    <w14:schemeClr w14:val="tx1"/>
                  </w14:solidFill>
                </w14:textFill>
              </w:rPr>
              <w:t>分析</w:t>
            </w:r>
            <w:r>
              <w:rPr>
                <w:rFonts w:hint="default" w:ascii="Times New Roman" w:hAnsi="Times New Roman" w:cs="Times New Roman"/>
                <w:color w:val="000000" w:themeColor="text1"/>
                <w:sz w:val="24"/>
                <w:lang w:eastAsia="zh-CN"/>
                <w14:textFill>
                  <w14:solidFill>
                    <w14:schemeClr w14:val="tx1"/>
                  </w14:solidFill>
                </w14:textFill>
              </w:rPr>
              <w:t>见下</w:t>
            </w:r>
            <w:r>
              <w:rPr>
                <w:rFonts w:hint="default" w:ascii="Times New Roman" w:hAnsi="Times New Roman" w:cs="Times New Roman"/>
                <w:color w:val="000000" w:themeColor="text1"/>
                <w:sz w:val="24"/>
                <w14:textFill>
                  <w14:solidFill>
                    <w14:schemeClr w14:val="tx1"/>
                  </w14:solidFill>
                </w14:textFill>
              </w:rPr>
              <w:t>表所示</w:t>
            </w:r>
            <w:r>
              <w:rPr>
                <w:rFonts w:hint="eastAsia" w:cs="Times New Roman"/>
                <w:color w:val="000000" w:themeColor="text1"/>
                <w:sz w:val="24"/>
                <w:lang w:eastAsia="zh-CN"/>
                <w14:textFill>
                  <w14:solidFill>
                    <w14:schemeClr w14:val="tx1"/>
                  </w14:solidFill>
                </w14:textFill>
              </w:rPr>
              <w:t>：</w:t>
            </w:r>
          </w:p>
          <w:p w14:paraId="77BCE831">
            <w:pPr>
              <w:pStyle w:val="68"/>
              <w:rPr>
                <w:rFonts w:hint="eastAsia" w:ascii="Times New Roman" w:hAnsi="Times New Roman" w:eastAsia="宋体" w:cs="Times New Roman"/>
                <w:b/>
                <w:bCs/>
                <w:color w:val="000000" w:themeColor="text1"/>
                <w14:textFill>
                  <w14:solidFill>
                    <w14:schemeClr w14:val="tx1"/>
                  </w14:solidFill>
                </w14:textFill>
              </w:rPr>
            </w:pPr>
            <w:r>
              <w:rPr>
                <w:rFonts w:hint="eastAsia" w:ascii="Times New Roman" w:hAnsi="Times New Roman" w:eastAsia="宋体" w:cs="Times New Roman"/>
                <w:b/>
                <w:bCs/>
                <w:color w:val="000000" w:themeColor="text1"/>
                <w14:textFill>
                  <w14:solidFill>
                    <w14:schemeClr w14:val="tx1"/>
                  </w14:solidFill>
                </w14:textFill>
              </w:rPr>
              <w:t>表1-</w:t>
            </w:r>
            <w:r>
              <w:rPr>
                <w:rFonts w:hint="eastAsia" w:eastAsia="宋体" w:cs="Times New Roman"/>
                <w:b/>
                <w:bCs/>
                <w:color w:val="000000" w:themeColor="text1"/>
                <w:lang w:val="en-US" w:eastAsia="zh-CN"/>
                <w14:textFill>
                  <w14:solidFill>
                    <w14:schemeClr w14:val="tx1"/>
                  </w14:solidFill>
                </w14:textFill>
              </w:rPr>
              <w:t>15</w:t>
            </w:r>
            <w:r>
              <w:rPr>
                <w:rFonts w:hint="eastAsia" w:ascii="Times New Roman" w:hAnsi="Times New Roman" w:eastAsia="宋体" w:cs="Times New Roman"/>
                <w:b/>
                <w:bCs/>
                <w:color w:val="000000" w:themeColor="text1"/>
                <w14:textFill>
                  <w14:solidFill>
                    <w14:schemeClr w14:val="tx1"/>
                  </w14:solidFill>
                </w14:textFill>
              </w:rPr>
              <w:t xml:space="preserve">  项目与《</w:t>
            </w:r>
            <w:r>
              <w:rPr>
                <w:rFonts w:hint="eastAsia" w:ascii="Times New Roman" w:hAnsi="Times New Roman" w:eastAsia="宋体" w:cs="Times New Roman"/>
                <w:b/>
                <w:bCs/>
                <w:color w:val="000000" w:themeColor="text1"/>
                <w:lang w:val="en-US" w:eastAsia="zh-CN"/>
                <w14:textFill>
                  <w14:solidFill>
                    <w14:schemeClr w14:val="tx1"/>
                  </w14:solidFill>
                </w14:textFill>
              </w:rPr>
              <w:t>锂离子电池工厂设计标准</w:t>
            </w:r>
            <w:r>
              <w:rPr>
                <w:rFonts w:hint="eastAsia" w:ascii="Times New Roman" w:hAnsi="Times New Roman" w:eastAsia="宋体" w:cs="Times New Roman"/>
                <w:b/>
                <w:bCs/>
                <w:color w:val="000000" w:themeColor="text1"/>
                <w14:textFill>
                  <w14:solidFill>
                    <w14:schemeClr w14:val="tx1"/>
                  </w14:solidFill>
                </w14:textFill>
              </w:rPr>
              <w:t>》（</w:t>
            </w:r>
            <w:r>
              <w:rPr>
                <w:rFonts w:hint="eastAsia" w:ascii="Times New Roman" w:hAnsi="Times New Roman" w:eastAsia="宋体" w:cs="Times New Roman"/>
                <w:b/>
                <w:bCs/>
                <w:color w:val="000000" w:themeColor="text1"/>
                <w:lang w:val="en-US" w:eastAsia="zh-CN"/>
                <w14:textFill>
                  <w14:solidFill>
                    <w14:schemeClr w14:val="tx1"/>
                  </w14:solidFill>
                </w14:textFill>
              </w:rPr>
              <w:t>GB 51377-2019</w:t>
            </w:r>
            <w:r>
              <w:rPr>
                <w:rFonts w:hint="eastAsia" w:ascii="Times New Roman" w:hAnsi="Times New Roman" w:eastAsia="宋体" w:cs="Times New Roman"/>
                <w:b/>
                <w:bCs/>
                <w:color w:val="000000" w:themeColor="text1"/>
                <w14:textFill>
                  <w14:solidFill>
                    <w14:schemeClr w14:val="tx1"/>
                  </w14:solidFill>
                </w14:textFill>
              </w:rPr>
              <w:t>）的符合性</w:t>
            </w:r>
          </w:p>
          <w:tbl>
            <w:tblPr>
              <w:tblStyle w:val="41"/>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57" w:type="dxa"/>
                <w:bottom w:w="0" w:type="dxa"/>
                <w:right w:w="57" w:type="dxa"/>
              </w:tblCellMar>
            </w:tblPr>
            <w:tblGrid>
              <w:gridCol w:w="3620"/>
              <w:gridCol w:w="3388"/>
              <w:gridCol w:w="1016"/>
            </w:tblGrid>
            <w:tr w14:paraId="21E7C5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3620" w:type="dxa"/>
                  <w:shd w:val="clear" w:color="auto" w:fill="auto"/>
                  <w:vAlign w:val="center"/>
                </w:tcPr>
                <w:p w14:paraId="2DF735E5">
                  <w:pPr>
                    <w:pStyle w:val="70"/>
                    <w:spacing w:line="240" w:lineRule="auto"/>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w:t>
                  </w: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GB 51377-2019</w:t>
                  </w:r>
                  <w:r>
                    <w:rPr>
                      <w:rFonts w:hint="default" w:ascii="Times New Roman" w:hAnsi="Times New Roman" w:eastAsia="宋体" w:cs="Times New Roman"/>
                      <w:b/>
                      <w:bCs/>
                      <w:color w:val="000000" w:themeColor="text1"/>
                      <w:sz w:val="21"/>
                      <w:szCs w:val="21"/>
                      <w14:textFill>
                        <w14:solidFill>
                          <w14:schemeClr w14:val="tx1"/>
                        </w14:solidFill>
                      </w14:textFill>
                    </w:rPr>
                    <w:t>）</w:t>
                  </w: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要求</w:t>
                  </w:r>
                </w:p>
              </w:tc>
              <w:tc>
                <w:tcPr>
                  <w:tcW w:w="3388" w:type="dxa"/>
                  <w:shd w:val="clear" w:color="auto" w:fill="auto"/>
                  <w:vAlign w:val="center"/>
                </w:tcPr>
                <w:p w14:paraId="173E3B64">
                  <w:pPr>
                    <w:pStyle w:val="70"/>
                    <w:spacing w:line="240" w:lineRule="auto"/>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本项目情况</w:t>
                  </w:r>
                </w:p>
              </w:tc>
              <w:tc>
                <w:tcPr>
                  <w:tcW w:w="1016" w:type="dxa"/>
                  <w:shd w:val="clear" w:color="auto" w:fill="auto"/>
                  <w:vAlign w:val="center"/>
                </w:tcPr>
                <w:p w14:paraId="472E3776">
                  <w:pPr>
                    <w:pStyle w:val="70"/>
                    <w:spacing w:line="240" w:lineRule="auto"/>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符合性</w:t>
                  </w:r>
                </w:p>
              </w:tc>
            </w:tr>
            <w:tr w14:paraId="3A6A38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3620" w:type="dxa"/>
                  <w:shd w:val="clear" w:color="auto" w:fill="auto"/>
                  <w:vAlign w:val="center"/>
                </w:tcPr>
                <w:p w14:paraId="4B5907F8">
                  <w:pPr>
                    <w:pStyle w:val="70"/>
                    <w:spacing w:line="240" w:lineRule="auto"/>
                    <w:jc w:val="both"/>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建筑物、构筑物等设施宜集中组合布置；</w:t>
                  </w:r>
                </w:p>
              </w:tc>
              <w:tc>
                <w:tcPr>
                  <w:tcW w:w="3388" w:type="dxa"/>
                  <w:vMerge w:val="restart"/>
                  <w:shd w:val="clear" w:color="auto" w:fill="auto"/>
                  <w:vAlign w:val="center"/>
                </w:tcPr>
                <w:p w14:paraId="2B768EEB">
                  <w:pPr>
                    <w:pStyle w:val="70"/>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根据建设单位提供资料，项目电芯车间内布局紧凑，厂区功能分区明确，道路宽度满足消防、运输、安全间距要求。</w:t>
                  </w:r>
                </w:p>
              </w:tc>
              <w:tc>
                <w:tcPr>
                  <w:tcW w:w="1016" w:type="dxa"/>
                  <w:shd w:val="clear" w:color="auto" w:fill="auto"/>
                  <w:vAlign w:val="center"/>
                </w:tcPr>
                <w:p w14:paraId="46604D46">
                  <w:pPr>
                    <w:pStyle w:val="70"/>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符合</w:t>
                  </w:r>
                </w:p>
              </w:tc>
            </w:tr>
            <w:tr w14:paraId="0EE9BD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3620" w:type="dxa"/>
                  <w:shd w:val="clear" w:color="auto" w:fill="auto"/>
                  <w:vAlign w:val="center"/>
                </w:tcPr>
                <w:p w14:paraId="63F3806B">
                  <w:pPr>
                    <w:pStyle w:val="70"/>
                    <w:spacing w:line="240" w:lineRule="auto"/>
                    <w:jc w:val="both"/>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厂区功能分区应明确，道路宽度应满足消防、运输、安全间距等要求；</w:t>
                  </w:r>
                </w:p>
              </w:tc>
              <w:tc>
                <w:tcPr>
                  <w:tcW w:w="3388" w:type="dxa"/>
                  <w:vMerge w:val="continue"/>
                  <w:shd w:val="clear" w:color="auto" w:fill="auto"/>
                  <w:vAlign w:val="center"/>
                </w:tcPr>
                <w:p w14:paraId="2A9A0905">
                  <w:pPr>
                    <w:pStyle w:val="7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1016" w:type="dxa"/>
                  <w:shd w:val="clear" w:color="auto" w:fill="auto"/>
                  <w:vAlign w:val="center"/>
                </w:tcPr>
                <w:p w14:paraId="14F2AA5F">
                  <w:pPr>
                    <w:pStyle w:val="70"/>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符合</w:t>
                  </w:r>
                </w:p>
              </w:tc>
            </w:tr>
            <w:tr w14:paraId="588BBB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3620" w:type="dxa"/>
                  <w:shd w:val="clear" w:color="auto" w:fill="auto"/>
                  <w:vAlign w:val="center"/>
                </w:tcPr>
                <w:p w14:paraId="62870D37">
                  <w:pPr>
                    <w:pStyle w:val="70"/>
                    <w:spacing w:line="240" w:lineRule="auto"/>
                    <w:jc w:val="both"/>
                    <w:rPr>
                      <w:rFonts w:hint="default" w:cs="Times New Roman"/>
                      <w:color w:val="000000" w:themeColor="text1"/>
                      <w:sz w:val="21"/>
                      <w:szCs w:val="21"/>
                      <w:lang w:val="en-US" w:eastAsia="zh-CN"/>
                      <w14:textFill>
                        <w14:solidFill>
                          <w14:schemeClr w14:val="tx1"/>
                        </w14:solidFill>
                      </w14:textFill>
                    </w:rPr>
                  </w:pPr>
                  <w:r>
                    <w:rPr>
                      <w:rFonts w:hint="default" w:cs="Times New Roman"/>
                      <w:color w:val="000000" w:themeColor="text1"/>
                      <w:sz w:val="21"/>
                      <w:szCs w:val="21"/>
                      <w:lang w:val="en-US" w:eastAsia="zh-CN"/>
                      <w14:textFill>
                        <w14:solidFill>
                          <w14:schemeClr w14:val="tx1"/>
                        </w14:solidFill>
                      </w14:textFill>
                    </w:rPr>
                    <w:t>建筑物间距应满足消防、运输、安全、卫生等要求，并应符合各种工程管线的布置、绿化布置、施工安装与检修、竖向设计的要求</w:t>
                  </w:r>
                  <w:r>
                    <w:rPr>
                      <w:rFonts w:hint="eastAsia" w:cs="Times New Roman"/>
                      <w:color w:val="000000" w:themeColor="text1"/>
                      <w:sz w:val="21"/>
                      <w:szCs w:val="21"/>
                      <w:lang w:val="en-US" w:eastAsia="zh-CN"/>
                      <w14:textFill>
                        <w14:solidFill>
                          <w14:schemeClr w14:val="tx1"/>
                        </w14:solidFill>
                      </w14:textFill>
                    </w:rPr>
                    <w:t>。</w:t>
                  </w:r>
                </w:p>
              </w:tc>
              <w:tc>
                <w:tcPr>
                  <w:tcW w:w="3388" w:type="dxa"/>
                  <w:shd w:val="clear" w:color="auto" w:fill="auto"/>
                  <w:vAlign w:val="center"/>
                </w:tcPr>
                <w:p w14:paraId="69630A43">
                  <w:pPr>
                    <w:pStyle w:val="70"/>
                    <w:spacing w:line="240" w:lineRule="auto"/>
                    <w:jc w:val="both"/>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项目建筑物间距满足消防、运输、安全、卫生等要求，符合各种工程管线的布置、绿化布置、施工安装与检修、竖向设计的要求。</w:t>
                  </w:r>
                </w:p>
              </w:tc>
              <w:tc>
                <w:tcPr>
                  <w:tcW w:w="1016" w:type="dxa"/>
                  <w:shd w:val="clear" w:color="auto" w:fill="auto"/>
                  <w:vAlign w:val="center"/>
                </w:tcPr>
                <w:p w14:paraId="7F68608F">
                  <w:pPr>
                    <w:pStyle w:val="70"/>
                    <w:spacing w:line="240" w:lineRule="auto"/>
                    <w:jc w:val="center"/>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符合</w:t>
                  </w:r>
                </w:p>
              </w:tc>
            </w:tr>
            <w:tr w14:paraId="7F7165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3620" w:type="dxa"/>
                  <w:shd w:val="clear" w:color="auto" w:fill="auto"/>
                  <w:vAlign w:val="center"/>
                </w:tcPr>
                <w:p w14:paraId="7D4AA8F1">
                  <w:pPr>
                    <w:pStyle w:val="70"/>
                    <w:spacing w:line="240" w:lineRule="auto"/>
                    <w:jc w:val="both"/>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eastAsia="宋体" w:cs="Times New Roman"/>
                      <w:color w:val="000000" w:themeColor="text1"/>
                      <w:sz w:val="21"/>
                      <w:szCs w:val="21"/>
                      <w:lang w:eastAsia="zh-CN"/>
                      <w14:textFill>
                        <w14:solidFill>
                          <w14:schemeClr w14:val="tx1"/>
                        </w14:solidFill>
                      </w14:textFill>
                    </w:rPr>
                    <w:t>应依据生产工艺要求布置建筑物、构筑物及有关设施</w:t>
                  </w:r>
                  <w:r>
                    <w:rPr>
                      <w:rFonts w:hint="eastAsia" w:cs="Times New Roman"/>
                      <w:color w:val="000000" w:themeColor="text1"/>
                      <w:sz w:val="21"/>
                      <w:szCs w:val="21"/>
                      <w:lang w:eastAsia="zh-CN"/>
                      <w14:textFill>
                        <w14:solidFill>
                          <w14:schemeClr w14:val="tx1"/>
                        </w14:solidFill>
                      </w14:textFill>
                    </w:rPr>
                    <w:t>。</w:t>
                  </w:r>
                </w:p>
              </w:tc>
              <w:tc>
                <w:tcPr>
                  <w:tcW w:w="3388" w:type="dxa"/>
                  <w:shd w:val="clear" w:color="auto" w:fill="auto"/>
                  <w:vAlign w:val="center"/>
                </w:tcPr>
                <w:p w14:paraId="30F5670D">
                  <w:pPr>
                    <w:pStyle w:val="70"/>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项目以电芯车间为主，布设相关建筑物</w:t>
                  </w:r>
                  <w:r>
                    <w:rPr>
                      <w:rFonts w:hint="eastAsia" w:ascii="Times New Roman" w:hAnsi="Times New Roman" w:eastAsia="宋体" w:cs="Times New Roman"/>
                      <w:color w:val="000000" w:themeColor="text1"/>
                      <w:sz w:val="21"/>
                      <w:szCs w:val="21"/>
                      <w:lang w:eastAsia="zh-CN"/>
                      <w14:textFill>
                        <w14:solidFill>
                          <w14:schemeClr w14:val="tx1"/>
                        </w14:solidFill>
                      </w14:textFill>
                    </w:rPr>
                    <w:t>、构筑物及有关设施</w:t>
                  </w:r>
                  <w:r>
                    <w:rPr>
                      <w:rFonts w:hint="eastAsia" w:cs="Times New Roman"/>
                      <w:color w:val="000000" w:themeColor="text1"/>
                      <w:sz w:val="21"/>
                      <w:szCs w:val="21"/>
                      <w:lang w:eastAsia="zh-CN"/>
                      <w14:textFill>
                        <w14:solidFill>
                          <w14:schemeClr w14:val="tx1"/>
                        </w14:solidFill>
                      </w14:textFill>
                    </w:rPr>
                    <w:t>。</w:t>
                  </w:r>
                </w:p>
              </w:tc>
              <w:tc>
                <w:tcPr>
                  <w:tcW w:w="1016" w:type="dxa"/>
                  <w:shd w:val="clear" w:color="auto" w:fill="auto"/>
                  <w:vAlign w:val="center"/>
                </w:tcPr>
                <w:p w14:paraId="76A669C1">
                  <w:pPr>
                    <w:pStyle w:val="70"/>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符合</w:t>
                  </w:r>
                </w:p>
              </w:tc>
            </w:tr>
            <w:tr w14:paraId="4DB260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3620" w:type="dxa"/>
                  <w:shd w:val="clear" w:color="auto" w:fill="auto"/>
                  <w:vAlign w:val="center"/>
                </w:tcPr>
                <w:p w14:paraId="703A021D">
                  <w:pPr>
                    <w:pStyle w:val="70"/>
                    <w:spacing w:line="240" w:lineRule="auto"/>
                    <w:jc w:val="both"/>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动力站宜靠近主厂房布置</w:t>
                  </w:r>
                  <w:r>
                    <w:rPr>
                      <w:rFonts w:hint="eastAsia" w:cs="Times New Roman"/>
                      <w:color w:val="000000" w:themeColor="text1"/>
                      <w:sz w:val="21"/>
                      <w:szCs w:val="21"/>
                      <w:lang w:eastAsia="zh-CN"/>
                      <w14:textFill>
                        <w14:solidFill>
                          <w14:schemeClr w14:val="tx1"/>
                        </w14:solidFill>
                      </w14:textFill>
                    </w:rPr>
                    <w:t>。</w:t>
                  </w:r>
                </w:p>
              </w:tc>
              <w:tc>
                <w:tcPr>
                  <w:tcW w:w="3388" w:type="dxa"/>
                  <w:shd w:val="clear" w:color="auto" w:fill="auto"/>
                  <w:vAlign w:val="center"/>
                </w:tcPr>
                <w:p w14:paraId="526F4F2B">
                  <w:pPr>
                    <w:pStyle w:val="70"/>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项目空压机、制氮机均设置在电芯车间内。</w:t>
                  </w:r>
                </w:p>
              </w:tc>
              <w:tc>
                <w:tcPr>
                  <w:tcW w:w="1016" w:type="dxa"/>
                  <w:shd w:val="clear" w:color="auto" w:fill="auto"/>
                  <w:vAlign w:val="center"/>
                </w:tcPr>
                <w:p w14:paraId="46899F22">
                  <w:pPr>
                    <w:pStyle w:val="70"/>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符合</w:t>
                  </w:r>
                </w:p>
              </w:tc>
            </w:tr>
            <w:tr w14:paraId="642319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3620" w:type="dxa"/>
                  <w:shd w:val="clear" w:color="auto" w:fill="auto"/>
                  <w:vAlign w:val="center"/>
                </w:tcPr>
                <w:p w14:paraId="069239B0">
                  <w:pPr>
                    <w:pStyle w:val="70"/>
                    <w:spacing w:line="240" w:lineRule="auto"/>
                    <w:jc w:val="both"/>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资源回收站可单独设置，也可与其他辅助设施组合布置</w:t>
                  </w:r>
                  <w:r>
                    <w:rPr>
                      <w:rFonts w:hint="eastAsia" w:cs="Times New Roman"/>
                      <w:color w:val="000000" w:themeColor="text1"/>
                      <w:sz w:val="21"/>
                      <w:szCs w:val="21"/>
                      <w:lang w:eastAsia="zh-CN"/>
                      <w14:textFill>
                        <w14:solidFill>
                          <w14:schemeClr w14:val="tx1"/>
                        </w14:solidFill>
                      </w14:textFill>
                    </w:rPr>
                    <w:t>。</w:t>
                  </w:r>
                </w:p>
              </w:tc>
              <w:tc>
                <w:tcPr>
                  <w:tcW w:w="3388" w:type="dxa"/>
                  <w:shd w:val="clear" w:color="auto" w:fill="auto"/>
                  <w:vAlign w:val="center"/>
                </w:tcPr>
                <w:p w14:paraId="4C712791">
                  <w:pPr>
                    <w:pStyle w:val="70"/>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项目单独设置一般固废暂存间、危废库。</w:t>
                  </w:r>
                </w:p>
              </w:tc>
              <w:tc>
                <w:tcPr>
                  <w:tcW w:w="1016" w:type="dxa"/>
                  <w:shd w:val="clear" w:color="auto" w:fill="auto"/>
                  <w:vAlign w:val="center"/>
                </w:tcPr>
                <w:p w14:paraId="7FFBEB06">
                  <w:pPr>
                    <w:pStyle w:val="70"/>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符合</w:t>
                  </w:r>
                </w:p>
              </w:tc>
            </w:tr>
          </w:tbl>
          <w:p w14:paraId="5DEFAFC0">
            <w:pPr>
              <w:pStyle w:val="66"/>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b/>
                <w:bCs/>
                <w:color w:val="000000" w:themeColor="text1"/>
                <w:lang w:val="en-US" w:eastAsia="zh-CN"/>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综上，本</w:t>
            </w:r>
            <w:r>
              <w:rPr>
                <w:rFonts w:hint="default" w:ascii="Times New Roman" w:hAnsi="Times New Roman" w:cs="Times New Roman"/>
                <w:color w:val="000000" w:themeColor="text1"/>
                <w:sz w:val="24"/>
                <w:lang w:val="en-US" w:eastAsia="zh-CN"/>
                <w14:textFill>
                  <w14:solidFill>
                    <w14:schemeClr w14:val="tx1"/>
                  </w14:solidFill>
                </w14:textFill>
              </w:rPr>
              <w:t>项目</w:t>
            </w:r>
            <w:r>
              <w:rPr>
                <w:rFonts w:hint="eastAsia" w:ascii="Times New Roman" w:hAnsi="Times New Roman" w:cs="Times New Roman"/>
                <w:color w:val="000000" w:themeColor="text1"/>
                <w:sz w:val="24"/>
                <w:lang w:val="en-US" w:eastAsia="zh-CN"/>
                <w14:textFill>
                  <w14:solidFill>
                    <w14:schemeClr w14:val="tx1"/>
                  </w14:solidFill>
                </w14:textFill>
              </w:rPr>
              <w:t>与</w:t>
            </w:r>
            <w:r>
              <w:rPr>
                <w:rFonts w:hint="eastAsia"/>
                <w:b w:val="0"/>
                <w:bCs w:val="0"/>
                <w:color w:val="000000" w:themeColor="text1"/>
                <w14:textFill>
                  <w14:solidFill>
                    <w14:schemeClr w14:val="tx1"/>
                  </w14:solidFill>
                </w14:textFill>
              </w:rPr>
              <w:t>《</w:t>
            </w:r>
            <w:r>
              <w:rPr>
                <w:rFonts w:hint="eastAsia"/>
                <w:b w:val="0"/>
                <w:bCs w:val="0"/>
                <w:color w:val="000000" w:themeColor="text1"/>
                <w:lang w:val="en-US" w:eastAsia="zh-CN"/>
                <w14:textFill>
                  <w14:solidFill>
                    <w14:schemeClr w14:val="tx1"/>
                  </w14:solidFill>
                </w14:textFill>
              </w:rPr>
              <w:t>锂离子电池工厂设计标准</w:t>
            </w:r>
            <w:r>
              <w:rPr>
                <w:rFonts w:hint="eastAsia"/>
                <w:b w:val="0"/>
                <w:bCs w:val="0"/>
                <w:color w:val="000000" w:themeColor="text1"/>
                <w14:textFill>
                  <w14:solidFill>
                    <w14:schemeClr w14:val="tx1"/>
                  </w14:solidFill>
                </w14:textFill>
              </w:rPr>
              <w:t>》（</w:t>
            </w:r>
            <w:r>
              <w:rPr>
                <w:rFonts w:hint="eastAsia"/>
                <w:b w:val="0"/>
                <w:bCs w:val="0"/>
                <w:color w:val="000000" w:themeColor="text1"/>
                <w:lang w:val="en-US" w:eastAsia="zh-CN"/>
                <w14:textFill>
                  <w14:solidFill>
                    <w14:schemeClr w14:val="tx1"/>
                  </w14:solidFill>
                </w14:textFill>
              </w:rPr>
              <w:t>GB 51377-2019</w:t>
            </w:r>
            <w:r>
              <w:rPr>
                <w:rFonts w:hint="eastAsia"/>
                <w:b w:val="0"/>
                <w:bCs w:val="0"/>
                <w:color w:val="000000" w:themeColor="text1"/>
                <w14:textFill>
                  <w14:solidFill>
                    <w14:schemeClr w14:val="tx1"/>
                  </w14:solidFill>
                </w14:textFill>
              </w:rPr>
              <w:t>）</w:t>
            </w:r>
            <w:r>
              <w:rPr>
                <w:rFonts w:hint="eastAsia" w:cs="Times New Roman"/>
                <w:color w:val="000000" w:themeColor="text1"/>
                <w:sz w:val="24"/>
                <w:lang w:val="en-US" w:eastAsia="zh-CN"/>
                <w14:textFill>
                  <w14:solidFill>
                    <w14:schemeClr w14:val="tx1"/>
                  </w14:solidFill>
                </w14:textFill>
              </w:rPr>
              <w:t>相符。</w:t>
            </w:r>
          </w:p>
          <w:p w14:paraId="47559842">
            <w:pPr>
              <w:pStyle w:val="66"/>
              <w:keepNext w:val="0"/>
              <w:keepLines w:val="0"/>
              <w:pageBreakBefore w:val="0"/>
              <w:widowControl w:val="0"/>
              <w:kinsoku/>
              <w:wordWrap/>
              <w:overflowPunct/>
              <w:topLinePunct w:val="0"/>
              <w:autoSpaceDE w:val="0"/>
              <w:autoSpaceDN w:val="0"/>
              <w:bidi w:val="0"/>
              <w:adjustRightInd w:val="0"/>
              <w:snapToGrid w:val="0"/>
              <w:spacing w:line="360" w:lineRule="auto"/>
              <w:ind w:firstLine="482" w:firstLineChars="200"/>
              <w:textAlignment w:val="auto"/>
              <w:rPr>
                <w:rFonts w:hint="eastAsia"/>
                <w:b/>
                <w:bCs/>
                <w:color w:val="000000" w:themeColor="text1"/>
                <w14:textFill>
                  <w14:solidFill>
                    <w14:schemeClr w14:val="tx1"/>
                  </w14:solidFill>
                </w14:textFill>
              </w:rPr>
            </w:pPr>
            <w:r>
              <w:rPr>
                <w:rFonts w:hint="eastAsia"/>
                <w:b/>
                <w:bCs/>
                <w:color w:val="000000" w:themeColor="text1"/>
                <w:lang w:val="en-US" w:eastAsia="zh-CN"/>
                <w14:textFill>
                  <w14:solidFill>
                    <w14:schemeClr w14:val="tx1"/>
                  </w14:solidFill>
                </w14:textFill>
              </w:rPr>
              <w:t>11、</w:t>
            </w:r>
            <w:r>
              <w:rPr>
                <w:rFonts w:hint="eastAsia"/>
                <w:b/>
                <w:bCs/>
                <w:color w:val="000000" w:themeColor="text1"/>
                <w14:textFill>
                  <w14:solidFill>
                    <w14:schemeClr w14:val="tx1"/>
                  </w14:solidFill>
                </w14:textFill>
              </w:rPr>
              <w:t>与《</w:t>
            </w:r>
            <w:r>
              <w:rPr>
                <w:rFonts w:hint="eastAsia"/>
                <w:b/>
                <w:bCs/>
                <w:color w:val="000000" w:themeColor="text1"/>
                <w:lang w:val="en-US" w:eastAsia="zh-CN"/>
                <w14:textFill>
                  <w14:solidFill>
                    <w14:schemeClr w14:val="tx1"/>
                  </w14:solidFill>
                </w14:textFill>
              </w:rPr>
              <w:t>电子工业洁净厂房设计规范</w:t>
            </w:r>
            <w:r>
              <w:rPr>
                <w:rFonts w:hint="eastAsia"/>
                <w:b/>
                <w:bCs/>
                <w:color w:val="000000" w:themeColor="text1"/>
                <w14:textFill>
                  <w14:solidFill>
                    <w14:schemeClr w14:val="tx1"/>
                  </w14:solidFill>
                </w14:textFill>
              </w:rPr>
              <w:t>》（</w:t>
            </w:r>
            <w:r>
              <w:rPr>
                <w:rFonts w:hint="eastAsia"/>
                <w:b/>
                <w:bCs/>
                <w:color w:val="000000" w:themeColor="text1"/>
                <w:lang w:val="en-US" w:eastAsia="zh-CN"/>
                <w14:textFill>
                  <w14:solidFill>
                    <w14:schemeClr w14:val="tx1"/>
                  </w14:solidFill>
                </w14:textFill>
              </w:rPr>
              <w:t>GB 50472-2008</w:t>
            </w:r>
            <w:r>
              <w:rPr>
                <w:rFonts w:hint="eastAsia"/>
                <w:b/>
                <w:bCs/>
                <w:color w:val="000000" w:themeColor="text1"/>
                <w14:textFill>
                  <w14:solidFill>
                    <w14:schemeClr w14:val="tx1"/>
                  </w14:solidFill>
                </w14:textFill>
              </w:rPr>
              <w:t>）的符合性分析</w:t>
            </w:r>
          </w:p>
          <w:p w14:paraId="488D1B5A">
            <w:pPr>
              <w:pStyle w:val="66"/>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eastAsia="宋体"/>
                <w:b/>
                <w:bCs/>
                <w:color w:val="000000" w:themeColor="text1"/>
                <w:lang w:eastAsia="zh-CN"/>
                <w14:textFill>
                  <w14:solidFill>
                    <w14:schemeClr w14:val="tx1"/>
                  </w14:solidFill>
                </w14:textFill>
              </w:rPr>
            </w:pPr>
            <w:r>
              <w:rPr>
                <w:color w:val="000000" w:themeColor="text1"/>
                <w14:textFill>
                  <w14:solidFill>
                    <w14:schemeClr w14:val="tx1"/>
                  </w14:solidFill>
                </w14:textFill>
              </w:rPr>
              <w:t>本</w:t>
            </w:r>
            <w:r>
              <w:rPr>
                <w:rFonts w:hint="default" w:ascii="Times New Roman" w:hAnsi="Times New Roman" w:cs="Times New Roman"/>
                <w:color w:val="000000" w:themeColor="text1"/>
                <w:sz w:val="24"/>
                <w:lang w:eastAsia="zh-CN"/>
                <w14:textFill>
                  <w14:solidFill>
                    <w14:schemeClr w14:val="tx1"/>
                  </w14:solidFill>
                </w14:textFill>
              </w:rPr>
              <w:t>项目</w:t>
            </w:r>
            <w:r>
              <w:rPr>
                <w:rFonts w:hint="eastAsia" w:ascii="Times New Roman" w:hAnsi="Times New Roman" w:cs="Times New Roman"/>
                <w:color w:val="000000" w:themeColor="text1"/>
                <w:sz w:val="24"/>
                <w:lang w:eastAsia="zh-CN"/>
                <w14:textFill>
                  <w14:solidFill>
                    <w14:schemeClr w14:val="tx1"/>
                  </w14:solidFill>
                </w14:textFill>
              </w:rPr>
              <w:t>与《</w:t>
            </w:r>
            <w:r>
              <w:rPr>
                <w:rFonts w:hint="eastAsia" w:ascii="Times New Roman" w:hAnsi="Times New Roman" w:cs="Times New Roman"/>
                <w:color w:val="000000" w:themeColor="text1"/>
                <w:sz w:val="24"/>
                <w:lang w:val="en-US" w:eastAsia="zh-CN"/>
                <w14:textFill>
                  <w14:solidFill>
                    <w14:schemeClr w14:val="tx1"/>
                  </w14:solidFill>
                </w14:textFill>
              </w:rPr>
              <w:t>电子工业洁净厂房设计规范</w:t>
            </w:r>
            <w:r>
              <w:rPr>
                <w:rFonts w:hint="eastAsia" w:ascii="Times New Roman" w:hAnsi="Times New Roman" w:cs="Times New Roman"/>
                <w:color w:val="000000" w:themeColor="text1"/>
                <w:sz w:val="24"/>
                <w:lang w:eastAsia="zh-CN"/>
                <w14:textFill>
                  <w14:solidFill>
                    <w14:schemeClr w14:val="tx1"/>
                  </w14:solidFill>
                </w14:textFill>
              </w:rPr>
              <w:t>》（</w:t>
            </w:r>
            <w:r>
              <w:rPr>
                <w:rFonts w:hint="eastAsia" w:ascii="Times New Roman" w:hAnsi="Times New Roman" w:cs="Times New Roman"/>
                <w:color w:val="000000" w:themeColor="text1"/>
                <w:sz w:val="24"/>
                <w:lang w:val="en-US" w:eastAsia="zh-CN"/>
                <w14:textFill>
                  <w14:solidFill>
                    <w14:schemeClr w14:val="tx1"/>
                  </w14:solidFill>
                </w14:textFill>
              </w:rPr>
              <w:t>GB 50472-2008</w:t>
            </w:r>
            <w:r>
              <w:rPr>
                <w:rFonts w:hint="eastAsia" w:ascii="Times New Roman" w:hAnsi="Times New Roman" w:cs="Times New Roman"/>
                <w:color w:val="000000" w:themeColor="text1"/>
                <w:sz w:val="24"/>
                <w:lang w:eastAsia="zh-CN"/>
                <w14:textFill>
                  <w14:solidFill>
                    <w14:schemeClr w14:val="tx1"/>
                  </w14:solidFill>
                </w14:textFill>
              </w:rPr>
              <w:t>）</w:t>
            </w:r>
            <w:r>
              <w:rPr>
                <w:rFonts w:hint="default" w:ascii="Times New Roman" w:hAnsi="Times New Roman" w:cs="Times New Roman"/>
                <w:color w:val="000000" w:themeColor="text1"/>
                <w:sz w:val="24"/>
                <w:lang w:eastAsia="zh-CN"/>
                <w14:textFill>
                  <w14:solidFill>
                    <w14:schemeClr w14:val="tx1"/>
                  </w14:solidFill>
                </w14:textFill>
              </w:rPr>
              <w:t>符</w:t>
            </w:r>
            <w:r>
              <w:rPr>
                <w:rFonts w:hint="default" w:ascii="Times New Roman" w:hAnsi="Times New Roman" w:cs="Times New Roman"/>
                <w:b w:val="0"/>
                <w:bCs w:val="0"/>
                <w:color w:val="000000" w:themeColor="text1"/>
                <w:sz w:val="24"/>
                <w14:textFill>
                  <w14:solidFill>
                    <w14:schemeClr w14:val="tx1"/>
                  </w14:solidFill>
                </w14:textFill>
              </w:rPr>
              <w:t>合性</w:t>
            </w:r>
            <w:r>
              <w:rPr>
                <w:rFonts w:hint="default" w:ascii="Times New Roman" w:hAnsi="Times New Roman" w:cs="Times New Roman"/>
                <w:color w:val="000000" w:themeColor="text1"/>
                <w:sz w:val="24"/>
                <w14:textFill>
                  <w14:solidFill>
                    <w14:schemeClr w14:val="tx1"/>
                  </w14:solidFill>
                </w14:textFill>
              </w:rPr>
              <w:t>分析</w:t>
            </w:r>
            <w:r>
              <w:rPr>
                <w:rFonts w:hint="default" w:ascii="Times New Roman" w:hAnsi="Times New Roman" w:cs="Times New Roman"/>
                <w:color w:val="000000" w:themeColor="text1"/>
                <w:sz w:val="24"/>
                <w:lang w:eastAsia="zh-CN"/>
                <w14:textFill>
                  <w14:solidFill>
                    <w14:schemeClr w14:val="tx1"/>
                  </w14:solidFill>
                </w14:textFill>
              </w:rPr>
              <w:t>见下</w:t>
            </w:r>
            <w:r>
              <w:rPr>
                <w:rFonts w:hint="default" w:ascii="Times New Roman" w:hAnsi="Times New Roman" w:cs="Times New Roman"/>
                <w:color w:val="000000" w:themeColor="text1"/>
                <w:sz w:val="24"/>
                <w14:textFill>
                  <w14:solidFill>
                    <w14:schemeClr w14:val="tx1"/>
                  </w14:solidFill>
                </w14:textFill>
              </w:rPr>
              <w:t>表所示</w:t>
            </w:r>
            <w:r>
              <w:rPr>
                <w:rFonts w:hint="eastAsia" w:cs="Times New Roman"/>
                <w:color w:val="000000" w:themeColor="text1"/>
                <w:sz w:val="24"/>
                <w:lang w:eastAsia="zh-CN"/>
                <w14:textFill>
                  <w14:solidFill>
                    <w14:schemeClr w14:val="tx1"/>
                  </w14:solidFill>
                </w14:textFill>
              </w:rPr>
              <w:t>：</w:t>
            </w:r>
          </w:p>
          <w:p w14:paraId="59D42AB5">
            <w:pPr>
              <w:pStyle w:val="68"/>
              <w:rPr>
                <w:rFonts w:hint="eastAsia" w:ascii="Times New Roman" w:hAnsi="Times New Roman" w:eastAsia="宋体" w:cs="Times New Roman"/>
                <w:b/>
                <w:bCs/>
                <w:color w:val="000000" w:themeColor="text1"/>
                <w14:textFill>
                  <w14:solidFill>
                    <w14:schemeClr w14:val="tx1"/>
                  </w14:solidFill>
                </w14:textFill>
              </w:rPr>
            </w:pPr>
            <w:r>
              <w:rPr>
                <w:rFonts w:hint="eastAsia" w:ascii="Times New Roman" w:hAnsi="Times New Roman" w:eastAsia="宋体" w:cs="Times New Roman"/>
                <w:b/>
                <w:bCs/>
                <w:color w:val="000000" w:themeColor="text1"/>
                <w14:textFill>
                  <w14:solidFill>
                    <w14:schemeClr w14:val="tx1"/>
                  </w14:solidFill>
                </w14:textFill>
              </w:rPr>
              <w:t>表1-</w:t>
            </w:r>
            <w:r>
              <w:rPr>
                <w:rFonts w:hint="eastAsia" w:eastAsia="宋体" w:cs="Times New Roman"/>
                <w:b/>
                <w:bCs/>
                <w:color w:val="000000" w:themeColor="text1"/>
                <w:lang w:val="en-US" w:eastAsia="zh-CN"/>
                <w14:textFill>
                  <w14:solidFill>
                    <w14:schemeClr w14:val="tx1"/>
                  </w14:solidFill>
                </w14:textFill>
              </w:rPr>
              <w:t>16</w:t>
            </w:r>
            <w:r>
              <w:rPr>
                <w:rFonts w:hint="eastAsia" w:ascii="Times New Roman" w:hAnsi="Times New Roman" w:eastAsia="宋体" w:cs="Times New Roman"/>
                <w:b/>
                <w:bCs/>
                <w:color w:val="000000" w:themeColor="text1"/>
                <w14:textFill>
                  <w14:solidFill>
                    <w14:schemeClr w14:val="tx1"/>
                  </w14:solidFill>
                </w14:textFill>
              </w:rPr>
              <w:t xml:space="preserve">  项目与</w:t>
            </w:r>
            <w:r>
              <w:rPr>
                <w:rFonts w:hint="eastAsia" w:ascii="Times New Roman" w:hAnsi="Times New Roman" w:eastAsia="宋体" w:cs="Times New Roman"/>
                <w:b/>
                <w:bCs/>
                <w:color w:val="000000" w:themeColor="text1"/>
                <w:lang w:eastAsia="zh-CN"/>
                <w14:textFill>
                  <w14:solidFill>
                    <w14:schemeClr w14:val="tx1"/>
                  </w14:solidFill>
                </w14:textFill>
              </w:rPr>
              <w:t>《</w:t>
            </w:r>
            <w:r>
              <w:rPr>
                <w:rFonts w:hint="eastAsia" w:ascii="Times New Roman" w:hAnsi="Times New Roman" w:eastAsia="宋体" w:cs="Times New Roman"/>
                <w:b/>
                <w:bCs/>
                <w:color w:val="000000" w:themeColor="text1"/>
                <w:lang w:val="en-US" w:eastAsia="zh-CN"/>
                <w14:textFill>
                  <w14:solidFill>
                    <w14:schemeClr w14:val="tx1"/>
                  </w14:solidFill>
                </w14:textFill>
              </w:rPr>
              <w:t>电子工业洁净厂房设计规范</w:t>
            </w:r>
            <w:r>
              <w:rPr>
                <w:rFonts w:hint="eastAsia" w:ascii="Times New Roman" w:hAnsi="Times New Roman" w:eastAsia="宋体" w:cs="Times New Roman"/>
                <w:b/>
                <w:bCs/>
                <w:color w:val="000000" w:themeColor="text1"/>
                <w:lang w:eastAsia="zh-CN"/>
                <w14:textFill>
                  <w14:solidFill>
                    <w14:schemeClr w14:val="tx1"/>
                  </w14:solidFill>
                </w14:textFill>
              </w:rPr>
              <w:t>》（</w:t>
            </w:r>
            <w:r>
              <w:rPr>
                <w:rFonts w:hint="eastAsia" w:ascii="Times New Roman" w:hAnsi="Times New Roman" w:eastAsia="宋体" w:cs="Times New Roman"/>
                <w:b/>
                <w:bCs/>
                <w:color w:val="000000" w:themeColor="text1"/>
                <w:lang w:val="en-US" w:eastAsia="zh-CN"/>
                <w14:textFill>
                  <w14:solidFill>
                    <w14:schemeClr w14:val="tx1"/>
                  </w14:solidFill>
                </w14:textFill>
              </w:rPr>
              <w:t>GB 50472-2008</w:t>
            </w:r>
            <w:r>
              <w:rPr>
                <w:rFonts w:hint="eastAsia" w:ascii="Times New Roman" w:hAnsi="Times New Roman" w:eastAsia="宋体" w:cs="Times New Roman"/>
                <w:b/>
                <w:bCs/>
                <w:color w:val="000000" w:themeColor="text1"/>
                <w:lang w:eastAsia="zh-CN"/>
                <w14:textFill>
                  <w14:solidFill>
                    <w14:schemeClr w14:val="tx1"/>
                  </w14:solidFill>
                </w14:textFill>
              </w:rPr>
              <w:t>）</w:t>
            </w:r>
            <w:r>
              <w:rPr>
                <w:rFonts w:hint="eastAsia" w:ascii="Times New Roman" w:hAnsi="Times New Roman" w:eastAsia="宋体" w:cs="Times New Roman"/>
                <w:b/>
                <w:bCs/>
                <w:color w:val="000000" w:themeColor="text1"/>
                <w14:textFill>
                  <w14:solidFill>
                    <w14:schemeClr w14:val="tx1"/>
                  </w14:solidFill>
                </w14:textFill>
              </w:rPr>
              <w:t>的符合性</w:t>
            </w:r>
          </w:p>
          <w:tbl>
            <w:tblPr>
              <w:tblStyle w:val="41"/>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57" w:type="dxa"/>
                <w:bottom w:w="0" w:type="dxa"/>
                <w:right w:w="57" w:type="dxa"/>
              </w:tblCellMar>
            </w:tblPr>
            <w:tblGrid>
              <w:gridCol w:w="4049"/>
              <w:gridCol w:w="2959"/>
              <w:gridCol w:w="1016"/>
            </w:tblGrid>
            <w:tr w14:paraId="073347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4049" w:type="dxa"/>
                  <w:shd w:val="clear" w:color="auto" w:fill="auto"/>
                  <w:vAlign w:val="center"/>
                </w:tcPr>
                <w:p w14:paraId="5E04D540">
                  <w:pPr>
                    <w:pStyle w:val="70"/>
                    <w:spacing w:line="240" w:lineRule="auto"/>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lang w:eastAsia="zh-CN"/>
                      <w14:textFill>
                        <w14:solidFill>
                          <w14:schemeClr w14:val="tx1"/>
                        </w14:solidFill>
                      </w14:textFill>
                    </w:rPr>
                    <w:t>（</w:t>
                  </w:r>
                  <w:r>
                    <w:rPr>
                      <w:rFonts w:hint="eastAsia" w:ascii="Times New Roman" w:hAnsi="Times New Roman" w:eastAsia="宋体" w:cs="Times New Roman"/>
                      <w:b/>
                      <w:bCs/>
                      <w:color w:val="000000" w:themeColor="text1"/>
                      <w:sz w:val="21"/>
                      <w:szCs w:val="21"/>
                      <w:lang w:val="en-US" w:eastAsia="zh-CN"/>
                      <w14:textFill>
                        <w14:solidFill>
                          <w14:schemeClr w14:val="tx1"/>
                        </w14:solidFill>
                      </w14:textFill>
                    </w:rPr>
                    <w:t>GB 50472-2008</w:t>
                  </w:r>
                  <w:r>
                    <w:rPr>
                      <w:rFonts w:hint="eastAsia" w:ascii="Times New Roman" w:hAnsi="Times New Roman" w:eastAsia="宋体" w:cs="Times New Roman"/>
                      <w:b/>
                      <w:bCs/>
                      <w:color w:val="000000" w:themeColor="text1"/>
                      <w:sz w:val="21"/>
                      <w:szCs w:val="21"/>
                      <w:lang w:eastAsia="zh-CN"/>
                      <w14:textFill>
                        <w14:solidFill>
                          <w14:schemeClr w14:val="tx1"/>
                        </w14:solidFill>
                      </w14:textFill>
                    </w:rPr>
                    <w:t>）</w:t>
                  </w: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要求</w:t>
                  </w:r>
                </w:p>
              </w:tc>
              <w:tc>
                <w:tcPr>
                  <w:tcW w:w="2959" w:type="dxa"/>
                  <w:shd w:val="clear" w:color="auto" w:fill="auto"/>
                  <w:vAlign w:val="center"/>
                </w:tcPr>
                <w:p w14:paraId="2CADEAD3">
                  <w:pPr>
                    <w:pStyle w:val="70"/>
                    <w:spacing w:line="240" w:lineRule="auto"/>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本项目情况</w:t>
                  </w:r>
                </w:p>
              </w:tc>
              <w:tc>
                <w:tcPr>
                  <w:tcW w:w="1016" w:type="dxa"/>
                  <w:shd w:val="clear" w:color="auto" w:fill="auto"/>
                  <w:vAlign w:val="center"/>
                </w:tcPr>
                <w:p w14:paraId="6A4EE563">
                  <w:pPr>
                    <w:pStyle w:val="70"/>
                    <w:spacing w:line="240" w:lineRule="auto"/>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符合性</w:t>
                  </w:r>
                </w:p>
              </w:tc>
            </w:tr>
            <w:tr w14:paraId="7C3B39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4049" w:type="dxa"/>
                  <w:shd w:val="clear" w:color="auto" w:fill="auto"/>
                  <w:vAlign w:val="center"/>
                </w:tcPr>
                <w:p w14:paraId="45845904">
                  <w:pPr>
                    <w:pStyle w:val="70"/>
                    <w:spacing w:line="240" w:lineRule="auto"/>
                    <w:jc w:val="center"/>
                    <w:rPr>
                      <w:rFonts w:hint="default" w:cs="Times New Roman"/>
                      <w:color w:val="000000" w:themeColor="text1"/>
                      <w:sz w:val="21"/>
                      <w:szCs w:val="21"/>
                      <w:lang w:val="en-US" w:eastAsia="zh-CN"/>
                      <w14:textFill>
                        <w14:solidFill>
                          <w14:schemeClr w14:val="tx1"/>
                        </w14:solidFill>
                      </w14:textFill>
                    </w:rPr>
                  </w:pPr>
                  <w:r>
                    <w:rPr>
                      <w:rFonts w:hint="default" w:cs="Times New Roman"/>
                      <w:color w:val="000000" w:themeColor="text1"/>
                      <w:sz w:val="21"/>
                      <w:szCs w:val="21"/>
                      <w:lang w:val="en-US" w:eastAsia="zh-CN"/>
                      <w14:textFill>
                        <w14:solidFill>
                          <w14:schemeClr w14:val="tx1"/>
                        </w14:solidFill>
                      </w14:textFill>
                    </w:rPr>
                    <w:t>应布置在大气含尘和有害气体或化学污染物浓度较低、自然环境较好的区域</w:t>
                  </w:r>
                  <w:r>
                    <w:rPr>
                      <w:rFonts w:hint="eastAsia" w:cs="Times New Roman"/>
                      <w:color w:val="000000" w:themeColor="text1"/>
                      <w:sz w:val="21"/>
                      <w:szCs w:val="21"/>
                      <w:lang w:val="en-US" w:eastAsia="zh-CN"/>
                      <w14:textFill>
                        <w14:solidFill>
                          <w14:schemeClr w14:val="tx1"/>
                        </w14:solidFill>
                      </w14:textFill>
                    </w:rPr>
                    <w:t>；</w:t>
                  </w:r>
                </w:p>
              </w:tc>
              <w:tc>
                <w:tcPr>
                  <w:tcW w:w="2959" w:type="dxa"/>
                  <w:shd w:val="clear" w:color="auto" w:fill="auto"/>
                  <w:vAlign w:val="center"/>
                </w:tcPr>
                <w:p w14:paraId="011456D7">
                  <w:pPr>
                    <w:pStyle w:val="70"/>
                    <w:spacing w:line="240" w:lineRule="auto"/>
                    <w:jc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根据《2025巴中市生态环境状况公报》，项目所在区域环境质量良好。</w:t>
                  </w:r>
                </w:p>
              </w:tc>
              <w:tc>
                <w:tcPr>
                  <w:tcW w:w="1016" w:type="dxa"/>
                  <w:shd w:val="clear" w:color="auto" w:fill="auto"/>
                  <w:vAlign w:val="center"/>
                </w:tcPr>
                <w:p w14:paraId="60CDA074">
                  <w:pPr>
                    <w:pStyle w:val="70"/>
                    <w:spacing w:line="240" w:lineRule="auto"/>
                    <w:jc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符合</w:t>
                  </w:r>
                </w:p>
              </w:tc>
            </w:tr>
            <w:tr w14:paraId="1591CE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4049" w:type="dxa"/>
                  <w:shd w:val="clear" w:color="auto" w:fill="auto"/>
                  <w:vAlign w:val="center"/>
                </w:tcPr>
                <w:p w14:paraId="46DF05D1">
                  <w:pPr>
                    <w:pStyle w:val="70"/>
                    <w:spacing w:line="240" w:lineRule="auto"/>
                    <w:jc w:val="both"/>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应远离铁路、码头、飞机场、交通要道以及散发大量粉尘和有害气体或化学污染物的工厂、贮仓、堆场等有严重空气污染、振动或噪声干扰或强电磁场的区域。不能远离严重空气污染源时，则应位于全年最小频率风向下风侧</w:t>
                  </w:r>
                  <w:r>
                    <w:rPr>
                      <w:rFonts w:hint="eastAsia" w:cs="Times New Roman"/>
                      <w:color w:val="000000" w:themeColor="text1"/>
                      <w:sz w:val="21"/>
                      <w:szCs w:val="21"/>
                      <w:lang w:eastAsia="zh-CN"/>
                      <w14:textFill>
                        <w14:solidFill>
                          <w14:schemeClr w14:val="tx1"/>
                        </w14:solidFill>
                      </w14:textFill>
                    </w:rPr>
                    <w:t>；</w:t>
                  </w:r>
                </w:p>
              </w:tc>
              <w:tc>
                <w:tcPr>
                  <w:tcW w:w="2959" w:type="dxa"/>
                  <w:vMerge w:val="restart"/>
                  <w:shd w:val="clear" w:color="auto" w:fill="auto"/>
                  <w:vAlign w:val="center"/>
                </w:tcPr>
                <w:p w14:paraId="3DFD555C">
                  <w:pPr>
                    <w:pStyle w:val="70"/>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项目洁净厂房远离铁路，距离交通干道约160m，所在区域范围内不涉及</w:t>
                  </w:r>
                  <w:r>
                    <w:rPr>
                      <w:rFonts w:hint="default" w:ascii="Times New Roman" w:hAnsi="Times New Roman" w:eastAsia="宋体" w:cs="Times New Roman"/>
                      <w:color w:val="000000" w:themeColor="text1"/>
                      <w:sz w:val="21"/>
                      <w:szCs w:val="21"/>
                      <w14:textFill>
                        <w14:solidFill>
                          <w14:schemeClr w14:val="tx1"/>
                        </w14:solidFill>
                      </w14:textFill>
                    </w:rPr>
                    <w:t>码头、飞机场</w:t>
                  </w:r>
                  <w:r>
                    <w:rPr>
                      <w:rFonts w:hint="eastAsia" w:cs="Times New Roman"/>
                      <w:color w:val="000000" w:themeColor="text1"/>
                      <w:sz w:val="21"/>
                      <w:szCs w:val="21"/>
                      <w:lang w:eastAsia="zh-CN"/>
                      <w14:textFill>
                        <w14:solidFill>
                          <w14:schemeClr w14:val="tx1"/>
                        </w14:solidFill>
                      </w14:textFill>
                    </w:rPr>
                    <w:t>、</w:t>
                  </w:r>
                  <w:r>
                    <w:rPr>
                      <w:rFonts w:hint="default" w:ascii="Times New Roman" w:hAnsi="Times New Roman" w:eastAsia="宋体" w:cs="Times New Roman"/>
                      <w:color w:val="000000" w:themeColor="text1"/>
                      <w:sz w:val="21"/>
                      <w:szCs w:val="21"/>
                      <w14:textFill>
                        <w14:solidFill>
                          <w14:schemeClr w14:val="tx1"/>
                        </w14:solidFill>
                      </w14:textFill>
                    </w:rPr>
                    <w:t>散发大量粉尘和有害气体或化学污染物的工厂、贮仓、堆场等有严重空气污染、振动或噪声干扰或强电磁场的区域</w:t>
                  </w:r>
                  <w:r>
                    <w:rPr>
                      <w:rFonts w:hint="eastAsia" w:cs="Times New Roman"/>
                      <w:color w:val="000000" w:themeColor="text1"/>
                      <w:sz w:val="21"/>
                      <w:szCs w:val="21"/>
                      <w:lang w:eastAsia="zh-CN"/>
                      <w14:textFill>
                        <w14:solidFill>
                          <w14:schemeClr w14:val="tx1"/>
                        </w14:solidFill>
                      </w14:textFill>
                    </w:rPr>
                    <w:t>。</w:t>
                  </w:r>
                </w:p>
              </w:tc>
              <w:tc>
                <w:tcPr>
                  <w:tcW w:w="1016" w:type="dxa"/>
                  <w:shd w:val="clear" w:color="auto" w:fill="auto"/>
                  <w:vAlign w:val="center"/>
                </w:tcPr>
                <w:p w14:paraId="2F312CD0">
                  <w:pPr>
                    <w:pStyle w:val="70"/>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符合</w:t>
                  </w:r>
                </w:p>
              </w:tc>
            </w:tr>
            <w:tr w14:paraId="155449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4049" w:type="dxa"/>
                  <w:shd w:val="clear" w:color="auto" w:fill="auto"/>
                  <w:vAlign w:val="center"/>
                </w:tcPr>
                <w:p w14:paraId="1575E19B">
                  <w:pPr>
                    <w:pStyle w:val="70"/>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洁净厂房净化空调系统的新风口与城市交通干道之间的4.1.2距离</w:t>
                  </w:r>
                  <w:r>
                    <w:rPr>
                      <w:rFonts w:hint="eastAsia" w:ascii="宋体" w:hAnsi="宋体" w:eastAsia="宋体" w:cs="宋体"/>
                      <w:color w:val="000000" w:themeColor="text1"/>
                      <w:sz w:val="21"/>
                      <w:szCs w:val="21"/>
                      <w14:textFill>
                        <w14:solidFill>
                          <w14:schemeClr w14:val="tx1"/>
                        </w14:solidFill>
                      </w14:textFill>
                    </w:rPr>
                    <w:t>(相邻侧边沿)宜</w:t>
                  </w:r>
                  <w:r>
                    <w:rPr>
                      <w:rFonts w:hint="default" w:ascii="Times New Roman" w:hAnsi="Times New Roman" w:eastAsia="宋体" w:cs="Times New Roman"/>
                      <w:color w:val="000000" w:themeColor="text1"/>
                      <w:sz w:val="21"/>
                      <w:szCs w:val="21"/>
                      <w14:textFill>
                        <w14:solidFill>
                          <w14:schemeClr w14:val="tx1"/>
                        </w14:solidFill>
                      </w14:textFill>
                    </w:rPr>
                    <w:t>大于50m。当洁净厂房与交通干道之间设有城市绿化带时，可根据具体条件适当减少，但不得小于25m。</w:t>
                  </w:r>
                </w:p>
              </w:tc>
              <w:tc>
                <w:tcPr>
                  <w:tcW w:w="2959" w:type="dxa"/>
                  <w:vMerge w:val="continue"/>
                  <w:shd w:val="clear" w:color="auto" w:fill="auto"/>
                  <w:vAlign w:val="center"/>
                </w:tcPr>
                <w:p w14:paraId="0FB7744B">
                  <w:pPr>
                    <w:pStyle w:val="7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1016" w:type="dxa"/>
                  <w:shd w:val="clear" w:color="auto" w:fill="auto"/>
                  <w:vAlign w:val="center"/>
                </w:tcPr>
                <w:p w14:paraId="6330450A">
                  <w:pPr>
                    <w:pStyle w:val="70"/>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符合</w:t>
                  </w:r>
                </w:p>
              </w:tc>
            </w:tr>
            <w:tr w14:paraId="0FB565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4049" w:type="dxa"/>
                  <w:shd w:val="clear" w:color="auto" w:fill="auto"/>
                  <w:vAlign w:val="center"/>
                </w:tcPr>
                <w:p w14:paraId="3F7BFF7F">
                  <w:pPr>
                    <w:pStyle w:val="70"/>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厂区总平面布置时，应按洁净生产、非洁净生产、辅助生产、公用动力系统和办公、生活等功能区合理布局。</w:t>
                  </w:r>
                </w:p>
                <w:p w14:paraId="324CC563">
                  <w:pPr>
                    <w:pStyle w:val="70"/>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洁净厂房宜根据电子产品生产工艺特点和各种功能区的要求，按组合式、大体量的综合性厂房布置。</w:t>
                  </w:r>
                </w:p>
              </w:tc>
              <w:tc>
                <w:tcPr>
                  <w:tcW w:w="2959" w:type="dxa"/>
                  <w:shd w:val="clear" w:color="auto" w:fill="auto"/>
                  <w:vAlign w:val="center"/>
                </w:tcPr>
                <w:p w14:paraId="390675E4">
                  <w:pPr>
                    <w:pStyle w:val="70"/>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根据建设单位提供资料，项目电芯车间按项目生产工艺特点分别设置洁净生产区、非洁净生产区等。</w:t>
                  </w:r>
                </w:p>
              </w:tc>
              <w:tc>
                <w:tcPr>
                  <w:tcW w:w="1016" w:type="dxa"/>
                  <w:shd w:val="clear" w:color="auto" w:fill="auto"/>
                  <w:vAlign w:val="center"/>
                </w:tcPr>
                <w:p w14:paraId="6F886EC4">
                  <w:pPr>
                    <w:pStyle w:val="70"/>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符合</w:t>
                  </w:r>
                </w:p>
              </w:tc>
            </w:tr>
            <w:tr w14:paraId="32B008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4049" w:type="dxa"/>
                  <w:shd w:val="clear" w:color="auto" w:fill="auto"/>
                  <w:vAlign w:val="center"/>
                </w:tcPr>
                <w:p w14:paraId="039ABD3A">
                  <w:pPr>
                    <w:pStyle w:val="70"/>
                    <w:spacing w:line="240" w:lineRule="auto"/>
                    <w:jc w:val="both"/>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发热量、发尘量大的生产工序或生产设备，宜与空气洁净度要求严格的房间分隔布置</w:t>
                  </w:r>
                  <w:r>
                    <w:rPr>
                      <w:rFonts w:hint="eastAsia" w:cs="Times New Roman"/>
                      <w:color w:val="000000" w:themeColor="text1"/>
                      <w:sz w:val="21"/>
                      <w:szCs w:val="21"/>
                      <w:lang w:eastAsia="zh-CN"/>
                      <w14:textFill>
                        <w14:solidFill>
                          <w14:schemeClr w14:val="tx1"/>
                        </w14:solidFill>
                      </w14:textFill>
                    </w:rPr>
                    <w:t>；</w:t>
                  </w:r>
                </w:p>
              </w:tc>
              <w:tc>
                <w:tcPr>
                  <w:tcW w:w="2959" w:type="dxa"/>
                  <w:shd w:val="clear" w:color="auto" w:fill="auto"/>
                  <w:vAlign w:val="center"/>
                </w:tcPr>
                <w:p w14:paraId="76E478D5">
                  <w:pPr>
                    <w:pStyle w:val="70"/>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项目不涉及发热量、发尘量大的生产工序及生产设备。</w:t>
                  </w:r>
                </w:p>
              </w:tc>
              <w:tc>
                <w:tcPr>
                  <w:tcW w:w="1016" w:type="dxa"/>
                  <w:shd w:val="clear" w:color="auto" w:fill="auto"/>
                  <w:vAlign w:val="center"/>
                </w:tcPr>
                <w:p w14:paraId="4421C225">
                  <w:pPr>
                    <w:pStyle w:val="70"/>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符合</w:t>
                  </w:r>
                </w:p>
              </w:tc>
            </w:tr>
          </w:tbl>
          <w:p w14:paraId="44C2A625">
            <w:pPr>
              <w:spacing w:line="360" w:lineRule="auto"/>
              <w:ind w:firstLine="480" w:firstLineChars="200"/>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综上，本</w:t>
            </w:r>
            <w:r>
              <w:rPr>
                <w:rFonts w:hint="default" w:ascii="Times New Roman" w:hAnsi="Times New Roman" w:cs="Times New Roman"/>
                <w:color w:val="000000" w:themeColor="text1"/>
                <w:sz w:val="24"/>
                <w:lang w:val="en-US" w:eastAsia="zh-CN"/>
                <w14:textFill>
                  <w14:solidFill>
                    <w14:schemeClr w14:val="tx1"/>
                  </w14:solidFill>
                </w14:textFill>
              </w:rPr>
              <w:t>项目</w:t>
            </w:r>
            <w:r>
              <w:rPr>
                <w:rFonts w:hint="eastAsia" w:ascii="Times New Roman" w:hAnsi="Times New Roman" w:cs="Times New Roman"/>
                <w:color w:val="000000" w:themeColor="text1"/>
                <w:sz w:val="24"/>
                <w:lang w:val="en-US" w:eastAsia="zh-CN"/>
                <w14:textFill>
                  <w14:solidFill>
                    <w14:schemeClr w14:val="tx1"/>
                  </w14:solidFill>
                </w14:textFill>
              </w:rPr>
              <w:t>与</w:t>
            </w:r>
            <w:r>
              <w:rPr>
                <w:rFonts w:hint="eastAsia" w:ascii="Times New Roman" w:hAnsi="Times New Roman" w:cs="Times New Roman"/>
                <w:color w:val="000000" w:themeColor="text1"/>
                <w:sz w:val="24"/>
                <w:lang w:eastAsia="zh-CN"/>
                <w14:textFill>
                  <w14:solidFill>
                    <w14:schemeClr w14:val="tx1"/>
                  </w14:solidFill>
                </w14:textFill>
              </w:rPr>
              <w:t>《</w:t>
            </w:r>
            <w:r>
              <w:rPr>
                <w:rFonts w:hint="eastAsia" w:ascii="Times New Roman" w:hAnsi="Times New Roman" w:cs="Times New Roman"/>
                <w:color w:val="000000" w:themeColor="text1"/>
                <w:sz w:val="24"/>
                <w:lang w:val="en-US" w:eastAsia="zh-CN"/>
                <w14:textFill>
                  <w14:solidFill>
                    <w14:schemeClr w14:val="tx1"/>
                  </w14:solidFill>
                </w14:textFill>
              </w:rPr>
              <w:t>电子工业洁净厂房设计规范</w:t>
            </w:r>
            <w:r>
              <w:rPr>
                <w:rFonts w:hint="eastAsia" w:ascii="Times New Roman" w:hAnsi="Times New Roman" w:cs="Times New Roman"/>
                <w:color w:val="000000" w:themeColor="text1"/>
                <w:sz w:val="24"/>
                <w:lang w:eastAsia="zh-CN"/>
                <w14:textFill>
                  <w14:solidFill>
                    <w14:schemeClr w14:val="tx1"/>
                  </w14:solidFill>
                </w14:textFill>
              </w:rPr>
              <w:t>》（</w:t>
            </w:r>
            <w:r>
              <w:rPr>
                <w:rFonts w:hint="eastAsia" w:ascii="Times New Roman" w:hAnsi="Times New Roman" w:cs="Times New Roman"/>
                <w:color w:val="000000" w:themeColor="text1"/>
                <w:sz w:val="24"/>
                <w:lang w:val="en-US" w:eastAsia="zh-CN"/>
                <w14:textFill>
                  <w14:solidFill>
                    <w14:schemeClr w14:val="tx1"/>
                  </w14:solidFill>
                </w14:textFill>
              </w:rPr>
              <w:t>GB 50472-2008</w:t>
            </w:r>
            <w:r>
              <w:rPr>
                <w:rFonts w:hint="eastAsia" w:ascii="Times New Roman" w:hAnsi="Times New Roman" w:cs="Times New Roman"/>
                <w:color w:val="000000" w:themeColor="text1"/>
                <w:sz w:val="24"/>
                <w:lang w:eastAsia="zh-CN"/>
                <w14:textFill>
                  <w14:solidFill>
                    <w14:schemeClr w14:val="tx1"/>
                  </w14:solidFill>
                </w14:textFill>
              </w:rPr>
              <w:t>）</w:t>
            </w:r>
            <w:r>
              <w:rPr>
                <w:rFonts w:hint="eastAsia" w:cs="Times New Roman"/>
                <w:color w:val="000000" w:themeColor="text1"/>
                <w:sz w:val="24"/>
                <w:lang w:val="en-US" w:eastAsia="zh-CN"/>
                <w14:textFill>
                  <w14:solidFill>
                    <w14:schemeClr w14:val="tx1"/>
                  </w14:solidFill>
                </w14:textFill>
              </w:rPr>
              <w:t>相符。</w:t>
            </w:r>
          </w:p>
          <w:p w14:paraId="09147A1C">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textAlignment w:val="auto"/>
              <w:rPr>
                <w:rFonts w:hint="eastAsia" w:ascii="Times New Roman" w:hAnsi="Times New Roman" w:eastAsia="宋体" w:cs="Times New Roman"/>
                <w:b/>
                <w:bCs/>
                <w:color w:val="000000" w:themeColor="text1"/>
                <w:highlight w:val="none"/>
                <w:lang w:val="en-US" w:eastAsia="zh-CN"/>
                <w14:textFill>
                  <w14:solidFill>
                    <w14:schemeClr w14:val="tx1"/>
                  </w14:solidFill>
                </w14:textFill>
              </w:rPr>
            </w:pPr>
            <w:r>
              <w:rPr>
                <w:rFonts w:hint="eastAsia" w:cs="Times New Roman"/>
                <w:b/>
                <w:bCs/>
                <w:color w:val="000000" w:themeColor="text1"/>
                <w:sz w:val="24"/>
                <w:highlight w:val="none"/>
                <w:lang w:val="en-US" w:eastAsia="zh-CN"/>
                <w14:textFill>
                  <w14:solidFill>
                    <w14:schemeClr w14:val="tx1"/>
                  </w14:solidFill>
                </w14:textFill>
              </w:rPr>
              <w:t>12</w:t>
            </w:r>
            <w:r>
              <w:rPr>
                <w:rFonts w:hint="eastAsia" w:ascii="Times New Roman" w:hAnsi="Times New Roman" w:eastAsia="宋体" w:cs="Times New Roman"/>
                <w:b/>
                <w:bCs/>
                <w:color w:val="000000" w:themeColor="text1"/>
                <w:sz w:val="24"/>
                <w:highlight w:val="none"/>
                <w:lang w:val="en-US" w:eastAsia="zh-CN"/>
                <w14:textFill>
                  <w14:solidFill>
                    <w14:schemeClr w14:val="tx1"/>
                  </w14:solidFill>
                </w14:textFill>
              </w:rPr>
              <w:t>、</w:t>
            </w:r>
            <w:r>
              <w:rPr>
                <w:rFonts w:hint="eastAsia" w:ascii="Times New Roman" w:hAnsi="Times New Roman" w:eastAsia="宋体" w:cs="Times New Roman"/>
                <w:b/>
                <w:bCs/>
                <w:color w:val="000000" w:themeColor="text1"/>
                <w:highlight w:val="none"/>
                <w:lang w:val="en-US" w:eastAsia="zh-CN"/>
                <w14:textFill>
                  <w14:solidFill>
                    <w14:schemeClr w14:val="tx1"/>
                  </w14:solidFill>
                </w14:textFill>
              </w:rPr>
              <w:t>土地利用符合性分析</w:t>
            </w:r>
          </w:p>
          <w:p w14:paraId="1A6811FF">
            <w:pPr>
              <w:spacing w:line="360" w:lineRule="auto"/>
              <w:ind w:firstLine="480" w:firstLineChars="200"/>
              <w:rPr>
                <w:rFonts w:hint="eastAsia" w:ascii="Times New Roman" w:hAnsi="Times New Roman" w:eastAsia="宋体" w:cs="Times New Roman"/>
                <w:color w:val="000000" w:themeColor="text1"/>
                <w:kern w:val="0"/>
                <w:sz w:val="24"/>
                <w:szCs w:val="21"/>
                <w:lang w:eastAsia="zh-CN"/>
                <w14:textFill>
                  <w14:solidFill>
                    <w14:schemeClr w14:val="tx1"/>
                  </w14:solidFill>
                </w14:textFill>
              </w:rPr>
            </w:pPr>
            <w:r>
              <w:rPr>
                <w:rFonts w:hint="eastAsia" w:ascii="Times New Roman" w:hAnsi="Times New Roman" w:eastAsia="宋体" w:cs="Times New Roman"/>
                <w:color w:val="000000" w:themeColor="text1"/>
                <w:kern w:val="0"/>
                <w:sz w:val="24"/>
                <w:szCs w:val="21"/>
                <w:lang w:val="en-US" w:eastAsia="zh-CN"/>
                <w14:textFill>
                  <w14:solidFill>
                    <w14:schemeClr w14:val="tx1"/>
                  </w14:solidFill>
                </w14:textFill>
              </w:rPr>
              <w:t>本</w:t>
            </w:r>
            <w:r>
              <w:rPr>
                <w:rFonts w:ascii="宋体" w:hAnsi="宋体" w:eastAsia="宋体" w:cs="宋体"/>
                <w:color w:val="000000" w:themeColor="text1"/>
                <w:sz w:val="24"/>
                <w:szCs w:val="24"/>
                <w14:textFill>
                  <w14:solidFill>
                    <w14:schemeClr w14:val="tx1"/>
                  </w14:solidFill>
                </w14:textFill>
              </w:rPr>
              <w:t>项目位于</w:t>
            </w:r>
            <w:r>
              <w:rPr>
                <w:rFonts w:hint="eastAsia" w:ascii="宋体" w:hAnsi="宋体" w:cs="宋体"/>
                <w:color w:val="000000" w:themeColor="text1"/>
                <w:sz w:val="24"/>
                <w:szCs w:val="24"/>
                <w:lang w:val="en-US" w:eastAsia="zh-CN"/>
                <w14:textFill>
                  <w14:solidFill>
                    <w14:schemeClr w14:val="tx1"/>
                  </w14:solidFill>
                </w14:textFill>
              </w:rPr>
              <w:t>四川巴中经济开发区</w:t>
            </w:r>
            <w:r>
              <w:rPr>
                <w:rFonts w:ascii="宋体" w:hAnsi="宋体" w:eastAsia="宋体" w:cs="宋体"/>
                <w:color w:val="000000" w:themeColor="text1"/>
                <w:sz w:val="24"/>
                <w:szCs w:val="24"/>
                <w14:textFill>
                  <w14:solidFill>
                    <w14:schemeClr w14:val="tx1"/>
                  </w14:solidFill>
                </w14:textFill>
              </w:rPr>
              <w:t>创业路低空</w:t>
            </w:r>
            <w:r>
              <w:rPr>
                <w:rFonts w:hint="eastAsia" w:ascii="宋体" w:hAnsi="宋体" w:cs="宋体"/>
                <w:color w:val="000000" w:themeColor="text1"/>
                <w:sz w:val="24"/>
                <w:szCs w:val="24"/>
                <w:lang w:val="en-US" w:eastAsia="zh-CN"/>
                <w14:textFill>
                  <w14:solidFill>
                    <w14:schemeClr w14:val="tx1"/>
                  </w14:solidFill>
                </w14:textFill>
              </w:rPr>
              <w:t>数字</w:t>
            </w:r>
            <w:r>
              <w:rPr>
                <w:rFonts w:ascii="宋体" w:hAnsi="宋体" w:eastAsia="宋体" w:cs="宋体"/>
                <w:color w:val="000000" w:themeColor="text1"/>
                <w:sz w:val="24"/>
                <w:szCs w:val="24"/>
                <w14:textFill>
                  <w14:solidFill>
                    <w14:schemeClr w14:val="tx1"/>
                  </w14:solidFill>
                </w14:textFill>
              </w:rPr>
              <w:t>经济产业园，租赁四川秦巴瑞耀产业园经营管理有限公司在建厂房建设，现阶段厂房尚未竣工，暂定租赁建筑面</w:t>
            </w:r>
            <w:r>
              <w:rPr>
                <w:rFonts w:hint="eastAsia" w:ascii="Times New Roman" w:hAnsi="Times New Roman" w:eastAsia="宋体" w:cs="Times New Roman"/>
                <w:color w:val="000000" w:themeColor="text1"/>
                <w:kern w:val="0"/>
                <w:sz w:val="24"/>
                <w:szCs w:val="21"/>
                <w:lang w:val="en-US" w:eastAsia="zh-CN"/>
                <w14:textFill>
                  <w14:solidFill>
                    <w14:schemeClr w14:val="tx1"/>
                  </w14:solidFill>
                </w14:textFill>
              </w:rPr>
              <w:t>积27257.7</w:t>
            </w:r>
            <w:r>
              <w:rPr>
                <w:rFonts w:hint="eastAsia" w:cs="Times New Roman"/>
                <w:color w:val="000000" w:themeColor="text1"/>
                <w:kern w:val="0"/>
                <w:sz w:val="24"/>
                <w:szCs w:val="21"/>
                <w:lang w:val="en-US" w:eastAsia="zh-CN"/>
                <w14:textFill>
                  <w14:solidFill>
                    <w14:schemeClr w14:val="tx1"/>
                  </w14:solidFill>
                </w14:textFill>
              </w:rPr>
              <w:t>m</w:t>
            </w:r>
            <w:r>
              <w:rPr>
                <w:rFonts w:hint="eastAsia" w:cs="Times New Roman"/>
                <w:color w:val="000000" w:themeColor="text1"/>
                <w:kern w:val="0"/>
                <w:sz w:val="24"/>
                <w:szCs w:val="21"/>
                <w:vertAlign w:val="superscript"/>
                <w:lang w:val="en-US" w:eastAsia="zh-CN"/>
                <w14:textFill>
                  <w14:solidFill>
                    <w14:schemeClr w14:val="tx1"/>
                  </w14:solidFill>
                </w14:textFill>
              </w:rPr>
              <w:t>2</w:t>
            </w:r>
            <w:r>
              <w:rPr>
                <w:rFonts w:hint="eastAsia" w:ascii="Times New Roman" w:hAnsi="Times New Roman" w:eastAsia="宋体" w:cs="Times New Roman"/>
                <w:color w:val="000000" w:themeColor="text1"/>
                <w:kern w:val="0"/>
                <w:sz w:val="24"/>
                <w:szCs w:val="21"/>
                <w:lang w:val="en-US" w:eastAsia="zh-CN"/>
                <w14:textFill>
                  <w14:solidFill>
                    <w14:schemeClr w14:val="tx1"/>
                  </w14:solidFill>
                </w14:textFill>
              </w:rPr>
              <w:t>。根据四川秦巴瑞耀产业园经营管理有限公司不动产权证书（川（2025）巴中市市不动产权第0001861号）可知，本项目用地规划用地为工业用地</w:t>
            </w:r>
            <w:r>
              <w:rPr>
                <w:rFonts w:hint="eastAsia" w:ascii="Times New Roman" w:hAnsi="Times New Roman" w:eastAsia="宋体" w:cs="Times New Roman"/>
                <w:color w:val="000000" w:themeColor="text1"/>
                <w:kern w:val="0"/>
                <w:sz w:val="24"/>
                <w:szCs w:val="21"/>
                <w:lang w:eastAsia="zh-CN"/>
                <w14:textFill>
                  <w14:solidFill>
                    <w14:schemeClr w14:val="tx1"/>
                  </w14:solidFill>
                </w14:textFill>
              </w:rPr>
              <w:t>。</w:t>
            </w:r>
          </w:p>
          <w:p w14:paraId="4DDC5D9D">
            <w:pPr>
              <w:autoSpaceDE w:val="0"/>
              <w:autoSpaceDN w:val="0"/>
              <w:spacing w:line="360" w:lineRule="auto"/>
              <w:ind w:firstLine="480" w:firstLineChars="200"/>
              <w:rPr>
                <w:rFonts w:hint="eastAsia" w:ascii="Times New Roman" w:hAnsi="Times New Roman" w:eastAsia="宋体"/>
                <w:b/>
                <w:bCs/>
                <w:color w:val="000000" w:themeColor="text1"/>
                <w:sz w:val="24"/>
                <w:highlight w:val="none"/>
                <w:lang w:val="en-US" w:eastAsia="zh-CN"/>
                <w14:textFill>
                  <w14:solidFill>
                    <w14:schemeClr w14:val="tx1"/>
                  </w14:solidFill>
                </w14:textFill>
              </w:rPr>
            </w:pPr>
            <w:r>
              <w:rPr>
                <w:rFonts w:hint="eastAsia" w:ascii="Times New Roman" w:hAnsi="Times New Roman"/>
                <w:color w:val="000000" w:themeColor="text1"/>
                <w:kern w:val="0"/>
                <w:sz w:val="24"/>
                <w:highlight w:val="none"/>
                <w14:textFill>
                  <w14:solidFill>
                    <w14:schemeClr w14:val="tx1"/>
                  </w14:solidFill>
                </w14:textFill>
              </w:rPr>
              <w:t>因此，本项目用地符合规划</w:t>
            </w:r>
            <w:r>
              <w:rPr>
                <w:rFonts w:hint="eastAsia" w:ascii="Times New Roman" w:hAnsi="Times New Roman"/>
                <w:color w:val="000000" w:themeColor="text1"/>
                <w:kern w:val="0"/>
                <w:sz w:val="24"/>
                <w:highlight w:val="none"/>
                <w:lang w:eastAsia="zh-CN"/>
                <w14:textFill>
                  <w14:solidFill>
                    <w14:schemeClr w14:val="tx1"/>
                  </w14:solidFill>
                </w14:textFill>
              </w:rPr>
              <w:t>。</w:t>
            </w:r>
          </w:p>
          <w:p w14:paraId="327848EE">
            <w:pPr>
              <w:spacing w:line="360" w:lineRule="auto"/>
              <w:ind w:firstLine="482" w:firstLineChars="200"/>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hint="eastAsia" w:cs="Times New Roman"/>
                <w:b/>
                <w:bCs/>
                <w:color w:val="000000" w:themeColor="text1"/>
                <w:sz w:val="24"/>
                <w:highlight w:val="none"/>
                <w:lang w:val="en-US" w:eastAsia="zh-CN"/>
                <w14:textFill>
                  <w14:solidFill>
                    <w14:schemeClr w14:val="tx1"/>
                  </w14:solidFill>
                </w14:textFill>
              </w:rPr>
              <w:t>13</w:t>
            </w:r>
            <w:r>
              <w:rPr>
                <w:rFonts w:hint="eastAsia" w:ascii="Times New Roman" w:hAnsi="Times New Roman" w:eastAsia="宋体" w:cs="Times New Roman"/>
                <w:b/>
                <w:bCs/>
                <w:color w:val="000000" w:themeColor="text1"/>
                <w:sz w:val="24"/>
                <w:highlight w:val="none"/>
                <w:lang w:val="en-US" w:eastAsia="zh-CN"/>
                <w14:textFill>
                  <w14:solidFill>
                    <w14:schemeClr w14:val="tx1"/>
                  </w14:solidFill>
                </w14:textFill>
              </w:rPr>
              <w:t>、选址合理性分析</w:t>
            </w:r>
          </w:p>
          <w:p w14:paraId="50BA7DF4">
            <w:pPr>
              <w:keepLines w:val="0"/>
              <w:pageBreakBefore w:val="0"/>
              <w:widowControl w:val="0"/>
              <w:kinsoku/>
              <w:wordWrap/>
              <w:overflowPunct/>
              <w:topLinePunct w:val="0"/>
              <w:bidi w:val="0"/>
              <w:adjustRightInd w:val="0"/>
              <w:snapToGrid w:val="0"/>
              <w:spacing w:line="360" w:lineRule="auto"/>
              <w:ind w:left="0" w:right="0" w:firstLine="482" w:firstLineChars="200"/>
              <w:jc w:val="both"/>
              <w:textAlignment w:val="baseline"/>
              <w:rPr>
                <w:rFonts w:hint="default" w:ascii="Times New Roman" w:hAnsi="Times New Roman" w:eastAsia="宋体" w:cs="Times New Roman"/>
                <w:b/>
                <w:bCs/>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0"/>
                <w:sz w:val="24"/>
                <w:szCs w:val="24"/>
                <w:highlight w:val="none"/>
                <w:lang w:val="en-US" w:eastAsia="zh-CN" w:bidi="ar-SA"/>
                <w14:textFill>
                  <w14:solidFill>
                    <w14:schemeClr w14:val="tx1"/>
                  </w14:solidFill>
                </w14:textFill>
              </w:rPr>
              <w:t>（</w:t>
            </w:r>
            <w:r>
              <w:rPr>
                <w:rFonts w:hint="eastAsia" w:cs="Times New Roman"/>
                <w:b/>
                <w:bCs/>
                <w:color w:val="000000" w:themeColor="text1"/>
                <w:kern w:val="0"/>
                <w:sz w:val="24"/>
                <w:szCs w:val="24"/>
                <w:highlight w:val="none"/>
                <w:lang w:val="en-US" w:eastAsia="zh-CN" w:bidi="ar-SA"/>
                <w14:textFill>
                  <w14:solidFill>
                    <w14:schemeClr w14:val="tx1"/>
                  </w14:solidFill>
                </w14:textFill>
              </w:rPr>
              <w:t>1</w:t>
            </w:r>
            <w:r>
              <w:rPr>
                <w:rFonts w:hint="eastAsia" w:ascii="Times New Roman" w:hAnsi="Times New Roman" w:eastAsia="宋体" w:cs="Times New Roman"/>
                <w:b/>
                <w:bCs/>
                <w:color w:val="000000" w:themeColor="text1"/>
                <w:kern w:val="0"/>
                <w:sz w:val="24"/>
                <w:szCs w:val="24"/>
                <w:highlight w:val="none"/>
                <w:lang w:val="en-US" w:eastAsia="zh-CN" w:bidi="ar-SA"/>
                <w14:textFill>
                  <w14:solidFill>
                    <w14:schemeClr w14:val="tx1"/>
                  </w14:solidFill>
                </w14:textFill>
              </w:rPr>
              <w:t>）外环境相容性分析</w:t>
            </w:r>
          </w:p>
          <w:p w14:paraId="75551139">
            <w:pPr>
              <w:keepNext w:val="0"/>
              <w:keepLines w:val="0"/>
              <w:pageBreakBefore w:val="0"/>
              <w:widowControl w:val="0"/>
              <w:kinsoku/>
              <w:wordWrap/>
              <w:overflowPunct/>
              <w:topLinePunct w:val="0"/>
              <w:autoSpaceDE/>
              <w:autoSpaceDN/>
              <w:bidi w:val="0"/>
              <w:adjustRightInd w:val="0"/>
              <w:snapToGrid w:val="0"/>
              <w:spacing w:line="360" w:lineRule="auto"/>
              <w:ind w:left="0" w:right="0" w:firstLine="480" w:firstLineChars="200"/>
              <w:jc w:val="both"/>
              <w:textAlignment w:val="baseline"/>
              <w:rPr>
                <w:rFonts w:hint="default"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pPr>
            <w:r>
              <w:rPr>
                <w:rFonts w:hint="eastAsia" w:cs="Times New Roman"/>
                <w:color w:val="000000" w:themeColor="text1"/>
                <w:kern w:val="0"/>
                <w:sz w:val="24"/>
                <w:szCs w:val="20"/>
                <w:highlight w:val="none"/>
                <w:lang w:val="en-US" w:eastAsia="zh-CN" w:bidi="ar-SA"/>
                <w14:textFill>
                  <w14:solidFill>
                    <w14:schemeClr w14:val="tx1"/>
                  </w14:solidFill>
                </w14:textFill>
              </w:rPr>
              <w:t>根据现场调查，本项目外环境关系见下表，其</w:t>
            </w:r>
            <w:r>
              <w:rPr>
                <w:rFonts w:hint="eastAsia"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t>外环境关系图见附图</w:t>
            </w:r>
            <w:r>
              <w:rPr>
                <w:rFonts w:hint="eastAsia" w:ascii="Times New Roman" w:hAnsi="Times New Roman" w:cs="Times New Roman"/>
                <w:color w:val="000000" w:themeColor="text1"/>
                <w:kern w:val="0"/>
                <w:sz w:val="24"/>
                <w:szCs w:val="20"/>
                <w:highlight w:val="none"/>
                <w:lang w:val="en-US" w:eastAsia="zh-CN" w:bidi="ar-SA"/>
                <w14:textFill>
                  <w14:solidFill>
                    <w14:schemeClr w14:val="tx1"/>
                  </w14:solidFill>
                </w14:textFill>
              </w:rPr>
              <w:t>4</w:t>
            </w:r>
            <w:r>
              <w:rPr>
                <w:rFonts w:hint="default"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t>。</w:t>
            </w:r>
          </w:p>
          <w:p w14:paraId="05A98582">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t>表1-</w:t>
            </w:r>
            <w:r>
              <w:rPr>
                <w:rFonts w:hint="eastAsia" w:ascii="Times New Roman" w:hAnsi="Times New Roman" w:eastAsia="宋体" w:cs="Times New Roman"/>
                <w:b/>
                <w:bCs/>
                <w:color w:val="000000" w:themeColor="text1"/>
                <w:kern w:val="2"/>
                <w:sz w:val="21"/>
                <w:szCs w:val="21"/>
                <w:lang w:val="en-US" w:eastAsia="zh-CN" w:bidi="ar-SA"/>
                <w14:textFill>
                  <w14:solidFill>
                    <w14:schemeClr w14:val="tx1"/>
                  </w14:solidFill>
                </w14:textFill>
              </w:rPr>
              <w:t>1</w:t>
            </w:r>
            <w:r>
              <w:rPr>
                <w:rFonts w:hint="eastAsia" w:cs="Times New Roman"/>
                <w:b/>
                <w:bCs/>
                <w:color w:val="000000" w:themeColor="text1"/>
                <w:kern w:val="2"/>
                <w:sz w:val="21"/>
                <w:szCs w:val="21"/>
                <w:lang w:val="en-US" w:eastAsia="zh-CN" w:bidi="ar-SA"/>
                <w14:textFill>
                  <w14:solidFill>
                    <w14:schemeClr w14:val="tx1"/>
                  </w14:solidFill>
                </w14:textFill>
              </w:rPr>
              <w:t>7</w:t>
            </w:r>
            <w:r>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t xml:space="preserve"> 项目外环境关系表</w:t>
            </w:r>
          </w:p>
          <w:tbl>
            <w:tblPr>
              <w:tblStyle w:val="41"/>
              <w:tblW w:w="4996" w:type="pct"/>
              <w:jc w:val="center"/>
              <w:tblBorders>
                <w:top w:val="single" w:color="auto" w:sz="2" w:space="0"/>
                <w:left w:val="none" w:color="auto" w:sz="0" w:space="0"/>
                <w:bottom w:val="single" w:color="auto" w:sz="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18"/>
              <w:gridCol w:w="3511"/>
              <w:gridCol w:w="1120"/>
              <w:gridCol w:w="1039"/>
              <w:gridCol w:w="1730"/>
            </w:tblGrid>
            <w:tr w14:paraId="24C883EF">
              <w:tblPrEx>
                <w:tblBorders>
                  <w:top w:val="single" w:color="auto" w:sz="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385" w:type="pct"/>
                  <w:tcBorders>
                    <w:bottom w:val="single" w:color="auto" w:sz="2" w:space="0"/>
                  </w:tcBorders>
                  <w:noWrap w:val="0"/>
                  <w:vAlign w:val="center"/>
                </w:tcPr>
                <w:p w14:paraId="4E3069E0">
                  <w:pPr>
                    <w:pStyle w:val="70"/>
                    <w:spacing w:line="240" w:lineRule="auto"/>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序号</w:t>
                  </w:r>
                </w:p>
              </w:tc>
              <w:tc>
                <w:tcPr>
                  <w:tcW w:w="2189" w:type="pct"/>
                  <w:tcBorders>
                    <w:bottom w:val="single" w:color="auto" w:sz="2" w:space="0"/>
                  </w:tcBorders>
                  <w:noWrap w:val="0"/>
                  <w:vAlign w:val="center"/>
                </w:tcPr>
                <w:p w14:paraId="490804C6">
                  <w:pPr>
                    <w:pStyle w:val="70"/>
                    <w:spacing w:line="240" w:lineRule="auto"/>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名称</w:t>
                  </w:r>
                </w:p>
              </w:tc>
              <w:tc>
                <w:tcPr>
                  <w:tcW w:w="698" w:type="pct"/>
                  <w:tcBorders>
                    <w:bottom w:val="single" w:color="auto" w:sz="2" w:space="0"/>
                  </w:tcBorders>
                  <w:noWrap w:val="0"/>
                  <w:vAlign w:val="center"/>
                </w:tcPr>
                <w:p w14:paraId="2C527E0A">
                  <w:pPr>
                    <w:pStyle w:val="70"/>
                    <w:spacing w:line="240" w:lineRule="auto"/>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方位</w:t>
                  </w:r>
                </w:p>
              </w:tc>
              <w:tc>
                <w:tcPr>
                  <w:tcW w:w="647" w:type="pct"/>
                  <w:tcBorders>
                    <w:bottom w:val="single" w:color="auto" w:sz="2" w:space="0"/>
                  </w:tcBorders>
                  <w:noWrap w:val="0"/>
                  <w:vAlign w:val="center"/>
                </w:tcPr>
                <w:p w14:paraId="27BEED18">
                  <w:pPr>
                    <w:pStyle w:val="70"/>
                    <w:spacing w:line="240" w:lineRule="auto"/>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color w:val="000000" w:themeColor="text1"/>
                      <w:sz w:val="21"/>
                      <w:szCs w:val="21"/>
                      <w:lang w:val="en-US" w:eastAsia="zh-CN"/>
                      <w14:textFill>
                        <w14:solidFill>
                          <w14:schemeClr w14:val="tx1"/>
                        </w14:solidFill>
                      </w14:textFill>
                    </w:rPr>
                    <w:t>最近距离（m）</w:t>
                  </w:r>
                </w:p>
              </w:tc>
              <w:tc>
                <w:tcPr>
                  <w:tcW w:w="1078" w:type="pct"/>
                  <w:tcBorders>
                    <w:bottom w:val="single" w:color="auto" w:sz="2" w:space="0"/>
                  </w:tcBorders>
                  <w:noWrap w:val="0"/>
                  <w:vAlign w:val="center"/>
                </w:tcPr>
                <w:p w14:paraId="6D4F664A">
                  <w:pPr>
                    <w:pStyle w:val="70"/>
                    <w:spacing w:line="240" w:lineRule="auto"/>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color w:val="000000" w:themeColor="text1"/>
                      <w:sz w:val="21"/>
                      <w:szCs w:val="21"/>
                      <w:lang w:val="en-US" w:eastAsia="zh-CN"/>
                      <w14:textFill>
                        <w14:solidFill>
                          <w14:schemeClr w14:val="tx1"/>
                        </w14:solidFill>
                      </w14:textFill>
                    </w:rPr>
                    <w:t>备注</w:t>
                  </w:r>
                </w:p>
              </w:tc>
            </w:tr>
            <w:tr w14:paraId="7CCDBCC7">
              <w:tblPrEx>
                <w:tblBorders>
                  <w:top w:val="single" w:color="auto" w:sz="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85" w:type="pct"/>
                  <w:tcBorders>
                    <w:top w:val="single" w:color="auto" w:sz="2" w:space="0"/>
                  </w:tcBorders>
                  <w:noWrap w:val="0"/>
                  <w:vAlign w:val="center"/>
                </w:tcPr>
                <w:p w14:paraId="004BD73C">
                  <w:pPr>
                    <w:pStyle w:val="70"/>
                    <w:spacing w:line="240" w:lineRule="auto"/>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w:t>
                  </w:r>
                </w:p>
              </w:tc>
              <w:tc>
                <w:tcPr>
                  <w:tcW w:w="2189" w:type="pct"/>
                  <w:tcBorders>
                    <w:top w:val="single" w:color="auto" w:sz="2" w:space="0"/>
                  </w:tcBorders>
                  <w:noWrap w:val="0"/>
                  <w:vAlign w:val="center"/>
                </w:tcPr>
                <w:p w14:paraId="4BC0434A">
                  <w:pPr>
                    <w:pStyle w:val="70"/>
                    <w:spacing w:line="240" w:lineRule="auto"/>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在建厂房3#</w:t>
                  </w:r>
                </w:p>
              </w:tc>
              <w:tc>
                <w:tcPr>
                  <w:tcW w:w="698" w:type="pct"/>
                  <w:tcBorders>
                    <w:top w:val="single" w:color="auto" w:sz="2" w:space="0"/>
                  </w:tcBorders>
                  <w:noWrap w:val="0"/>
                  <w:vAlign w:val="center"/>
                </w:tcPr>
                <w:p w14:paraId="517CDEFA">
                  <w:pPr>
                    <w:pStyle w:val="70"/>
                    <w:spacing w:line="240" w:lineRule="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东侧</w:t>
                  </w:r>
                </w:p>
              </w:tc>
              <w:tc>
                <w:tcPr>
                  <w:tcW w:w="647" w:type="pct"/>
                  <w:tcBorders>
                    <w:top w:val="single" w:color="auto" w:sz="2" w:space="0"/>
                  </w:tcBorders>
                  <w:noWrap w:val="0"/>
                  <w:vAlign w:val="center"/>
                </w:tcPr>
                <w:p w14:paraId="76D1C99D">
                  <w:pPr>
                    <w:pStyle w:val="70"/>
                    <w:spacing w:line="240" w:lineRule="auto"/>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紧邻</w:t>
                  </w:r>
                </w:p>
              </w:tc>
              <w:tc>
                <w:tcPr>
                  <w:tcW w:w="1078" w:type="pct"/>
                  <w:tcBorders>
                    <w:top w:val="single" w:color="auto" w:sz="2" w:space="0"/>
                  </w:tcBorders>
                  <w:noWrap w:val="0"/>
                  <w:vAlign w:val="center"/>
                </w:tcPr>
                <w:p w14:paraId="559EE7EA">
                  <w:pPr>
                    <w:pStyle w:val="70"/>
                    <w:spacing w:line="240" w:lineRule="auto"/>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r>
            <w:tr w14:paraId="423141AA">
              <w:tblPrEx>
                <w:tblBorders>
                  <w:top w:val="single" w:color="auto" w:sz="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85" w:type="pct"/>
                  <w:tcBorders>
                    <w:top w:val="single" w:color="auto" w:sz="2" w:space="0"/>
                  </w:tcBorders>
                  <w:noWrap w:val="0"/>
                  <w:vAlign w:val="center"/>
                </w:tcPr>
                <w:p w14:paraId="320B7C76">
                  <w:pPr>
                    <w:pStyle w:val="70"/>
                    <w:spacing w:line="240" w:lineRule="auto"/>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w:t>
                  </w:r>
                </w:p>
              </w:tc>
              <w:tc>
                <w:tcPr>
                  <w:tcW w:w="2189" w:type="pct"/>
                  <w:tcBorders>
                    <w:top w:val="single" w:color="auto" w:sz="2" w:space="0"/>
                  </w:tcBorders>
                  <w:shd w:val="clear" w:color="auto" w:fill="auto"/>
                  <w:noWrap w:val="0"/>
                  <w:vAlign w:val="center"/>
                </w:tcPr>
                <w:p w14:paraId="4ACE5D1B">
                  <w:pPr>
                    <w:pStyle w:val="70"/>
                    <w:spacing w:line="240" w:lineRule="auto"/>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在建厂房1#</w:t>
                  </w:r>
                </w:p>
              </w:tc>
              <w:tc>
                <w:tcPr>
                  <w:tcW w:w="698" w:type="pct"/>
                  <w:tcBorders>
                    <w:top w:val="single" w:color="auto" w:sz="2" w:space="0"/>
                  </w:tcBorders>
                  <w:shd w:val="clear" w:color="auto" w:fill="auto"/>
                  <w:noWrap w:val="0"/>
                  <w:vAlign w:val="center"/>
                </w:tcPr>
                <w:p w14:paraId="1CEAAEDA">
                  <w:pPr>
                    <w:pStyle w:val="70"/>
                    <w:spacing w:line="240" w:lineRule="auto"/>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南侧</w:t>
                  </w:r>
                </w:p>
              </w:tc>
              <w:tc>
                <w:tcPr>
                  <w:tcW w:w="647" w:type="pct"/>
                  <w:tcBorders>
                    <w:top w:val="single" w:color="auto" w:sz="2" w:space="0"/>
                  </w:tcBorders>
                  <w:shd w:val="clear" w:color="auto" w:fill="auto"/>
                  <w:noWrap w:val="0"/>
                  <w:vAlign w:val="center"/>
                </w:tcPr>
                <w:p w14:paraId="594D8DE7">
                  <w:pPr>
                    <w:pStyle w:val="70"/>
                    <w:spacing w:line="240" w:lineRule="auto"/>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16</w:t>
                  </w:r>
                </w:p>
              </w:tc>
              <w:tc>
                <w:tcPr>
                  <w:tcW w:w="1078" w:type="pct"/>
                  <w:tcBorders>
                    <w:top w:val="single" w:color="auto" w:sz="2" w:space="0"/>
                  </w:tcBorders>
                  <w:shd w:val="clear" w:color="auto" w:fill="auto"/>
                  <w:noWrap w:val="0"/>
                  <w:vAlign w:val="center"/>
                </w:tcPr>
                <w:p w14:paraId="2106EE85">
                  <w:pPr>
                    <w:pStyle w:val="70"/>
                    <w:spacing w:line="240" w:lineRule="auto"/>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r>
            <w:tr w14:paraId="1DCFD7CD">
              <w:tblPrEx>
                <w:tblBorders>
                  <w:top w:val="single" w:color="auto" w:sz="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85" w:type="pct"/>
                  <w:tcBorders>
                    <w:top w:val="single" w:color="auto" w:sz="2" w:space="0"/>
                  </w:tcBorders>
                  <w:noWrap w:val="0"/>
                  <w:vAlign w:val="center"/>
                </w:tcPr>
                <w:p w14:paraId="2BD05360">
                  <w:pPr>
                    <w:pStyle w:val="70"/>
                    <w:spacing w:line="240" w:lineRule="auto"/>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3</w:t>
                  </w:r>
                </w:p>
              </w:tc>
              <w:tc>
                <w:tcPr>
                  <w:tcW w:w="2189" w:type="pct"/>
                  <w:tcBorders>
                    <w:top w:val="single" w:color="auto" w:sz="2" w:space="0"/>
                  </w:tcBorders>
                  <w:shd w:val="clear" w:color="auto" w:fill="auto"/>
                  <w:noWrap w:val="0"/>
                  <w:vAlign w:val="center"/>
                </w:tcPr>
                <w:p w14:paraId="23E38A04">
                  <w:pPr>
                    <w:pStyle w:val="70"/>
                    <w:spacing w:line="240" w:lineRule="auto"/>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在建厂房2#</w:t>
                  </w:r>
                </w:p>
              </w:tc>
              <w:tc>
                <w:tcPr>
                  <w:tcW w:w="698" w:type="pct"/>
                  <w:tcBorders>
                    <w:top w:val="single" w:color="auto" w:sz="2" w:space="0"/>
                  </w:tcBorders>
                  <w:shd w:val="clear" w:color="auto" w:fill="auto"/>
                  <w:noWrap w:val="0"/>
                  <w:vAlign w:val="center"/>
                </w:tcPr>
                <w:p w14:paraId="3B39EF46">
                  <w:pPr>
                    <w:pStyle w:val="70"/>
                    <w:spacing w:line="240" w:lineRule="auto"/>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西侧</w:t>
                  </w:r>
                </w:p>
              </w:tc>
              <w:tc>
                <w:tcPr>
                  <w:tcW w:w="647" w:type="pct"/>
                  <w:tcBorders>
                    <w:top w:val="single" w:color="auto" w:sz="2" w:space="0"/>
                  </w:tcBorders>
                  <w:shd w:val="clear" w:color="auto" w:fill="auto"/>
                  <w:noWrap w:val="0"/>
                  <w:vAlign w:val="center"/>
                </w:tcPr>
                <w:p w14:paraId="25ADCBCD">
                  <w:pPr>
                    <w:pStyle w:val="70"/>
                    <w:spacing w:line="240" w:lineRule="auto"/>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16</w:t>
                  </w:r>
                </w:p>
              </w:tc>
              <w:tc>
                <w:tcPr>
                  <w:tcW w:w="1078" w:type="pct"/>
                  <w:tcBorders>
                    <w:top w:val="single" w:color="auto" w:sz="2" w:space="0"/>
                  </w:tcBorders>
                  <w:shd w:val="clear" w:color="auto" w:fill="auto"/>
                  <w:noWrap w:val="0"/>
                  <w:vAlign w:val="center"/>
                </w:tcPr>
                <w:p w14:paraId="70430CD8">
                  <w:pPr>
                    <w:pStyle w:val="70"/>
                    <w:spacing w:line="240" w:lineRule="auto"/>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r>
            <w:tr w14:paraId="71BE15F1">
              <w:tblPrEx>
                <w:tblBorders>
                  <w:top w:val="single" w:color="auto" w:sz="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85" w:type="pct"/>
                  <w:tcBorders>
                    <w:top w:val="single" w:color="auto" w:sz="2" w:space="0"/>
                  </w:tcBorders>
                  <w:noWrap w:val="0"/>
                  <w:vAlign w:val="center"/>
                </w:tcPr>
                <w:p w14:paraId="29A6E448">
                  <w:pPr>
                    <w:pStyle w:val="70"/>
                    <w:spacing w:line="240" w:lineRule="auto"/>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4</w:t>
                  </w:r>
                </w:p>
              </w:tc>
              <w:tc>
                <w:tcPr>
                  <w:tcW w:w="2189" w:type="pct"/>
                  <w:tcBorders>
                    <w:top w:val="single" w:color="auto" w:sz="2" w:space="0"/>
                  </w:tcBorders>
                  <w:shd w:val="clear" w:color="auto" w:fill="auto"/>
                  <w:noWrap w:val="0"/>
                  <w:vAlign w:val="center"/>
                </w:tcPr>
                <w:p w14:paraId="6A8EBCA7">
                  <w:pPr>
                    <w:pStyle w:val="70"/>
                    <w:spacing w:line="240" w:lineRule="auto"/>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巴中纵横无人机科技有限公司</w:t>
                  </w:r>
                </w:p>
              </w:tc>
              <w:tc>
                <w:tcPr>
                  <w:tcW w:w="698" w:type="pct"/>
                  <w:tcBorders>
                    <w:top w:val="single" w:color="auto" w:sz="2" w:space="0"/>
                  </w:tcBorders>
                  <w:shd w:val="clear" w:color="auto" w:fill="auto"/>
                  <w:noWrap w:val="0"/>
                  <w:vAlign w:val="center"/>
                </w:tcPr>
                <w:p w14:paraId="4A34D357">
                  <w:pPr>
                    <w:pStyle w:val="70"/>
                    <w:spacing w:line="240" w:lineRule="auto"/>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南侧</w:t>
                  </w:r>
                </w:p>
              </w:tc>
              <w:tc>
                <w:tcPr>
                  <w:tcW w:w="647" w:type="pct"/>
                  <w:tcBorders>
                    <w:top w:val="single" w:color="auto" w:sz="2" w:space="0"/>
                  </w:tcBorders>
                  <w:shd w:val="clear" w:color="auto" w:fill="auto"/>
                  <w:noWrap w:val="0"/>
                  <w:vAlign w:val="center"/>
                </w:tcPr>
                <w:p w14:paraId="3FEA8940">
                  <w:pPr>
                    <w:pStyle w:val="70"/>
                    <w:spacing w:line="240" w:lineRule="auto"/>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17</w:t>
                  </w:r>
                </w:p>
              </w:tc>
              <w:tc>
                <w:tcPr>
                  <w:tcW w:w="1078" w:type="pct"/>
                  <w:tcBorders>
                    <w:top w:val="single" w:color="auto" w:sz="2" w:space="0"/>
                  </w:tcBorders>
                  <w:shd w:val="clear" w:color="auto" w:fill="auto"/>
                  <w:noWrap w:val="0"/>
                  <w:vAlign w:val="center"/>
                </w:tcPr>
                <w:p w14:paraId="0C565B87">
                  <w:pPr>
                    <w:pStyle w:val="70"/>
                    <w:spacing w:line="240" w:lineRule="auto"/>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民用航空器（发动机、螺旋桨）生产</w:t>
                  </w:r>
                </w:p>
              </w:tc>
            </w:tr>
            <w:tr w14:paraId="64CDDE60">
              <w:tblPrEx>
                <w:tblBorders>
                  <w:top w:val="single" w:color="auto" w:sz="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85" w:type="pct"/>
                  <w:tcBorders>
                    <w:top w:val="single" w:color="auto" w:sz="2" w:space="0"/>
                  </w:tcBorders>
                  <w:noWrap w:val="0"/>
                  <w:vAlign w:val="center"/>
                </w:tcPr>
                <w:p w14:paraId="71FDCA4E">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5</w:t>
                  </w:r>
                </w:p>
              </w:tc>
              <w:tc>
                <w:tcPr>
                  <w:tcW w:w="2189" w:type="pct"/>
                  <w:tcBorders>
                    <w:top w:val="single" w:color="auto" w:sz="2" w:space="0"/>
                  </w:tcBorders>
                  <w:noWrap w:val="0"/>
                  <w:vAlign w:val="center"/>
                </w:tcPr>
                <w:p w14:paraId="080D51AA">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公租房</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食堂</w:t>
                  </w:r>
                  <w:r>
                    <w:rPr>
                      <w:rFonts w:hint="eastAsia" w:cs="Times New Roman"/>
                      <w:color w:val="000000" w:themeColor="text1"/>
                      <w:sz w:val="21"/>
                      <w:szCs w:val="21"/>
                      <w:lang w:val="en-US" w:eastAsia="zh-CN"/>
                      <w14:textFill>
                        <w14:solidFill>
                          <w14:schemeClr w14:val="tx1"/>
                        </w14:solidFill>
                      </w14:textFill>
                    </w:rPr>
                    <w:t>（现闲置中）</w:t>
                  </w:r>
                </w:p>
              </w:tc>
              <w:tc>
                <w:tcPr>
                  <w:tcW w:w="698" w:type="pct"/>
                  <w:tcBorders>
                    <w:top w:val="single" w:color="auto" w:sz="2" w:space="0"/>
                  </w:tcBorders>
                  <w:noWrap w:val="0"/>
                  <w:vAlign w:val="center"/>
                </w:tcPr>
                <w:p w14:paraId="7C105718">
                  <w:pPr>
                    <w:pStyle w:val="70"/>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北侧</w:t>
                  </w:r>
                </w:p>
              </w:tc>
              <w:tc>
                <w:tcPr>
                  <w:tcW w:w="647" w:type="pct"/>
                  <w:tcBorders>
                    <w:top w:val="single" w:color="auto" w:sz="2" w:space="0"/>
                  </w:tcBorders>
                  <w:noWrap w:val="0"/>
                  <w:vAlign w:val="center"/>
                </w:tcPr>
                <w:p w14:paraId="4F13B764">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23</w:t>
                  </w:r>
                </w:p>
              </w:tc>
              <w:tc>
                <w:tcPr>
                  <w:tcW w:w="1078" w:type="pct"/>
                  <w:tcBorders>
                    <w:top w:val="single" w:color="auto" w:sz="2" w:space="0"/>
                  </w:tcBorders>
                  <w:noWrap w:val="0"/>
                  <w:vAlign w:val="center"/>
                </w:tcPr>
                <w:p w14:paraId="4B5F26AE">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r>
            <w:tr w14:paraId="3A1B6693">
              <w:tblPrEx>
                <w:tblBorders>
                  <w:top w:val="single" w:color="auto" w:sz="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85" w:type="pct"/>
                  <w:tcBorders>
                    <w:top w:val="single" w:color="auto" w:sz="2" w:space="0"/>
                  </w:tcBorders>
                  <w:noWrap w:val="0"/>
                  <w:vAlign w:val="center"/>
                </w:tcPr>
                <w:p w14:paraId="55B25873">
                  <w:pPr>
                    <w:pStyle w:val="70"/>
                    <w:spacing w:line="240" w:lineRule="auto"/>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6</w:t>
                  </w:r>
                </w:p>
              </w:tc>
              <w:tc>
                <w:tcPr>
                  <w:tcW w:w="2189" w:type="pct"/>
                  <w:tcBorders>
                    <w:top w:val="single" w:color="auto" w:sz="2" w:space="0"/>
                  </w:tcBorders>
                  <w:noWrap w:val="0"/>
                  <w:vAlign w:val="center"/>
                </w:tcPr>
                <w:p w14:paraId="40D23D11">
                  <w:pPr>
                    <w:pStyle w:val="70"/>
                    <w:spacing w:line="240" w:lineRule="auto"/>
                    <w:rPr>
                      <w:rFonts w:hint="eastAsia"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闲置厂房</w:t>
                  </w:r>
                  <w:r>
                    <w:rPr>
                      <w:rFonts w:hint="eastAsia" w:cs="Times New Roman"/>
                      <w:color w:val="000000" w:themeColor="text1"/>
                      <w:sz w:val="21"/>
                      <w:szCs w:val="21"/>
                      <w:lang w:val="en-US" w:eastAsia="zh-CN"/>
                      <w14:textFill>
                        <w14:solidFill>
                          <w14:schemeClr w14:val="tx1"/>
                        </w14:solidFill>
                      </w14:textFill>
                    </w:rPr>
                    <w:t>1#</w:t>
                  </w:r>
                </w:p>
              </w:tc>
              <w:tc>
                <w:tcPr>
                  <w:tcW w:w="698" w:type="pct"/>
                  <w:tcBorders>
                    <w:top w:val="single" w:color="auto" w:sz="2" w:space="0"/>
                  </w:tcBorders>
                  <w:noWrap w:val="0"/>
                  <w:vAlign w:val="center"/>
                </w:tcPr>
                <w:p w14:paraId="67E13B91">
                  <w:pPr>
                    <w:pStyle w:val="70"/>
                    <w:spacing w:line="240" w:lineRule="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西侧</w:t>
                  </w:r>
                </w:p>
              </w:tc>
              <w:tc>
                <w:tcPr>
                  <w:tcW w:w="647" w:type="pct"/>
                  <w:tcBorders>
                    <w:top w:val="single" w:color="auto" w:sz="2" w:space="0"/>
                  </w:tcBorders>
                  <w:noWrap w:val="0"/>
                  <w:vAlign w:val="center"/>
                </w:tcPr>
                <w:p w14:paraId="4D510592">
                  <w:pPr>
                    <w:pStyle w:val="70"/>
                    <w:spacing w:line="240" w:lineRule="auto"/>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48</w:t>
                  </w:r>
                </w:p>
              </w:tc>
              <w:tc>
                <w:tcPr>
                  <w:tcW w:w="1078" w:type="pct"/>
                  <w:tcBorders>
                    <w:top w:val="single" w:color="auto" w:sz="2" w:space="0"/>
                  </w:tcBorders>
                  <w:noWrap w:val="0"/>
                  <w:vAlign w:val="center"/>
                </w:tcPr>
                <w:p w14:paraId="43EFCEF0">
                  <w:pPr>
                    <w:pStyle w:val="70"/>
                    <w:spacing w:line="240" w:lineRule="auto"/>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r>
            <w:tr w14:paraId="44CD6A21">
              <w:tblPrEx>
                <w:tblBorders>
                  <w:top w:val="single" w:color="auto" w:sz="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385" w:type="pct"/>
                  <w:noWrap w:val="0"/>
                  <w:vAlign w:val="center"/>
                </w:tcPr>
                <w:p w14:paraId="4E421187">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7</w:t>
                  </w:r>
                </w:p>
              </w:tc>
              <w:tc>
                <w:tcPr>
                  <w:tcW w:w="2189" w:type="pct"/>
                  <w:noWrap w:val="0"/>
                  <w:vAlign w:val="center"/>
                </w:tcPr>
                <w:p w14:paraId="557699D6">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公租房</w:t>
                  </w:r>
                </w:p>
              </w:tc>
              <w:tc>
                <w:tcPr>
                  <w:tcW w:w="698" w:type="pct"/>
                  <w:noWrap w:val="0"/>
                  <w:vAlign w:val="center"/>
                </w:tcPr>
                <w:p w14:paraId="20FCB146">
                  <w:pPr>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北侧</w:t>
                  </w:r>
                </w:p>
              </w:tc>
              <w:tc>
                <w:tcPr>
                  <w:tcW w:w="647" w:type="pct"/>
                  <w:noWrap w:val="0"/>
                  <w:vAlign w:val="center"/>
                </w:tcPr>
                <w:p w14:paraId="3344D08B">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51</w:t>
                  </w:r>
                </w:p>
              </w:tc>
              <w:tc>
                <w:tcPr>
                  <w:tcW w:w="1078" w:type="pct"/>
                  <w:noWrap w:val="0"/>
                  <w:vAlign w:val="center"/>
                </w:tcPr>
                <w:p w14:paraId="33A0317F">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约30人</w:t>
                  </w:r>
                </w:p>
              </w:tc>
            </w:tr>
            <w:tr w14:paraId="2FADCF13">
              <w:tblPrEx>
                <w:tblBorders>
                  <w:top w:val="single" w:color="auto" w:sz="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385" w:type="pct"/>
                  <w:noWrap w:val="0"/>
                  <w:vAlign w:val="center"/>
                </w:tcPr>
                <w:p w14:paraId="4D289899">
                  <w:pPr>
                    <w:pStyle w:val="70"/>
                    <w:spacing w:line="240" w:lineRule="auto"/>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8</w:t>
                  </w:r>
                </w:p>
              </w:tc>
              <w:tc>
                <w:tcPr>
                  <w:tcW w:w="2189" w:type="pct"/>
                  <w:noWrap w:val="0"/>
                  <w:vAlign w:val="center"/>
                </w:tcPr>
                <w:p w14:paraId="548632E8">
                  <w:pPr>
                    <w:pStyle w:val="70"/>
                    <w:spacing w:line="240" w:lineRule="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西部新型建材生产基地</w:t>
                  </w:r>
                </w:p>
              </w:tc>
              <w:tc>
                <w:tcPr>
                  <w:tcW w:w="698" w:type="pct"/>
                  <w:noWrap w:val="0"/>
                  <w:vAlign w:val="center"/>
                </w:tcPr>
                <w:p w14:paraId="04027967">
                  <w:pPr>
                    <w:pStyle w:val="70"/>
                    <w:spacing w:line="240" w:lineRule="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东侧</w:t>
                  </w:r>
                </w:p>
              </w:tc>
              <w:tc>
                <w:tcPr>
                  <w:tcW w:w="647" w:type="pct"/>
                  <w:noWrap w:val="0"/>
                  <w:vAlign w:val="center"/>
                </w:tcPr>
                <w:p w14:paraId="7E30F644">
                  <w:pPr>
                    <w:pStyle w:val="70"/>
                    <w:spacing w:line="240" w:lineRule="auto"/>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108</w:t>
                  </w:r>
                </w:p>
              </w:tc>
              <w:tc>
                <w:tcPr>
                  <w:tcW w:w="1078" w:type="pct"/>
                  <w:noWrap w:val="0"/>
                  <w:vAlign w:val="center"/>
                </w:tcPr>
                <w:p w14:paraId="6DB07F36">
                  <w:pPr>
                    <w:pStyle w:val="70"/>
                    <w:spacing w:line="240" w:lineRule="auto"/>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r>
            <w:tr w14:paraId="7E17AE82">
              <w:tblPrEx>
                <w:tblBorders>
                  <w:top w:val="single" w:color="auto" w:sz="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385" w:type="pct"/>
                  <w:noWrap w:val="0"/>
                  <w:vAlign w:val="center"/>
                </w:tcPr>
                <w:p w14:paraId="7F6BD146">
                  <w:pPr>
                    <w:pStyle w:val="70"/>
                    <w:spacing w:line="240" w:lineRule="auto"/>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9</w:t>
                  </w:r>
                </w:p>
              </w:tc>
              <w:tc>
                <w:tcPr>
                  <w:tcW w:w="2189" w:type="pct"/>
                  <w:shd w:val="clear" w:color="auto" w:fill="auto"/>
                  <w:noWrap w:val="0"/>
                  <w:vAlign w:val="center"/>
                </w:tcPr>
                <w:p w14:paraId="30080D68">
                  <w:pPr>
                    <w:pStyle w:val="70"/>
                    <w:spacing w:line="240" w:lineRule="auto"/>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闲置厂房2#</w:t>
                  </w:r>
                </w:p>
              </w:tc>
              <w:tc>
                <w:tcPr>
                  <w:tcW w:w="698" w:type="pct"/>
                  <w:shd w:val="clear" w:color="auto" w:fill="auto"/>
                  <w:noWrap w:val="0"/>
                  <w:vAlign w:val="center"/>
                </w:tcPr>
                <w:p w14:paraId="6D316EAA">
                  <w:pPr>
                    <w:pStyle w:val="70"/>
                    <w:spacing w:line="240" w:lineRule="auto"/>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西北侧</w:t>
                  </w:r>
                </w:p>
              </w:tc>
              <w:tc>
                <w:tcPr>
                  <w:tcW w:w="647" w:type="pct"/>
                  <w:shd w:val="clear" w:color="auto" w:fill="auto"/>
                  <w:noWrap w:val="0"/>
                  <w:vAlign w:val="center"/>
                </w:tcPr>
                <w:p w14:paraId="1BE8E59A">
                  <w:pPr>
                    <w:pStyle w:val="70"/>
                    <w:spacing w:line="240" w:lineRule="auto"/>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126</w:t>
                  </w:r>
                </w:p>
              </w:tc>
              <w:tc>
                <w:tcPr>
                  <w:tcW w:w="1078" w:type="pct"/>
                  <w:shd w:val="clear" w:color="auto" w:fill="auto"/>
                  <w:noWrap w:val="0"/>
                  <w:vAlign w:val="center"/>
                </w:tcPr>
                <w:p w14:paraId="08F1CE67">
                  <w:pPr>
                    <w:pStyle w:val="70"/>
                    <w:spacing w:line="240" w:lineRule="auto"/>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r>
            <w:tr w14:paraId="282F1694">
              <w:tblPrEx>
                <w:tblBorders>
                  <w:top w:val="single" w:color="auto" w:sz="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385" w:type="pct"/>
                  <w:noWrap w:val="0"/>
                  <w:vAlign w:val="center"/>
                </w:tcPr>
                <w:p w14:paraId="7D2BD51B">
                  <w:pPr>
                    <w:pStyle w:val="70"/>
                    <w:spacing w:line="240" w:lineRule="auto"/>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10</w:t>
                  </w:r>
                </w:p>
              </w:tc>
              <w:tc>
                <w:tcPr>
                  <w:tcW w:w="2189" w:type="pct"/>
                  <w:noWrap w:val="0"/>
                  <w:vAlign w:val="center"/>
                </w:tcPr>
                <w:p w14:paraId="0C1ADC98">
                  <w:pPr>
                    <w:pStyle w:val="70"/>
                    <w:spacing w:line="240" w:lineRule="auto"/>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铁路轨枕生产基地</w:t>
                  </w:r>
                </w:p>
              </w:tc>
              <w:tc>
                <w:tcPr>
                  <w:tcW w:w="698" w:type="pct"/>
                  <w:noWrap w:val="0"/>
                  <w:vAlign w:val="center"/>
                </w:tcPr>
                <w:p w14:paraId="4C8ACC99">
                  <w:pPr>
                    <w:pStyle w:val="70"/>
                    <w:spacing w:line="240" w:lineRule="auto"/>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东侧</w:t>
                  </w:r>
                </w:p>
              </w:tc>
              <w:tc>
                <w:tcPr>
                  <w:tcW w:w="647" w:type="pct"/>
                  <w:noWrap w:val="0"/>
                  <w:vAlign w:val="center"/>
                </w:tcPr>
                <w:p w14:paraId="60669665">
                  <w:pPr>
                    <w:pStyle w:val="70"/>
                    <w:spacing w:line="240" w:lineRule="auto"/>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174</w:t>
                  </w:r>
                </w:p>
              </w:tc>
              <w:tc>
                <w:tcPr>
                  <w:tcW w:w="1078" w:type="pct"/>
                  <w:noWrap w:val="0"/>
                  <w:vAlign w:val="center"/>
                </w:tcPr>
                <w:p w14:paraId="10FB3827">
                  <w:pPr>
                    <w:pStyle w:val="70"/>
                    <w:spacing w:line="240" w:lineRule="auto"/>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轨枕制造</w:t>
                  </w:r>
                </w:p>
              </w:tc>
            </w:tr>
            <w:tr w14:paraId="702FDACE">
              <w:tblPrEx>
                <w:tblBorders>
                  <w:top w:val="single" w:color="auto" w:sz="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385" w:type="pct"/>
                  <w:noWrap w:val="0"/>
                  <w:vAlign w:val="center"/>
                </w:tcPr>
                <w:p w14:paraId="29210539">
                  <w:pPr>
                    <w:pStyle w:val="70"/>
                    <w:spacing w:line="240" w:lineRule="auto"/>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11</w:t>
                  </w:r>
                </w:p>
              </w:tc>
              <w:tc>
                <w:tcPr>
                  <w:tcW w:w="2189" w:type="pct"/>
                  <w:shd w:val="clear" w:color="auto" w:fill="auto"/>
                  <w:noWrap w:val="0"/>
                  <w:vAlign w:val="center"/>
                </w:tcPr>
                <w:p w14:paraId="539B879A">
                  <w:pPr>
                    <w:pStyle w:val="70"/>
                    <w:spacing w:line="240" w:lineRule="auto"/>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四川蜀塔能源有限责任公司</w:t>
                  </w:r>
                </w:p>
              </w:tc>
              <w:tc>
                <w:tcPr>
                  <w:tcW w:w="698" w:type="pct"/>
                  <w:shd w:val="clear" w:color="auto" w:fill="auto"/>
                  <w:noWrap w:val="0"/>
                  <w:vAlign w:val="center"/>
                </w:tcPr>
                <w:p w14:paraId="56CA58E7">
                  <w:pPr>
                    <w:pStyle w:val="70"/>
                    <w:spacing w:line="240" w:lineRule="auto"/>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西北侧</w:t>
                  </w:r>
                </w:p>
              </w:tc>
              <w:tc>
                <w:tcPr>
                  <w:tcW w:w="647" w:type="pct"/>
                  <w:shd w:val="clear" w:color="auto" w:fill="auto"/>
                  <w:noWrap w:val="0"/>
                  <w:vAlign w:val="center"/>
                </w:tcPr>
                <w:p w14:paraId="2F7AF2BE">
                  <w:pPr>
                    <w:pStyle w:val="70"/>
                    <w:spacing w:line="240" w:lineRule="auto"/>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189</w:t>
                  </w:r>
                </w:p>
              </w:tc>
              <w:tc>
                <w:tcPr>
                  <w:tcW w:w="1078" w:type="pct"/>
                  <w:shd w:val="clear" w:color="auto" w:fill="auto"/>
                  <w:noWrap w:val="0"/>
                  <w:vAlign w:val="center"/>
                </w:tcPr>
                <w:p w14:paraId="761382C4">
                  <w:pPr>
                    <w:pStyle w:val="70"/>
                    <w:spacing w:line="240" w:lineRule="auto"/>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废弃资源利用</w:t>
                  </w:r>
                </w:p>
              </w:tc>
            </w:tr>
            <w:tr w14:paraId="54994701">
              <w:tblPrEx>
                <w:tblBorders>
                  <w:top w:val="single" w:color="auto" w:sz="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385" w:type="pct"/>
                  <w:noWrap w:val="0"/>
                  <w:vAlign w:val="center"/>
                </w:tcPr>
                <w:p w14:paraId="694FD799">
                  <w:pPr>
                    <w:pStyle w:val="70"/>
                    <w:spacing w:line="240" w:lineRule="auto"/>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12</w:t>
                  </w:r>
                </w:p>
              </w:tc>
              <w:tc>
                <w:tcPr>
                  <w:tcW w:w="2189" w:type="pct"/>
                  <w:shd w:val="clear" w:color="auto" w:fill="auto"/>
                  <w:noWrap w:val="0"/>
                  <w:vAlign w:val="center"/>
                </w:tcPr>
                <w:p w14:paraId="42B9F3F8">
                  <w:pPr>
                    <w:pStyle w:val="70"/>
                    <w:spacing w:line="240" w:lineRule="auto"/>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达芙妮变电站</w:t>
                  </w:r>
                </w:p>
              </w:tc>
              <w:tc>
                <w:tcPr>
                  <w:tcW w:w="698" w:type="pct"/>
                  <w:shd w:val="clear" w:color="auto" w:fill="auto"/>
                  <w:noWrap w:val="0"/>
                  <w:vAlign w:val="center"/>
                </w:tcPr>
                <w:p w14:paraId="60FC89F3">
                  <w:pPr>
                    <w:spacing w:line="240" w:lineRule="auto"/>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北侧</w:t>
                  </w:r>
                </w:p>
              </w:tc>
              <w:tc>
                <w:tcPr>
                  <w:tcW w:w="647" w:type="pct"/>
                  <w:shd w:val="clear" w:color="auto" w:fill="auto"/>
                  <w:noWrap w:val="0"/>
                  <w:vAlign w:val="center"/>
                </w:tcPr>
                <w:p w14:paraId="46523550">
                  <w:pPr>
                    <w:pStyle w:val="70"/>
                    <w:spacing w:line="240" w:lineRule="auto"/>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213</w:t>
                  </w:r>
                </w:p>
              </w:tc>
              <w:tc>
                <w:tcPr>
                  <w:tcW w:w="1078" w:type="pct"/>
                  <w:shd w:val="clear" w:color="auto" w:fill="auto"/>
                  <w:noWrap w:val="0"/>
                  <w:vAlign w:val="center"/>
                </w:tcPr>
                <w:p w14:paraId="07359A8F">
                  <w:pPr>
                    <w:pStyle w:val="70"/>
                    <w:spacing w:line="240" w:lineRule="auto"/>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r>
            <w:tr w14:paraId="510D875E">
              <w:tblPrEx>
                <w:tblBorders>
                  <w:top w:val="single" w:color="auto" w:sz="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385" w:type="pct"/>
                  <w:shd w:val="clear" w:color="auto" w:fill="auto"/>
                  <w:noWrap w:val="0"/>
                  <w:vAlign w:val="center"/>
                </w:tcPr>
                <w:p w14:paraId="2CABBF8E">
                  <w:pPr>
                    <w:pStyle w:val="70"/>
                    <w:spacing w:line="240" w:lineRule="auto"/>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kern w:val="0"/>
                      <w:sz w:val="21"/>
                      <w:szCs w:val="21"/>
                      <w:lang w:val="en-US" w:eastAsia="zh-CN" w:bidi="ar-SA"/>
                      <w14:textFill>
                        <w14:solidFill>
                          <w14:schemeClr w14:val="tx1"/>
                        </w14:solidFill>
                      </w14:textFill>
                    </w:rPr>
                    <w:t>13</w:t>
                  </w:r>
                </w:p>
              </w:tc>
              <w:tc>
                <w:tcPr>
                  <w:tcW w:w="2189" w:type="pct"/>
                  <w:noWrap w:val="0"/>
                  <w:vAlign w:val="center"/>
                </w:tcPr>
                <w:p w14:paraId="5A9737C2">
                  <w:pPr>
                    <w:pStyle w:val="70"/>
                    <w:spacing w:line="240" w:lineRule="auto"/>
                    <w:rPr>
                      <w:rFonts w:hint="eastAsia"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忆佳钢结构有限公司</w:t>
                  </w:r>
                </w:p>
              </w:tc>
              <w:tc>
                <w:tcPr>
                  <w:tcW w:w="698" w:type="pct"/>
                  <w:noWrap w:val="0"/>
                  <w:vAlign w:val="center"/>
                </w:tcPr>
                <w:p w14:paraId="374762D7">
                  <w:pPr>
                    <w:pStyle w:val="70"/>
                    <w:spacing w:line="240" w:lineRule="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北侧</w:t>
                  </w:r>
                </w:p>
              </w:tc>
              <w:tc>
                <w:tcPr>
                  <w:tcW w:w="647" w:type="pct"/>
                  <w:noWrap w:val="0"/>
                  <w:vAlign w:val="center"/>
                </w:tcPr>
                <w:p w14:paraId="478DC9FE">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224</w:t>
                  </w:r>
                </w:p>
              </w:tc>
              <w:tc>
                <w:tcPr>
                  <w:tcW w:w="1078" w:type="pct"/>
                  <w:noWrap w:val="0"/>
                  <w:vAlign w:val="center"/>
                </w:tcPr>
                <w:p w14:paraId="4CAF5026">
                  <w:pPr>
                    <w:pStyle w:val="70"/>
                    <w:spacing w:line="240" w:lineRule="auto"/>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金属结构加工</w:t>
                  </w:r>
                </w:p>
              </w:tc>
            </w:tr>
            <w:tr w14:paraId="2BF84AE7">
              <w:tblPrEx>
                <w:tblBorders>
                  <w:top w:val="single" w:color="auto" w:sz="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385" w:type="pct"/>
                  <w:shd w:val="clear" w:color="auto" w:fill="auto"/>
                  <w:noWrap w:val="0"/>
                  <w:vAlign w:val="center"/>
                </w:tcPr>
                <w:p w14:paraId="7BF1C3B4">
                  <w:pPr>
                    <w:pStyle w:val="70"/>
                    <w:spacing w:line="240" w:lineRule="auto"/>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kern w:val="0"/>
                      <w:sz w:val="21"/>
                      <w:szCs w:val="21"/>
                      <w:lang w:val="en-US" w:eastAsia="zh-CN" w:bidi="ar-SA"/>
                      <w14:textFill>
                        <w14:solidFill>
                          <w14:schemeClr w14:val="tx1"/>
                        </w14:solidFill>
                      </w14:textFill>
                    </w:rPr>
                    <w:t>14</w:t>
                  </w:r>
                </w:p>
              </w:tc>
              <w:tc>
                <w:tcPr>
                  <w:tcW w:w="2189" w:type="pct"/>
                  <w:noWrap w:val="0"/>
                  <w:vAlign w:val="center"/>
                </w:tcPr>
                <w:p w14:paraId="532BAC40">
                  <w:pPr>
                    <w:pStyle w:val="70"/>
                    <w:spacing w:line="240" w:lineRule="auto"/>
                    <w:rPr>
                      <w:rFonts w:hint="eastAsia"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阳台河</w:t>
                  </w:r>
                </w:p>
              </w:tc>
              <w:tc>
                <w:tcPr>
                  <w:tcW w:w="698" w:type="pct"/>
                  <w:noWrap w:val="0"/>
                  <w:vAlign w:val="center"/>
                </w:tcPr>
                <w:p w14:paraId="0E6EF2A7">
                  <w:pPr>
                    <w:pStyle w:val="70"/>
                    <w:spacing w:line="240" w:lineRule="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西侧</w:t>
                  </w:r>
                </w:p>
              </w:tc>
              <w:tc>
                <w:tcPr>
                  <w:tcW w:w="647" w:type="pct"/>
                  <w:noWrap w:val="0"/>
                  <w:vAlign w:val="center"/>
                </w:tcPr>
                <w:p w14:paraId="5528F8A7">
                  <w:pPr>
                    <w:pStyle w:val="70"/>
                    <w:spacing w:line="240" w:lineRule="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247</w:t>
                  </w:r>
                </w:p>
              </w:tc>
              <w:tc>
                <w:tcPr>
                  <w:tcW w:w="1078" w:type="pct"/>
                  <w:noWrap w:val="0"/>
                  <w:vAlign w:val="center"/>
                </w:tcPr>
                <w:p w14:paraId="268401F6">
                  <w:pPr>
                    <w:pStyle w:val="70"/>
                    <w:spacing w:line="240" w:lineRule="auto"/>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r>
            <w:tr w14:paraId="0D98FA1B">
              <w:tblPrEx>
                <w:tblBorders>
                  <w:top w:val="single" w:color="auto" w:sz="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385" w:type="pct"/>
                  <w:shd w:val="clear" w:color="auto" w:fill="auto"/>
                  <w:noWrap w:val="0"/>
                  <w:vAlign w:val="center"/>
                </w:tcPr>
                <w:p w14:paraId="44C6410A">
                  <w:pPr>
                    <w:pStyle w:val="70"/>
                    <w:spacing w:line="240" w:lineRule="auto"/>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kern w:val="0"/>
                      <w:sz w:val="21"/>
                      <w:szCs w:val="21"/>
                      <w:lang w:val="en-US" w:eastAsia="zh-CN" w:bidi="ar-SA"/>
                      <w14:textFill>
                        <w14:solidFill>
                          <w14:schemeClr w14:val="tx1"/>
                        </w14:solidFill>
                      </w14:textFill>
                    </w:rPr>
                    <w:t>15</w:t>
                  </w:r>
                </w:p>
              </w:tc>
              <w:tc>
                <w:tcPr>
                  <w:tcW w:w="2189" w:type="pct"/>
                  <w:noWrap w:val="0"/>
                  <w:vAlign w:val="center"/>
                </w:tcPr>
                <w:p w14:paraId="18D147BD">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公墓</w:t>
                  </w:r>
                </w:p>
              </w:tc>
              <w:tc>
                <w:tcPr>
                  <w:tcW w:w="698" w:type="pct"/>
                  <w:noWrap w:val="0"/>
                  <w:vAlign w:val="center"/>
                </w:tcPr>
                <w:p w14:paraId="71B45999">
                  <w:pPr>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北侧</w:t>
                  </w:r>
                </w:p>
              </w:tc>
              <w:tc>
                <w:tcPr>
                  <w:tcW w:w="647" w:type="pct"/>
                  <w:noWrap w:val="0"/>
                  <w:vAlign w:val="center"/>
                </w:tcPr>
                <w:p w14:paraId="6A83FC16">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25</w:t>
                  </w:r>
                  <w:r>
                    <w:rPr>
                      <w:rFonts w:hint="eastAsia" w:cs="Times New Roman"/>
                      <w:color w:val="000000" w:themeColor="text1"/>
                      <w:sz w:val="21"/>
                      <w:szCs w:val="21"/>
                      <w:lang w:val="en-US" w:eastAsia="zh-CN"/>
                      <w14:textFill>
                        <w14:solidFill>
                          <w14:schemeClr w14:val="tx1"/>
                        </w14:solidFill>
                      </w14:textFill>
                    </w:rPr>
                    <w:t>3</w:t>
                  </w:r>
                </w:p>
              </w:tc>
              <w:tc>
                <w:tcPr>
                  <w:tcW w:w="1078" w:type="pct"/>
                  <w:noWrap w:val="0"/>
                  <w:vAlign w:val="center"/>
                </w:tcPr>
                <w:p w14:paraId="6AD0B7F8">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r>
            <w:tr w14:paraId="5115E4A9">
              <w:tblPrEx>
                <w:tblBorders>
                  <w:top w:val="single" w:color="auto" w:sz="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85" w:type="pct"/>
                  <w:noWrap w:val="0"/>
                  <w:vAlign w:val="center"/>
                </w:tcPr>
                <w:p w14:paraId="2A44262A">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16</w:t>
                  </w:r>
                </w:p>
              </w:tc>
              <w:tc>
                <w:tcPr>
                  <w:tcW w:w="2189" w:type="pct"/>
                  <w:shd w:val="clear" w:color="auto" w:fill="auto"/>
                  <w:noWrap w:val="0"/>
                  <w:vAlign w:val="center"/>
                </w:tcPr>
                <w:p w14:paraId="28D7D113">
                  <w:pPr>
                    <w:pStyle w:val="70"/>
                    <w:spacing w:line="240" w:lineRule="auto"/>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在建厂房4#</w:t>
                  </w:r>
                </w:p>
              </w:tc>
              <w:tc>
                <w:tcPr>
                  <w:tcW w:w="698" w:type="pct"/>
                  <w:shd w:val="clear" w:color="auto" w:fill="auto"/>
                  <w:noWrap w:val="0"/>
                  <w:vAlign w:val="center"/>
                </w:tcPr>
                <w:p w14:paraId="204576C6">
                  <w:pPr>
                    <w:pStyle w:val="70"/>
                    <w:spacing w:line="240" w:lineRule="auto"/>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东侧</w:t>
                  </w:r>
                </w:p>
              </w:tc>
              <w:tc>
                <w:tcPr>
                  <w:tcW w:w="647" w:type="pct"/>
                  <w:shd w:val="clear" w:color="auto" w:fill="auto"/>
                  <w:noWrap w:val="0"/>
                  <w:vAlign w:val="center"/>
                </w:tcPr>
                <w:p w14:paraId="76CBDF6E">
                  <w:pPr>
                    <w:pStyle w:val="70"/>
                    <w:spacing w:line="240" w:lineRule="auto"/>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295</w:t>
                  </w:r>
                </w:p>
              </w:tc>
              <w:tc>
                <w:tcPr>
                  <w:tcW w:w="1078" w:type="pct"/>
                  <w:shd w:val="clear" w:color="auto" w:fill="auto"/>
                  <w:noWrap w:val="0"/>
                  <w:vAlign w:val="center"/>
                </w:tcPr>
                <w:p w14:paraId="40397F12">
                  <w:pPr>
                    <w:pStyle w:val="70"/>
                    <w:spacing w:line="240" w:lineRule="auto"/>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r>
            <w:tr w14:paraId="2DCC94BB">
              <w:tblPrEx>
                <w:tblBorders>
                  <w:top w:val="single" w:color="auto" w:sz="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85" w:type="pct"/>
                  <w:noWrap w:val="0"/>
                  <w:vAlign w:val="center"/>
                </w:tcPr>
                <w:p w14:paraId="1D7E5AE7">
                  <w:pPr>
                    <w:pStyle w:val="70"/>
                    <w:spacing w:line="240" w:lineRule="auto"/>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17</w:t>
                  </w:r>
                </w:p>
              </w:tc>
              <w:tc>
                <w:tcPr>
                  <w:tcW w:w="2189" w:type="pct"/>
                  <w:shd w:val="clear" w:color="auto" w:fill="auto"/>
                  <w:noWrap w:val="0"/>
                  <w:vAlign w:val="center"/>
                </w:tcPr>
                <w:p w14:paraId="3A2B9EE5">
                  <w:pPr>
                    <w:pStyle w:val="70"/>
                    <w:spacing w:line="240" w:lineRule="auto"/>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西部云谷（巴中）大数据基地</w:t>
                  </w:r>
                </w:p>
              </w:tc>
              <w:tc>
                <w:tcPr>
                  <w:tcW w:w="698" w:type="pct"/>
                  <w:shd w:val="clear" w:color="auto" w:fill="auto"/>
                  <w:noWrap w:val="0"/>
                  <w:vAlign w:val="center"/>
                </w:tcPr>
                <w:p w14:paraId="648CBDCE">
                  <w:pPr>
                    <w:pStyle w:val="70"/>
                    <w:spacing w:line="240" w:lineRule="auto"/>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南侧</w:t>
                  </w:r>
                </w:p>
              </w:tc>
              <w:tc>
                <w:tcPr>
                  <w:tcW w:w="647" w:type="pct"/>
                  <w:shd w:val="clear" w:color="auto" w:fill="auto"/>
                  <w:noWrap w:val="0"/>
                  <w:vAlign w:val="center"/>
                </w:tcPr>
                <w:p w14:paraId="6B1F2F42">
                  <w:pPr>
                    <w:pStyle w:val="70"/>
                    <w:spacing w:line="240" w:lineRule="auto"/>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300</w:t>
                  </w:r>
                </w:p>
              </w:tc>
              <w:tc>
                <w:tcPr>
                  <w:tcW w:w="1078" w:type="pct"/>
                  <w:shd w:val="clear" w:color="auto" w:fill="auto"/>
                  <w:noWrap w:val="0"/>
                  <w:vAlign w:val="center"/>
                </w:tcPr>
                <w:p w14:paraId="049667BB">
                  <w:pPr>
                    <w:pStyle w:val="70"/>
                    <w:spacing w:line="240" w:lineRule="auto"/>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r>
            <w:tr w14:paraId="6385620E">
              <w:tblPrEx>
                <w:tblBorders>
                  <w:top w:val="single" w:color="auto" w:sz="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85" w:type="pct"/>
                  <w:noWrap w:val="0"/>
                  <w:vAlign w:val="center"/>
                </w:tcPr>
                <w:p w14:paraId="60E28FF2">
                  <w:pPr>
                    <w:pStyle w:val="70"/>
                    <w:spacing w:line="240" w:lineRule="auto"/>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18</w:t>
                  </w:r>
                </w:p>
              </w:tc>
              <w:tc>
                <w:tcPr>
                  <w:tcW w:w="2189" w:type="pct"/>
                  <w:shd w:val="clear" w:color="auto" w:fill="auto"/>
                  <w:noWrap w:val="0"/>
                  <w:vAlign w:val="center"/>
                </w:tcPr>
                <w:p w14:paraId="1A68BAB9">
                  <w:pPr>
                    <w:pStyle w:val="70"/>
                    <w:spacing w:line="240" w:lineRule="auto"/>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闲置厂房3#</w:t>
                  </w:r>
                </w:p>
              </w:tc>
              <w:tc>
                <w:tcPr>
                  <w:tcW w:w="698" w:type="pct"/>
                  <w:shd w:val="clear" w:color="auto" w:fill="auto"/>
                  <w:noWrap w:val="0"/>
                  <w:vAlign w:val="center"/>
                </w:tcPr>
                <w:p w14:paraId="1F303DAF">
                  <w:pPr>
                    <w:pStyle w:val="70"/>
                    <w:spacing w:line="240" w:lineRule="auto"/>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西北侧</w:t>
                  </w:r>
                </w:p>
              </w:tc>
              <w:tc>
                <w:tcPr>
                  <w:tcW w:w="647" w:type="pct"/>
                  <w:shd w:val="clear" w:color="auto" w:fill="auto"/>
                  <w:noWrap w:val="0"/>
                  <w:vAlign w:val="center"/>
                </w:tcPr>
                <w:p w14:paraId="4A2FA0F8">
                  <w:pPr>
                    <w:pStyle w:val="70"/>
                    <w:spacing w:line="240" w:lineRule="auto"/>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317</w:t>
                  </w:r>
                </w:p>
              </w:tc>
              <w:tc>
                <w:tcPr>
                  <w:tcW w:w="1078" w:type="pct"/>
                  <w:shd w:val="clear" w:color="auto" w:fill="auto"/>
                  <w:noWrap w:val="0"/>
                  <w:vAlign w:val="center"/>
                </w:tcPr>
                <w:p w14:paraId="320A41CA">
                  <w:pPr>
                    <w:pStyle w:val="70"/>
                    <w:spacing w:line="240" w:lineRule="auto"/>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r>
            <w:tr w14:paraId="3031737F">
              <w:tblPrEx>
                <w:tblBorders>
                  <w:top w:val="single" w:color="auto" w:sz="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85" w:type="pct"/>
                  <w:noWrap w:val="0"/>
                  <w:vAlign w:val="center"/>
                </w:tcPr>
                <w:p w14:paraId="35CB552D">
                  <w:pPr>
                    <w:pStyle w:val="70"/>
                    <w:spacing w:line="240" w:lineRule="auto"/>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19</w:t>
                  </w:r>
                </w:p>
              </w:tc>
              <w:tc>
                <w:tcPr>
                  <w:tcW w:w="2189" w:type="pct"/>
                  <w:shd w:val="clear" w:color="auto" w:fill="auto"/>
                  <w:noWrap w:val="0"/>
                  <w:vAlign w:val="center"/>
                </w:tcPr>
                <w:p w14:paraId="47B2DA15">
                  <w:pPr>
                    <w:pStyle w:val="70"/>
                    <w:spacing w:line="240" w:lineRule="auto"/>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巴中经开区人才大楼</w:t>
                  </w:r>
                </w:p>
              </w:tc>
              <w:tc>
                <w:tcPr>
                  <w:tcW w:w="698" w:type="pct"/>
                  <w:shd w:val="clear" w:color="auto" w:fill="auto"/>
                  <w:noWrap w:val="0"/>
                  <w:vAlign w:val="center"/>
                </w:tcPr>
                <w:p w14:paraId="5184FB57">
                  <w:pPr>
                    <w:pStyle w:val="70"/>
                    <w:spacing w:line="240" w:lineRule="auto"/>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西侧</w:t>
                  </w:r>
                </w:p>
              </w:tc>
              <w:tc>
                <w:tcPr>
                  <w:tcW w:w="647" w:type="pct"/>
                  <w:shd w:val="clear" w:color="auto" w:fill="auto"/>
                  <w:noWrap w:val="0"/>
                  <w:vAlign w:val="center"/>
                </w:tcPr>
                <w:p w14:paraId="473C64C6">
                  <w:pPr>
                    <w:pStyle w:val="70"/>
                    <w:spacing w:line="240" w:lineRule="auto"/>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335</w:t>
                  </w:r>
                </w:p>
              </w:tc>
              <w:tc>
                <w:tcPr>
                  <w:tcW w:w="1078" w:type="pct"/>
                  <w:shd w:val="clear" w:color="auto" w:fill="auto"/>
                  <w:noWrap w:val="0"/>
                  <w:vAlign w:val="center"/>
                </w:tcPr>
                <w:p w14:paraId="5204E8A2">
                  <w:pPr>
                    <w:pStyle w:val="70"/>
                    <w:spacing w:line="240" w:lineRule="auto"/>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约100人</w:t>
                  </w:r>
                </w:p>
              </w:tc>
            </w:tr>
            <w:tr w14:paraId="6C63C59B">
              <w:tblPrEx>
                <w:tblBorders>
                  <w:top w:val="single" w:color="auto" w:sz="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85" w:type="pct"/>
                  <w:noWrap w:val="0"/>
                  <w:vAlign w:val="center"/>
                </w:tcPr>
                <w:p w14:paraId="4D84EE6F">
                  <w:pPr>
                    <w:pStyle w:val="70"/>
                    <w:spacing w:line="240" w:lineRule="auto"/>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20</w:t>
                  </w:r>
                </w:p>
              </w:tc>
              <w:tc>
                <w:tcPr>
                  <w:tcW w:w="2189" w:type="pct"/>
                  <w:shd w:val="clear" w:color="auto" w:fill="auto"/>
                  <w:noWrap w:val="0"/>
                  <w:vAlign w:val="center"/>
                </w:tcPr>
                <w:p w14:paraId="1C47C905">
                  <w:pPr>
                    <w:pStyle w:val="70"/>
                    <w:spacing w:line="240" w:lineRule="auto"/>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巴中恒强</w:t>
                  </w:r>
                </w:p>
              </w:tc>
              <w:tc>
                <w:tcPr>
                  <w:tcW w:w="698" w:type="pct"/>
                  <w:shd w:val="clear" w:color="auto" w:fill="auto"/>
                  <w:noWrap w:val="0"/>
                  <w:vAlign w:val="center"/>
                </w:tcPr>
                <w:p w14:paraId="0243E75D">
                  <w:pPr>
                    <w:pStyle w:val="70"/>
                    <w:spacing w:line="240" w:lineRule="auto"/>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东南侧</w:t>
                  </w:r>
                </w:p>
              </w:tc>
              <w:tc>
                <w:tcPr>
                  <w:tcW w:w="647" w:type="pct"/>
                  <w:shd w:val="clear" w:color="auto" w:fill="auto"/>
                  <w:noWrap w:val="0"/>
                  <w:vAlign w:val="center"/>
                </w:tcPr>
                <w:p w14:paraId="79047D76">
                  <w:pPr>
                    <w:pStyle w:val="70"/>
                    <w:spacing w:line="240" w:lineRule="auto"/>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340</w:t>
                  </w:r>
                </w:p>
              </w:tc>
              <w:tc>
                <w:tcPr>
                  <w:tcW w:w="1078" w:type="pct"/>
                  <w:shd w:val="clear" w:color="auto" w:fill="auto"/>
                  <w:noWrap w:val="0"/>
                  <w:vAlign w:val="center"/>
                </w:tcPr>
                <w:p w14:paraId="2A832D93">
                  <w:pPr>
                    <w:pStyle w:val="70"/>
                    <w:spacing w:line="240" w:lineRule="auto"/>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建材制造</w:t>
                  </w:r>
                </w:p>
              </w:tc>
            </w:tr>
            <w:tr w14:paraId="4DD82521">
              <w:tblPrEx>
                <w:tblBorders>
                  <w:top w:val="single" w:color="auto" w:sz="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85" w:type="pct"/>
                  <w:noWrap w:val="0"/>
                  <w:vAlign w:val="center"/>
                </w:tcPr>
                <w:p w14:paraId="6D114763">
                  <w:pPr>
                    <w:pStyle w:val="70"/>
                    <w:spacing w:line="240" w:lineRule="auto"/>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21</w:t>
                  </w:r>
                </w:p>
              </w:tc>
              <w:tc>
                <w:tcPr>
                  <w:tcW w:w="2189" w:type="pct"/>
                  <w:shd w:val="clear" w:color="auto" w:fill="auto"/>
                  <w:noWrap w:val="0"/>
                  <w:vAlign w:val="center"/>
                </w:tcPr>
                <w:p w14:paraId="0880ACC2">
                  <w:pPr>
                    <w:pStyle w:val="70"/>
                    <w:spacing w:line="240" w:lineRule="auto"/>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云城.书香美邸（</w:t>
                  </w:r>
                  <w:r>
                    <w:rPr>
                      <w:rFonts w:hint="eastAsia" w:cs="Times New Roman"/>
                      <w:color w:val="000000" w:themeColor="text1"/>
                      <w:sz w:val="21"/>
                      <w:szCs w:val="21"/>
                      <w:lang w:val="en-US" w:eastAsia="zh-CN"/>
                      <w14:textFill>
                        <w14:solidFill>
                          <w14:schemeClr w14:val="tx1"/>
                        </w14:solidFill>
                      </w14:textFill>
                    </w:rPr>
                    <w:t>部分</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在建）</w:t>
                  </w:r>
                </w:p>
              </w:tc>
              <w:tc>
                <w:tcPr>
                  <w:tcW w:w="698" w:type="pct"/>
                  <w:shd w:val="clear" w:color="auto" w:fill="auto"/>
                  <w:noWrap w:val="0"/>
                  <w:vAlign w:val="center"/>
                </w:tcPr>
                <w:p w14:paraId="609BAAA6">
                  <w:pPr>
                    <w:pStyle w:val="70"/>
                    <w:spacing w:line="240" w:lineRule="auto"/>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西南侧</w:t>
                  </w:r>
                </w:p>
              </w:tc>
              <w:tc>
                <w:tcPr>
                  <w:tcW w:w="647" w:type="pct"/>
                  <w:shd w:val="clear" w:color="auto" w:fill="auto"/>
                  <w:noWrap w:val="0"/>
                  <w:vAlign w:val="center"/>
                </w:tcPr>
                <w:p w14:paraId="07EAA22D">
                  <w:pPr>
                    <w:pStyle w:val="70"/>
                    <w:spacing w:line="240" w:lineRule="auto"/>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382</w:t>
                  </w:r>
                </w:p>
              </w:tc>
              <w:tc>
                <w:tcPr>
                  <w:tcW w:w="1078" w:type="pct"/>
                  <w:shd w:val="clear" w:color="auto" w:fill="auto"/>
                  <w:noWrap w:val="0"/>
                  <w:vAlign w:val="center"/>
                </w:tcPr>
                <w:p w14:paraId="414E3804">
                  <w:pPr>
                    <w:pStyle w:val="70"/>
                    <w:spacing w:line="240" w:lineRule="auto"/>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r>
            <w:tr w14:paraId="240D2FA7">
              <w:tblPrEx>
                <w:tblBorders>
                  <w:top w:val="single" w:color="auto" w:sz="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85" w:type="pct"/>
                  <w:noWrap w:val="0"/>
                  <w:vAlign w:val="center"/>
                </w:tcPr>
                <w:p w14:paraId="4F78866C">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22</w:t>
                  </w:r>
                </w:p>
              </w:tc>
              <w:tc>
                <w:tcPr>
                  <w:tcW w:w="2189" w:type="pct"/>
                  <w:shd w:val="clear" w:color="auto" w:fill="auto"/>
                  <w:noWrap w:val="0"/>
                  <w:vAlign w:val="center"/>
                </w:tcPr>
                <w:p w14:paraId="23AD0E6F">
                  <w:pPr>
                    <w:pStyle w:val="70"/>
                    <w:spacing w:line="240" w:lineRule="auto"/>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安驰驾校</w:t>
                  </w:r>
                </w:p>
              </w:tc>
              <w:tc>
                <w:tcPr>
                  <w:tcW w:w="698" w:type="pct"/>
                  <w:shd w:val="clear" w:color="auto" w:fill="auto"/>
                  <w:noWrap w:val="0"/>
                  <w:vAlign w:val="center"/>
                </w:tcPr>
                <w:p w14:paraId="7641B995">
                  <w:pPr>
                    <w:pStyle w:val="70"/>
                    <w:spacing w:line="240" w:lineRule="auto"/>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东南侧</w:t>
                  </w:r>
                </w:p>
              </w:tc>
              <w:tc>
                <w:tcPr>
                  <w:tcW w:w="647" w:type="pct"/>
                  <w:shd w:val="clear" w:color="auto" w:fill="auto"/>
                  <w:noWrap w:val="0"/>
                  <w:vAlign w:val="center"/>
                </w:tcPr>
                <w:p w14:paraId="7CDA1F33">
                  <w:pPr>
                    <w:pStyle w:val="70"/>
                    <w:spacing w:line="240" w:lineRule="auto"/>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387</w:t>
                  </w:r>
                </w:p>
              </w:tc>
              <w:tc>
                <w:tcPr>
                  <w:tcW w:w="1078" w:type="pct"/>
                  <w:shd w:val="clear" w:color="auto" w:fill="auto"/>
                  <w:noWrap w:val="0"/>
                  <w:vAlign w:val="center"/>
                </w:tcPr>
                <w:p w14:paraId="50B88DFE">
                  <w:pPr>
                    <w:pStyle w:val="70"/>
                    <w:spacing w:line="240" w:lineRule="auto"/>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r>
            <w:tr w14:paraId="1CE261FF">
              <w:tblPrEx>
                <w:tblBorders>
                  <w:top w:val="single" w:color="auto" w:sz="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85" w:type="pct"/>
                  <w:noWrap w:val="0"/>
                  <w:vAlign w:val="center"/>
                </w:tcPr>
                <w:p w14:paraId="3AE07BD9">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23</w:t>
                  </w:r>
                </w:p>
              </w:tc>
              <w:tc>
                <w:tcPr>
                  <w:tcW w:w="2189" w:type="pct"/>
                  <w:shd w:val="clear" w:color="auto" w:fill="auto"/>
                  <w:noWrap w:val="0"/>
                  <w:vAlign w:val="center"/>
                </w:tcPr>
                <w:p w14:paraId="664A9C60">
                  <w:pPr>
                    <w:pStyle w:val="70"/>
                    <w:spacing w:line="240" w:lineRule="auto"/>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巴中锦磊石业有限公司</w:t>
                  </w:r>
                </w:p>
              </w:tc>
              <w:tc>
                <w:tcPr>
                  <w:tcW w:w="698" w:type="pct"/>
                  <w:shd w:val="clear" w:color="auto" w:fill="auto"/>
                  <w:noWrap w:val="0"/>
                  <w:vAlign w:val="center"/>
                </w:tcPr>
                <w:p w14:paraId="4EE1657D">
                  <w:pPr>
                    <w:pStyle w:val="70"/>
                    <w:spacing w:line="240" w:lineRule="auto"/>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东南侧</w:t>
                  </w:r>
                </w:p>
              </w:tc>
              <w:tc>
                <w:tcPr>
                  <w:tcW w:w="647" w:type="pct"/>
                  <w:shd w:val="clear" w:color="auto" w:fill="auto"/>
                  <w:noWrap w:val="0"/>
                  <w:vAlign w:val="center"/>
                </w:tcPr>
                <w:p w14:paraId="22DEBB6B">
                  <w:pPr>
                    <w:pStyle w:val="70"/>
                    <w:spacing w:line="240" w:lineRule="auto"/>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420</w:t>
                  </w:r>
                </w:p>
              </w:tc>
              <w:tc>
                <w:tcPr>
                  <w:tcW w:w="1078" w:type="pct"/>
                  <w:shd w:val="clear" w:color="auto" w:fill="auto"/>
                  <w:noWrap w:val="0"/>
                  <w:vAlign w:val="center"/>
                </w:tcPr>
                <w:p w14:paraId="32858B0D">
                  <w:pPr>
                    <w:pStyle w:val="70"/>
                    <w:spacing w:line="240" w:lineRule="auto"/>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石材加工</w:t>
                  </w:r>
                </w:p>
              </w:tc>
            </w:tr>
            <w:tr w14:paraId="7F37E73D">
              <w:tblPrEx>
                <w:tblBorders>
                  <w:top w:val="single" w:color="auto" w:sz="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85" w:type="pct"/>
                  <w:noWrap w:val="0"/>
                  <w:vAlign w:val="center"/>
                </w:tcPr>
                <w:p w14:paraId="7D310451">
                  <w:pPr>
                    <w:pStyle w:val="70"/>
                    <w:spacing w:line="240" w:lineRule="auto"/>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24</w:t>
                  </w:r>
                </w:p>
              </w:tc>
              <w:tc>
                <w:tcPr>
                  <w:tcW w:w="2189" w:type="pct"/>
                  <w:shd w:val="clear" w:color="auto" w:fill="auto"/>
                  <w:noWrap w:val="0"/>
                  <w:vAlign w:val="center"/>
                </w:tcPr>
                <w:p w14:paraId="75FBD79C">
                  <w:pPr>
                    <w:pStyle w:val="70"/>
                    <w:spacing w:line="240" w:lineRule="auto"/>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其他工业企业</w:t>
                  </w:r>
                </w:p>
              </w:tc>
              <w:tc>
                <w:tcPr>
                  <w:tcW w:w="698" w:type="pct"/>
                  <w:shd w:val="clear" w:color="auto" w:fill="auto"/>
                  <w:noWrap w:val="0"/>
                  <w:vAlign w:val="center"/>
                </w:tcPr>
                <w:p w14:paraId="74B23F0A">
                  <w:pPr>
                    <w:pStyle w:val="70"/>
                    <w:spacing w:line="240" w:lineRule="auto"/>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西南侧</w:t>
                  </w:r>
                </w:p>
              </w:tc>
              <w:tc>
                <w:tcPr>
                  <w:tcW w:w="647" w:type="pct"/>
                  <w:shd w:val="clear" w:color="auto" w:fill="auto"/>
                  <w:noWrap w:val="0"/>
                  <w:vAlign w:val="center"/>
                </w:tcPr>
                <w:p w14:paraId="31ED056D">
                  <w:pPr>
                    <w:pStyle w:val="70"/>
                    <w:spacing w:line="240" w:lineRule="auto"/>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425</w:t>
                  </w:r>
                </w:p>
              </w:tc>
              <w:tc>
                <w:tcPr>
                  <w:tcW w:w="1078" w:type="pct"/>
                  <w:shd w:val="clear" w:color="auto" w:fill="auto"/>
                  <w:noWrap w:val="0"/>
                  <w:vAlign w:val="center"/>
                </w:tcPr>
                <w:p w14:paraId="3E47D438">
                  <w:pPr>
                    <w:pStyle w:val="70"/>
                    <w:spacing w:line="240" w:lineRule="auto"/>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r>
            <w:tr w14:paraId="221DE429">
              <w:tblPrEx>
                <w:tblBorders>
                  <w:top w:val="single" w:color="auto" w:sz="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385" w:type="pct"/>
                  <w:noWrap w:val="0"/>
                  <w:vAlign w:val="center"/>
                </w:tcPr>
                <w:p w14:paraId="2482E4B6">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25</w:t>
                  </w:r>
                </w:p>
              </w:tc>
              <w:tc>
                <w:tcPr>
                  <w:tcW w:w="2189" w:type="pct"/>
                  <w:shd w:val="clear" w:color="auto" w:fill="auto"/>
                  <w:noWrap w:val="0"/>
                  <w:vAlign w:val="center"/>
                </w:tcPr>
                <w:p w14:paraId="4F74BD0A">
                  <w:pPr>
                    <w:pStyle w:val="70"/>
                    <w:spacing w:line="240" w:lineRule="auto"/>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巴中国兴公路工程有限公司</w:t>
                  </w:r>
                </w:p>
              </w:tc>
              <w:tc>
                <w:tcPr>
                  <w:tcW w:w="698" w:type="pct"/>
                  <w:shd w:val="clear" w:color="auto" w:fill="auto"/>
                  <w:noWrap w:val="0"/>
                  <w:vAlign w:val="center"/>
                </w:tcPr>
                <w:p w14:paraId="1AEF98FB">
                  <w:pPr>
                    <w:pStyle w:val="70"/>
                    <w:spacing w:line="240" w:lineRule="auto"/>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东侧</w:t>
                  </w:r>
                </w:p>
              </w:tc>
              <w:tc>
                <w:tcPr>
                  <w:tcW w:w="647" w:type="pct"/>
                  <w:shd w:val="clear" w:color="auto" w:fill="auto"/>
                  <w:noWrap w:val="0"/>
                  <w:vAlign w:val="center"/>
                </w:tcPr>
                <w:p w14:paraId="3942D654">
                  <w:pPr>
                    <w:pStyle w:val="70"/>
                    <w:spacing w:line="240" w:lineRule="auto"/>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435</w:t>
                  </w:r>
                </w:p>
              </w:tc>
              <w:tc>
                <w:tcPr>
                  <w:tcW w:w="1078" w:type="pct"/>
                  <w:shd w:val="clear" w:color="auto" w:fill="auto"/>
                  <w:noWrap w:val="0"/>
                  <w:vAlign w:val="center"/>
                </w:tcPr>
                <w:p w14:paraId="2217A9F1">
                  <w:pPr>
                    <w:pStyle w:val="70"/>
                    <w:spacing w:line="240" w:lineRule="auto"/>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建筑施工</w:t>
                  </w:r>
                </w:p>
              </w:tc>
            </w:tr>
            <w:tr w14:paraId="25A0BE0B">
              <w:tblPrEx>
                <w:tblBorders>
                  <w:top w:val="single" w:color="auto" w:sz="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85" w:type="pct"/>
                  <w:noWrap w:val="0"/>
                  <w:vAlign w:val="center"/>
                </w:tcPr>
                <w:p w14:paraId="0985FB60">
                  <w:pPr>
                    <w:pStyle w:val="70"/>
                    <w:spacing w:line="240" w:lineRule="auto"/>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26</w:t>
                  </w:r>
                </w:p>
              </w:tc>
              <w:tc>
                <w:tcPr>
                  <w:tcW w:w="2189" w:type="pct"/>
                  <w:shd w:val="clear" w:color="auto" w:fill="auto"/>
                  <w:noWrap w:val="0"/>
                  <w:vAlign w:val="center"/>
                </w:tcPr>
                <w:p w14:paraId="2176CA5D">
                  <w:pPr>
                    <w:pStyle w:val="70"/>
                    <w:spacing w:line="240" w:lineRule="auto"/>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四川国药天江药业有限公司</w:t>
                  </w:r>
                </w:p>
              </w:tc>
              <w:tc>
                <w:tcPr>
                  <w:tcW w:w="698" w:type="pct"/>
                  <w:shd w:val="clear" w:color="auto" w:fill="auto"/>
                  <w:noWrap w:val="0"/>
                  <w:vAlign w:val="center"/>
                </w:tcPr>
                <w:p w14:paraId="78E231E1">
                  <w:pPr>
                    <w:pStyle w:val="70"/>
                    <w:spacing w:line="240" w:lineRule="auto"/>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南侧</w:t>
                  </w:r>
                </w:p>
              </w:tc>
              <w:tc>
                <w:tcPr>
                  <w:tcW w:w="647" w:type="pct"/>
                  <w:shd w:val="clear" w:color="auto" w:fill="auto"/>
                  <w:noWrap w:val="0"/>
                  <w:vAlign w:val="center"/>
                </w:tcPr>
                <w:p w14:paraId="6E70FE47">
                  <w:pPr>
                    <w:pStyle w:val="70"/>
                    <w:spacing w:line="240" w:lineRule="auto"/>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450</w:t>
                  </w:r>
                </w:p>
              </w:tc>
              <w:tc>
                <w:tcPr>
                  <w:tcW w:w="1078" w:type="pct"/>
                  <w:shd w:val="clear" w:color="auto" w:fill="auto"/>
                  <w:noWrap w:val="0"/>
                  <w:vAlign w:val="center"/>
                </w:tcPr>
                <w:p w14:paraId="275EC1FF">
                  <w:pPr>
                    <w:pStyle w:val="70"/>
                    <w:spacing w:line="240" w:lineRule="auto"/>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药品生产</w:t>
                  </w:r>
                </w:p>
              </w:tc>
            </w:tr>
          </w:tbl>
          <w:p w14:paraId="11B0A1BC">
            <w:pPr>
              <w:widowControl w:val="0"/>
              <w:adjustRightInd w:val="0"/>
              <w:snapToGrid w:val="0"/>
              <w:spacing w:before="120" w:beforeLines="50" w:line="360" w:lineRule="auto"/>
              <w:ind w:firstLine="480" w:firstLineChars="200"/>
              <w:contextualSpacing/>
              <w:jc w:val="both"/>
              <w:rPr>
                <w:rFonts w:hint="eastAsia" w:eastAsia="宋体" w:cs="Times New Roman"/>
                <w:b/>
                <w:bCs/>
                <w:color w:val="000000" w:themeColor="text1"/>
                <w:kern w:val="2"/>
                <w:sz w:val="24"/>
                <w:szCs w:val="24"/>
                <w:highlight w:val="none"/>
                <w:lang w:val="en-US" w:eastAsia="zh-CN" w:bidi="ar-SA"/>
                <w14:textFill>
                  <w14:solidFill>
                    <w14:schemeClr w14:val="tx1"/>
                  </w14:solidFill>
                </w14:textFill>
              </w:rPr>
            </w:pPr>
            <w:r>
              <w:rPr>
                <w:color w:val="000000" w:themeColor="text1"/>
                <w:sz w:val="24"/>
                <w14:textFill>
                  <w14:solidFill>
                    <w14:schemeClr w14:val="tx1"/>
                  </w14:solidFill>
                </w14:textFill>
              </w:rPr>
              <w:t>项目周边500m范围内主要为工业企业和少量居民，无风景名胜区、自然保护区、文物保护单位、特殊生态敏感区、饮用水源保护区及其它需要特别保护的对象，外环境无明显的环境制约因素</w:t>
            </w:r>
            <w:r>
              <w:rPr>
                <w:rFonts w:hint="eastAsia"/>
                <w:color w:val="000000" w:themeColor="text1"/>
                <w:sz w:val="24"/>
                <w:lang w:eastAsia="zh-CN"/>
                <w14:textFill>
                  <w14:solidFill>
                    <w14:schemeClr w14:val="tx1"/>
                  </w14:solidFill>
                </w14:textFill>
              </w:rPr>
              <w:t>。</w:t>
            </w:r>
          </w:p>
          <w:p w14:paraId="4959E745">
            <w:pPr>
              <w:widowControl w:val="0"/>
              <w:adjustRightInd w:val="0"/>
              <w:snapToGrid w:val="0"/>
              <w:spacing w:before="120" w:beforeLines="50" w:line="360" w:lineRule="auto"/>
              <w:ind w:firstLine="482" w:firstLineChars="200"/>
              <w:contextualSpacing/>
              <w:jc w:val="both"/>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pPr>
            <w:r>
              <w:rPr>
                <w:rFonts w:hint="eastAsia" w:cs="Times New Roman"/>
                <w:b/>
                <w:bCs/>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2）本项目对外环境的影响</w:t>
            </w:r>
          </w:p>
          <w:p w14:paraId="50EC9082">
            <w:pPr>
              <w:widowControl w:val="0"/>
              <w:adjustRightInd w:val="0"/>
              <w:snapToGrid w:val="0"/>
              <w:spacing w:before="120" w:beforeLines="50" w:line="360" w:lineRule="auto"/>
              <w:ind w:firstLine="480" w:firstLineChars="200"/>
              <w:contextualSpacing/>
              <w:jc w:val="both"/>
              <w:rPr>
                <w:rFonts w:hint="default" w:ascii="Times New Roman" w:hAnsi="Times New Roman" w:cs="Times New Roman"/>
                <w:color w:val="000000" w:themeColor="text1"/>
                <w:sz w:val="24"/>
                <w:szCs w:val="24"/>
                <w:highlight w:val="none"/>
                <w14:textFill>
                  <w14:solidFill>
                    <w14:schemeClr w14:val="tx1"/>
                  </w14:solidFill>
                </w14:textFill>
              </w:rPr>
            </w:pPr>
            <w:r>
              <w:rPr>
                <w:rFonts w:hint="eastAsia"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t>本</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项目为锂离子电池制造项目，</w:t>
            </w:r>
            <w:r>
              <w:rPr>
                <w:rFonts w:hint="default" w:ascii="Times New Roman" w:hAnsi="Times New Roman" w:cs="Times New Roman"/>
                <w:color w:val="000000" w:themeColor="text1"/>
                <w:sz w:val="24"/>
                <w:szCs w:val="24"/>
                <w:highlight w:val="none"/>
                <w14:textFill>
                  <w14:solidFill>
                    <w14:schemeClr w14:val="tx1"/>
                  </w14:solidFill>
                </w14:textFill>
              </w:rPr>
              <w:t>对外环境的影响主要为废气</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废水、固废</w:t>
            </w:r>
            <w:r>
              <w:rPr>
                <w:rFonts w:hint="default" w:ascii="Times New Roman" w:hAnsi="Times New Roman" w:cs="Times New Roman"/>
                <w:color w:val="000000" w:themeColor="text1"/>
                <w:sz w:val="24"/>
                <w:szCs w:val="24"/>
                <w:highlight w:val="none"/>
                <w14:textFill>
                  <w14:solidFill>
                    <w14:schemeClr w14:val="tx1"/>
                  </w14:solidFill>
                </w14:textFill>
              </w:rPr>
              <w:t>和噪声</w:t>
            </w:r>
            <w:r>
              <w:rPr>
                <w:rFonts w:hint="default" w:ascii="Times New Roman" w:hAnsi="Times New Roman" w:cs="Times New Roman"/>
                <w:color w:val="000000" w:themeColor="text1"/>
                <w:sz w:val="24"/>
                <w:szCs w:val="24"/>
                <w:highlight w:val="none"/>
                <w:lang w:eastAsia="zh-CN"/>
                <w14:textFill>
                  <w14:solidFill>
                    <w14:schemeClr w14:val="tx1"/>
                  </w14:solidFill>
                </w14:textFill>
              </w:rPr>
              <w:t>。本项目采取可行性污染防治措施后，废气、废水、</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噪声</w:t>
            </w:r>
            <w:r>
              <w:rPr>
                <w:rFonts w:hint="default" w:ascii="Times New Roman" w:hAnsi="Times New Roman" w:cs="Times New Roman"/>
                <w:color w:val="000000" w:themeColor="text1"/>
                <w:sz w:val="24"/>
                <w:szCs w:val="24"/>
                <w:highlight w:val="none"/>
                <w:lang w:eastAsia="zh-CN"/>
                <w14:textFill>
                  <w14:solidFill>
                    <w14:schemeClr w14:val="tx1"/>
                  </w14:solidFill>
                </w14:textFill>
              </w:rPr>
              <w:t>可达标排放，固体废物妥善处置，对周边环境不会造成明显影响。</w:t>
            </w:r>
            <w:r>
              <w:rPr>
                <w:rFonts w:hint="default" w:ascii="Times New Roman" w:hAnsi="Times New Roman" w:cs="Times New Roman"/>
                <w:color w:val="000000" w:themeColor="text1"/>
                <w:sz w:val="24"/>
                <w:szCs w:val="24"/>
                <w:highlight w:val="none"/>
                <w14:textFill>
                  <w14:solidFill>
                    <w14:schemeClr w14:val="tx1"/>
                  </w14:solidFill>
                </w14:textFill>
              </w:rPr>
              <w:t>另外项目所在地周围</w:t>
            </w:r>
            <w:r>
              <w:rPr>
                <w:rFonts w:hint="eastAsia" w:eastAsia="宋体" w:cs="Times New Roman"/>
                <w:color w:val="000000" w:themeColor="text1"/>
                <w:kern w:val="2"/>
                <w:sz w:val="24"/>
                <w:szCs w:val="24"/>
                <w:highlight w:val="none"/>
                <w:lang w:val="en-US" w:eastAsia="zh-CN" w:bidi="ar-SA"/>
                <w14:textFill>
                  <w14:solidFill>
                    <w14:schemeClr w14:val="tx1"/>
                  </w14:solidFill>
                </w14:textFill>
              </w:rPr>
              <w:t>5</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00m范围内无国家公园、自然保护区、风景名胜区、世界文化和自然遗产地、海洋特别保护区、饮用水水源保护区</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、生态保护红线</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等</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敏感区</w:t>
            </w:r>
            <w:r>
              <w:rPr>
                <w:rFonts w:hint="default" w:ascii="Times New Roman" w:hAnsi="Times New Roman" w:cs="Times New Roman"/>
                <w:color w:val="000000" w:themeColor="text1"/>
                <w:sz w:val="24"/>
                <w:szCs w:val="24"/>
                <w:highlight w:val="none"/>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故本项目建设对</w:t>
            </w:r>
            <w:r>
              <w:rPr>
                <w:rFonts w:hint="default" w:ascii="Times New Roman" w:hAnsi="Times New Roman" w:cs="Times New Roman"/>
                <w:color w:val="000000" w:themeColor="text1"/>
                <w:sz w:val="24"/>
                <w:szCs w:val="24"/>
                <w:highlight w:val="none"/>
                <w14:textFill>
                  <w14:solidFill>
                    <w14:schemeClr w14:val="tx1"/>
                  </w14:solidFill>
                </w14:textFill>
              </w:rPr>
              <w:t>外环境无重大</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影响</w:t>
            </w:r>
            <w:r>
              <w:rPr>
                <w:rFonts w:hint="default" w:ascii="Times New Roman" w:hAnsi="Times New Roman" w:cs="Times New Roman"/>
                <w:color w:val="000000" w:themeColor="text1"/>
                <w:sz w:val="24"/>
                <w:szCs w:val="24"/>
                <w:highlight w:val="none"/>
                <w14:textFill>
                  <w14:solidFill>
                    <w14:schemeClr w14:val="tx1"/>
                  </w14:solidFill>
                </w14:textFill>
              </w:rPr>
              <w:t>。</w:t>
            </w:r>
          </w:p>
          <w:p w14:paraId="6C8EBCC7">
            <w:pPr>
              <w:widowControl w:val="0"/>
              <w:adjustRightInd w:val="0"/>
              <w:snapToGrid w:val="0"/>
              <w:spacing w:before="120" w:beforeLines="50" w:line="360" w:lineRule="auto"/>
              <w:ind w:firstLine="480" w:firstLineChars="200"/>
              <w:contextualSpacing/>
              <w:jc w:val="both"/>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因此，本项目与周边外环境相容。</w:t>
            </w:r>
          </w:p>
          <w:p w14:paraId="383FC850">
            <w:pPr>
              <w:autoSpaceDE/>
              <w:autoSpaceDN/>
              <w:spacing w:line="360" w:lineRule="auto"/>
              <w:ind w:firstLine="482" w:firstLineChars="200"/>
              <w:rPr>
                <w:rFonts w:hint="eastAsia" w:ascii="Times New Roman" w:hAnsi="Times New Roman" w:eastAsia="宋体" w:cs="Times New Roman"/>
                <w:b/>
                <w:bCs/>
                <w:color w:val="000000" w:themeColor="text1"/>
                <w:sz w:val="24"/>
                <w:lang w:val="en-US" w:eastAsia="zh-CN"/>
                <w14:textFill>
                  <w14:solidFill>
                    <w14:schemeClr w14:val="tx1"/>
                  </w14:solidFill>
                </w14:textFill>
              </w:rPr>
            </w:pPr>
            <w:r>
              <w:rPr>
                <w:rFonts w:hint="eastAsia" w:ascii="Times New Roman" w:hAnsi="Times New Roman" w:eastAsia="宋体" w:cs="Times New Roman"/>
                <w:b/>
                <w:bCs/>
                <w:color w:val="000000" w:themeColor="text1"/>
                <w:sz w:val="24"/>
                <w:lang w:val="en-US" w:eastAsia="zh-CN"/>
                <w14:textFill>
                  <w14:solidFill>
                    <w14:schemeClr w14:val="tx1"/>
                  </w14:solidFill>
                </w14:textFill>
              </w:rPr>
              <w:t>（3）对周边居民的影响</w:t>
            </w:r>
          </w:p>
          <w:p w14:paraId="1E6B9DB6">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根据本项目外环境关系图可知，本项目周边具有少量的居民，其中距离本项目最近的为北侧5</w:t>
            </w:r>
            <w:r>
              <w:rPr>
                <w:rFonts w:hint="eastAsia" w:cs="Times New Roman"/>
                <w:color w:val="000000" w:themeColor="text1"/>
                <w:sz w:val="24"/>
                <w:szCs w:val="24"/>
                <w:highlight w:val="none"/>
                <w:lang w:val="en-US" w:eastAsia="zh-CN"/>
                <w14:textFill>
                  <w14:solidFill>
                    <w14:schemeClr w14:val="tx1"/>
                  </w14:solidFill>
                </w14:textFill>
              </w:rPr>
              <w:t>1</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m的公租房居民，</w:t>
            </w:r>
            <w:r>
              <w:rPr>
                <w:rFonts w:hint="eastAsia" w:ascii="Times New Roman" w:hAnsi="Times New Roman" w:eastAsia="宋体" w:cs="Times New Roman"/>
                <w:b w:val="0"/>
                <w:bCs w:val="0"/>
                <w:color w:val="000000" w:themeColor="text1"/>
                <w:kern w:val="0"/>
                <w:sz w:val="24"/>
                <w:szCs w:val="24"/>
                <w:highlight w:val="none"/>
                <w:vertAlign w:val="baseline"/>
                <w:lang w:val="en-US" w:eastAsia="zh-CN" w:bidi="ar-SA"/>
                <w14:textFill>
                  <w14:solidFill>
                    <w14:schemeClr w14:val="tx1"/>
                  </w14:solidFill>
                </w14:textFill>
              </w:rPr>
              <w:t>本项目不属于高噪声企业，不属于大气污染重的企业，项目周边存在</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一定的绿化隔离带，建设单位在严格落实本项目提出的环境治理措施后，对大气、噪声环境影响较小。</w:t>
            </w:r>
          </w:p>
          <w:p w14:paraId="7EA991B1">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综上所述，本项目对公租房居民影响较小。</w:t>
            </w:r>
          </w:p>
          <w:p w14:paraId="5FCAE67C">
            <w:pPr>
              <w:spacing w:line="360" w:lineRule="auto"/>
              <w:ind w:firstLine="482" w:firstLineChars="200"/>
              <w:rPr>
                <w:rFonts w:hint="default" w:ascii="Times New Roman" w:hAnsi="Times New Roman" w:cs="Times New Roman"/>
                <w:b/>
                <w:color w:val="000000" w:themeColor="text1"/>
                <w:sz w:val="24"/>
                <w:highlight w:val="none"/>
                <w:lang w:val="zh-CN"/>
                <w14:textFill>
                  <w14:solidFill>
                    <w14:schemeClr w14:val="tx1"/>
                  </w14:solidFill>
                </w14:textFill>
              </w:rPr>
            </w:pPr>
            <w:r>
              <w:rPr>
                <w:rFonts w:hint="eastAsia" w:cs="Times New Roman"/>
                <w:b/>
                <w:color w:val="000000" w:themeColor="text1"/>
                <w:sz w:val="24"/>
                <w:highlight w:val="none"/>
                <w:lang w:val="en-US" w:eastAsia="zh-CN"/>
                <w14:textFill>
                  <w14:solidFill>
                    <w14:schemeClr w14:val="tx1"/>
                  </w14:solidFill>
                </w14:textFill>
              </w:rPr>
              <w:t>（4</w:t>
            </w:r>
            <w:r>
              <w:rPr>
                <w:rFonts w:hint="default" w:ascii="Times New Roman" w:hAnsi="Times New Roman" w:cs="Times New Roman"/>
                <w:b/>
                <w:color w:val="000000" w:themeColor="text1"/>
                <w:sz w:val="24"/>
                <w:highlight w:val="none"/>
                <w:lang w:val="zh-CN"/>
                <w14:textFill>
                  <w14:solidFill>
                    <w14:schemeClr w14:val="tx1"/>
                  </w14:solidFill>
                </w14:textFill>
              </w:rPr>
              <w:t>）外环境对本项目的影响</w:t>
            </w:r>
          </w:p>
          <w:p w14:paraId="21BB6976">
            <w:pPr>
              <w:widowControl w:val="0"/>
              <w:adjustRightInd w:val="0"/>
              <w:snapToGrid w:val="0"/>
              <w:spacing w:before="120" w:beforeLines="50" w:line="360" w:lineRule="auto"/>
              <w:ind w:firstLine="480" w:firstLineChars="200"/>
              <w:contextualSpacing/>
              <w:jc w:val="both"/>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本项目选址位于四川巴中经济开发区，项目为锂离子电池制造项目，对外环境无特殊要求，周边环境不会对本项目产生影响。</w:t>
            </w:r>
          </w:p>
          <w:p w14:paraId="3D416DC3">
            <w:pPr>
              <w:widowControl w:val="0"/>
              <w:adjustRightInd w:val="0"/>
              <w:snapToGrid w:val="0"/>
              <w:spacing w:before="120" w:beforeLines="50" w:line="360" w:lineRule="auto"/>
              <w:ind w:firstLine="480" w:firstLineChars="200"/>
              <w:contextualSpacing/>
              <w:jc w:val="both"/>
              <w:rPr>
                <w:color w:val="000000" w:themeColor="text1"/>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综上，本项目选址无环境制约因素，项目污染物经采取相应的治理措施后均可实现稳定达标排放和妥善处置，可有效避免、减轻项目建设和营运过程中对周围外环境的影响；同时，本项目选址与规划相符，选址合理。</w:t>
            </w:r>
          </w:p>
        </w:tc>
      </w:tr>
    </w:tbl>
    <w:p w14:paraId="6FD1438F">
      <w:pPr>
        <w:pStyle w:val="37"/>
        <w:jc w:val="both"/>
        <w:outlineLvl w:val="9"/>
        <w:rPr>
          <w:rFonts w:hint="eastAsia" w:ascii="黑体" w:hAnsi="黑体" w:eastAsia="黑体"/>
          <w:snapToGrid w:val="0"/>
          <w:color w:val="auto"/>
          <w:sz w:val="30"/>
          <w:szCs w:val="30"/>
        </w:rPr>
        <w:sectPr>
          <w:pgSz w:w="11906" w:h="16838"/>
          <w:pgMar w:top="1701" w:right="1531" w:bottom="1701" w:left="1531" w:header="851" w:footer="1021" w:gutter="0"/>
          <w:cols w:space="720" w:num="1"/>
          <w:docGrid w:linePitch="312" w:charSpace="0"/>
        </w:sectPr>
      </w:pPr>
    </w:p>
    <w:p w14:paraId="1A39818A">
      <w:pPr>
        <w:pStyle w:val="37"/>
        <w:jc w:val="center"/>
        <w:outlineLvl w:val="0"/>
        <w:rPr>
          <w:rFonts w:hint="eastAsia" w:ascii="黑体" w:hAnsi="黑体" w:eastAsia="黑体"/>
          <w:snapToGrid w:val="0"/>
          <w:color w:val="auto"/>
          <w:sz w:val="30"/>
          <w:szCs w:val="30"/>
        </w:rPr>
      </w:pPr>
      <w:bookmarkStart w:id="8" w:name="_Toc186098078"/>
      <w:bookmarkStart w:id="9" w:name="_Toc20716"/>
      <w:bookmarkStart w:id="10" w:name="_Toc4146"/>
      <w:r>
        <w:rPr>
          <w:rFonts w:hint="eastAsia" w:ascii="黑体" w:hAnsi="黑体" w:eastAsia="黑体"/>
          <w:snapToGrid w:val="0"/>
          <w:color w:val="auto"/>
          <w:sz w:val="30"/>
          <w:szCs w:val="30"/>
        </w:rPr>
        <w:t>二、建设项目工程分析</w:t>
      </w:r>
      <w:bookmarkEnd w:id="8"/>
      <w:bookmarkEnd w:id="9"/>
      <w:bookmarkEnd w:id="10"/>
    </w:p>
    <w:tbl>
      <w:tblPr>
        <w:tblStyle w:val="41"/>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35"/>
        <w:gridCol w:w="7949"/>
      </w:tblGrid>
      <w:tr w14:paraId="26EC76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35" w:type="dxa"/>
            <w:vAlign w:val="center"/>
          </w:tcPr>
          <w:p w14:paraId="13F58BC0">
            <w:pPr>
              <w:pStyle w:val="37"/>
              <w:adjustRightInd w:val="0"/>
              <w:snapToGrid w:val="0"/>
              <w:spacing w:before="0" w:beforeAutospacing="0" w:after="0" w:afterAutospacing="0"/>
              <w:jc w:val="center"/>
              <w:rPr>
                <w:rFonts w:ascii="Times New Roman" w:hAnsi="Times New Roman" w:cs="宋体"/>
                <w:color w:val="auto"/>
                <w:sz w:val="21"/>
                <w:szCs w:val="21"/>
              </w:rPr>
            </w:pPr>
            <w:r>
              <w:rPr>
                <w:rFonts w:hint="eastAsia" w:ascii="Times New Roman" w:hAnsi="Times New Roman" w:cs="宋体"/>
                <w:b/>
                <w:bCs/>
                <w:color w:val="auto"/>
                <w:sz w:val="24"/>
                <w:szCs w:val="24"/>
              </w:rPr>
              <w:t>建设内容</w:t>
            </w:r>
          </w:p>
        </w:tc>
        <w:tc>
          <w:tcPr>
            <w:tcW w:w="7949" w:type="dxa"/>
            <w:vAlign w:val="top"/>
          </w:tcPr>
          <w:p w14:paraId="482149C9">
            <w:pPr>
              <w:pStyle w:val="66"/>
              <w:spacing w:line="360" w:lineRule="auto"/>
              <w:ind w:firstLine="482"/>
              <w:rPr>
                <w:b/>
                <w:bCs/>
                <w:color w:val="auto"/>
              </w:rPr>
            </w:pPr>
            <w:r>
              <w:rPr>
                <w:rFonts w:hint="eastAsia"/>
                <w:b/>
                <w:bCs/>
                <w:color w:val="auto"/>
              </w:rPr>
              <w:t>1、项目由来</w:t>
            </w:r>
          </w:p>
          <w:p w14:paraId="5FB28B16">
            <w:pPr>
              <w:pStyle w:val="66"/>
              <w:spacing w:line="360" w:lineRule="auto"/>
              <w:rPr>
                <w:rFonts w:hint="eastAsia" w:ascii="Times New Roman" w:hAnsi="Times New Roman" w:eastAsia="宋体" w:cs="Times New Roman"/>
                <w:color w:val="auto"/>
              </w:rPr>
            </w:pPr>
            <w:r>
              <w:rPr>
                <w:rFonts w:hint="eastAsia" w:ascii="Times New Roman" w:hAnsi="Times New Roman" w:eastAsia="宋体" w:cs="Times New Roman"/>
                <w:color w:val="auto"/>
              </w:rPr>
              <w:t>洛阳储变电系统有限公司成立于2019年8月，积极践行国家军民融合及“双碳”战略，致力于高安全/超高压、超高倍率/高比能/宽温域储变电系统的技术研发和工程化应用，为特种装备、无人平台、矿用车辆提供高可靠的新型电源整体解决方案，目前已成为新能源特种电源领军企业。2022年7月，制造业基金联合子基金豫资制高基金、洛阳知识产权基金完成对公司的投资，支持其进一步加大研发力度和扩建产能。</w:t>
            </w:r>
          </w:p>
          <w:p w14:paraId="0A8FAD8C">
            <w:pPr>
              <w:pStyle w:val="66"/>
              <w:spacing w:line="360" w:lineRule="auto"/>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rPr>
              <w:t>当前全球锂电池市场规模持续扩大，高倍率半固态电池、固液混合电池作为下一代锂电池技术的重要方向，凭借能量密度与安全性的双重优势，逐步成为高端应用领域的首选，市场渗透率快速提升。高倍率半固态电池具有较高的产品开发及工程化门槛，目前市场参与者以少数具备核心技术的企业为主。储变电公司凭借自身先发技术优势、军品承制资质及与行业先进企业的合作基础，在细分市场竞争中已占据一定有利地位。本项目精准聚焦特种装备、无人机、智能农机、高速电摩等细分领域，提供高倍率半固态电池及定制化电源系统解决方案，将会避开激烈的同质化市场竞争，打造细分市场标杆。</w:t>
            </w:r>
          </w:p>
          <w:p w14:paraId="769FF929">
            <w:pPr>
              <w:pStyle w:val="66"/>
              <w:spacing w:line="360" w:lineRule="auto"/>
              <w:rPr>
                <w:rFonts w:hint="eastAsia"/>
                <w:bCs/>
                <w:color w:val="auto"/>
                <w:lang w:val="en-US" w:eastAsia="zh-CN"/>
              </w:rPr>
            </w:pPr>
            <w:r>
              <w:rPr>
                <w:rFonts w:hint="eastAsia" w:ascii="Times New Roman" w:hAnsi="Times New Roman" w:eastAsia="宋体" w:cs="Times New Roman"/>
                <w:color w:val="auto"/>
                <w:lang w:val="en-US" w:eastAsia="zh-CN"/>
              </w:rPr>
              <w:t>为满足市场需</w:t>
            </w:r>
            <w:r>
              <w:rPr>
                <w:rFonts w:hint="eastAsia"/>
                <w:bCs/>
                <w:color w:val="auto"/>
                <w:lang w:val="en-US" w:eastAsia="zh-CN"/>
              </w:rPr>
              <w:t>求，促进巴中经济发展，洛阳</w:t>
            </w:r>
            <w:r>
              <w:rPr>
                <w:rFonts w:hint="eastAsia" w:ascii="Times New Roman" w:hAnsi="Times New Roman" w:eastAsia="宋体" w:cs="Times New Roman"/>
                <w:color w:val="auto"/>
              </w:rPr>
              <w:t>储变电系统有限公司</w:t>
            </w:r>
            <w:r>
              <w:rPr>
                <w:rFonts w:hint="eastAsia" w:ascii="Times New Roman" w:hAnsi="Times New Roman" w:eastAsia="宋体" w:cs="Times New Roman"/>
                <w:color w:val="auto"/>
                <w:lang w:val="en-US" w:eastAsia="zh-CN"/>
              </w:rPr>
              <w:t>于2026年1月16日成立名下子公司-</w:t>
            </w:r>
            <w:r>
              <w:rPr>
                <w:rFonts w:hint="eastAsia"/>
                <w:bCs/>
                <w:color w:val="auto"/>
                <w:lang w:val="en-US" w:eastAsia="zh-CN"/>
              </w:rPr>
              <w:t>洛储电源科技（巴中）有限公司，租赁低空数字经济产业园标准化厂房及相关配套用房建设“年产1GWh高倍率半固态电池及20万套电源系统项目”。</w:t>
            </w:r>
          </w:p>
          <w:p w14:paraId="06564E25">
            <w:pPr>
              <w:pStyle w:val="66"/>
              <w:spacing w:line="360" w:lineRule="auto"/>
              <w:rPr>
                <w:rFonts w:hint="default" w:eastAsia="宋体"/>
                <w:bCs/>
                <w:color w:val="000000" w:themeColor="text1"/>
                <w:lang w:val="en-US" w:eastAsia="zh-CN"/>
                <w14:textFill>
                  <w14:solidFill>
                    <w14:schemeClr w14:val="tx1"/>
                  </w14:solidFill>
                </w14:textFill>
              </w:rPr>
            </w:pPr>
            <w:r>
              <w:rPr>
                <w:rFonts w:hint="eastAsia"/>
                <w:bCs/>
                <w:color w:val="auto"/>
                <w:lang w:val="en-US" w:eastAsia="zh-CN"/>
              </w:rPr>
              <w:t>根据建设单位提供资</w:t>
            </w:r>
            <w:r>
              <w:rPr>
                <w:rFonts w:hint="default" w:ascii="Times New Roman" w:hAnsi="Times New Roman" w:cs="Times New Roman"/>
                <w:bCs/>
                <w:color w:val="auto"/>
                <w:lang w:val="en-US" w:eastAsia="zh-CN"/>
              </w:rPr>
              <w:t>料，本项目</w:t>
            </w:r>
            <w:r>
              <w:rPr>
                <w:rFonts w:hint="eastAsia" w:cs="Times New Roman"/>
                <w:bCs/>
                <w:color w:val="auto"/>
                <w:lang w:val="en-US" w:eastAsia="zh-CN"/>
              </w:rPr>
              <w:t>涂布设备</w:t>
            </w:r>
            <w:r>
              <w:rPr>
                <w:rFonts w:hint="default" w:ascii="Times New Roman" w:hAnsi="Times New Roman" w:cs="Times New Roman"/>
                <w:bCs/>
                <w:color w:val="auto"/>
                <w:lang w:val="en-US" w:eastAsia="zh-CN"/>
              </w:rPr>
              <w:t>配置X射线、β射线辐射装</w:t>
            </w:r>
            <w:r>
              <w:rPr>
                <w:rFonts w:ascii="宋体" w:hAnsi="宋体" w:eastAsia="宋体" w:cs="宋体"/>
                <w:color w:val="auto"/>
                <w:sz w:val="24"/>
                <w:szCs w:val="24"/>
              </w:rPr>
              <w:t>置</w:t>
            </w:r>
            <w:r>
              <w:rPr>
                <w:rFonts w:hint="eastAsia" w:ascii="宋体" w:hAnsi="宋体" w:eastAsia="宋体" w:cs="宋体"/>
                <w:color w:val="auto"/>
                <w:sz w:val="24"/>
                <w:szCs w:val="24"/>
                <w:lang w:val="en-US" w:eastAsia="zh-CN"/>
              </w:rPr>
              <w:t>，</w:t>
            </w:r>
            <w:r>
              <w:rPr>
                <w:rFonts w:hint="eastAsia" w:ascii="宋体" w:hAnsi="宋体" w:cs="宋体"/>
                <w:color w:val="auto"/>
                <w:sz w:val="24"/>
                <w:szCs w:val="24"/>
                <w:lang w:val="en-US" w:eastAsia="zh-CN"/>
              </w:rPr>
              <w:t>不包含在</w:t>
            </w:r>
            <w:r>
              <w:rPr>
                <w:rFonts w:hint="eastAsia" w:ascii="宋体" w:hAnsi="宋体" w:cs="宋体"/>
                <w:color w:val="000000" w:themeColor="text1"/>
                <w:sz w:val="24"/>
                <w:szCs w:val="24"/>
                <w:lang w:val="en-US" w:eastAsia="zh-CN"/>
                <w14:textFill>
                  <w14:solidFill>
                    <w14:schemeClr w14:val="tx1"/>
                  </w14:solidFill>
                </w14:textFill>
              </w:rPr>
              <w:t>本次评价范围内</w:t>
            </w:r>
            <w:r>
              <w:rPr>
                <w:rFonts w:hint="eastAsia" w:ascii="宋体" w:hAnsi="宋体" w:eastAsia="宋体" w:cs="宋体"/>
                <w:color w:val="000000" w:themeColor="text1"/>
                <w:sz w:val="24"/>
                <w:szCs w:val="24"/>
                <w:lang w:val="en-US" w:eastAsia="zh-CN"/>
                <w14:textFill>
                  <w14:solidFill>
                    <w14:schemeClr w14:val="tx1"/>
                  </w14:solidFill>
                </w14:textFill>
              </w:rPr>
              <w:t>，</w:t>
            </w:r>
            <w:r>
              <w:rPr>
                <w:rFonts w:hint="eastAsia" w:ascii="宋体" w:hAnsi="宋体" w:cs="宋体"/>
                <w:color w:val="000000" w:themeColor="text1"/>
                <w:sz w:val="24"/>
                <w:szCs w:val="24"/>
                <w:lang w:val="en-US" w:eastAsia="zh-CN"/>
                <w14:textFill>
                  <w14:solidFill>
                    <w14:schemeClr w14:val="tx1"/>
                  </w14:solidFill>
                </w14:textFill>
              </w:rPr>
              <w:t>并且</w:t>
            </w:r>
            <w:r>
              <w:rPr>
                <w:rFonts w:hint="eastAsia" w:ascii="宋体" w:hAnsi="宋体" w:eastAsia="宋体" w:cs="宋体"/>
                <w:color w:val="000000" w:themeColor="text1"/>
                <w:sz w:val="24"/>
                <w:szCs w:val="24"/>
                <w:lang w:val="en-US" w:eastAsia="zh-CN"/>
                <w14:textFill>
                  <w14:solidFill>
                    <w14:schemeClr w14:val="tx1"/>
                  </w14:solidFill>
                </w14:textFill>
              </w:rPr>
              <w:t>辐射设备已单独办理环评手续。</w:t>
            </w:r>
          </w:p>
          <w:p w14:paraId="0C2B0E64">
            <w:pPr>
              <w:pStyle w:val="66"/>
              <w:spacing w:line="360" w:lineRule="auto"/>
              <w:rPr>
                <w:rFonts w:hint="default"/>
                <w:bCs/>
                <w:color w:val="auto"/>
                <w:lang w:val="en-US" w:eastAsia="zh-CN"/>
              </w:rPr>
            </w:pPr>
            <w:r>
              <w:rPr>
                <w:rFonts w:hint="eastAsia" w:ascii="Times New Roman" w:hAnsi="Times New Roman"/>
                <w:color w:val="000000" w:themeColor="text1"/>
                <w:sz w:val="24"/>
                <w:szCs w:val="24"/>
                <w:lang w:eastAsia="zh-CN"/>
                <w14:textFill>
                  <w14:solidFill>
                    <w14:schemeClr w14:val="tx1"/>
                  </w14:solidFill>
                </w14:textFill>
              </w:rPr>
              <w:t>根据《</w:t>
            </w:r>
            <w:r>
              <w:rPr>
                <w:rFonts w:hint="eastAsia"/>
                <w:color w:val="000000" w:themeColor="text1"/>
                <w:sz w:val="24"/>
                <w:szCs w:val="24"/>
                <w:lang w:val="en-US" w:eastAsia="zh-CN"/>
                <w14:textFill>
                  <w14:solidFill>
                    <w14:schemeClr w14:val="tx1"/>
                  </w14:solidFill>
                </w14:textFill>
              </w:rPr>
              <w:t>中华人民共和国生态环境法典</w:t>
            </w:r>
            <w:r>
              <w:rPr>
                <w:rFonts w:hint="eastAsia" w:ascii="Times New Roman" w:hAnsi="Times New Roman"/>
                <w:color w:val="000000" w:themeColor="text1"/>
                <w:sz w:val="24"/>
                <w:szCs w:val="24"/>
                <w:lang w:eastAsia="zh-CN"/>
                <w14:textFill>
                  <w14:solidFill>
                    <w14:schemeClr w14:val="tx1"/>
                  </w14:solidFill>
                </w14:textFill>
              </w:rPr>
              <w:t>》及《建设项目环境保护管理条例</w:t>
            </w:r>
            <w:r>
              <w:rPr>
                <w:rFonts w:hint="eastAsia"/>
                <w:color w:val="000000" w:themeColor="text1"/>
                <w:sz w:val="24"/>
                <w:szCs w:val="24"/>
                <w:lang w:eastAsia="zh-CN"/>
                <w14:textFill>
                  <w14:solidFill>
                    <w14:schemeClr w14:val="tx1"/>
                  </w14:solidFill>
                </w14:textFill>
              </w:rPr>
              <w:t>》等</w:t>
            </w:r>
            <w:r>
              <w:rPr>
                <w:rFonts w:hint="eastAsia" w:ascii="Times New Roman" w:hAnsi="Times New Roman"/>
                <w:color w:val="000000" w:themeColor="text1"/>
                <w:sz w:val="24"/>
                <w:szCs w:val="24"/>
                <w:lang w:eastAsia="zh-CN"/>
                <w14:textFill>
                  <w14:solidFill>
                    <w14:schemeClr w14:val="tx1"/>
                  </w14:solidFill>
                </w14:textFill>
              </w:rPr>
              <w:t>相关内容，为了加强建设项目的环境保护管理，严格控制新的污染，保护和改善环境，项目建设前应该开展环境影响评价工作。</w:t>
            </w:r>
            <w:r>
              <w:rPr>
                <w:rFonts w:hint="eastAsia" w:ascii="Times New Roman" w:hAnsi="Times New Roman"/>
                <w:color w:val="000000" w:themeColor="text1"/>
                <w:sz w:val="24"/>
                <w:szCs w:val="24"/>
                <w:lang w:val="en-US" w:eastAsia="zh-CN"/>
                <w14:textFill>
                  <w14:solidFill>
                    <w14:schemeClr w14:val="tx1"/>
                  </w14:solidFill>
                </w14:textFill>
              </w:rPr>
              <w:t>本项目为电池制造项目，不涉及溶剂型涂料，</w:t>
            </w:r>
            <w:r>
              <w:rPr>
                <w:rFonts w:hint="eastAsia" w:ascii="Times New Roman" w:hAnsi="Times New Roman"/>
                <w:color w:val="auto"/>
                <w:sz w:val="24"/>
                <w:szCs w:val="24"/>
                <w:lang w:val="en-US" w:eastAsia="zh-CN"/>
              </w:rPr>
              <w:t>主要工艺为</w:t>
            </w:r>
            <w:r>
              <w:rPr>
                <w:rFonts w:hint="eastAsia"/>
                <w:color w:val="auto"/>
                <w:sz w:val="24"/>
                <w:szCs w:val="24"/>
                <w:lang w:val="en-US" w:eastAsia="zh-CN"/>
              </w:rPr>
              <w:t>投料</w:t>
            </w:r>
            <w:r>
              <w:rPr>
                <w:rFonts w:hint="eastAsia" w:ascii="Times New Roman" w:hAnsi="Times New Roman"/>
                <w:color w:val="auto"/>
                <w:sz w:val="24"/>
                <w:szCs w:val="24"/>
                <w:lang w:val="en-US" w:eastAsia="zh-CN"/>
              </w:rPr>
              <w:t>、</w:t>
            </w:r>
            <w:r>
              <w:rPr>
                <w:rFonts w:hint="eastAsia"/>
                <w:color w:val="auto"/>
                <w:sz w:val="24"/>
                <w:szCs w:val="24"/>
                <w:lang w:val="en-US" w:eastAsia="zh-CN"/>
              </w:rPr>
              <w:t>匀浆</w:t>
            </w:r>
            <w:r>
              <w:rPr>
                <w:rFonts w:hint="eastAsia" w:ascii="Times New Roman" w:hAnsi="Times New Roman"/>
                <w:color w:val="auto"/>
                <w:sz w:val="24"/>
                <w:szCs w:val="24"/>
                <w:lang w:val="en-US" w:eastAsia="zh-CN"/>
              </w:rPr>
              <w:t>、涂布、辊压、模切、叠片、注液等，</w:t>
            </w:r>
            <w:r>
              <w:rPr>
                <w:rFonts w:hint="eastAsia" w:ascii="Times New Roman" w:hAnsi="Times New Roman"/>
                <w:color w:val="auto"/>
                <w:sz w:val="24"/>
                <w:highlight w:val="none"/>
                <w:lang w:val="en-US" w:eastAsia="zh-CN"/>
              </w:rPr>
              <w:t>根据《建设项目环境影响评价分类管理名录》（2021年版），本项目属于“三十五、电气机械和器材制造业 38-77 电池制造 384”中的“其他”，应编制环境影响评价报告表</w:t>
            </w:r>
            <w:r>
              <w:rPr>
                <w:rFonts w:hint="eastAsia" w:ascii="Times New Roman" w:hAnsi="Times New Roman"/>
                <w:color w:val="auto"/>
                <w:sz w:val="24"/>
                <w:szCs w:val="24"/>
                <w:lang w:eastAsia="zh-CN"/>
              </w:rPr>
              <w:t>。据此，建设单位委托</w:t>
            </w:r>
            <w:r>
              <w:rPr>
                <w:rFonts w:hint="eastAsia" w:ascii="Times New Roman" w:hAnsi="Times New Roman"/>
                <w:color w:val="auto"/>
                <w:sz w:val="24"/>
                <w:szCs w:val="24"/>
                <w:lang w:val="en-US" w:eastAsia="zh-CN"/>
              </w:rPr>
              <w:t>我公司</w:t>
            </w:r>
            <w:r>
              <w:rPr>
                <w:rFonts w:hint="eastAsia" w:ascii="Times New Roman" w:hAnsi="Times New Roman"/>
                <w:color w:val="auto"/>
                <w:sz w:val="24"/>
                <w:szCs w:val="24"/>
                <w:lang w:eastAsia="zh-CN"/>
              </w:rPr>
              <w:t>承担本项目环境影</w:t>
            </w:r>
            <w:r>
              <w:rPr>
                <w:rFonts w:hint="eastAsia" w:ascii="Times New Roman" w:hAnsi="Times New Roman" w:eastAsia="宋体" w:cs="Times New Roman"/>
                <w:color w:val="auto"/>
                <w:sz w:val="24"/>
                <w:szCs w:val="24"/>
                <w:lang w:eastAsia="zh-CN"/>
              </w:rPr>
              <w:t>响评价工作。我公司接受托后，派工程技术人员到现场进行调查和资料收集，按照国家环境法律法规要求，并根据《环境影响评价技术导则》等有关技术规范编制完成，现上报审查。</w:t>
            </w:r>
          </w:p>
          <w:p w14:paraId="05E18DD9">
            <w:pPr>
              <w:pStyle w:val="66"/>
              <w:spacing w:line="360" w:lineRule="auto"/>
              <w:ind w:firstLine="482"/>
              <w:rPr>
                <w:rFonts w:hint="eastAsia" w:ascii="Times New Roman" w:hAnsi="Times New Roman" w:eastAsia="宋体" w:cs="Times New Roman"/>
                <w:b/>
                <w:bCs/>
                <w:color w:val="auto"/>
              </w:rPr>
            </w:pPr>
            <w:r>
              <w:rPr>
                <w:rFonts w:hint="eastAsia" w:ascii="Times New Roman" w:hAnsi="Times New Roman" w:eastAsia="宋体" w:cs="Times New Roman"/>
                <w:b/>
                <w:bCs/>
                <w:color w:val="auto"/>
                <w:lang w:val="en-US" w:eastAsia="zh-CN"/>
              </w:rPr>
              <w:t>2</w:t>
            </w:r>
            <w:r>
              <w:rPr>
                <w:rFonts w:hint="eastAsia" w:ascii="Times New Roman" w:hAnsi="Times New Roman" w:eastAsia="宋体" w:cs="Times New Roman"/>
                <w:b/>
                <w:bCs/>
                <w:color w:val="auto"/>
              </w:rPr>
              <w:t>、项目概况</w:t>
            </w:r>
          </w:p>
          <w:p w14:paraId="0A139441">
            <w:pPr>
              <w:pStyle w:val="66"/>
              <w:spacing w:line="360" w:lineRule="auto"/>
              <w:rPr>
                <w:rFonts w:hint="eastAsia" w:ascii="Times New Roman" w:hAnsi="Times New Roman" w:eastAsia="宋体" w:cs="Times New Roman"/>
                <w:color w:val="auto"/>
                <w:lang w:eastAsia="zh-CN"/>
              </w:rPr>
            </w:pPr>
            <w:r>
              <w:rPr>
                <w:rFonts w:hint="eastAsia" w:ascii="Times New Roman" w:hAnsi="Times New Roman" w:eastAsia="宋体" w:cs="Times New Roman"/>
                <w:color w:val="auto"/>
              </w:rPr>
              <w:t>项目名称：</w:t>
            </w:r>
            <w:r>
              <w:rPr>
                <w:rFonts w:hint="eastAsia" w:ascii="Times New Roman" w:hAnsi="Times New Roman" w:eastAsia="宋体" w:cs="Times New Roman"/>
                <w:color w:val="auto"/>
                <w:lang w:eastAsia="zh-CN"/>
              </w:rPr>
              <w:t>年产1GWh高倍率半固态电池及20万套电源系统项目；</w:t>
            </w:r>
          </w:p>
          <w:p w14:paraId="5A7599B5">
            <w:pPr>
              <w:pStyle w:val="66"/>
              <w:spacing w:line="360" w:lineRule="auto"/>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rPr>
              <w:t>建设单位：</w:t>
            </w:r>
            <w:r>
              <w:rPr>
                <w:rFonts w:hint="eastAsia" w:ascii="Times New Roman" w:hAnsi="Times New Roman" w:eastAsia="宋体" w:cs="Times New Roman"/>
                <w:color w:val="auto"/>
                <w:lang w:val="en-US" w:eastAsia="zh-CN"/>
              </w:rPr>
              <w:t>洛储电源科技（巴中）有限公司；</w:t>
            </w:r>
          </w:p>
          <w:p w14:paraId="0AE91312">
            <w:pPr>
              <w:pStyle w:val="66"/>
              <w:spacing w:line="360" w:lineRule="auto"/>
              <w:rPr>
                <w:rFonts w:hint="eastAsia" w:ascii="Times New Roman" w:hAnsi="Times New Roman" w:eastAsia="宋体" w:cs="Times New Roman"/>
                <w:color w:val="auto"/>
                <w:lang w:eastAsia="zh-CN"/>
              </w:rPr>
            </w:pPr>
            <w:r>
              <w:rPr>
                <w:rFonts w:hint="eastAsia" w:ascii="Times New Roman" w:hAnsi="Times New Roman" w:eastAsia="宋体" w:cs="Times New Roman"/>
                <w:color w:val="auto"/>
              </w:rPr>
              <w:t>性        质：新建</w:t>
            </w:r>
            <w:r>
              <w:rPr>
                <w:rFonts w:hint="eastAsia" w:ascii="Times New Roman" w:hAnsi="Times New Roman" w:eastAsia="宋体" w:cs="Times New Roman"/>
                <w:color w:val="auto"/>
                <w:lang w:eastAsia="zh-CN"/>
              </w:rPr>
              <w:t>；</w:t>
            </w:r>
          </w:p>
          <w:p w14:paraId="7B5C27BD">
            <w:pPr>
              <w:pStyle w:val="66"/>
              <w:spacing w:line="360" w:lineRule="auto"/>
              <w:rPr>
                <w:rFonts w:hint="eastAsia" w:ascii="Times New Roman" w:hAnsi="Times New Roman" w:eastAsia="宋体" w:cs="Times New Roman"/>
                <w:color w:val="auto"/>
                <w:lang w:eastAsia="zh-CN"/>
              </w:rPr>
            </w:pPr>
            <w:r>
              <w:rPr>
                <w:rFonts w:hint="eastAsia" w:ascii="Times New Roman" w:hAnsi="Times New Roman" w:eastAsia="宋体" w:cs="Times New Roman"/>
                <w:color w:val="auto"/>
              </w:rPr>
              <w:t>建设地点：</w:t>
            </w:r>
            <w:r>
              <w:rPr>
                <w:rFonts w:hint="eastAsia"/>
                <w:lang w:eastAsia="zh-CN"/>
              </w:rPr>
              <w:t>四川巴中经济开发区</w:t>
            </w:r>
            <w:r>
              <w:rPr>
                <w:rFonts w:hint="eastAsia" w:ascii="Times New Roman" w:hAnsi="Times New Roman" w:eastAsia="宋体" w:cs="Times New Roman"/>
                <w:color w:val="auto"/>
                <w:lang w:eastAsia="zh-CN"/>
              </w:rPr>
              <w:t>；</w:t>
            </w:r>
          </w:p>
          <w:p w14:paraId="77E2161A">
            <w:pPr>
              <w:pStyle w:val="66"/>
              <w:spacing w:line="360" w:lineRule="auto"/>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auto"/>
              </w:rPr>
              <w:t>建设</w:t>
            </w:r>
            <w:r>
              <w:rPr>
                <w:rFonts w:hint="eastAsia" w:ascii="Times New Roman" w:hAnsi="Times New Roman" w:eastAsia="宋体" w:cs="Times New Roman"/>
                <w:color w:val="000000" w:themeColor="text1"/>
                <w14:textFill>
                  <w14:solidFill>
                    <w14:schemeClr w14:val="tx1"/>
                  </w14:solidFill>
                </w14:textFill>
              </w:rPr>
              <w:t>内容及规模：</w:t>
            </w:r>
            <w:r>
              <w:rPr>
                <w:rFonts w:hint="eastAsia" w:ascii="Times New Roman" w:hAnsi="Times New Roman" w:eastAsia="宋体" w:cs="Times New Roman"/>
                <w:color w:val="000000" w:themeColor="text1"/>
                <w:lang w:val="en-US" w:eastAsia="zh-CN"/>
                <w14:textFill>
                  <w14:solidFill>
                    <w14:schemeClr w14:val="tx1"/>
                  </w14:solidFill>
                </w14:textFill>
              </w:rPr>
              <w:t>项目一期建设年产</w:t>
            </w:r>
            <w:r>
              <w:rPr>
                <w:rFonts w:hint="default" w:ascii="Times New Roman" w:hAnsi="Times New Roman" w:eastAsia="宋体" w:cs="Times New Roman"/>
                <w:color w:val="000000" w:themeColor="text1"/>
                <w:lang w:val="en-US" w:eastAsia="zh-CN"/>
                <w14:textFill>
                  <w14:solidFill>
                    <w14:schemeClr w14:val="tx1"/>
                  </w14:solidFill>
                </w14:textFill>
              </w:rPr>
              <w:t>1GWh</w:t>
            </w:r>
            <w:r>
              <w:rPr>
                <w:rFonts w:hint="eastAsia" w:ascii="Times New Roman" w:hAnsi="Times New Roman" w:eastAsia="宋体" w:cs="Times New Roman"/>
                <w:color w:val="000000" w:themeColor="text1"/>
                <w:lang w:val="en-US" w:eastAsia="zh-CN"/>
                <w14:textFill>
                  <w14:solidFill>
                    <w14:schemeClr w14:val="tx1"/>
                  </w14:solidFill>
                </w14:textFill>
              </w:rPr>
              <w:t>高倍率半固态锂电池单体电池生产线及</w:t>
            </w:r>
            <w:r>
              <w:rPr>
                <w:rFonts w:hint="default" w:ascii="Times New Roman" w:hAnsi="Times New Roman" w:eastAsia="宋体" w:cs="Times New Roman"/>
                <w:color w:val="000000" w:themeColor="text1"/>
                <w:lang w:val="en-US" w:eastAsia="zh-CN"/>
                <w14:textFill>
                  <w14:solidFill>
                    <w14:schemeClr w14:val="tx1"/>
                  </w14:solidFill>
                </w14:textFill>
              </w:rPr>
              <w:t>20</w:t>
            </w:r>
            <w:r>
              <w:rPr>
                <w:rFonts w:hint="eastAsia" w:ascii="Times New Roman" w:hAnsi="Times New Roman" w:eastAsia="宋体" w:cs="Times New Roman"/>
                <w:color w:val="000000" w:themeColor="text1"/>
                <w:lang w:val="en-US" w:eastAsia="zh-CN"/>
                <w14:textFill>
                  <w14:solidFill>
                    <w14:schemeClr w14:val="tx1"/>
                  </w14:solidFill>
                </w14:textFill>
              </w:rPr>
              <w:t>万套电源系统集成生产线，生产厂房及配套用房约</w:t>
            </w:r>
            <w:r>
              <w:rPr>
                <w:rFonts w:hint="default" w:ascii="Times New Roman" w:hAnsi="Times New Roman" w:eastAsia="宋体" w:cs="Times New Roman"/>
                <w:color w:val="000000" w:themeColor="text1"/>
                <w:lang w:val="en-US" w:eastAsia="zh-CN"/>
                <w14:textFill>
                  <w14:solidFill>
                    <w14:schemeClr w14:val="tx1"/>
                  </w14:solidFill>
                </w14:textFill>
              </w:rPr>
              <w:t>5</w:t>
            </w:r>
            <w:r>
              <w:rPr>
                <w:rFonts w:hint="eastAsia" w:ascii="Times New Roman" w:hAnsi="Times New Roman" w:eastAsia="宋体" w:cs="Times New Roman"/>
                <w:color w:val="000000" w:themeColor="text1"/>
                <w:lang w:val="en-US" w:eastAsia="zh-CN"/>
                <w14:textFill>
                  <w14:solidFill>
                    <w14:schemeClr w14:val="tx1"/>
                  </w14:solidFill>
                </w14:textFill>
              </w:rPr>
              <w:t>万平方米（最终面积以入园协议为准）。</w:t>
            </w:r>
          </w:p>
          <w:p w14:paraId="5A99A6E2">
            <w:pPr>
              <w:pStyle w:val="66"/>
              <w:spacing w:line="360" w:lineRule="auto"/>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劳动定员和工作制度：项目劳动定员160人，全年工作时间300天，实行</w:t>
            </w:r>
            <w:r>
              <w:rPr>
                <w:rFonts w:hint="eastAsia" w:cs="Times New Roman"/>
                <w:color w:val="000000" w:themeColor="text1"/>
                <w:sz w:val="24"/>
                <w:highlight w:val="none"/>
                <w:lang w:val="en-US" w:eastAsia="zh-CN"/>
                <w14:textFill>
                  <w14:solidFill>
                    <w14:schemeClr w14:val="tx1"/>
                  </w14:solidFill>
                </w14:textFill>
              </w:rPr>
              <w:t>2</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班制，每班</w:t>
            </w:r>
            <w:r>
              <w:rPr>
                <w:rFonts w:hint="eastAsia" w:cs="Times New Roman"/>
                <w:color w:val="000000" w:themeColor="text1"/>
                <w:sz w:val="24"/>
                <w:highlight w:val="none"/>
                <w:lang w:val="en-US" w:eastAsia="zh-CN"/>
                <w14:textFill>
                  <w14:solidFill>
                    <w14:schemeClr w14:val="tx1"/>
                  </w14:solidFill>
                </w14:textFill>
              </w:rPr>
              <w:t>10</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小</w:t>
            </w:r>
            <w:r>
              <w:rPr>
                <w:rFonts w:hint="eastAsia" w:ascii="Times New Roman" w:hAnsi="Times New Roman" w:eastAsia="宋体" w:cs="Times New Roman"/>
                <w:b w:val="0"/>
                <w:bCs w:val="0"/>
                <w:color w:val="000000" w:themeColor="text1"/>
                <w:lang w:val="en-US" w:eastAsia="zh-CN"/>
                <w14:textFill>
                  <w14:solidFill>
                    <w14:schemeClr w14:val="tx1"/>
                  </w14:solidFill>
                </w14:textFill>
              </w:rPr>
              <w:t>时，不提供食宿</w:t>
            </w:r>
            <w:r>
              <w:rPr>
                <w:rFonts w:hint="eastAsia" w:cs="Times New Roman"/>
                <w:b w:val="0"/>
                <w:bCs w:val="0"/>
                <w:color w:val="000000" w:themeColor="text1"/>
                <w:lang w:val="en-US" w:eastAsia="zh-CN"/>
                <w14:textFill>
                  <w14:solidFill>
                    <w14:schemeClr w14:val="tx1"/>
                  </w14:solidFill>
                </w14:textFill>
              </w:rPr>
              <w:t>。</w:t>
            </w:r>
          </w:p>
          <w:p w14:paraId="55373101">
            <w:pPr>
              <w:pStyle w:val="66"/>
              <w:spacing w:line="360" w:lineRule="auto"/>
              <w:ind w:firstLine="482"/>
              <w:rPr>
                <w:rFonts w:hint="eastAsia" w:ascii="Times New Roman" w:hAnsi="Times New Roman" w:eastAsia="宋体" w:cs="Times New Roman"/>
                <w:b/>
                <w:bCs/>
                <w:color w:val="000000" w:themeColor="text1"/>
                <w:lang w:val="en-US" w:eastAsia="zh-CN"/>
                <w14:textFill>
                  <w14:solidFill>
                    <w14:schemeClr w14:val="tx1"/>
                  </w14:solidFill>
                </w14:textFill>
              </w:rPr>
            </w:pPr>
            <w:r>
              <w:rPr>
                <w:rFonts w:hint="eastAsia" w:ascii="Times New Roman" w:hAnsi="Times New Roman" w:eastAsia="宋体" w:cs="Times New Roman"/>
                <w:b/>
                <w:bCs/>
                <w:color w:val="000000" w:themeColor="text1"/>
                <w:lang w:val="en-US" w:eastAsia="zh-CN"/>
                <w14:textFill>
                  <w14:solidFill>
                    <w14:schemeClr w14:val="tx1"/>
                  </w14:solidFill>
                </w14:textFill>
              </w:rPr>
              <w:t>3、产品方案</w:t>
            </w:r>
          </w:p>
          <w:p w14:paraId="23A55A04">
            <w:pPr>
              <w:pStyle w:val="66"/>
              <w:spacing w:line="360" w:lineRule="auto"/>
              <w:rPr>
                <w:rFonts w:hint="eastAsia"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项目产品方案见下表。</w:t>
            </w:r>
          </w:p>
          <w:p w14:paraId="0CC7ACFA">
            <w:pPr>
              <w:pStyle w:val="68"/>
              <w:rPr>
                <w:rFonts w:hint="default" w:ascii="Times New Roman" w:hAnsi="Times New Roman" w:eastAsia="宋体" w:cs="Times New Roman"/>
                <w:b/>
                <w:bCs/>
                <w:color w:val="000000" w:themeColor="text1"/>
                <w14:textFill>
                  <w14:solidFill>
                    <w14:schemeClr w14:val="tx1"/>
                  </w14:solidFill>
                </w14:textFill>
              </w:rPr>
            </w:pPr>
            <w:r>
              <w:rPr>
                <w:rFonts w:hint="default" w:ascii="Times New Roman" w:hAnsi="Times New Roman" w:eastAsia="宋体" w:cs="Times New Roman"/>
                <w:b/>
                <w:bCs/>
                <w:color w:val="000000" w:themeColor="text1"/>
                <w14:textFill>
                  <w14:solidFill>
                    <w14:schemeClr w14:val="tx1"/>
                  </w14:solidFill>
                </w14:textFill>
              </w:rPr>
              <w:t>表2-1  项目产品方案</w:t>
            </w:r>
          </w:p>
          <w:tbl>
            <w:tblPr>
              <w:tblStyle w:val="42"/>
              <w:tblW w:w="7864"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07"/>
              <w:gridCol w:w="801"/>
              <w:gridCol w:w="793"/>
              <w:gridCol w:w="1117"/>
              <w:gridCol w:w="992"/>
              <w:gridCol w:w="1397"/>
              <w:gridCol w:w="1562"/>
              <w:gridCol w:w="795"/>
            </w:tblGrid>
            <w:tr w14:paraId="686CFB6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07" w:type="dxa"/>
                  <w:vAlign w:val="center"/>
                </w:tcPr>
                <w:p w14:paraId="3BF43494">
                  <w:pPr>
                    <w:pStyle w:val="70"/>
                    <w:spacing w:line="240" w:lineRule="auto"/>
                    <w:jc w:val="left"/>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color w:val="000000" w:themeColor="text1"/>
                      <w:sz w:val="21"/>
                      <w:szCs w:val="21"/>
                      <w:lang w:val="en-US" w:eastAsia="zh-CN"/>
                      <w14:textFill>
                        <w14:solidFill>
                          <w14:schemeClr w14:val="tx1"/>
                        </w14:solidFill>
                      </w14:textFill>
                    </w:rPr>
                    <w:t>序号</w:t>
                  </w:r>
                </w:p>
              </w:tc>
              <w:tc>
                <w:tcPr>
                  <w:tcW w:w="801" w:type="dxa"/>
                  <w:vAlign w:val="center"/>
                </w:tcPr>
                <w:p w14:paraId="14BE6742">
                  <w:pPr>
                    <w:pStyle w:val="70"/>
                    <w:spacing w:line="240" w:lineRule="auto"/>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color w:val="000000" w:themeColor="text1"/>
                      <w:sz w:val="21"/>
                      <w:szCs w:val="21"/>
                      <w:lang w:val="en-US" w:eastAsia="zh-CN"/>
                      <w14:textFill>
                        <w14:solidFill>
                          <w14:schemeClr w14:val="tx1"/>
                        </w14:solidFill>
                      </w14:textFill>
                    </w:rPr>
                    <w:t>名称</w:t>
                  </w:r>
                </w:p>
              </w:tc>
              <w:tc>
                <w:tcPr>
                  <w:tcW w:w="793" w:type="dxa"/>
                  <w:vAlign w:val="center"/>
                </w:tcPr>
                <w:p w14:paraId="60D67329">
                  <w:pPr>
                    <w:pStyle w:val="70"/>
                    <w:spacing w:line="240" w:lineRule="auto"/>
                    <w:rPr>
                      <w:rFonts w:hint="eastAsia" w:ascii="Times New Roman" w:hAnsi="Times New Roman" w:eastAsia="宋体" w:cs="Times New Roman"/>
                      <w:b/>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color w:val="000000" w:themeColor="text1"/>
                      <w:sz w:val="21"/>
                      <w:szCs w:val="21"/>
                      <w:lang w:val="en-US" w:eastAsia="zh-CN"/>
                      <w14:textFill>
                        <w14:solidFill>
                          <w14:schemeClr w14:val="tx1"/>
                        </w14:solidFill>
                      </w14:textFill>
                    </w:rPr>
                    <w:t>产品型号</w:t>
                  </w:r>
                </w:p>
              </w:tc>
              <w:tc>
                <w:tcPr>
                  <w:tcW w:w="1117" w:type="dxa"/>
                  <w:vAlign w:val="center"/>
                </w:tcPr>
                <w:p w14:paraId="7D5F682C">
                  <w:pPr>
                    <w:pStyle w:val="70"/>
                    <w:spacing w:line="240" w:lineRule="auto"/>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eastAsia" w:cs="Times New Roman"/>
                      <w:b/>
                      <w:color w:val="000000" w:themeColor="text1"/>
                      <w:sz w:val="21"/>
                      <w:szCs w:val="21"/>
                      <w:lang w:val="en-US" w:eastAsia="zh-CN"/>
                      <w14:textFill>
                        <w14:solidFill>
                          <w14:schemeClr w14:val="tx1"/>
                        </w14:solidFill>
                      </w14:textFill>
                    </w:rPr>
                    <w:t>产品参数</w:t>
                  </w:r>
                </w:p>
              </w:tc>
              <w:tc>
                <w:tcPr>
                  <w:tcW w:w="992" w:type="dxa"/>
                  <w:vAlign w:val="center"/>
                </w:tcPr>
                <w:p w14:paraId="4F2F4D8A">
                  <w:pPr>
                    <w:pStyle w:val="70"/>
                    <w:spacing w:line="240" w:lineRule="auto"/>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color w:val="000000" w:themeColor="text1"/>
                      <w:sz w:val="21"/>
                      <w:szCs w:val="21"/>
                      <w:lang w:val="en-US" w:eastAsia="zh-CN"/>
                      <w14:textFill>
                        <w14:solidFill>
                          <w14:schemeClr w14:val="tx1"/>
                        </w14:solidFill>
                      </w14:textFill>
                    </w:rPr>
                    <w:t>生产规模</w:t>
                  </w:r>
                </w:p>
              </w:tc>
              <w:tc>
                <w:tcPr>
                  <w:tcW w:w="1397" w:type="dxa"/>
                  <w:vAlign w:val="center"/>
                </w:tcPr>
                <w:p w14:paraId="18CC446B">
                  <w:pPr>
                    <w:pStyle w:val="70"/>
                    <w:spacing w:line="240" w:lineRule="auto"/>
                    <w:rPr>
                      <w:rFonts w:hint="eastAsia" w:ascii="Times New Roman" w:hAnsi="Times New Roman" w:eastAsia="宋体" w:cs="Times New Roman"/>
                      <w:b/>
                      <w:color w:val="000000" w:themeColor="text1"/>
                      <w:sz w:val="21"/>
                      <w:szCs w:val="21"/>
                      <w14:textFill>
                        <w14:solidFill>
                          <w14:schemeClr w14:val="tx1"/>
                        </w14:solidFill>
                      </w14:textFill>
                    </w:rPr>
                  </w:pPr>
                  <w:r>
                    <w:rPr>
                      <w:rFonts w:hint="eastAsia" w:ascii="Times New Roman" w:hAnsi="Times New Roman" w:eastAsia="宋体" w:cs="Times New Roman"/>
                      <w:b/>
                      <w:color w:val="000000" w:themeColor="text1"/>
                      <w:sz w:val="21"/>
                      <w:szCs w:val="21"/>
                      <w:lang w:val="en-US" w:eastAsia="zh-CN"/>
                      <w14:textFill>
                        <w14:solidFill>
                          <w14:schemeClr w14:val="tx1"/>
                        </w14:solidFill>
                      </w14:textFill>
                    </w:rPr>
                    <w:t>产品照片</w:t>
                  </w:r>
                </w:p>
              </w:tc>
              <w:tc>
                <w:tcPr>
                  <w:tcW w:w="1562" w:type="dxa"/>
                  <w:vAlign w:val="center"/>
                </w:tcPr>
                <w:p w14:paraId="2713431D">
                  <w:pPr>
                    <w:pStyle w:val="70"/>
                    <w:spacing w:line="240" w:lineRule="auto"/>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eastAsia" w:cs="Times New Roman"/>
                      <w:b/>
                      <w:color w:val="000000" w:themeColor="text1"/>
                      <w:sz w:val="21"/>
                      <w:szCs w:val="21"/>
                      <w:lang w:val="en-US" w:eastAsia="zh-CN"/>
                      <w14:textFill>
                        <w14:solidFill>
                          <w14:schemeClr w14:val="tx1"/>
                        </w14:solidFill>
                      </w14:textFill>
                    </w:rPr>
                    <w:t>产品执行标准</w:t>
                  </w:r>
                </w:p>
              </w:tc>
              <w:tc>
                <w:tcPr>
                  <w:tcW w:w="795" w:type="dxa"/>
                  <w:vAlign w:val="center"/>
                </w:tcPr>
                <w:p w14:paraId="257CBE59">
                  <w:pPr>
                    <w:pStyle w:val="70"/>
                    <w:spacing w:line="240" w:lineRule="auto"/>
                    <w:rPr>
                      <w:rFonts w:hint="default" w:cs="Times New Roman"/>
                      <w:b/>
                      <w:color w:val="000000" w:themeColor="text1"/>
                      <w:sz w:val="21"/>
                      <w:szCs w:val="21"/>
                      <w:lang w:val="en-US" w:eastAsia="zh-CN"/>
                      <w14:textFill>
                        <w14:solidFill>
                          <w14:schemeClr w14:val="tx1"/>
                        </w14:solidFill>
                      </w14:textFill>
                    </w:rPr>
                  </w:pPr>
                  <w:r>
                    <w:rPr>
                      <w:rFonts w:hint="eastAsia" w:cs="Times New Roman"/>
                      <w:b/>
                      <w:color w:val="000000" w:themeColor="text1"/>
                      <w:sz w:val="21"/>
                      <w:szCs w:val="21"/>
                      <w:lang w:val="en-US" w:eastAsia="zh-CN"/>
                      <w14:textFill>
                        <w14:solidFill>
                          <w14:schemeClr w14:val="tx1"/>
                        </w14:solidFill>
                      </w14:textFill>
                    </w:rPr>
                    <w:t>产品去向</w:t>
                  </w:r>
                </w:p>
              </w:tc>
            </w:tr>
            <w:tr w14:paraId="1BAA8E8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28" w:hRule="atLeast"/>
                <w:jc w:val="center"/>
              </w:trPr>
              <w:tc>
                <w:tcPr>
                  <w:tcW w:w="407" w:type="dxa"/>
                  <w:vAlign w:val="center"/>
                </w:tcPr>
                <w:p w14:paraId="089896B5">
                  <w:pPr>
                    <w:pStyle w:val="70"/>
                    <w:jc w:val="left"/>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1</w:t>
                  </w:r>
                </w:p>
              </w:tc>
              <w:tc>
                <w:tcPr>
                  <w:tcW w:w="801" w:type="dxa"/>
                  <w:vAlign w:val="center"/>
                </w:tcPr>
                <w:p w14:paraId="66BAEF64">
                  <w:pPr>
                    <w:pStyle w:val="70"/>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宽温域长寿命磷酸铁锂蓄电池</w:t>
                  </w:r>
                </w:p>
              </w:tc>
              <w:tc>
                <w:tcPr>
                  <w:tcW w:w="793" w:type="dxa"/>
                  <w:vAlign w:val="center"/>
                </w:tcPr>
                <w:p w14:paraId="2D48A0CE">
                  <w:pPr>
                    <w:pStyle w:val="70"/>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P10E0E5-17500FP</w:t>
                  </w:r>
                </w:p>
              </w:tc>
              <w:tc>
                <w:tcPr>
                  <w:tcW w:w="1117" w:type="dxa"/>
                  <w:vAlign w:val="center"/>
                </w:tcPr>
                <w:p w14:paraId="44F4FE35">
                  <w:pPr>
                    <w:pStyle w:val="70"/>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shd w:val="clear"/>
                      <w14:textFill>
                        <w14:solidFill>
                          <w14:schemeClr w14:val="tx1"/>
                        </w14:solidFill>
                      </w14:textFill>
                    </w:rPr>
                    <w:t>标称容量50Ah，标称电压3.2V，标称能量160Wh</w:t>
                  </w:r>
                </w:p>
              </w:tc>
              <w:tc>
                <w:tcPr>
                  <w:tcW w:w="992" w:type="dxa"/>
                  <w:vAlign w:val="center"/>
                </w:tcPr>
                <w:p w14:paraId="535C224F">
                  <w:pPr>
                    <w:pStyle w:val="7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220</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万支/年</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br w:type="textWrapping"/>
                  </w:r>
                  <w:r>
                    <w:rPr>
                      <w:rFonts w:hint="eastAsia" w:cs="Times New Roman"/>
                      <w:color w:val="000000" w:themeColor="text1"/>
                      <w:sz w:val="21"/>
                      <w:szCs w:val="21"/>
                      <w:lang w:val="en-US" w:eastAsia="zh-CN"/>
                      <w14:textFill>
                        <w14:solidFill>
                          <w14:schemeClr w14:val="tx1"/>
                        </w14:solidFill>
                      </w14:textFill>
                    </w:rPr>
                    <w:t>（折合约0.35GWh）</w:t>
                  </w:r>
                </w:p>
              </w:tc>
              <w:tc>
                <w:tcPr>
                  <w:tcW w:w="1397" w:type="dxa"/>
                  <w:vAlign w:val="center"/>
                </w:tcPr>
                <w:p w14:paraId="06428B08">
                  <w:pPr>
                    <w:pStyle w:val="70"/>
                    <w:rPr>
                      <w:rFonts w:hint="eastAsia" w:ascii="Times New Roman" w:hAnsi="Times New Roman" w:eastAsia="宋体" w:cs="Times New Roman"/>
                      <w:color w:val="000000" w:themeColor="text1"/>
                      <w:sz w:val="21"/>
                      <w:szCs w:val="21"/>
                      <w14:textFill>
                        <w14:solidFill>
                          <w14:schemeClr w14:val="tx1"/>
                        </w14:solidFill>
                      </w14:textFill>
                    </w:rPr>
                  </w:pPr>
                  <w:r>
                    <w:rPr>
                      <w:color w:val="000000" w:themeColor="text1"/>
                      <w:sz w:val="21"/>
                      <w:szCs w:val="21"/>
                      <w:highlight w:val="green"/>
                      <w14:textFill>
                        <w14:solidFill>
                          <w14:schemeClr w14:val="tx1"/>
                        </w14:solidFill>
                      </w14:textFill>
                    </w:rPr>
                    <w:drawing>
                      <wp:anchor distT="0" distB="0" distL="0" distR="0" simplePos="0" relativeHeight="251663360" behindDoc="1" locked="0" layoutInCell="1" allowOverlap="1">
                        <wp:simplePos x="0" y="0"/>
                        <wp:positionH relativeFrom="column">
                          <wp:posOffset>0</wp:posOffset>
                        </wp:positionH>
                        <wp:positionV relativeFrom="paragraph">
                          <wp:posOffset>-1553845</wp:posOffset>
                        </wp:positionV>
                        <wp:extent cx="869315" cy="915035"/>
                        <wp:effectExtent l="15875" t="15875" r="105410" b="116840"/>
                        <wp:wrapTight wrapText="bothSides">
                          <wp:wrapPolygon>
                            <wp:start x="2446" y="-375"/>
                            <wp:lineTo x="79" y="1874"/>
                            <wp:lineTo x="-394" y="3223"/>
                            <wp:lineTo x="-394" y="18512"/>
                            <wp:lineTo x="2446" y="21210"/>
                            <wp:lineTo x="17592" y="23009"/>
                            <wp:lineTo x="21379" y="23009"/>
                            <wp:lineTo x="21852" y="22559"/>
                            <wp:lineTo x="22799" y="14015"/>
                            <wp:lineTo x="22799" y="2773"/>
                            <wp:lineTo x="17119" y="75"/>
                            <wp:lineTo x="7179" y="-375"/>
                            <wp:lineTo x="2446" y="-375"/>
                          </wp:wrapPolygon>
                        </wp:wrapTight>
                        <wp:docPr id="48" name="图片 36" descr="电池.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36" descr="电池.21"/>
                                <pic:cNvPicPr>
                                  <a:picLocks noChangeAspect="1"/>
                                </pic:cNvPicPr>
                              </pic:nvPicPr>
                              <pic:blipFill>
                                <a:blip r:embed="rId11"/>
                                <a:srcRect l="25038" r="26221"/>
                                <a:stretch>
                                  <a:fillRect/>
                                </a:stretch>
                              </pic:blipFill>
                              <pic:spPr>
                                <a:xfrm>
                                  <a:off x="0" y="0"/>
                                  <a:ext cx="869315" cy="915035"/>
                                </a:xfrm>
                                <a:prstGeom prst="rect">
                                  <a:avLst/>
                                </a:prstGeom>
                                <a:effectLst>
                                  <a:outerShdw blurRad="50800" dist="38100" dir="2700000" algn="tl" rotWithShape="0">
                                    <a:prstClr val="black">
                                      <a:alpha val="40000"/>
                                    </a:prstClr>
                                  </a:outerShdw>
                                </a:effectLst>
                              </pic:spPr>
                            </pic:pic>
                          </a:graphicData>
                        </a:graphic>
                      </wp:anchor>
                    </w:drawing>
                  </w:r>
                </w:p>
              </w:tc>
              <w:tc>
                <w:tcPr>
                  <w:tcW w:w="1562" w:type="dxa"/>
                  <w:vAlign w:val="center"/>
                </w:tcPr>
                <w:p w14:paraId="047FA923">
                  <w:pPr>
                    <w:pStyle w:val="70"/>
                    <w:rPr>
                      <w:rFonts w:hint="default" w:eastAsia="宋体"/>
                      <w:color w:val="000000" w:themeColor="text1"/>
                      <w:sz w:val="21"/>
                      <w:szCs w:val="21"/>
                      <w:highlight w:val="green"/>
                      <w:lang w:val="en-US" w:eastAsia="zh-CN"/>
                      <w14:textFill>
                        <w14:solidFill>
                          <w14:schemeClr w14:val="tx1"/>
                        </w14:solidFill>
                      </w14:textFill>
                    </w:rPr>
                  </w:pPr>
                  <w:r>
                    <w:rPr>
                      <w:rFonts w:hint="default" w:eastAsia="宋体"/>
                      <w:color w:val="000000" w:themeColor="text1"/>
                      <w:sz w:val="21"/>
                      <w:szCs w:val="21"/>
                      <w:highlight w:val="none"/>
                      <w:lang w:val="en-US" w:eastAsia="zh-CN"/>
                      <w14:textFill>
                        <w14:solidFill>
                          <w14:schemeClr w14:val="tx1"/>
                        </w14:solidFill>
                      </w14:textFill>
                    </w:rPr>
                    <w:t>《磷酸铁锂蓄电池》</w:t>
                  </w:r>
                  <w:r>
                    <w:rPr>
                      <w:rFonts w:hint="eastAsia"/>
                      <w:color w:val="000000" w:themeColor="text1"/>
                      <w:sz w:val="21"/>
                      <w:szCs w:val="21"/>
                      <w:highlight w:val="none"/>
                      <w:lang w:val="en-US" w:eastAsia="zh-CN"/>
                      <w14:textFill>
                        <w14:solidFill>
                          <w14:schemeClr w14:val="tx1"/>
                        </w14:solidFill>
                      </w14:textFill>
                    </w:rPr>
                    <w:t>（Q/CBD DC0003-2020）</w:t>
                  </w:r>
                </w:p>
              </w:tc>
              <w:tc>
                <w:tcPr>
                  <w:tcW w:w="795" w:type="dxa"/>
                  <w:vMerge w:val="restart"/>
                  <w:vAlign w:val="center"/>
                </w:tcPr>
                <w:p w14:paraId="616B4206">
                  <w:pPr>
                    <w:pStyle w:val="70"/>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组装成电源系统/外售</w:t>
                  </w:r>
                </w:p>
              </w:tc>
            </w:tr>
            <w:tr w14:paraId="26D0B1B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28" w:hRule="atLeast"/>
                <w:jc w:val="center"/>
              </w:trPr>
              <w:tc>
                <w:tcPr>
                  <w:tcW w:w="407" w:type="dxa"/>
                  <w:vAlign w:val="center"/>
                </w:tcPr>
                <w:p w14:paraId="33F980E3">
                  <w:pPr>
                    <w:pStyle w:val="70"/>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2</w:t>
                  </w:r>
                </w:p>
              </w:tc>
              <w:tc>
                <w:tcPr>
                  <w:tcW w:w="801" w:type="dxa"/>
                  <w:vAlign w:val="center"/>
                </w:tcPr>
                <w:p w14:paraId="48036248">
                  <w:pPr>
                    <w:pStyle w:val="70"/>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超充高倍率锂离子蓄电池</w:t>
                  </w:r>
                </w:p>
              </w:tc>
              <w:tc>
                <w:tcPr>
                  <w:tcW w:w="793" w:type="dxa"/>
                  <w:vAlign w:val="center"/>
                </w:tcPr>
                <w:p w14:paraId="03FAB1C0">
                  <w:pPr>
                    <w:pStyle w:val="70"/>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PR30N-P</w:t>
                  </w:r>
                </w:p>
              </w:tc>
              <w:tc>
                <w:tcPr>
                  <w:tcW w:w="1117" w:type="dxa"/>
                  <w:vAlign w:val="center"/>
                </w:tcPr>
                <w:p w14:paraId="4D2F4E51">
                  <w:pPr>
                    <w:pStyle w:val="70"/>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shd w:val="clear"/>
                      <w14:textFill>
                        <w14:solidFill>
                          <w14:schemeClr w14:val="tx1"/>
                        </w14:solidFill>
                      </w14:textFill>
                    </w:rPr>
                    <w:t>标称容量</w:t>
                  </w:r>
                  <w:r>
                    <w:rPr>
                      <w:rFonts w:hint="eastAsia" w:cs="Times New Roman"/>
                      <w:color w:val="000000" w:themeColor="text1"/>
                      <w:sz w:val="21"/>
                      <w:szCs w:val="21"/>
                      <w:highlight w:val="none"/>
                      <w:shd w:val="clear"/>
                      <w:lang w:val="en-US" w:eastAsia="zh-CN"/>
                      <w14:textFill>
                        <w14:solidFill>
                          <w14:schemeClr w14:val="tx1"/>
                        </w14:solidFill>
                      </w14:textFill>
                    </w:rPr>
                    <w:t>30</w:t>
                  </w:r>
                  <w:r>
                    <w:rPr>
                      <w:rFonts w:hint="eastAsia" w:ascii="Times New Roman" w:hAnsi="Times New Roman" w:eastAsia="宋体" w:cs="Times New Roman"/>
                      <w:color w:val="000000" w:themeColor="text1"/>
                      <w:sz w:val="21"/>
                      <w:szCs w:val="21"/>
                      <w:highlight w:val="none"/>
                      <w:shd w:val="clear"/>
                      <w14:textFill>
                        <w14:solidFill>
                          <w14:schemeClr w14:val="tx1"/>
                        </w14:solidFill>
                      </w14:textFill>
                    </w:rPr>
                    <w:t>Ah，标称电压3.</w:t>
                  </w:r>
                  <w:r>
                    <w:rPr>
                      <w:rFonts w:hint="eastAsia" w:cs="Times New Roman"/>
                      <w:color w:val="000000" w:themeColor="text1"/>
                      <w:sz w:val="21"/>
                      <w:szCs w:val="21"/>
                      <w:highlight w:val="none"/>
                      <w:shd w:val="clear"/>
                      <w:lang w:val="en-US" w:eastAsia="zh-CN"/>
                      <w14:textFill>
                        <w14:solidFill>
                          <w14:schemeClr w14:val="tx1"/>
                        </w14:solidFill>
                      </w14:textFill>
                    </w:rPr>
                    <w:t>7</w:t>
                  </w:r>
                  <w:r>
                    <w:rPr>
                      <w:rFonts w:hint="eastAsia" w:ascii="Times New Roman" w:hAnsi="Times New Roman" w:eastAsia="宋体" w:cs="Times New Roman"/>
                      <w:color w:val="000000" w:themeColor="text1"/>
                      <w:sz w:val="21"/>
                      <w:szCs w:val="21"/>
                      <w:highlight w:val="none"/>
                      <w:shd w:val="clear"/>
                      <w14:textFill>
                        <w14:solidFill>
                          <w14:schemeClr w14:val="tx1"/>
                        </w14:solidFill>
                      </w14:textFill>
                    </w:rPr>
                    <w:t>V，标称能量</w:t>
                  </w:r>
                  <w:r>
                    <w:rPr>
                      <w:rFonts w:hint="eastAsia" w:cs="Times New Roman"/>
                      <w:color w:val="000000" w:themeColor="text1"/>
                      <w:sz w:val="21"/>
                      <w:szCs w:val="21"/>
                      <w:highlight w:val="none"/>
                      <w:shd w:val="clear"/>
                      <w:lang w:val="en-US" w:eastAsia="zh-CN"/>
                      <w14:textFill>
                        <w14:solidFill>
                          <w14:schemeClr w14:val="tx1"/>
                        </w14:solidFill>
                      </w14:textFill>
                    </w:rPr>
                    <w:t>111</w:t>
                  </w:r>
                  <w:r>
                    <w:rPr>
                      <w:rFonts w:hint="eastAsia" w:ascii="Times New Roman" w:hAnsi="Times New Roman" w:eastAsia="宋体" w:cs="Times New Roman"/>
                      <w:color w:val="000000" w:themeColor="text1"/>
                      <w:sz w:val="21"/>
                      <w:szCs w:val="21"/>
                      <w:highlight w:val="none"/>
                      <w:shd w:val="clear"/>
                      <w14:textFill>
                        <w14:solidFill>
                          <w14:schemeClr w14:val="tx1"/>
                        </w14:solidFill>
                      </w14:textFill>
                    </w:rPr>
                    <w:t>Wh</w:t>
                  </w:r>
                </w:p>
              </w:tc>
              <w:tc>
                <w:tcPr>
                  <w:tcW w:w="992" w:type="dxa"/>
                  <w:vAlign w:val="center"/>
                </w:tcPr>
                <w:p w14:paraId="38B2D512">
                  <w:pPr>
                    <w:pStyle w:val="70"/>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180</w:t>
                  </w: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万支/年</w:t>
                  </w: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br w:type="textWrapping"/>
                  </w:r>
                  <w:r>
                    <w:rPr>
                      <w:rFonts w:hint="eastAsia" w:cs="Times New Roman"/>
                      <w:color w:val="000000" w:themeColor="text1"/>
                      <w:sz w:val="21"/>
                      <w:szCs w:val="21"/>
                      <w:lang w:val="en-US" w:eastAsia="zh-CN"/>
                      <w14:textFill>
                        <w14:solidFill>
                          <w14:schemeClr w14:val="tx1"/>
                        </w14:solidFill>
                      </w14:textFill>
                    </w:rPr>
                    <w:t>（折合约0.2GWh）</w:t>
                  </w:r>
                </w:p>
              </w:tc>
              <w:tc>
                <w:tcPr>
                  <w:tcW w:w="1397" w:type="dxa"/>
                  <w:vAlign w:val="center"/>
                </w:tcPr>
                <w:p w14:paraId="54BFBCE9">
                  <w:pPr>
                    <w:pStyle w:val="70"/>
                    <w:rPr>
                      <w:rFonts w:hint="eastAsia" w:ascii="Times New Roman" w:hAnsi="Times New Roman" w:eastAsia="宋体" w:cs="Times New Roman"/>
                      <w:color w:val="000000" w:themeColor="text1"/>
                      <w:sz w:val="21"/>
                      <w:szCs w:val="21"/>
                      <w14:textFill>
                        <w14:solidFill>
                          <w14:schemeClr w14:val="tx1"/>
                        </w14:solidFill>
                      </w14:textFill>
                    </w:rPr>
                  </w:pPr>
                  <w:r>
                    <w:rPr>
                      <w:color w:val="000000" w:themeColor="text1"/>
                      <w:sz w:val="21"/>
                      <w:szCs w:val="21"/>
                      <w:highlight w:val="green"/>
                      <w14:textFill>
                        <w14:solidFill>
                          <w14:schemeClr w14:val="tx1"/>
                        </w14:solidFill>
                      </w14:textFill>
                    </w:rPr>
                    <w:drawing>
                      <wp:anchor distT="0" distB="0" distL="0" distR="0" simplePos="0" relativeHeight="251664384" behindDoc="1" locked="0" layoutInCell="1" allowOverlap="1">
                        <wp:simplePos x="0" y="0"/>
                        <wp:positionH relativeFrom="column">
                          <wp:posOffset>91440</wp:posOffset>
                        </wp:positionH>
                        <wp:positionV relativeFrom="paragraph">
                          <wp:posOffset>57150</wp:posOffset>
                        </wp:positionV>
                        <wp:extent cx="529590" cy="977265"/>
                        <wp:effectExtent l="15875" t="15875" r="83185" b="73660"/>
                        <wp:wrapTight wrapText="bothSides">
                          <wp:wrapPolygon>
                            <wp:start x="2460" y="-351"/>
                            <wp:lineTo x="129" y="2175"/>
                            <wp:lineTo x="-647" y="21123"/>
                            <wp:lineTo x="15669" y="22807"/>
                            <wp:lineTo x="22662" y="22807"/>
                            <wp:lineTo x="23439" y="19860"/>
                            <wp:lineTo x="23439" y="-351"/>
                            <wp:lineTo x="10230" y="-351"/>
                            <wp:lineTo x="2460" y="-351"/>
                          </wp:wrapPolygon>
                        </wp:wrapTight>
                        <wp:docPr id="49" name="图片 45" descr="电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5" descr="电池"/>
                                <pic:cNvPicPr>
                                  <a:picLocks noChangeAspect="1"/>
                                </pic:cNvPicPr>
                              </pic:nvPicPr>
                              <pic:blipFill>
                                <a:blip r:embed="rId12" cstate="print"/>
                                <a:srcRect/>
                                <a:stretch>
                                  <a:fillRect/>
                                </a:stretch>
                              </pic:blipFill>
                              <pic:spPr>
                                <a:xfrm>
                                  <a:off x="0" y="0"/>
                                  <a:ext cx="529590" cy="977265"/>
                                </a:xfrm>
                                <a:prstGeom prst="rect">
                                  <a:avLst/>
                                </a:prstGeom>
                                <a:effectLst>
                                  <a:outerShdw blurRad="50800" dist="38100" dir="2700000" algn="tl" rotWithShape="0">
                                    <a:prstClr val="black">
                                      <a:alpha val="40000"/>
                                    </a:prstClr>
                                  </a:outerShdw>
                                </a:effectLst>
                              </pic:spPr>
                            </pic:pic>
                          </a:graphicData>
                        </a:graphic>
                      </wp:anchor>
                    </w:drawing>
                  </w:r>
                </w:p>
              </w:tc>
              <w:tc>
                <w:tcPr>
                  <w:tcW w:w="1562" w:type="dxa"/>
                  <w:vMerge w:val="restart"/>
                  <w:vAlign w:val="center"/>
                </w:tcPr>
                <w:p w14:paraId="51BC1EF9">
                  <w:pPr>
                    <w:pStyle w:val="70"/>
                    <w:rPr>
                      <w:rFonts w:hint="eastAsia" w:eastAsia="宋体"/>
                      <w:color w:val="000000" w:themeColor="text1"/>
                      <w:sz w:val="21"/>
                      <w:szCs w:val="21"/>
                      <w:highlight w:val="green"/>
                      <w:lang w:eastAsia="zh-CN"/>
                      <w14:textFill>
                        <w14:solidFill>
                          <w14:schemeClr w14:val="tx1"/>
                        </w14:solidFill>
                      </w14:textFill>
                    </w:rPr>
                  </w:pPr>
                  <w:r>
                    <w:rPr>
                      <w:rFonts w:hint="eastAsia"/>
                      <w:color w:val="000000" w:themeColor="text1"/>
                      <w:sz w:val="21"/>
                      <w:szCs w:val="21"/>
                      <w:highlight w:val="none"/>
                      <w14:textFill>
                        <w14:solidFill>
                          <w14:schemeClr w14:val="tx1"/>
                        </w14:solidFill>
                      </w14:textFill>
                    </w:rPr>
                    <w:t>《锂电池安全要求》</w:t>
                  </w:r>
                  <w:r>
                    <w:rPr>
                      <w:rFonts w:hint="eastAsia"/>
                      <w:color w:val="000000" w:themeColor="text1"/>
                      <w:sz w:val="21"/>
                      <w:szCs w:val="21"/>
                      <w:highlight w:val="none"/>
                      <w:lang w:eastAsia="zh-CN"/>
                      <w14:textFill>
                        <w14:solidFill>
                          <w14:schemeClr w14:val="tx1"/>
                        </w14:solidFill>
                      </w14:textFill>
                    </w:rPr>
                    <w:t>（GJB 2374A-2013）、《矿用锂离子蓄电池》（Q/CBD DC002</w:t>
                  </w:r>
                  <w:r>
                    <w:rPr>
                      <w:rFonts w:hint="eastAsia"/>
                      <w:color w:val="000000" w:themeColor="text1"/>
                      <w:sz w:val="21"/>
                      <w:szCs w:val="21"/>
                      <w:highlight w:val="none"/>
                      <w:lang w:val="en-US" w:eastAsia="zh-CN"/>
                      <w14:textFill>
                        <w14:solidFill>
                          <w14:schemeClr w14:val="tx1"/>
                        </w14:solidFill>
                      </w14:textFill>
                    </w:rPr>
                    <w:t>-</w:t>
                  </w:r>
                  <w:r>
                    <w:rPr>
                      <w:rFonts w:hint="eastAsia"/>
                      <w:color w:val="000000" w:themeColor="text1"/>
                      <w:sz w:val="21"/>
                      <w:szCs w:val="21"/>
                      <w:highlight w:val="none"/>
                      <w:lang w:eastAsia="zh-CN"/>
                      <w14:textFill>
                        <w14:solidFill>
                          <w14:schemeClr w14:val="tx1"/>
                        </w14:solidFill>
                      </w14:textFill>
                    </w:rPr>
                    <w:t>2019）</w:t>
                  </w:r>
                </w:p>
              </w:tc>
              <w:tc>
                <w:tcPr>
                  <w:tcW w:w="795" w:type="dxa"/>
                  <w:vMerge w:val="continue"/>
                  <w:vAlign w:val="center"/>
                </w:tcPr>
                <w:p w14:paraId="327E2BF6">
                  <w:pPr>
                    <w:pStyle w:val="70"/>
                    <w:rPr>
                      <w:rFonts w:hint="eastAsia"/>
                      <w:color w:val="000000" w:themeColor="text1"/>
                      <w:sz w:val="21"/>
                      <w:szCs w:val="21"/>
                      <w:highlight w:val="none"/>
                      <w14:textFill>
                        <w14:solidFill>
                          <w14:schemeClr w14:val="tx1"/>
                        </w14:solidFill>
                      </w14:textFill>
                    </w:rPr>
                  </w:pPr>
                </w:p>
              </w:tc>
            </w:tr>
            <w:tr w14:paraId="47F4B00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84" w:hRule="atLeast"/>
                <w:jc w:val="center"/>
              </w:trPr>
              <w:tc>
                <w:tcPr>
                  <w:tcW w:w="407" w:type="dxa"/>
                  <w:vAlign w:val="center"/>
                </w:tcPr>
                <w:p w14:paraId="3FE33BDC">
                  <w:pPr>
                    <w:pStyle w:val="70"/>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3</w:t>
                  </w:r>
                </w:p>
              </w:tc>
              <w:tc>
                <w:tcPr>
                  <w:tcW w:w="801" w:type="dxa"/>
                  <w:vAlign w:val="center"/>
                </w:tcPr>
                <w:p w14:paraId="3422F41F">
                  <w:pPr>
                    <w:pStyle w:val="70"/>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高比能高倍率固态电池</w:t>
                  </w:r>
                </w:p>
              </w:tc>
              <w:tc>
                <w:tcPr>
                  <w:tcW w:w="793" w:type="dxa"/>
                  <w:vAlign w:val="center"/>
                </w:tcPr>
                <w:p w14:paraId="6601317F">
                  <w:pPr>
                    <w:pStyle w:val="70"/>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PP65N-E</w:t>
                  </w:r>
                </w:p>
              </w:tc>
              <w:tc>
                <w:tcPr>
                  <w:tcW w:w="1117" w:type="dxa"/>
                  <w:vAlign w:val="center"/>
                </w:tcPr>
                <w:p w14:paraId="70262FE7">
                  <w:pPr>
                    <w:pStyle w:val="70"/>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shd w:val="clear"/>
                      <w14:textFill>
                        <w14:solidFill>
                          <w14:schemeClr w14:val="tx1"/>
                        </w14:solidFill>
                      </w14:textFill>
                    </w:rPr>
                    <w:t>标称容量</w:t>
                  </w:r>
                  <w:r>
                    <w:rPr>
                      <w:rFonts w:hint="eastAsia" w:cs="Times New Roman"/>
                      <w:color w:val="000000" w:themeColor="text1"/>
                      <w:sz w:val="21"/>
                      <w:szCs w:val="21"/>
                      <w:highlight w:val="none"/>
                      <w:shd w:val="clear"/>
                      <w:lang w:val="en-US" w:eastAsia="zh-CN"/>
                      <w14:textFill>
                        <w14:solidFill>
                          <w14:schemeClr w14:val="tx1"/>
                        </w14:solidFill>
                      </w14:textFill>
                    </w:rPr>
                    <w:t>65</w:t>
                  </w:r>
                  <w:r>
                    <w:rPr>
                      <w:rFonts w:hint="eastAsia" w:ascii="Times New Roman" w:hAnsi="Times New Roman" w:eastAsia="宋体" w:cs="Times New Roman"/>
                      <w:color w:val="000000" w:themeColor="text1"/>
                      <w:sz w:val="21"/>
                      <w:szCs w:val="21"/>
                      <w:highlight w:val="none"/>
                      <w:shd w:val="clear"/>
                      <w14:textFill>
                        <w14:solidFill>
                          <w14:schemeClr w14:val="tx1"/>
                        </w14:solidFill>
                      </w14:textFill>
                    </w:rPr>
                    <w:t>Ah，标称电压3.</w:t>
                  </w:r>
                  <w:r>
                    <w:rPr>
                      <w:rFonts w:hint="eastAsia" w:cs="Times New Roman"/>
                      <w:color w:val="000000" w:themeColor="text1"/>
                      <w:sz w:val="21"/>
                      <w:szCs w:val="21"/>
                      <w:highlight w:val="none"/>
                      <w:shd w:val="clear"/>
                      <w:lang w:val="en-US" w:eastAsia="zh-CN"/>
                      <w14:textFill>
                        <w14:solidFill>
                          <w14:schemeClr w14:val="tx1"/>
                        </w14:solidFill>
                      </w14:textFill>
                    </w:rPr>
                    <w:t>6</w:t>
                  </w:r>
                  <w:r>
                    <w:rPr>
                      <w:rFonts w:hint="eastAsia" w:ascii="Times New Roman" w:hAnsi="Times New Roman" w:eastAsia="宋体" w:cs="Times New Roman"/>
                      <w:color w:val="000000" w:themeColor="text1"/>
                      <w:sz w:val="21"/>
                      <w:szCs w:val="21"/>
                      <w:highlight w:val="none"/>
                      <w:shd w:val="clear"/>
                      <w14:textFill>
                        <w14:solidFill>
                          <w14:schemeClr w14:val="tx1"/>
                        </w14:solidFill>
                      </w14:textFill>
                    </w:rPr>
                    <w:t>V，标称能量</w:t>
                  </w:r>
                  <w:r>
                    <w:rPr>
                      <w:rFonts w:hint="eastAsia" w:cs="Times New Roman"/>
                      <w:color w:val="000000" w:themeColor="text1"/>
                      <w:sz w:val="21"/>
                      <w:szCs w:val="21"/>
                      <w:highlight w:val="none"/>
                      <w:shd w:val="clear"/>
                      <w:lang w:val="en-US" w:eastAsia="zh-CN"/>
                      <w14:textFill>
                        <w14:solidFill>
                          <w14:schemeClr w14:val="tx1"/>
                        </w14:solidFill>
                      </w14:textFill>
                    </w:rPr>
                    <w:t>234</w:t>
                  </w:r>
                  <w:r>
                    <w:rPr>
                      <w:rFonts w:hint="eastAsia" w:ascii="Times New Roman" w:hAnsi="Times New Roman" w:eastAsia="宋体" w:cs="Times New Roman"/>
                      <w:color w:val="000000" w:themeColor="text1"/>
                      <w:sz w:val="21"/>
                      <w:szCs w:val="21"/>
                      <w:highlight w:val="none"/>
                      <w:shd w:val="clear"/>
                      <w14:textFill>
                        <w14:solidFill>
                          <w14:schemeClr w14:val="tx1"/>
                        </w14:solidFill>
                      </w14:textFill>
                    </w:rPr>
                    <w:t>Wh</w:t>
                  </w:r>
                </w:p>
              </w:tc>
              <w:tc>
                <w:tcPr>
                  <w:tcW w:w="992" w:type="dxa"/>
                  <w:vAlign w:val="center"/>
                </w:tcPr>
                <w:p w14:paraId="7C35AB8B">
                  <w:pPr>
                    <w:pStyle w:val="70"/>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200</w:t>
                  </w: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万支/年</w:t>
                  </w:r>
                </w:p>
                <w:p w14:paraId="00C33589">
                  <w:pPr>
                    <w:pStyle w:val="70"/>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（折合约0.47</w:t>
                  </w:r>
                  <w:r>
                    <w:rPr>
                      <w:rFonts w:hint="eastAsia" w:cs="Times New Roman"/>
                      <w:color w:val="000000" w:themeColor="text1"/>
                      <w:sz w:val="21"/>
                      <w:szCs w:val="21"/>
                      <w:lang w:val="en-US" w:eastAsia="zh-CN"/>
                      <w14:textFill>
                        <w14:solidFill>
                          <w14:schemeClr w14:val="tx1"/>
                        </w14:solidFill>
                      </w14:textFill>
                    </w:rPr>
                    <w:t>GWh</w:t>
                  </w:r>
                  <w:r>
                    <w:rPr>
                      <w:rFonts w:hint="eastAsia" w:cs="Times New Roman"/>
                      <w:b w:val="0"/>
                      <w:bCs w:val="0"/>
                      <w:color w:val="000000" w:themeColor="text1"/>
                      <w:sz w:val="21"/>
                      <w:szCs w:val="21"/>
                      <w:lang w:val="en-US" w:eastAsia="zh-CN"/>
                      <w14:textFill>
                        <w14:solidFill>
                          <w14:schemeClr w14:val="tx1"/>
                        </w14:solidFill>
                      </w14:textFill>
                    </w:rPr>
                    <w:t>）</w:t>
                  </w:r>
                </w:p>
              </w:tc>
              <w:tc>
                <w:tcPr>
                  <w:tcW w:w="1397" w:type="dxa"/>
                  <w:vAlign w:val="center"/>
                </w:tcPr>
                <w:p w14:paraId="3B62CE2A">
                  <w:pPr>
                    <w:pStyle w:val="70"/>
                    <w:rPr>
                      <w:rFonts w:hint="eastAsia" w:ascii="Times New Roman" w:hAnsi="Times New Roman" w:eastAsia="宋体" w:cs="Times New Roman"/>
                      <w:color w:val="000000" w:themeColor="text1"/>
                      <w:sz w:val="21"/>
                      <w:szCs w:val="21"/>
                      <w14:textFill>
                        <w14:solidFill>
                          <w14:schemeClr w14:val="tx1"/>
                        </w14:solidFill>
                      </w14:textFill>
                    </w:rPr>
                  </w:pPr>
                  <w:r>
                    <w:rPr>
                      <w:color w:val="000000" w:themeColor="text1"/>
                      <w:sz w:val="21"/>
                      <w:szCs w:val="21"/>
                      <w:highlight w:val="green"/>
                      <w14:textFill>
                        <w14:solidFill>
                          <w14:schemeClr w14:val="tx1"/>
                        </w14:solidFill>
                      </w14:textFill>
                    </w:rPr>
                    <w:drawing>
                      <wp:anchor distT="0" distB="0" distL="0" distR="0" simplePos="0" relativeHeight="251665408" behindDoc="1" locked="0" layoutInCell="1" allowOverlap="1">
                        <wp:simplePos x="0" y="0"/>
                        <wp:positionH relativeFrom="column">
                          <wp:posOffset>130175</wp:posOffset>
                        </wp:positionH>
                        <wp:positionV relativeFrom="paragraph">
                          <wp:posOffset>-1572895</wp:posOffset>
                        </wp:positionV>
                        <wp:extent cx="869315" cy="1106805"/>
                        <wp:effectExtent l="15875" t="15875" r="86360" b="77470"/>
                        <wp:wrapTight wrapText="bothSides">
                          <wp:wrapPolygon>
                            <wp:start x="2919" y="-310"/>
                            <wp:lineTo x="79" y="1921"/>
                            <wp:lineTo x="-394" y="2664"/>
                            <wp:lineTo x="79" y="19766"/>
                            <wp:lineTo x="10019" y="22368"/>
                            <wp:lineTo x="18066" y="22740"/>
                            <wp:lineTo x="21379" y="22740"/>
                            <wp:lineTo x="21852" y="22368"/>
                            <wp:lineTo x="22799" y="11587"/>
                            <wp:lineTo x="22799" y="2293"/>
                            <wp:lineTo x="17592" y="434"/>
                            <wp:lineTo x="6706" y="-310"/>
                            <wp:lineTo x="2919" y="-310"/>
                          </wp:wrapPolygon>
                        </wp:wrapTight>
                        <wp:docPr id="50" name="图片 35" descr="电池.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35" descr="电池.21"/>
                                <pic:cNvPicPr>
                                  <a:picLocks noChangeAspect="1"/>
                                </pic:cNvPicPr>
                              </pic:nvPicPr>
                              <pic:blipFill>
                                <a:blip r:embed="rId11"/>
                                <a:srcRect l="25038" r="26221"/>
                                <a:stretch>
                                  <a:fillRect/>
                                </a:stretch>
                              </pic:blipFill>
                              <pic:spPr>
                                <a:xfrm>
                                  <a:off x="0" y="0"/>
                                  <a:ext cx="869315" cy="1106805"/>
                                </a:xfrm>
                                <a:prstGeom prst="rect">
                                  <a:avLst/>
                                </a:prstGeom>
                                <a:effectLst>
                                  <a:outerShdw blurRad="50800" dist="38100" dir="2700000" algn="tl" rotWithShape="0">
                                    <a:prstClr val="black">
                                      <a:alpha val="40000"/>
                                    </a:prstClr>
                                  </a:outerShdw>
                                </a:effectLst>
                              </pic:spPr>
                            </pic:pic>
                          </a:graphicData>
                        </a:graphic>
                      </wp:anchor>
                    </w:drawing>
                  </w:r>
                </w:p>
              </w:tc>
              <w:tc>
                <w:tcPr>
                  <w:tcW w:w="1562" w:type="dxa"/>
                  <w:vMerge w:val="continue"/>
                  <w:vAlign w:val="center"/>
                </w:tcPr>
                <w:p w14:paraId="31323255">
                  <w:pPr>
                    <w:pStyle w:val="70"/>
                    <w:rPr>
                      <w:color w:val="000000" w:themeColor="text1"/>
                      <w:sz w:val="21"/>
                      <w:szCs w:val="21"/>
                      <w:highlight w:val="green"/>
                      <w14:textFill>
                        <w14:solidFill>
                          <w14:schemeClr w14:val="tx1"/>
                        </w14:solidFill>
                      </w14:textFill>
                    </w:rPr>
                  </w:pPr>
                </w:p>
              </w:tc>
              <w:tc>
                <w:tcPr>
                  <w:tcW w:w="795" w:type="dxa"/>
                  <w:vMerge w:val="continue"/>
                  <w:vAlign w:val="center"/>
                </w:tcPr>
                <w:p w14:paraId="793CC81A">
                  <w:pPr>
                    <w:pStyle w:val="70"/>
                    <w:rPr>
                      <w:color w:val="000000" w:themeColor="text1"/>
                      <w:sz w:val="21"/>
                      <w:szCs w:val="21"/>
                      <w:highlight w:val="green"/>
                      <w14:textFill>
                        <w14:solidFill>
                          <w14:schemeClr w14:val="tx1"/>
                        </w14:solidFill>
                      </w14:textFill>
                    </w:rPr>
                  </w:pPr>
                </w:p>
              </w:tc>
            </w:tr>
            <w:tr w14:paraId="0A4BC84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77" w:hRule="atLeast"/>
                <w:jc w:val="center"/>
              </w:trPr>
              <w:tc>
                <w:tcPr>
                  <w:tcW w:w="407" w:type="dxa"/>
                  <w:vAlign w:val="center"/>
                </w:tcPr>
                <w:p w14:paraId="5DC324F4">
                  <w:pPr>
                    <w:pStyle w:val="70"/>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4</w:t>
                  </w:r>
                </w:p>
              </w:tc>
              <w:tc>
                <w:tcPr>
                  <w:tcW w:w="801" w:type="dxa"/>
                  <w:shd w:val="clear" w:color="auto" w:fill="auto"/>
                  <w:vAlign w:val="center"/>
                </w:tcPr>
                <w:p w14:paraId="3302AEAF">
                  <w:pPr>
                    <w:pStyle w:val="70"/>
                    <w:rPr>
                      <w:rFonts w:hint="eastAsia"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电源系统</w:t>
                  </w:r>
                </w:p>
              </w:tc>
              <w:tc>
                <w:tcPr>
                  <w:tcW w:w="793" w:type="dxa"/>
                  <w:shd w:val="clear" w:color="auto" w:fill="auto"/>
                  <w:vAlign w:val="center"/>
                </w:tcPr>
                <w:p w14:paraId="729A8BB0">
                  <w:pPr>
                    <w:pStyle w:val="70"/>
                    <w:rPr>
                      <w:rFonts w:hint="eastAsia"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w:t>
                  </w:r>
                </w:p>
              </w:tc>
              <w:tc>
                <w:tcPr>
                  <w:tcW w:w="1117" w:type="dxa"/>
                  <w:shd w:val="clear" w:color="auto" w:fill="auto"/>
                  <w:vAlign w:val="center"/>
                </w:tcPr>
                <w:p w14:paraId="43689F7E">
                  <w:pPr>
                    <w:pStyle w:val="70"/>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992" w:type="dxa"/>
                  <w:shd w:val="clear" w:color="auto" w:fill="auto"/>
                  <w:vAlign w:val="center"/>
                </w:tcPr>
                <w:p w14:paraId="53D517FA">
                  <w:pPr>
                    <w:pStyle w:val="70"/>
                    <w:rPr>
                      <w:rFonts w:hint="eastAsia"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20万套</w:t>
                  </w:r>
                </w:p>
              </w:tc>
              <w:tc>
                <w:tcPr>
                  <w:tcW w:w="1397" w:type="dxa"/>
                  <w:shd w:val="clear" w:color="auto" w:fill="auto"/>
                  <w:vAlign w:val="center"/>
                </w:tcPr>
                <w:p w14:paraId="0892CEB6">
                  <w:pPr>
                    <w:pStyle w:val="70"/>
                    <w:rPr>
                      <w:rFonts w:hint="eastAsia"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w:t>
                  </w:r>
                </w:p>
              </w:tc>
              <w:tc>
                <w:tcPr>
                  <w:tcW w:w="1562" w:type="dxa"/>
                  <w:vAlign w:val="center"/>
                </w:tcPr>
                <w:p w14:paraId="31A96A5A">
                  <w:pPr>
                    <w:jc w:val="center"/>
                    <w:rPr>
                      <w:rFonts w:hint="eastAsia" w:eastAsia="宋体"/>
                      <w:color w:val="000000" w:themeColor="text1"/>
                      <w:sz w:val="21"/>
                      <w:szCs w:val="21"/>
                      <w:highlight w:val="green"/>
                      <w:lang w:val="en-US" w:eastAsia="zh-CN"/>
                      <w14:textFill>
                        <w14:solidFill>
                          <w14:schemeClr w14:val="tx1"/>
                        </w14:solidFill>
                      </w14:textFill>
                    </w:rPr>
                  </w:pPr>
                  <w:r>
                    <w:rPr>
                      <w:rFonts w:hint="eastAsia"/>
                      <w:color w:val="000000" w:themeColor="text1"/>
                      <w:sz w:val="21"/>
                      <w:szCs w:val="21"/>
                      <w:highlight w:val="none"/>
                      <w:shd w:val="clear"/>
                      <w:lang w:val="en-US" w:eastAsia="zh-CN"/>
                      <w14:textFill>
                        <w14:solidFill>
                          <w14:schemeClr w14:val="tx1"/>
                        </w14:solidFill>
                      </w14:textFill>
                    </w:rPr>
                    <w:t>《电动汽车用锂离子动力电池包和系统电性能试验方法》（GB/T 31467-2023）、《锂离子蓄电池组通用规范》（GJB 4477-2002）</w:t>
                  </w:r>
                </w:p>
              </w:tc>
              <w:tc>
                <w:tcPr>
                  <w:tcW w:w="795" w:type="dxa"/>
                  <w:vAlign w:val="center"/>
                </w:tcPr>
                <w:p w14:paraId="6B2674B6">
                  <w:pPr>
                    <w:jc w:val="center"/>
                    <w:rPr>
                      <w:rFonts w:hint="default"/>
                      <w:color w:val="000000" w:themeColor="text1"/>
                      <w:sz w:val="21"/>
                      <w:szCs w:val="21"/>
                      <w:highlight w:val="none"/>
                      <w:shd w:val="clear"/>
                      <w:lang w:val="en-US" w:eastAsia="zh-CN"/>
                      <w14:textFill>
                        <w14:solidFill>
                          <w14:schemeClr w14:val="tx1"/>
                        </w14:solidFill>
                      </w14:textFill>
                    </w:rPr>
                  </w:pPr>
                  <w:r>
                    <w:rPr>
                      <w:rFonts w:hint="eastAsia"/>
                      <w:color w:val="000000" w:themeColor="text1"/>
                      <w:sz w:val="21"/>
                      <w:szCs w:val="21"/>
                      <w:highlight w:val="none"/>
                      <w:shd w:val="clear"/>
                      <w:lang w:val="en-US" w:eastAsia="zh-CN"/>
                      <w14:textFill>
                        <w14:solidFill>
                          <w14:schemeClr w14:val="tx1"/>
                        </w14:solidFill>
                      </w14:textFill>
                    </w:rPr>
                    <w:t>外售</w:t>
                  </w:r>
                </w:p>
              </w:tc>
            </w:tr>
            <w:tr w14:paraId="49CBE1A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64" w:type="dxa"/>
                  <w:gridSpan w:val="8"/>
                  <w:vAlign w:val="center"/>
                </w:tcPr>
                <w:p w14:paraId="13947FC5">
                  <w:pPr>
                    <w:pStyle w:val="66"/>
                    <w:keepNext w:val="0"/>
                    <w:keepLines w:val="0"/>
                    <w:pageBreakBefore w:val="0"/>
                    <w:widowControl w:val="0"/>
                    <w:kinsoku/>
                    <w:wordWrap/>
                    <w:overflowPunct/>
                    <w:topLinePunct w:val="0"/>
                    <w:autoSpaceDE w:val="0"/>
                    <w:autoSpaceDN w:val="0"/>
                    <w:bidi w:val="0"/>
                    <w:adjustRightInd w:val="0"/>
                    <w:snapToGrid w:val="0"/>
                    <w:spacing w:line="240" w:lineRule="auto"/>
                    <w:ind w:left="0" w:leftChars="0" w:firstLine="420" w:firstLineChars="200"/>
                    <w:textAlignment w:val="auto"/>
                    <w:rPr>
                      <w:rFonts w:hint="default"/>
                      <w:color w:val="000000" w:themeColor="text1"/>
                      <w:sz w:val="21"/>
                      <w:szCs w:val="21"/>
                      <w:highlight w:val="none"/>
                      <w:shd w:val="clear"/>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注：</w:t>
                  </w:r>
                  <w:r>
                    <w:rPr>
                      <w:rFonts w:ascii="宋体" w:hAnsi="宋体" w:eastAsia="宋体" w:cs="宋体"/>
                      <w:color w:val="000000" w:themeColor="text1"/>
                      <w:sz w:val="21"/>
                      <w:szCs w:val="21"/>
                      <w14:textFill>
                        <w14:solidFill>
                          <w14:schemeClr w14:val="tx1"/>
                        </w14:solidFill>
                      </w14:textFill>
                    </w:rPr>
                    <w:t>根据建设单位提供资料，项目电源系统依据客户需求定制组装，单套电源系统组装电</w:t>
                  </w:r>
                  <w:r>
                    <w:rPr>
                      <w:rFonts w:hint="eastAsia" w:ascii="宋体" w:hAnsi="宋体" w:cs="宋体"/>
                      <w:color w:val="000000" w:themeColor="text1"/>
                      <w:sz w:val="21"/>
                      <w:szCs w:val="21"/>
                      <w:lang w:val="en-US" w:eastAsia="zh-CN"/>
                      <w14:textFill>
                        <w14:solidFill>
                          <w14:schemeClr w14:val="tx1"/>
                        </w14:solidFill>
                      </w14:textFill>
                    </w:rPr>
                    <w:t>池</w:t>
                  </w:r>
                  <w:r>
                    <w:rPr>
                      <w:rFonts w:ascii="宋体" w:hAnsi="宋体" w:eastAsia="宋体" w:cs="宋体"/>
                      <w:color w:val="000000" w:themeColor="text1"/>
                      <w:sz w:val="21"/>
                      <w:szCs w:val="21"/>
                      <w14:textFill>
                        <w14:solidFill>
                          <w14:schemeClr w14:val="tx1"/>
                        </w14:solidFill>
                      </w14:textFill>
                    </w:rPr>
                    <w:t>数量为</w:t>
                  </w:r>
                  <w:r>
                    <w:rPr>
                      <w:rFonts w:hint="default" w:ascii="Times New Roman" w:hAnsi="Times New Roman" w:eastAsia="宋体" w:cs="Times New Roman"/>
                      <w:color w:val="000000" w:themeColor="text1"/>
                      <w:sz w:val="21"/>
                      <w:szCs w:val="21"/>
                      <w14:textFill>
                        <w14:solidFill>
                          <w14:schemeClr w14:val="tx1"/>
                        </w14:solidFill>
                      </w14:textFill>
                    </w:rPr>
                    <w:t>15～25</w:t>
                  </w:r>
                  <w:r>
                    <w:rPr>
                      <w:rFonts w:ascii="宋体" w:hAnsi="宋体" w:eastAsia="宋体" w:cs="宋体"/>
                      <w:color w:val="000000" w:themeColor="text1"/>
                      <w:sz w:val="21"/>
                      <w:szCs w:val="21"/>
                      <w14:textFill>
                        <w14:solidFill>
                          <w14:schemeClr w14:val="tx1"/>
                        </w14:solidFill>
                      </w14:textFill>
                    </w:rPr>
                    <w:t>支</w:t>
                  </w:r>
                  <w:r>
                    <w:rPr>
                      <w:rFonts w:hint="eastAsia" w:cs="Times New Roman"/>
                      <w:color w:val="000000" w:themeColor="text1"/>
                      <w:sz w:val="21"/>
                      <w:szCs w:val="21"/>
                      <w:lang w:val="en-US" w:eastAsia="zh-CN"/>
                      <w14:textFill>
                        <w14:solidFill>
                          <w14:schemeClr w14:val="tx1"/>
                        </w14:solidFill>
                      </w14:textFill>
                    </w:rPr>
                    <w:t>，在保障电源系统订单产能需求的情况下，富余电池作为产品对外销售。</w:t>
                  </w:r>
                </w:p>
              </w:tc>
            </w:tr>
          </w:tbl>
          <w:p w14:paraId="1A9BF6BD">
            <w:pPr>
              <w:pStyle w:val="66"/>
              <w:spacing w:line="360" w:lineRule="auto"/>
              <w:ind w:firstLine="482"/>
              <w:rPr>
                <w:rFonts w:hint="eastAsia" w:ascii="Times New Roman" w:hAnsi="Times New Roman" w:eastAsia="宋体" w:cs="Times New Roman"/>
                <w:b/>
                <w:bCs/>
                <w:color w:val="auto"/>
                <w:lang w:val="en-US" w:eastAsia="zh-CN"/>
              </w:rPr>
            </w:pPr>
            <w:r>
              <w:rPr>
                <w:rFonts w:hint="eastAsia" w:ascii="Times New Roman" w:hAnsi="Times New Roman" w:eastAsia="宋体" w:cs="Times New Roman"/>
                <w:b/>
                <w:bCs/>
                <w:color w:val="000000" w:themeColor="text1"/>
                <w:lang w:val="en-US" w:eastAsia="zh-CN"/>
                <w14:textFill>
                  <w14:solidFill>
                    <w14:schemeClr w14:val="tx1"/>
                  </w14:solidFill>
                </w14:textFill>
              </w:rPr>
              <w:t>4、项目组成及主要环</w:t>
            </w:r>
            <w:r>
              <w:rPr>
                <w:rFonts w:hint="eastAsia" w:ascii="Times New Roman" w:hAnsi="Times New Roman" w:eastAsia="宋体" w:cs="Times New Roman"/>
                <w:b/>
                <w:bCs/>
                <w:color w:val="auto"/>
                <w:lang w:val="en-US" w:eastAsia="zh-CN"/>
              </w:rPr>
              <w:t>境问题</w:t>
            </w:r>
          </w:p>
          <w:p w14:paraId="59F870EB">
            <w:pPr>
              <w:pStyle w:val="66"/>
              <w:spacing w:line="360" w:lineRule="auto"/>
              <w:rPr>
                <w:rFonts w:hint="eastAsia" w:ascii="Times New Roman" w:hAnsi="Times New Roman" w:eastAsia="宋体" w:cs="Times New Roman"/>
                <w:color w:val="auto"/>
              </w:rPr>
            </w:pPr>
            <w:r>
              <w:rPr>
                <w:rFonts w:hint="eastAsia" w:ascii="Times New Roman" w:hAnsi="Times New Roman" w:eastAsia="宋体" w:cs="Times New Roman"/>
                <w:color w:val="auto"/>
                <w:lang w:val="en-US" w:eastAsia="zh-CN"/>
              </w:rPr>
              <w:t>本</w:t>
            </w:r>
            <w:r>
              <w:rPr>
                <w:rFonts w:hint="eastAsia" w:ascii="Times New Roman" w:hAnsi="Times New Roman" w:eastAsia="宋体" w:cs="Times New Roman"/>
                <w:color w:val="auto"/>
              </w:rPr>
              <w:t>项目组成及主要环境问题见下表。</w:t>
            </w:r>
          </w:p>
          <w:p w14:paraId="28BA61C8">
            <w:pPr>
              <w:pStyle w:val="68"/>
              <w:rPr>
                <w:rFonts w:hint="default" w:ascii="Times New Roman" w:hAnsi="Times New Roman" w:eastAsia="宋体" w:cs="Times New Roman"/>
                <w:b/>
                <w:bCs/>
                <w:color w:val="auto"/>
              </w:rPr>
            </w:pPr>
            <w:r>
              <w:rPr>
                <w:rFonts w:hint="eastAsia" w:ascii="Times New Roman" w:hAnsi="Times New Roman" w:eastAsia="宋体" w:cs="Times New Roman"/>
                <w:b/>
                <w:bCs/>
                <w:color w:val="auto"/>
              </w:rPr>
              <w:t>表2-</w:t>
            </w:r>
            <w:r>
              <w:rPr>
                <w:rFonts w:hint="eastAsia" w:ascii="Times New Roman" w:hAnsi="Times New Roman" w:eastAsia="宋体" w:cs="Times New Roman"/>
                <w:b/>
                <w:bCs/>
                <w:color w:val="auto"/>
                <w:lang w:val="en-US" w:eastAsia="zh-CN"/>
              </w:rPr>
              <w:t>2</w:t>
            </w:r>
            <w:r>
              <w:rPr>
                <w:rFonts w:hint="eastAsia" w:ascii="Times New Roman" w:hAnsi="Times New Roman" w:eastAsia="宋体" w:cs="Times New Roman"/>
                <w:b/>
                <w:bCs/>
                <w:color w:val="auto"/>
              </w:rPr>
              <w:t xml:space="preserve">  项目组成及主要环境问题一览表</w:t>
            </w:r>
          </w:p>
          <w:tbl>
            <w:tblPr>
              <w:tblStyle w:val="42"/>
              <w:tblW w:w="7754" w:type="dxa"/>
              <w:tblInd w:w="5"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90"/>
              <w:gridCol w:w="750"/>
              <w:gridCol w:w="1064"/>
              <w:gridCol w:w="2509"/>
              <w:gridCol w:w="927"/>
              <w:gridCol w:w="981"/>
              <w:gridCol w:w="733"/>
            </w:tblGrid>
            <w:tr w14:paraId="7638F96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790" w:type="dxa"/>
                  <w:vMerge w:val="restart"/>
                  <w:vAlign w:val="center"/>
                </w:tcPr>
                <w:p w14:paraId="31435C83">
                  <w:pPr>
                    <w:pStyle w:val="70"/>
                    <w:spacing w:line="240" w:lineRule="auto"/>
                    <w:rPr>
                      <w:rFonts w:hint="default" w:ascii="Times New Roman" w:hAnsi="Times New Roman" w:eastAsia="宋体" w:cs="Times New Roman"/>
                      <w:b/>
                      <w:color w:val="auto"/>
                      <w:sz w:val="21"/>
                      <w:szCs w:val="21"/>
                      <w:lang w:val="en-US" w:eastAsia="zh-CN"/>
                    </w:rPr>
                  </w:pPr>
                  <w:r>
                    <w:rPr>
                      <w:rFonts w:hint="eastAsia" w:ascii="Times New Roman" w:hAnsi="Times New Roman" w:eastAsia="宋体" w:cs="Times New Roman"/>
                      <w:b/>
                      <w:color w:val="auto"/>
                      <w:sz w:val="21"/>
                      <w:szCs w:val="21"/>
                      <w:lang w:val="en-US" w:eastAsia="zh-CN"/>
                    </w:rPr>
                    <w:t>项目组成</w:t>
                  </w:r>
                </w:p>
              </w:tc>
              <w:tc>
                <w:tcPr>
                  <w:tcW w:w="4323" w:type="dxa"/>
                  <w:gridSpan w:val="3"/>
                  <w:vMerge w:val="restart"/>
                  <w:vAlign w:val="center"/>
                </w:tcPr>
                <w:p w14:paraId="48146704">
                  <w:pPr>
                    <w:pStyle w:val="70"/>
                    <w:spacing w:line="240" w:lineRule="auto"/>
                    <w:rPr>
                      <w:rFonts w:hint="eastAsia" w:ascii="Times New Roman" w:hAnsi="Times New Roman" w:eastAsia="宋体" w:cs="Times New Roman"/>
                      <w:b/>
                      <w:color w:val="auto"/>
                      <w:sz w:val="21"/>
                      <w:szCs w:val="21"/>
                      <w:lang w:val="en-US" w:eastAsia="zh-CN"/>
                    </w:rPr>
                  </w:pPr>
                  <w:r>
                    <w:rPr>
                      <w:rFonts w:hint="eastAsia" w:ascii="Times New Roman" w:hAnsi="Times New Roman" w:eastAsia="宋体" w:cs="Times New Roman"/>
                      <w:b/>
                      <w:color w:val="auto"/>
                      <w:sz w:val="21"/>
                      <w:szCs w:val="21"/>
                      <w:lang w:val="en-US" w:eastAsia="zh-CN"/>
                    </w:rPr>
                    <w:t>建设内容及规模</w:t>
                  </w:r>
                </w:p>
              </w:tc>
              <w:tc>
                <w:tcPr>
                  <w:tcW w:w="1908" w:type="dxa"/>
                  <w:gridSpan w:val="2"/>
                  <w:vAlign w:val="center"/>
                </w:tcPr>
                <w:p w14:paraId="66AD57F0">
                  <w:pPr>
                    <w:pStyle w:val="70"/>
                    <w:spacing w:line="240" w:lineRule="auto"/>
                    <w:rPr>
                      <w:rFonts w:hint="eastAsia" w:ascii="Times New Roman" w:hAnsi="Times New Roman" w:eastAsia="宋体" w:cs="Times New Roman"/>
                      <w:b/>
                      <w:color w:val="auto"/>
                      <w:sz w:val="21"/>
                      <w:szCs w:val="21"/>
                      <w:lang w:val="en-US" w:eastAsia="zh-CN"/>
                    </w:rPr>
                  </w:pPr>
                  <w:r>
                    <w:rPr>
                      <w:rFonts w:hint="eastAsia" w:ascii="Times New Roman" w:hAnsi="Times New Roman" w:eastAsia="宋体" w:cs="Times New Roman"/>
                      <w:b/>
                      <w:color w:val="auto"/>
                      <w:sz w:val="21"/>
                      <w:szCs w:val="21"/>
                      <w:lang w:val="en-US" w:eastAsia="zh-CN"/>
                    </w:rPr>
                    <w:t>主要环境问题</w:t>
                  </w:r>
                </w:p>
              </w:tc>
              <w:tc>
                <w:tcPr>
                  <w:tcW w:w="733" w:type="dxa"/>
                  <w:vMerge w:val="restart"/>
                  <w:vAlign w:val="center"/>
                </w:tcPr>
                <w:p w14:paraId="2D0963C9">
                  <w:pPr>
                    <w:pStyle w:val="70"/>
                    <w:spacing w:line="240" w:lineRule="auto"/>
                    <w:rPr>
                      <w:rFonts w:hint="default" w:ascii="Times New Roman" w:hAnsi="Times New Roman" w:eastAsia="宋体" w:cs="Times New Roman"/>
                      <w:b/>
                      <w:color w:val="auto"/>
                      <w:sz w:val="21"/>
                      <w:szCs w:val="21"/>
                      <w:lang w:val="en-US" w:eastAsia="zh-CN"/>
                    </w:rPr>
                  </w:pPr>
                  <w:r>
                    <w:rPr>
                      <w:rFonts w:hint="eastAsia" w:ascii="Times New Roman" w:hAnsi="Times New Roman" w:eastAsia="宋体" w:cs="Times New Roman"/>
                      <w:b/>
                      <w:color w:val="auto"/>
                      <w:sz w:val="21"/>
                      <w:szCs w:val="21"/>
                      <w:lang w:val="en-US" w:eastAsia="zh-CN"/>
                    </w:rPr>
                    <w:t>备注</w:t>
                  </w:r>
                </w:p>
              </w:tc>
            </w:tr>
            <w:tr w14:paraId="66A90BF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5" w:hRule="atLeast"/>
              </w:trPr>
              <w:tc>
                <w:tcPr>
                  <w:tcW w:w="790" w:type="dxa"/>
                  <w:vMerge w:val="continue"/>
                  <w:vAlign w:val="center"/>
                </w:tcPr>
                <w:p w14:paraId="23631320">
                  <w:pPr>
                    <w:pStyle w:val="70"/>
                    <w:spacing w:line="240" w:lineRule="auto"/>
                    <w:rPr>
                      <w:rFonts w:hint="eastAsia" w:ascii="Times New Roman" w:hAnsi="Times New Roman" w:eastAsia="宋体" w:cs="Times New Roman"/>
                      <w:b/>
                      <w:color w:val="auto"/>
                      <w:sz w:val="21"/>
                      <w:szCs w:val="21"/>
                      <w:lang w:val="en-US" w:eastAsia="zh-CN"/>
                    </w:rPr>
                  </w:pPr>
                </w:p>
              </w:tc>
              <w:tc>
                <w:tcPr>
                  <w:tcW w:w="4323" w:type="dxa"/>
                  <w:gridSpan w:val="3"/>
                  <w:vMerge w:val="continue"/>
                  <w:vAlign w:val="center"/>
                </w:tcPr>
                <w:p w14:paraId="1621CD5F">
                  <w:pPr>
                    <w:pStyle w:val="70"/>
                    <w:spacing w:line="240" w:lineRule="auto"/>
                    <w:rPr>
                      <w:rFonts w:hint="eastAsia" w:ascii="Times New Roman" w:hAnsi="Times New Roman" w:eastAsia="宋体" w:cs="Times New Roman"/>
                      <w:b/>
                      <w:color w:val="auto"/>
                      <w:sz w:val="21"/>
                      <w:szCs w:val="21"/>
                      <w:lang w:val="en-US" w:eastAsia="zh-CN"/>
                    </w:rPr>
                  </w:pPr>
                </w:p>
              </w:tc>
              <w:tc>
                <w:tcPr>
                  <w:tcW w:w="927" w:type="dxa"/>
                  <w:vAlign w:val="center"/>
                </w:tcPr>
                <w:p w14:paraId="4E1807D7">
                  <w:pPr>
                    <w:pStyle w:val="70"/>
                    <w:spacing w:line="240" w:lineRule="auto"/>
                    <w:rPr>
                      <w:rFonts w:hint="eastAsia" w:ascii="Times New Roman" w:hAnsi="Times New Roman" w:eastAsia="宋体" w:cs="Times New Roman"/>
                      <w:b/>
                      <w:color w:val="auto"/>
                      <w:sz w:val="21"/>
                      <w:szCs w:val="21"/>
                      <w:lang w:val="en-US" w:eastAsia="zh-CN"/>
                    </w:rPr>
                  </w:pPr>
                  <w:r>
                    <w:rPr>
                      <w:rFonts w:hint="eastAsia" w:ascii="Times New Roman" w:hAnsi="Times New Roman" w:eastAsia="宋体" w:cs="Times New Roman"/>
                      <w:b/>
                      <w:color w:val="auto"/>
                      <w:sz w:val="21"/>
                      <w:szCs w:val="21"/>
                      <w:lang w:val="en-US" w:eastAsia="zh-CN"/>
                    </w:rPr>
                    <w:t>施工期</w:t>
                  </w:r>
                </w:p>
              </w:tc>
              <w:tc>
                <w:tcPr>
                  <w:tcW w:w="981" w:type="dxa"/>
                  <w:vAlign w:val="center"/>
                </w:tcPr>
                <w:p w14:paraId="76971CC7">
                  <w:pPr>
                    <w:pStyle w:val="70"/>
                    <w:spacing w:line="240" w:lineRule="auto"/>
                    <w:rPr>
                      <w:rFonts w:hint="eastAsia" w:ascii="Times New Roman" w:hAnsi="Times New Roman" w:eastAsia="宋体" w:cs="Times New Roman"/>
                      <w:b/>
                      <w:color w:val="auto"/>
                      <w:sz w:val="21"/>
                      <w:szCs w:val="21"/>
                      <w:lang w:val="en-US" w:eastAsia="zh-CN"/>
                    </w:rPr>
                  </w:pPr>
                  <w:r>
                    <w:rPr>
                      <w:rFonts w:hint="eastAsia" w:ascii="Times New Roman" w:hAnsi="Times New Roman" w:eastAsia="宋体" w:cs="Times New Roman"/>
                      <w:b/>
                      <w:color w:val="auto"/>
                      <w:sz w:val="21"/>
                      <w:szCs w:val="21"/>
                      <w:lang w:val="en-US" w:eastAsia="zh-CN"/>
                    </w:rPr>
                    <w:t>运营期</w:t>
                  </w:r>
                </w:p>
              </w:tc>
              <w:tc>
                <w:tcPr>
                  <w:tcW w:w="733" w:type="dxa"/>
                  <w:vMerge w:val="continue"/>
                  <w:vAlign w:val="center"/>
                </w:tcPr>
                <w:p w14:paraId="3094C773">
                  <w:pPr>
                    <w:pStyle w:val="70"/>
                    <w:spacing w:line="240" w:lineRule="auto"/>
                    <w:rPr>
                      <w:rFonts w:hint="eastAsia" w:ascii="Times New Roman" w:hAnsi="Times New Roman" w:eastAsia="宋体" w:cs="Times New Roman"/>
                      <w:b/>
                      <w:color w:val="auto"/>
                      <w:sz w:val="21"/>
                      <w:szCs w:val="21"/>
                      <w:lang w:val="en-US" w:eastAsia="zh-CN"/>
                    </w:rPr>
                  </w:pPr>
                </w:p>
              </w:tc>
            </w:tr>
            <w:tr w14:paraId="4AE979B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90" w:type="dxa"/>
                  <w:vMerge w:val="restart"/>
                  <w:vAlign w:val="center"/>
                </w:tcPr>
                <w:p w14:paraId="7E634F68">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主体工程</w:t>
                  </w:r>
                </w:p>
              </w:tc>
              <w:tc>
                <w:tcPr>
                  <w:tcW w:w="750" w:type="dxa"/>
                  <w:vAlign w:val="center"/>
                </w:tcPr>
                <w:p w14:paraId="424E8699">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集成车间</w:t>
                  </w:r>
                </w:p>
              </w:tc>
              <w:tc>
                <w:tcPr>
                  <w:tcW w:w="3573" w:type="dxa"/>
                  <w:gridSpan w:val="2"/>
                  <w:vAlign w:val="center"/>
                </w:tcPr>
                <w:p w14:paraId="6DEEC599">
                  <w:pPr>
                    <w:pStyle w:val="70"/>
                    <w:spacing w:line="240" w:lineRule="auto"/>
                    <w:jc w:val="both"/>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5</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F，建筑面积约7732.78m</w:t>
                  </w:r>
                  <w:r>
                    <w:rPr>
                      <w:rFonts w:hint="eastAsia" w:ascii="Times New Roman" w:hAnsi="Times New Roman" w:eastAsia="宋体" w:cs="Times New Roman"/>
                      <w:color w:val="000000" w:themeColor="text1"/>
                      <w:sz w:val="21"/>
                      <w:szCs w:val="21"/>
                      <w:vertAlign w:val="superscript"/>
                      <w:lang w:val="en-US" w:eastAsia="zh-CN"/>
                      <w14:textFill>
                        <w14:solidFill>
                          <w14:schemeClr w14:val="tx1"/>
                        </w14:solidFill>
                      </w14:textFill>
                    </w:rPr>
                    <w:t>2</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，钢混结构，H=</w:t>
                  </w:r>
                  <w:r>
                    <w:rPr>
                      <w:rFonts w:hint="eastAsia" w:cs="Times New Roman"/>
                      <w:color w:val="000000" w:themeColor="text1"/>
                      <w:sz w:val="21"/>
                      <w:szCs w:val="21"/>
                      <w:lang w:val="en-US" w:eastAsia="zh-CN"/>
                      <w14:textFill>
                        <w14:solidFill>
                          <w14:schemeClr w14:val="tx1"/>
                        </w14:solidFill>
                      </w14:textFill>
                    </w:rPr>
                    <w:t>22.3</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m</w:t>
                  </w:r>
                  <w:r>
                    <w:rPr>
                      <w:rFonts w:hint="eastAsia" w:cs="Times New Roman"/>
                      <w:color w:val="000000" w:themeColor="text1"/>
                      <w:sz w:val="21"/>
                      <w:szCs w:val="21"/>
                      <w:lang w:val="en-US" w:eastAsia="zh-CN"/>
                      <w14:textFill>
                        <w14:solidFill>
                          <w14:schemeClr w14:val="tx1"/>
                        </w14:solidFill>
                      </w14:textFill>
                    </w:rPr>
                    <w:t>（集成区为2F，H</w:t>
                  </w:r>
                  <w:r>
                    <w:rPr>
                      <w:rFonts w:hint="eastAsia"/>
                      <w:color w:val="000000" w:themeColor="text1"/>
                      <w:sz w:val="21"/>
                      <w:szCs w:val="21"/>
                      <w:highlight w:val="none"/>
                      <w:lang w:val="en-US" w:eastAsia="zh-CN"/>
                      <w14:textFill>
                        <w14:solidFill>
                          <w14:schemeClr w14:val="tx1"/>
                        </w14:solidFill>
                      </w14:textFill>
                    </w:rPr>
                    <w:t>15.6m</w:t>
                  </w:r>
                  <w:r>
                    <w:rPr>
                      <w:rFonts w:hint="eastAsia" w:cs="Times New Roman"/>
                      <w:color w:val="000000" w:themeColor="text1"/>
                      <w:sz w:val="21"/>
                      <w:szCs w:val="21"/>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，内设</w:t>
                  </w:r>
                  <w:r>
                    <w:rPr>
                      <w:rFonts w:hint="eastAsia" w:cs="Times New Roman"/>
                      <w:color w:val="000000" w:themeColor="text1"/>
                      <w:sz w:val="21"/>
                      <w:szCs w:val="21"/>
                      <w:lang w:val="en-US" w:eastAsia="zh-CN"/>
                      <w14:textFill>
                        <w14:solidFill>
                          <w14:schemeClr w14:val="tx1"/>
                        </w14:solidFill>
                      </w14:textFill>
                    </w:rPr>
                    <w:t>研发办公区、集成生产区</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等</w:t>
                  </w:r>
                </w:p>
              </w:tc>
              <w:tc>
                <w:tcPr>
                  <w:tcW w:w="927" w:type="dxa"/>
                  <w:vMerge w:val="restart"/>
                  <w:vAlign w:val="center"/>
                </w:tcPr>
                <w:p w14:paraId="529F2B1E">
                  <w:pPr>
                    <w:pStyle w:val="70"/>
                    <w:spacing w:line="240" w:lineRule="auto"/>
                    <w:rPr>
                      <w:rFonts w:hint="eastAsia"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施工扬尘、废气、噪声、废水、废渣、生活垃圾等</w:t>
                  </w:r>
                </w:p>
              </w:tc>
              <w:tc>
                <w:tcPr>
                  <w:tcW w:w="981" w:type="dxa"/>
                  <w:vMerge w:val="restart"/>
                  <w:vAlign w:val="center"/>
                </w:tcPr>
                <w:p w14:paraId="1739CEC3">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废气、废水、噪声、固废</w:t>
                  </w:r>
                </w:p>
              </w:tc>
              <w:tc>
                <w:tcPr>
                  <w:tcW w:w="733" w:type="dxa"/>
                  <w:vAlign w:val="center"/>
                </w:tcPr>
                <w:p w14:paraId="50966FA8">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适应性改造</w:t>
                  </w:r>
                </w:p>
              </w:tc>
            </w:tr>
            <w:tr w14:paraId="5955787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790" w:type="dxa"/>
                  <w:vMerge w:val="continue"/>
                  <w:vAlign w:val="center"/>
                </w:tcPr>
                <w:p w14:paraId="391DF2DA">
                  <w:pPr>
                    <w:pStyle w:val="70"/>
                    <w:spacing w:line="240" w:lineRule="auto"/>
                    <w:rPr>
                      <w:rFonts w:hint="eastAsia" w:ascii="Times New Roman" w:hAnsi="Times New Roman" w:eastAsia="宋体" w:cs="Times New Roman"/>
                      <w:color w:val="auto"/>
                      <w:sz w:val="21"/>
                      <w:szCs w:val="21"/>
                    </w:rPr>
                  </w:pPr>
                </w:p>
              </w:tc>
              <w:tc>
                <w:tcPr>
                  <w:tcW w:w="750" w:type="dxa"/>
                  <w:vAlign w:val="center"/>
                </w:tcPr>
                <w:p w14:paraId="05AF73E0">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电芯车间</w:t>
                  </w:r>
                </w:p>
              </w:tc>
              <w:tc>
                <w:tcPr>
                  <w:tcW w:w="3573" w:type="dxa"/>
                  <w:gridSpan w:val="2"/>
                  <w:vAlign w:val="center"/>
                </w:tcPr>
                <w:p w14:paraId="1946D591">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1F，钢结构，H=</w:t>
                  </w:r>
                  <w:r>
                    <w:rPr>
                      <w:rFonts w:hint="eastAsia" w:cs="Times New Roman"/>
                      <w:color w:val="000000" w:themeColor="text1"/>
                      <w:sz w:val="21"/>
                      <w:szCs w:val="21"/>
                      <w:lang w:val="en-US" w:eastAsia="zh-CN"/>
                      <w14:textFill>
                        <w14:solidFill>
                          <w14:schemeClr w14:val="tx1"/>
                        </w14:solidFill>
                      </w14:textFill>
                    </w:rPr>
                    <w:t>19.13</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m（电芯区H＝12.6m），建筑面积约19240.48m</w:t>
                  </w:r>
                  <w:r>
                    <w:rPr>
                      <w:rFonts w:hint="eastAsia" w:ascii="Times New Roman" w:hAnsi="Times New Roman" w:eastAsia="宋体" w:cs="Times New Roman"/>
                      <w:color w:val="000000" w:themeColor="text1"/>
                      <w:sz w:val="21"/>
                      <w:szCs w:val="21"/>
                      <w:vertAlign w:val="superscript"/>
                      <w:lang w:val="en-US" w:eastAsia="zh-CN"/>
                      <w14:textFill>
                        <w14:solidFill>
                          <w14:schemeClr w14:val="tx1"/>
                        </w14:solidFill>
                      </w14:textFill>
                    </w:rPr>
                    <w:t>2</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，内设原材料</w:t>
                  </w:r>
                  <w:r>
                    <w:rPr>
                      <w:rFonts w:hint="eastAsia" w:cs="Times New Roman"/>
                      <w:color w:val="000000" w:themeColor="text1"/>
                      <w:sz w:val="21"/>
                      <w:szCs w:val="21"/>
                      <w:lang w:val="en-US" w:eastAsia="zh-CN"/>
                      <w14:textFill>
                        <w14:solidFill>
                          <w14:schemeClr w14:val="tx1"/>
                        </w14:solidFill>
                      </w14:textFill>
                    </w:rPr>
                    <w:t>仓库</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r>
                    <w:rPr>
                      <w:rFonts w:hint="eastAsia" w:cs="Times New Roman"/>
                      <w:color w:val="000000" w:themeColor="text1"/>
                      <w:sz w:val="21"/>
                      <w:szCs w:val="21"/>
                      <w:lang w:val="en-US" w:eastAsia="zh-CN"/>
                      <w14:textFill>
                        <w14:solidFill>
                          <w14:schemeClr w14:val="tx1"/>
                        </w14:solidFill>
                      </w14:textFill>
                    </w:rPr>
                    <w:t>空压、制氮站、生产技术办公室</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、成品库</w:t>
                  </w:r>
                  <w:r>
                    <w:rPr>
                      <w:rFonts w:hint="eastAsia" w:cs="Times New Roman"/>
                      <w:color w:val="000000" w:themeColor="text1"/>
                      <w:sz w:val="21"/>
                      <w:szCs w:val="21"/>
                      <w:lang w:val="en-US" w:eastAsia="zh-CN"/>
                      <w14:textFill>
                        <w14:solidFill>
                          <w14:schemeClr w14:val="tx1"/>
                        </w14:solidFill>
                      </w14:textFill>
                    </w:rPr>
                    <w:t>、污水处理站、纯水间、备辊间、空调机房、清洗间、一般固废暂存间、制冷机房、电解液间、电池拆解间</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等</w:t>
                  </w:r>
                  <w:r>
                    <w:rPr>
                      <w:rFonts w:hint="eastAsia" w:cs="Times New Roman"/>
                      <w:color w:val="000000" w:themeColor="text1"/>
                      <w:sz w:val="21"/>
                      <w:szCs w:val="21"/>
                      <w:lang w:val="en-US" w:eastAsia="zh-CN"/>
                      <w14:textFill>
                        <w14:solidFill>
                          <w14:schemeClr w14:val="tx1"/>
                        </w14:solidFill>
                      </w14:textFill>
                    </w:rPr>
                    <w:t>。其中电芯车间生产区域为洁净车间，车间洁净要求为10万级/30万级</w:t>
                  </w:r>
                </w:p>
              </w:tc>
              <w:tc>
                <w:tcPr>
                  <w:tcW w:w="927" w:type="dxa"/>
                  <w:vMerge w:val="continue"/>
                  <w:vAlign w:val="center"/>
                </w:tcPr>
                <w:p w14:paraId="38C0009E">
                  <w:pPr>
                    <w:pStyle w:val="70"/>
                    <w:spacing w:line="240" w:lineRule="auto"/>
                    <w:rPr>
                      <w:rFonts w:hint="eastAsia" w:ascii="Times New Roman" w:hAnsi="Times New Roman" w:eastAsia="宋体" w:cs="Times New Roman"/>
                      <w:color w:val="auto"/>
                      <w:sz w:val="21"/>
                      <w:szCs w:val="21"/>
                    </w:rPr>
                  </w:pPr>
                </w:p>
              </w:tc>
              <w:tc>
                <w:tcPr>
                  <w:tcW w:w="981" w:type="dxa"/>
                  <w:vMerge w:val="continue"/>
                  <w:vAlign w:val="center"/>
                </w:tcPr>
                <w:p w14:paraId="662B4E56">
                  <w:pPr>
                    <w:pStyle w:val="70"/>
                    <w:spacing w:line="240" w:lineRule="auto"/>
                    <w:rPr>
                      <w:rFonts w:hint="eastAsia" w:ascii="Times New Roman" w:hAnsi="Times New Roman" w:eastAsia="宋体" w:cs="Times New Roman"/>
                      <w:color w:val="auto"/>
                      <w:sz w:val="21"/>
                      <w:szCs w:val="21"/>
                    </w:rPr>
                  </w:pPr>
                </w:p>
              </w:tc>
              <w:tc>
                <w:tcPr>
                  <w:tcW w:w="733" w:type="dxa"/>
                  <w:vAlign w:val="center"/>
                </w:tcPr>
                <w:p w14:paraId="0EE241B9">
                  <w:pPr>
                    <w:pStyle w:val="70"/>
                    <w:spacing w:line="240" w:lineRule="auto"/>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适应性改造</w:t>
                  </w:r>
                </w:p>
              </w:tc>
            </w:tr>
            <w:tr w14:paraId="3C3CBF4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790" w:type="dxa"/>
                  <w:vMerge w:val="restart"/>
                  <w:vAlign w:val="center"/>
                </w:tcPr>
                <w:p w14:paraId="3B25247A">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辅助工程</w:t>
                  </w:r>
                </w:p>
              </w:tc>
              <w:tc>
                <w:tcPr>
                  <w:tcW w:w="750" w:type="dxa"/>
                  <w:vAlign w:val="center"/>
                </w:tcPr>
                <w:p w14:paraId="6FA2155D">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纯水系统</w:t>
                  </w:r>
                </w:p>
              </w:tc>
              <w:tc>
                <w:tcPr>
                  <w:tcW w:w="3573" w:type="dxa"/>
                  <w:gridSpan w:val="2"/>
                  <w:vAlign w:val="center"/>
                </w:tcPr>
                <w:p w14:paraId="5257FCEB">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电芯车间南侧设置纯水间1间，建筑面积约55m</w:t>
                  </w:r>
                  <w:r>
                    <w:rPr>
                      <w:rFonts w:hint="eastAsia" w:cs="Times New Roman"/>
                      <w:color w:val="auto"/>
                      <w:sz w:val="21"/>
                      <w:szCs w:val="21"/>
                      <w:vertAlign w:val="superscript"/>
                      <w:lang w:val="en-US" w:eastAsia="zh-CN"/>
                    </w:rPr>
                    <w:t>2</w:t>
                  </w:r>
                  <w:r>
                    <w:rPr>
                      <w:rFonts w:hint="eastAsia" w:ascii="Times New Roman" w:hAnsi="Times New Roman" w:eastAsia="宋体" w:cs="Times New Roman"/>
                      <w:color w:val="auto"/>
                      <w:sz w:val="21"/>
                      <w:szCs w:val="21"/>
                      <w:lang w:val="en-US" w:eastAsia="zh-CN"/>
                    </w:rPr>
                    <w:t>，内部配置1台产水量1t/h的纯水制备设备</w:t>
                  </w:r>
                </w:p>
              </w:tc>
              <w:tc>
                <w:tcPr>
                  <w:tcW w:w="927" w:type="dxa"/>
                  <w:vMerge w:val="continue"/>
                  <w:vAlign w:val="center"/>
                </w:tcPr>
                <w:p w14:paraId="485C870A">
                  <w:pPr>
                    <w:pStyle w:val="70"/>
                    <w:spacing w:line="240" w:lineRule="auto"/>
                    <w:rPr>
                      <w:rFonts w:hint="eastAsia" w:ascii="Times New Roman" w:hAnsi="Times New Roman" w:eastAsia="宋体" w:cs="Times New Roman"/>
                      <w:color w:val="auto"/>
                      <w:sz w:val="21"/>
                      <w:szCs w:val="21"/>
                    </w:rPr>
                  </w:pPr>
                </w:p>
              </w:tc>
              <w:tc>
                <w:tcPr>
                  <w:tcW w:w="981" w:type="dxa"/>
                  <w:vAlign w:val="center"/>
                </w:tcPr>
                <w:p w14:paraId="7389487E">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废水、噪声、固废</w:t>
                  </w:r>
                </w:p>
              </w:tc>
              <w:tc>
                <w:tcPr>
                  <w:tcW w:w="733" w:type="dxa"/>
                  <w:vAlign w:val="center"/>
                </w:tcPr>
                <w:p w14:paraId="5B29D92C">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新建</w:t>
                  </w:r>
                </w:p>
              </w:tc>
            </w:tr>
            <w:tr w14:paraId="7788A2C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790" w:type="dxa"/>
                  <w:vMerge w:val="continue"/>
                  <w:vAlign w:val="center"/>
                </w:tcPr>
                <w:p w14:paraId="0662CD10">
                  <w:pPr>
                    <w:pStyle w:val="70"/>
                    <w:spacing w:line="240" w:lineRule="auto"/>
                    <w:rPr>
                      <w:rFonts w:hint="default" w:ascii="Times New Roman" w:hAnsi="Times New Roman" w:eastAsia="宋体" w:cs="Times New Roman"/>
                      <w:color w:val="auto"/>
                      <w:sz w:val="21"/>
                      <w:szCs w:val="21"/>
                      <w:lang w:val="en-US" w:eastAsia="zh-CN"/>
                    </w:rPr>
                  </w:pPr>
                </w:p>
              </w:tc>
              <w:tc>
                <w:tcPr>
                  <w:tcW w:w="750" w:type="dxa"/>
                  <w:vAlign w:val="center"/>
                </w:tcPr>
                <w:p w14:paraId="647972F1">
                  <w:pPr>
                    <w:pStyle w:val="70"/>
                    <w:spacing w:line="240" w:lineRule="auto"/>
                    <w:rPr>
                      <w:rFonts w:hint="default" w:cs="Times New Roman"/>
                      <w:color w:val="auto"/>
                      <w:sz w:val="21"/>
                      <w:szCs w:val="21"/>
                      <w:lang w:val="en-US" w:eastAsia="zh-CN"/>
                    </w:rPr>
                  </w:pPr>
                  <w:r>
                    <w:rPr>
                      <w:rFonts w:hint="eastAsia" w:cs="Times New Roman"/>
                      <w:color w:val="auto"/>
                      <w:sz w:val="21"/>
                      <w:szCs w:val="21"/>
                      <w:lang w:val="en-US" w:eastAsia="zh-CN"/>
                    </w:rPr>
                    <w:t>电池拆解间</w:t>
                  </w:r>
                </w:p>
              </w:tc>
              <w:tc>
                <w:tcPr>
                  <w:tcW w:w="3573" w:type="dxa"/>
                  <w:gridSpan w:val="2"/>
                  <w:vAlign w:val="center"/>
                </w:tcPr>
                <w:p w14:paraId="35745091">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位于电芯车间内北侧设置一间电池拆解间，用于相应工序产品抽检，建筑面积约33m</w:t>
                  </w:r>
                  <w:r>
                    <w:rPr>
                      <w:rFonts w:hint="eastAsia" w:cs="Times New Roman"/>
                      <w:color w:val="auto"/>
                      <w:sz w:val="21"/>
                      <w:szCs w:val="21"/>
                      <w:vertAlign w:val="superscript"/>
                      <w:lang w:val="en-US" w:eastAsia="zh-CN"/>
                    </w:rPr>
                    <w:t>2</w:t>
                  </w:r>
                </w:p>
              </w:tc>
              <w:tc>
                <w:tcPr>
                  <w:tcW w:w="927" w:type="dxa"/>
                  <w:vMerge w:val="continue"/>
                  <w:vAlign w:val="center"/>
                </w:tcPr>
                <w:p w14:paraId="5DB07745">
                  <w:pPr>
                    <w:pStyle w:val="70"/>
                    <w:spacing w:line="240" w:lineRule="auto"/>
                    <w:rPr>
                      <w:rFonts w:hint="eastAsia" w:ascii="Times New Roman" w:hAnsi="Times New Roman" w:eastAsia="宋体" w:cs="Times New Roman"/>
                      <w:color w:val="auto"/>
                      <w:sz w:val="21"/>
                      <w:szCs w:val="21"/>
                    </w:rPr>
                  </w:pPr>
                </w:p>
              </w:tc>
              <w:tc>
                <w:tcPr>
                  <w:tcW w:w="981" w:type="dxa"/>
                  <w:vAlign w:val="center"/>
                </w:tcPr>
                <w:p w14:paraId="51FFBAF0">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固废、废气</w:t>
                  </w:r>
                </w:p>
              </w:tc>
              <w:tc>
                <w:tcPr>
                  <w:tcW w:w="733" w:type="dxa"/>
                  <w:vAlign w:val="center"/>
                </w:tcPr>
                <w:p w14:paraId="4597C7BD">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新建</w:t>
                  </w:r>
                </w:p>
              </w:tc>
            </w:tr>
            <w:tr w14:paraId="42E6F43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790" w:type="dxa"/>
                  <w:vMerge w:val="continue"/>
                  <w:vAlign w:val="center"/>
                </w:tcPr>
                <w:p w14:paraId="07EA0A92">
                  <w:pPr>
                    <w:pStyle w:val="70"/>
                    <w:spacing w:line="240" w:lineRule="auto"/>
                    <w:rPr>
                      <w:rFonts w:hint="eastAsia" w:ascii="Times New Roman" w:hAnsi="Times New Roman" w:eastAsia="宋体" w:cs="Times New Roman"/>
                      <w:color w:val="auto"/>
                      <w:sz w:val="21"/>
                      <w:szCs w:val="21"/>
                      <w:lang w:val="en-US" w:eastAsia="zh-CN"/>
                    </w:rPr>
                  </w:pPr>
                </w:p>
              </w:tc>
              <w:tc>
                <w:tcPr>
                  <w:tcW w:w="750" w:type="dxa"/>
                  <w:vAlign w:val="center"/>
                </w:tcPr>
                <w:p w14:paraId="2DF41D17">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氮气系统</w:t>
                  </w:r>
                </w:p>
              </w:tc>
              <w:tc>
                <w:tcPr>
                  <w:tcW w:w="3573" w:type="dxa"/>
                  <w:gridSpan w:val="2"/>
                  <w:vAlign w:val="center"/>
                </w:tcPr>
                <w:p w14:paraId="2B256BE4">
                  <w:pPr>
                    <w:pStyle w:val="70"/>
                    <w:spacing w:line="240" w:lineRule="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位于</w:t>
                  </w:r>
                  <w:r>
                    <w:rPr>
                      <w:rFonts w:hint="eastAsia" w:cs="Times New Roman"/>
                      <w:color w:val="auto"/>
                      <w:sz w:val="21"/>
                      <w:szCs w:val="21"/>
                      <w:lang w:val="en-US" w:eastAsia="zh-CN"/>
                    </w:rPr>
                    <w:t>电芯车间内北侧，设置空压站、制氮站，建筑面积约206m</w:t>
                  </w:r>
                  <w:r>
                    <w:rPr>
                      <w:rFonts w:hint="eastAsia" w:cs="Times New Roman"/>
                      <w:color w:val="auto"/>
                      <w:sz w:val="21"/>
                      <w:szCs w:val="21"/>
                      <w:vertAlign w:val="superscript"/>
                      <w:lang w:val="en-US" w:eastAsia="zh-CN"/>
                    </w:rPr>
                    <w:t>2</w:t>
                  </w:r>
                </w:p>
              </w:tc>
              <w:tc>
                <w:tcPr>
                  <w:tcW w:w="927" w:type="dxa"/>
                  <w:vMerge w:val="continue"/>
                  <w:vAlign w:val="center"/>
                </w:tcPr>
                <w:p w14:paraId="5776EC2E">
                  <w:pPr>
                    <w:pStyle w:val="70"/>
                    <w:spacing w:line="240" w:lineRule="auto"/>
                    <w:rPr>
                      <w:rFonts w:hint="eastAsia" w:ascii="Times New Roman" w:hAnsi="Times New Roman" w:eastAsia="宋体" w:cs="Times New Roman"/>
                      <w:color w:val="auto"/>
                      <w:sz w:val="21"/>
                      <w:szCs w:val="21"/>
                    </w:rPr>
                  </w:pPr>
                </w:p>
              </w:tc>
              <w:tc>
                <w:tcPr>
                  <w:tcW w:w="981" w:type="dxa"/>
                  <w:vAlign w:val="center"/>
                </w:tcPr>
                <w:p w14:paraId="02680A38">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噪声、固废</w:t>
                  </w:r>
                </w:p>
              </w:tc>
              <w:tc>
                <w:tcPr>
                  <w:tcW w:w="733" w:type="dxa"/>
                  <w:vAlign w:val="center"/>
                </w:tcPr>
                <w:p w14:paraId="7D5367E5">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新建</w:t>
                  </w:r>
                </w:p>
              </w:tc>
            </w:tr>
            <w:tr w14:paraId="6064134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790" w:type="dxa"/>
                  <w:vMerge w:val="continue"/>
                  <w:vAlign w:val="center"/>
                </w:tcPr>
                <w:p w14:paraId="24634D63">
                  <w:pPr>
                    <w:pStyle w:val="70"/>
                    <w:spacing w:line="240" w:lineRule="auto"/>
                    <w:rPr>
                      <w:rFonts w:hint="eastAsia" w:ascii="Times New Roman" w:hAnsi="Times New Roman" w:eastAsia="宋体" w:cs="Times New Roman"/>
                      <w:color w:val="auto"/>
                      <w:sz w:val="21"/>
                      <w:szCs w:val="21"/>
                      <w:lang w:val="en-US" w:eastAsia="zh-CN"/>
                    </w:rPr>
                  </w:pPr>
                </w:p>
              </w:tc>
              <w:tc>
                <w:tcPr>
                  <w:tcW w:w="750" w:type="dxa"/>
                  <w:vAlign w:val="center"/>
                </w:tcPr>
                <w:p w14:paraId="1C473C08">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制冷</w:t>
                  </w:r>
                  <w:r>
                    <w:rPr>
                      <w:rFonts w:hint="eastAsia" w:cs="Times New Roman"/>
                      <w:color w:val="auto"/>
                      <w:sz w:val="21"/>
                      <w:szCs w:val="21"/>
                      <w:lang w:val="en-US" w:eastAsia="zh-CN"/>
                    </w:rPr>
                    <w:t>机房</w:t>
                  </w:r>
                </w:p>
              </w:tc>
              <w:tc>
                <w:tcPr>
                  <w:tcW w:w="3573" w:type="dxa"/>
                  <w:gridSpan w:val="2"/>
                  <w:vAlign w:val="center"/>
                </w:tcPr>
                <w:p w14:paraId="2A07D668">
                  <w:pPr>
                    <w:pStyle w:val="70"/>
                    <w:spacing w:line="240" w:lineRule="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位于</w:t>
                  </w:r>
                  <w:r>
                    <w:rPr>
                      <w:rFonts w:hint="eastAsia" w:cs="Times New Roman"/>
                      <w:color w:val="000000" w:themeColor="text1"/>
                      <w:sz w:val="21"/>
                      <w:szCs w:val="21"/>
                      <w:lang w:val="en-US" w:eastAsia="zh-CN"/>
                      <w14:textFill>
                        <w14:solidFill>
                          <w14:schemeClr w14:val="tx1"/>
                        </w14:solidFill>
                      </w14:textFill>
                    </w:rPr>
                    <w:t>电芯车间东侧</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，建筑面积</w:t>
                  </w:r>
                  <w:r>
                    <w:rPr>
                      <w:rFonts w:hint="eastAsia" w:cs="Times New Roman"/>
                      <w:color w:val="000000" w:themeColor="text1"/>
                      <w:sz w:val="21"/>
                      <w:szCs w:val="21"/>
                      <w:lang w:val="en-US" w:eastAsia="zh-CN"/>
                      <w14:textFill>
                        <w14:solidFill>
                          <w14:schemeClr w14:val="tx1"/>
                        </w14:solidFill>
                      </w14:textFill>
                    </w:rPr>
                    <w:t>约300</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m</w:t>
                  </w:r>
                  <w:r>
                    <w:rPr>
                      <w:rFonts w:hint="eastAsia" w:ascii="Times New Roman" w:hAnsi="Times New Roman" w:eastAsia="宋体" w:cs="Times New Roman"/>
                      <w:color w:val="000000" w:themeColor="text1"/>
                      <w:sz w:val="21"/>
                      <w:szCs w:val="21"/>
                      <w:vertAlign w:val="superscript"/>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，设置</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1台定频离心冷水机组、1台变频离心冷水机组、1台中温热泵机组</w:t>
                  </w:r>
                </w:p>
              </w:tc>
              <w:tc>
                <w:tcPr>
                  <w:tcW w:w="927" w:type="dxa"/>
                  <w:vMerge w:val="continue"/>
                  <w:vAlign w:val="center"/>
                </w:tcPr>
                <w:p w14:paraId="18E6AAC3">
                  <w:pPr>
                    <w:pStyle w:val="70"/>
                    <w:spacing w:line="240" w:lineRule="auto"/>
                    <w:rPr>
                      <w:rFonts w:hint="eastAsia" w:ascii="Times New Roman" w:hAnsi="Times New Roman" w:eastAsia="宋体" w:cs="Times New Roman"/>
                      <w:color w:val="auto"/>
                      <w:sz w:val="21"/>
                      <w:szCs w:val="21"/>
                    </w:rPr>
                  </w:pPr>
                </w:p>
              </w:tc>
              <w:tc>
                <w:tcPr>
                  <w:tcW w:w="981" w:type="dxa"/>
                  <w:vAlign w:val="center"/>
                </w:tcPr>
                <w:p w14:paraId="0D004CB7">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噪声</w:t>
                  </w:r>
                </w:p>
              </w:tc>
              <w:tc>
                <w:tcPr>
                  <w:tcW w:w="733" w:type="dxa"/>
                  <w:vAlign w:val="center"/>
                </w:tcPr>
                <w:p w14:paraId="1587FC38">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新建</w:t>
                  </w:r>
                </w:p>
              </w:tc>
            </w:tr>
            <w:tr w14:paraId="0F594BA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790" w:type="dxa"/>
                  <w:vMerge w:val="restart"/>
                  <w:vAlign w:val="center"/>
                </w:tcPr>
                <w:p w14:paraId="37C04544">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公用工程</w:t>
                  </w:r>
                </w:p>
              </w:tc>
              <w:tc>
                <w:tcPr>
                  <w:tcW w:w="750" w:type="dxa"/>
                  <w:shd w:val="clear" w:color="auto" w:fill="auto"/>
                  <w:vAlign w:val="center"/>
                </w:tcPr>
                <w:p w14:paraId="030A600C">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供水</w:t>
                  </w:r>
                </w:p>
              </w:tc>
              <w:tc>
                <w:tcPr>
                  <w:tcW w:w="3573" w:type="dxa"/>
                  <w:gridSpan w:val="2"/>
                  <w:shd w:val="clear" w:color="auto" w:fill="auto"/>
                  <w:vAlign w:val="center"/>
                </w:tcPr>
                <w:p w14:paraId="0705EEC1">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市政给水管网供水</w:t>
                  </w:r>
                </w:p>
              </w:tc>
              <w:tc>
                <w:tcPr>
                  <w:tcW w:w="927" w:type="dxa"/>
                  <w:vMerge w:val="continue"/>
                  <w:vAlign w:val="center"/>
                </w:tcPr>
                <w:p w14:paraId="30520D64">
                  <w:pPr>
                    <w:pStyle w:val="70"/>
                    <w:spacing w:line="240" w:lineRule="auto"/>
                    <w:rPr>
                      <w:rFonts w:hint="eastAsia" w:ascii="Times New Roman" w:hAnsi="Times New Roman" w:eastAsia="宋体" w:cs="Times New Roman"/>
                      <w:color w:val="auto"/>
                      <w:sz w:val="21"/>
                      <w:szCs w:val="21"/>
                      <w:lang w:val="en-US" w:eastAsia="zh-CN"/>
                    </w:rPr>
                  </w:pPr>
                </w:p>
              </w:tc>
              <w:tc>
                <w:tcPr>
                  <w:tcW w:w="981" w:type="dxa"/>
                  <w:vAlign w:val="center"/>
                </w:tcPr>
                <w:p w14:paraId="21FB2BC8">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733" w:type="dxa"/>
                  <w:vAlign w:val="center"/>
                </w:tcPr>
                <w:p w14:paraId="2CFC25CE">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依托</w:t>
                  </w:r>
                </w:p>
              </w:tc>
            </w:tr>
            <w:tr w14:paraId="0670DFD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790" w:type="dxa"/>
                  <w:vMerge w:val="continue"/>
                  <w:vAlign w:val="center"/>
                </w:tcPr>
                <w:p w14:paraId="3BD88C08">
                  <w:pPr>
                    <w:pStyle w:val="70"/>
                    <w:spacing w:line="240" w:lineRule="auto"/>
                    <w:rPr>
                      <w:rFonts w:hint="eastAsia" w:ascii="Times New Roman" w:hAnsi="Times New Roman" w:eastAsia="宋体" w:cs="Times New Roman"/>
                      <w:color w:val="auto"/>
                      <w:sz w:val="21"/>
                      <w:szCs w:val="21"/>
                    </w:rPr>
                  </w:pPr>
                </w:p>
              </w:tc>
              <w:tc>
                <w:tcPr>
                  <w:tcW w:w="750" w:type="dxa"/>
                  <w:shd w:val="clear" w:color="auto" w:fill="auto"/>
                  <w:vAlign w:val="center"/>
                </w:tcPr>
                <w:p w14:paraId="043FCC71">
                  <w:pPr>
                    <w:pStyle w:val="70"/>
                    <w:spacing w:line="240" w:lineRule="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供电</w:t>
                  </w:r>
                </w:p>
              </w:tc>
              <w:tc>
                <w:tcPr>
                  <w:tcW w:w="3573" w:type="dxa"/>
                  <w:gridSpan w:val="2"/>
                  <w:shd w:val="clear" w:color="auto" w:fill="auto"/>
                  <w:vAlign w:val="center"/>
                </w:tcPr>
                <w:p w14:paraId="03494013">
                  <w:pPr>
                    <w:pStyle w:val="70"/>
                    <w:spacing w:line="240" w:lineRule="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市政电网供电，</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四川秦巴瑞耀产业园经营管理有限公司于厂区</w:t>
                  </w:r>
                  <w:r>
                    <w:rPr>
                      <w:rFonts w:hint="eastAsia" w:cs="Times New Roman"/>
                      <w:color w:val="000000" w:themeColor="text1"/>
                      <w:sz w:val="21"/>
                      <w:szCs w:val="21"/>
                      <w:lang w:val="en-US" w:eastAsia="zh-CN"/>
                      <w14:textFill>
                        <w14:solidFill>
                          <w14:schemeClr w14:val="tx1"/>
                        </w14:solidFill>
                      </w14:textFill>
                    </w:rPr>
                    <w:t>内设一台400kW柴油发电机组作为应急电源，项目设置</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2处变电所</w:t>
                  </w:r>
                  <w:r>
                    <w:rPr>
                      <w:rFonts w:hint="eastAsia" w:cs="Times New Roman"/>
                      <w:color w:val="000000" w:themeColor="text1"/>
                      <w:sz w:val="21"/>
                      <w:szCs w:val="21"/>
                      <w:lang w:val="en-US" w:eastAsia="zh-CN"/>
                      <w14:textFill>
                        <w14:solidFill>
                          <w14:schemeClr w14:val="tx1"/>
                        </w14:solidFill>
                      </w14:textFill>
                    </w:rPr>
                    <w:t>，分别位于集成车间及电芯车间</w:t>
                  </w:r>
                </w:p>
              </w:tc>
              <w:tc>
                <w:tcPr>
                  <w:tcW w:w="927" w:type="dxa"/>
                  <w:vMerge w:val="continue"/>
                  <w:vAlign w:val="center"/>
                </w:tcPr>
                <w:p w14:paraId="61EEE811">
                  <w:pPr>
                    <w:pStyle w:val="70"/>
                    <w:spacing w:line="240" w:lineRule="auto"/>
                    <w:rPr>
                      <w:rFonts w:hint="eastAsia" w:ascii="Times New Roman" w:hAnsi="Times New Roman" w:eastAsia="宋体" w:cs="Times New Roman"/>
                      <w:color w:val="auto"/>
                      <w:sz w:val="21"/>
                      <w:szCs w:val="21"/>
                      <w:lang w:val="en-US" w:eastAsia="zh-CN"/>
                    </w:rPr>
                  </w:pPr>
                </w:p>
              </w:tc>
              <w:tc>
                <w:tcPr>
                  <w:tcW w:w="981" w:type="dxa"/>
                  <w:vAlign w:val="center"/>
                </w:tcPr>
                <w:p w14:paraId="29E06ED2">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噪声</w:t>
                  </w:r>
                </w:p>
              </w:tc>
              <w:tc>
                <w:tcPr>
                  <w:tcW w:w="733" w:type="dxa"/>
                  <w:vAlign w:val="center"/>
                </w:tcPr>
                <w:p w14:paraId="41295273">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依托+</w:t>
                  </w:r>
                  <w:r>
                    <w:rPr>
                      <w:rFonts w:hint="eastAsia" w:ascii="Times New Roman" w:hAnsi="Times New Roman" w:eastAsia="宋体" w:cs="Times New Roman"/>
                      <w:color w:val="auto"/>
                      <w:sz w:val="21"/>
                      <w:szCs w:val="21"/>
                      <w:lang w:val="en-US" w:eastAsia="zh-CN"/>
                    </w:rPr>
                    <w:t>新建</w:t>
                  </w:r>
                </w:p>
              </w:tc>
            </w:tr>
            <w:tr w14:paraId="6C69DA4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790" w:type="dxa"/>
                  <w:vMerge w:val="continue"/>
                  <w:vAlign w:val="center"/>
                </w:tcPr>
                <w:p w14:paraId="7A99B544">
                  <w:pPr>
                    <w:pStyle w:val="70"/>
                    <w:spacing w:line="240" w:lineRule="auto"/>
                    <w:rPr>
                      <w:rFonts w:hint="eastAsia" w:ascii="Times New Roman" w:hAnsi="Times New Roman" w:eastAsia="宋体" w:cs="Times New Roman"/>
                      <w:color w:val="auto"/>
                      <w:sz w:val="21"/>
                      <w:szCs w:val="21"/>
                    </w:rPr>
                  </w:pPr>
                </w:p>
              </w:tc>
              <w:tc>
                <w:tcPr>
                  <w:tcW w:w="750" w:type="dxa"/>
                  <w:shd w:val="clear" w:color="auto" w:fill="auto"/>
                  <w:vAlign w:val="center"/>
                </w:tcPr>
                <w:p w14:paraId="55A5B7F7">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消防系统</w:t>
                  </w:r>
                </w:p>
              </w:tc>
              <w:tc>
                <w:tcPr>
                  <w:tcW w:w="3573" w:type="dxa"/>
                  <w:gridSpan w:val="2"/>
                  <w:shd w:val="clear" w:color="auto" w:fill="auto"/>
                  <w:vAlign w:val="center"/>
                </w:tcPr>
                <w:p w14:paraId="2B048509">
                  <w:pPr>
                    <w:pStyle w:val="70"/>
                    <w:spacing w:line="240" w:lineRule="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四川秦巴瑞耀产业园经营管理有限公司于项目</w:t>
                  </w:r>
                  <w:r>
                    <w:rPr>
                      <w:rFonts w:hint="eastAsia" w:cs="Times New Roman"/>
                      <w:color w:val="000000" w:themeColor="text1"/>
                      <w:sz w:val="21"/>
                      <w:szCs w:val="21"/>
                      <w:lang w:val="en-US" w:eastAsia="zh-CN"/>
                      <w14:textFill>
                        <w14:solidFill>
                          <w14:schemeClr w14:val="tx1"/>
                        </w14:solidFill>
                      </w14:textFill>
                    </w:rPr>
                    <w:t>电芯车间东</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侧新建1座消防水泵房，建筑面积</w:t>
                  </w:r>
                  <w:r>
                    <w:rPr>
                      <w:rFonts w:hint="eastAsia" w:cs="Times New Roman"/>
                      <w:color w:val="000000" w:themeColor="text1"/>
                      <w:sz w:val="21"/>
                      <w:szCs w:val="21"/>
                      <w:lang w:val="en-US" w:eastAsia="zh-CN"/>
                      <w14:textFill>
                        <w14:solidFill>
                          <w14:schemeClr w14:val="tx1"/>
                        </w14:solidFill>
                      </w14:textFill>
                    </w:rPr>
                    <w:t>223.98</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m</w:t>
                  </w:r>
                  <w:r>
                    <w:rPr>
                      <w:rFonts w:hint="eastAsia" w:ascii="Times New Roman" w:hAnsi="Times New Roman" w:eastAsia="宋体" w:cs="Times New Roman"/>
                      <w:color w:val="000000" w:themeColor="text1"/>
                      <w:sz w:val="21"/>
                      <w:szCs w:val="21"/>
                      <w:vertAlign w:val="superscript"/>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，水泵房</w:t>
                  </w:r>
                  <w:r>
                    <w:rPr>
                      <w:rFonts w:hint="eastAsia" w:cs="Times New Roman"/>
                      <w:color w:val="000000" w:themeColor="text1"/>
                      <w:sz w:val="21"/>
                      <w:szCs w:val="21"/>
                      <w:lang w:val="en-US" w:eastAsia="zh-CN"/>
                      <w14:textFill>
                        <w14:solidFill>
                          <w14:schemeClr w14:val="tx1"/>
                        </w14:solidFill>
                      </w14:textFill>
                    </w:rPr>
                    <w:t>东侧</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建设</w:t>
                  </w:r>
                  <w:r>
                    <w:rPr>
                      <w:rFonts w:hint="eastAsia" w:cs="Times New Roman"/>
                      <w:color w:val="000000" w:themeColor="text1"/>
                      <w:sz w:val="21"/>
                      <w:szCs w:val="21"/>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座</w:t>
                  </w:r>
                  <w:r>
                    <w:rPr>
                      <w:rFonts w:hint="eastAsia" w:cs="Times New Roman"/>
                      <w:color w:val="000000" w:themeColor="text1"/>
                      <w:sz w:val="21"/>
                      <w:szCs w:val="21"/>
                      <w:lang w:val="en-US" w:eastAsia="zh-CN"/>
                      <w14:textFill>
                        <w14:solidFill>
                          <w14:schemeClr w14:val="tx1"/>
                        </w14:solidFill>
                      </w14:textFill>
                    </w:rPr>
                    <w:t>消防水池，总容积为1512m</w:t>
                  </w:r>
                  <w:r>
                    <w:rPr>
                      <w:rFonts w:hint="eastAsia" w:cs="Times New Roman"/>
                      <w:color w:val="000000" w:themeColor="text1"/>
                      <w:sz w:val="21"/>
                      <w:szCs w:val="21"/>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p>
              </w:tc>
              <w:tc>
                <w:tcPr>
                  <w:tcW w:w="927" w:type="dxa"/>
                  <w:vMerge w:val="continue"/>
                  <w:vAlign w:val="center"/>
                </w:tcPr>
                <w:p w14:paraId="15ACBD21">
                  <w:pPr>
                    <w:pStyle w:val="70"/>
                    <w:spacing w:line="240" w:lineRule="auto"/>
                    <w:rPr>
                      <w:rFonts w:hint="eastAsia" w:ascii="Times New Roman" w:hAnsi="Times New Roman" w:eastAsia="宋体" w:cs="Times New Roman"/>
                      <w:color w:val="auto"/>
                      <w:sz w:val="21"/>
                      <w:szCs w:val="21"/>
                    </w:rPr>
                  </w:pPr>
                </w:p>
              </w:tc>
              <w:tc>
                <w:tcPr>
                  <w:tcW w:w="981" w:type="dxa"/>
                  <w:shd w:val="clear" w:color="auto" w:fill="auto"/>
                  <w:vAlign w:val="center"/>
                </w:tcPr>
                <w:p w14:paraId="0115D5F4">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733" w:type="dxa"/>
                  <w:shd w:val="clear" w:color="auto" w:fill="auto"/>
                  <w:vAlign w:val="center"/>
                </w:tcPr>
                <w:p w14:paraId="7AE22717">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依托</w:t>
                  </w:r>
                </w:p>
              </w:tc>
            </w:tr>
            <w:tr w14:paraId="02A6508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90" w:type="dxa"/>
                  <w:vMerge w:val="continue"/>
                  <w:vAlign w:val="center"/>
                </w:tcPr>
                <w:p w14:paraId="1CB04E1C">
                  <w:pPr>
                    <w:pStyle w:val="70"/>
                    <w:spacing w:line="240" w:lineRule="auto"/>
                    <w:rPr>
                      <w:rFonts w:hint="eastAsia" w:ascii="Times New Roman" w:hAnsi="Times New Roman" w:eastAsia="宋体" w:cs="Times New Roman"/>
                      <w:color w:val="auto"/>
                      <w:sz w:val="21"/>
                      <w:szCs w:val="21"/>
                    </w:rPr>
                  </w:pPr>
                </w:p>
              </w:tc>
              <w:tc>
                <w:tcPr>
                  <w:tcW w:w="750" w:type="dxa"/>
                  <w:shd w:val="clear" w:color="auto" w:fill="auto"/>
                  <w:vAlign w:val="center"/>
                </w:tcPr>
                <w:p w14:paraId="1B5A8FB8">
                  <w:pPr>
                    <w:pStyle w:val="70"/>
                    <w:spacing w:line="240" w:lineRule="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排水系统</w:t>
                  </w:r>
                </w:p>
              </w:tc>
              <w:tc>
                <w:tcPr>
                  <w:tcW w:w="3573" w:type="dxa"/>
                  <w:gridSpan w:val="2"/>
                  <w:shd w:val="clear" w:color="auto" w:fill="auto"/>
                  <w:vAlign w:val="center"/>
                </w:tcPr>
                <w:p w14:paraId="0CABED79">
                  <w:pPr>
                    <w:pStyle w:val="70"/>
                    <w:spacing w:line="240" w:lineRule="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本项目所在厂区实行雨污分流制度。其中雨水汇入雨水管网系统直接排入市政雨水管网；办公生活污水</w:t>
                  </w:r>
                  <w:r>
                    <w:rPr>
                      <w:rFonts w:hint="eastAsia" w:cs="Times New Roman"/>
                      <w:color w:val="000000" w:themeColor="text1"/>
                      <w:sz w:val="21"/>
                      <w:szCs w:val="21"/>
                      <w:lang w:val="en-US" w:eastAsia="zh-CN"/>
                      <w14:textFill>
                        <w14:solidFill>
                          <w14:schemeClr w14:val="tx1"/>
                        </w14:solidFill>
                      </w14:textFill>
                    </w:rPr>
                    <w:t>、纯水制备浓水</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、生产废水经处理后排入市政园区污水管网。</w:t>
                  </w:r>
                </w:p>
              </w:tc>
              <w:tc>
                <w:tcPr>
                  <w:tcW w:w="927" w:type="dxa"/>
                  <w:vMerge w:val="continue"/>
                  <w:vAlign w:val="center"/>
                </w:tcPr>
                <w:p w14:paraId="1080078F">
                  <w:pPr>
                    <w:pStyle w:val="70"/>
                    <w:spacing w:line="240" w:lineRule="auto"/>
                    <w:rPr>
                      <w:rFonts w:hint="eastAsia" w:ascii="Times New Roman" w:hAnsi="Times New Roman" w:eastAsia="宋体" w:cs="Times New Roman"/>
                      <w:color w:val="auto"/>
                      <w:sz w:val="21"/>
                      <w:szCs w:val="21"/>
                    </w:rPr>
                  </w:pPr>
                </w:p>
              </w:tc>
              <w:tc>
                <w:tcPr>
                  <w:tcW w:w="981" w:type="dxa"/>
                  <w:shd w:val="clear" w:color="auto" w:fill="auto"/>
                  <w:vAlign w:val="center"/>
                </w:tcPr>
                <w:p w14:paraId="32B657BE">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噪声</w:t>
                  </w:r>
                </w:p>
              </w:tc>
              <w:tc>
                <w:tcPr>
                  <w:tcW w:w="733" w:type="dxa"/>
                  <w:shd w:val="clear" w:color="auto" w:fill="auto"/>
                  <w:vAlign w:val="center"/>
                </w:tcPr>
                <w:p w14:paraId="5664DB17">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新建</w:t>
                  </w:r>
                </w:p>
              </w:tc>
            </w:tr>
            <w:tr w14:paraId="014FF12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790" w:type="dxa"/>
                  <w:vAlign w:val="center"/>
                </w:tcPr>
                <w:p w14:paraId="0E86CA0E">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办公生活设施</w:t>
                  </w:r>
                </w:p>
              </w:tc>
              <w:tc>
                <w:tcPr>
                  <w:tcW w:w="750" w:type="dxa"/>
                  <w:shd w:val="clear" w:color="auto" w:fill="auto"/>
                  <w:vAlign w:val="center"/>
                </w:tcPr>
                <w:p w14:paraId="0BD07647">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门卫室</w:t>
                  </w:r>
                </w:p>
              </w:tc>
              <w:tc>
                <w:tcPr>
                  <w:tcW w:w="3573" w:type="dxa"/>
                  <w:gridSpan w:val="2"/>
                  <w:shd w:val="clear" w:color="auto" w:fill="auto"/>
                  <w:vAlign w:val="center"/>
                </w:tcPr>
                <w:p w14:paraId="2652A735">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1个，建筑面积为60.46m</w:t>
                  </w:r>
                  <w:r>
                    <w:rPr>
                      <w:rFonts w:hint="eastAsia" w:cs="Times New Roman"/>
                      <w:color w:val="000000" w:themeColor="text1"/>
                      <w:sz w:val="21"/>
                      <w:szCs w:val="21"/>
                      <w:vertAlign w:val="superscript"/>
                      <w:lang w:val="en-US" w:eastAsia="zh-CN"/>
                      <w14:textFill>
                        <w14:solidFill>
                          <w14:schemeClr w14:val="tx1"/>
                        </w14:solidFill>
                      </w14:textFill>
                    </w:rPr>
                    <w:t>2</w:t>
                  </w:r>
                  <w:r>
                    <w:rPr>
                      <w:rFonts w:hint="eastAsia" w:cs="Times New Roman"/>
                      <w:color w:val="000000" w:themeColor="text1"/>
                      <w:sz w:val="21"/>
                      <w:szCs w:val="21"/>
                      <w:lang w:val="en-US" w:eastAsia="zh-CN"/>
                      <w14:textFill>
                        <w14:solidFill>
                          <w14:schemeClr w14:val="tx1"/>
                        </w14:solidFill>
                      </w14:textFill>
                    </w:rPr>
                    <w:t>，位于厂区西侧</w:t>
                  </w:r>
                </w:p>
              </w:tc>
              <w:tc>
                <w:tcPr>
                  <w:tcW w:w="927" w:type="dxa"/>
                  <w:vMerge w:val="continue"/>
                  <w:vAlign w:val="center"/>
                </w:tcPr>
                <w:p w14:paraId="0DEE625E">
                  <w:pPr>
                    <w:pStyle w:val="70"/>
                    <w:spacing w:line="240" w:lineRule="auto"/>
                    <w:rPr>
                      <w:rFonts w:hint="eastAsia" w:ascii="Times New Roman" w:hAnsi="Times New Roman" w:eastAsia="宋体" w:cs="Times New Roman"/>
                      <w:color w:val="auto"/>
                      <w:sz w:val="21"/>
                      <w:szCs w:val="21"/>
                    </w:rPr>
                  </w:pPr>
                </w:p>
              </w:tc>
              <w:tc>
                <w:tcPr>
                  <w:tcW w:w="981" w:type="dxa"/>
                  <w:shd w:val="clear" w:color="auto" w:fill="auto"/>
                  <w:vAlign w:val="center"/>
                </w:tcPr>
                <w:p w14:paraId="4A9DA19C">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生活垃圾、生活污水</w:t>
                  </w:r>
                </w:p>
              </w:tc>
              <w:tc>
                <w:tcPr>
                  <w:tcW w:w="733" w:type="dxa"/>
                  <w:shd w:val="clear" w:color="auto" w:fill="auto"/>
                  <w:vAlign w:val="center"/>
                </w:tcPr>
                <w:p w14:paraId="666374F2">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新建</w:t>
                  </w:r>
                </w:p>
              </w:tc>
            </w:tr>
            <w:tr w14:paraId="3967F4F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790" w:type="dxa"/>
                  <w:vMerge w:val="restart"/>
                  <w:vAlign w:val="center"/>
                </w:tcPr>
                <w:p w14:paraId="7E0E0C17">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仓储工程</w:t>
                  </w:r>
                </w:p>
              </w:tc>
              <w:tc>
                <w:tcPr>
                  <w:tcW w:w="750" w:type="dxa"/>
                  <w:shd w:val="clear" w:color="auto" w:fill="auto"/>
                  <w:vAlign w:val="center"/>
                </w:tcPr>
                <w:p w14:paraId="08E7A8B3">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原材料库房</w:t>
                  </w:r>
                </w:p>
              </w:tc>
              <w:tc>
                <w:tcPr>
                  <w:tcW w:w="3573" w:type="dxa"/>
                  <w:gridSpan w:val="2"/>
                  <w:shd w:val="clear" w:color="auto" w:fill="auto"/>
                  <w:vAlign w:val="center"/>
                </w:tcPr>
                <w:p w14:paraId="3F40D465">
                  <w:pPr>
                    <w:pStyle w:val="70"/>
                    <w:spacing w:line="240" w:lineRule="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在</w:t>
                  </w:r>
                  <w:r>
                    <w:rPr>
                      <w:rFonts w:hint="eastAsia" w:cs="Times New Roman"/>
                      <w:color w:val="000000" w:themeColor="text1"/>
                      <w:sz w:val="21"/>
                      <w:szCs w:val="21"/>
                      <w:lang w:val="en-US" w:eastAsia="zh-CN"/>
                      <w14:textFill>
                        <w14:solidFill>
                          <w14:schemeClr w14:val="tx1"/>
                        </w14:solidFill>
                      </w14:textFill>
                    </w:rPr>
                    <w:t>电芯</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车间内</w:t>
                  </w:r>
                  <w:r>
                    <w:rPr>
                      <w:rFonts w:hint="eastAsia" w:cs="Times New Roman"/>
                      <w:color w:val="000000" w:themeColor="text1"/>
                      <w:sz w:val="21"/>
                      <w:szCs w:val="21"/>
                      <w:lang w:val="en-US" w:eastAsia="zh-CN"/>
                      <w14:textFill>
                        <w14:solidFill>
                          <w14:schemeClr w14:val="tx1"/>
                        </w14:solidFill>
                      </w14:textFill>
                    </w:rPr>
                    <w:t>西</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侧设置1间原</w:t>
                  </w:r>
                  <w:r>
                    <w:rPr>
                      <w:rFonts w:hint="eastAsia" w:cs="Times New Roman"/>
                      <w:color w:val="000000" w:themeColor="text1"/>
                      <w:sz w:val="21"/>
                      <w:szCs w:val="21"/>
                      <w:lang w:val="en-US" w:eastAsia="zh-CN"/>
                      <w14:textFill>
                        <w14:solidFill>
                          <w14:schemeClr w14:val="tx1"/>
                        </w14:solidFill>
                      </w14:textFill>
                    </w:rPr>
                    <w:t>材</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料库房，建筑面积约</w:t>
                  </w:r>
                  <w:r>
                    <w:rPr>
                      <w:rFonts w:hint="eastAsia" w:cs="Times New Roman"/>
                      <w:color w:val="000000" w:themeColor="text1"/>
                      <w:sz w:val="21"/>
                      <w:szCs w:val="21"/>
                      <w:lang w:val="en-US" w:eastAsia="zh-CN"/>
                      <w14:textFill>
                        <w14:solidFill>
                          <w14:schemeClr w14:val="tx1"/>
                        </w14:solidFill>
                      </w14:textFill>
                    </w:rPr>
                    <w:t>1100</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m</w:t>
                  </w:r>
                  <w:r>
                    <w:rPr>
                      <w:rFonts w:hint="eastAsia" w:ascii="Times New Roman" w:hAnsi="Times New Roman" w:eastAsia="宋体" w:cs="Times New Roman"/>
                      <w:color w:val="000000" w:themeColor="text1"/>
                      <w:sz w:val="21"/>
                      <w:szCs w:val="21"/>
                      <w:vertAlign w:val="superscript"/>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r>
                    <w:rPr>
                      <w:rFonts w:hint="eastAsia" w:cs="Times New Roman"/>
                      <w:color w:val="000000" w:themeColor="text1"/>
                      <w:sz w:val="21"/>
                      <w:szCs w:val="21"/>
                      <w:lang w:val="en-US" w:eastAsia="zh-CN"/>
                      <w14:textFill>
                        <w14:solidFill>
                          <w14:schemeClr w14:val="tx1"/>
                        </w14:solidFill>
                      </w14:textFill>
                    </w:rPr>
                    <w:t>主要用于</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储存</w:t>
                  </w:r>
                  <w:r>
                    <w:rPr>
                      <w:rFonts w:hint="eastAsia" w:cs="Times New Roman"/>
                      <w:color w:val="000000" w:themeColor="text1"/>
                      <w:sz w:val="21"/>
                      <w:szCs w:val="21"/>
                      <w:lang w:val="en-US" w:eastAsia="zh-CN"/>
                      <w14:textFill>
                        <w14:solidFill>
                          <w14:schemeClr w14:val="tx1"/>
                        </w14:solidFill>
                      </w14:textFill>
                    </w:rPr>
                    <w:t>电池生产线的</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原辅材料</w:t>
                  </w:r>
                </w:p>
              </w:tc>
              <w:tc>
                <w:tcPr>
                  <w:tcW w:w="927" w:type="dxa"/>
                  <w:vMerge w:val="continue"/>
                  <w:vAlign w:val="center"/>
                </w:tcPr>
                <w:p w14:paraId="1C559A07">
                  <w:pPr>
                    <w:pStyle w:val="70"/>
                    <w:spacing w:line="240" w:lineRule="auto"/>
                    <w:rPr>
                      <w:rFonts w:hint="eastAsia" w:ascii="Times New Roman" w:hAnsi="Times New Roman" w:eastAsia="宋体" w:cs="Times New Roman"/>
                      <w:color w:val="auto"/>
                      <w:sz w:val="21"/>
                      <w:szCs w:val="21"/>
                    </w:rPr>
                  </w:pPr>
                </w:p>
              </w:tc>
              <w:tc>
                <w:tcPr>
                  <w:tcW w:w="981" w:type="dxa"/>
                  <w:shd w:val="clear" w:color="auto" w:fill="auto"/>
                  <w:vAlign w:val="center"/>
                </w:tcPr>
                <w:p w14:paraId="4D7C741F">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733" w:type="dxa"/>
                  <w:shd w:val="clear" w:color="auto" w:fill="auto"/>
                  <w:vAlign w:val="center"/>
                </w:tcPr>
                <w:p w14:paraId="02452FB0">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新建</w:t>
                  </w:r>
                </w:p>
              </w:tc>
            </w:tr>
            <w:tr w14:paraId="1D6626D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790" w:type="dxa"/>
                  <w:vMerge w:val="continue"/>
                  <w:vAlign w:val="center"/>
                </w:tcPr>
                <w:p w14:paraId="463FA8F3">
                  <w:pPr>
                    <w:pStyle w:val="70"/>
                    <w:spacing w:line="240" w:lineRule="auto"/>
                    <w:rPr>
                      <w:rFonts w:hint="eastAsia" w:ascii="Times New Roman" w:hAnsi="Times New Roman" w:eastAsia="宋体" w:cs="Times New Roman"/>
                      <w:color w:val="auto"/>
                      <w:sz w:val="21"/>
                      <w:szCs w:val="21"/>
                      <w:lang w:val="en-US" w:eastAsia="zh-CN"/>
                    </w:rPr>
                  </w:pPr>
                </w:p>
              </w:tc>
              <w:tc>
                <w:tcPr>
                  <w:tcW w:w="750" w:type="dxa"/>
                  <w:shd w:val="clear" w:color="auto" w:fill="auto"/>
                  <w:vAlign w:val="center"/>
                </w:tcPr>
                <w:p w14:paraId="5D5011D6">
                  <w:pPr>
                    <w:pStyle w:val="70"/>
                    <w:spacing w:line="240" w:lineRule="auto"/>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NMP储罐</w:t>
                  </w:r>
                </w:p>
              </w:tc>
              <w:tc>
                <w:tcPr>
                  <w:tcW w:w="3573" w:type="dxa"/>
                  <w:gridSpan w:val="2"/>
                  <w:shd w:val="clear" w:color="auto" w:fill="auto"/>
                  <w:vAlign w:val="center"/>
                </w:tcPr>
                <w:p w14:paraId="0C75B5DD">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ascii="宋体" w:hAnsi="宋体" w:eastAsia="宋体" w:cs="宋体"/>
                      <w:color w:val="000000" w:themeColor="text1"/>
                      <w:sz w:val="21"/>
                      <w:szCs w:val="21"/>
                      <w14:textFill>
                        <w14:solidFill>
                          <w14:schemeClr w14:val="tx1"/>
                        </w14:solidFill>
                      </w14:textFill>
                    </w:rPr>
                    <w:t>电芯车间内</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配置1座容积为3</w:t>
                  </w:r>
                  <w:r>
                    <w:rPr>
                      <w:rFonts w:hint="eastAsia" w:cs="Times New Roman"/>
                      <w:color w:val="000000" w:themeColor="text1"/>
                      <w:sz w:val="21"/>
                      <w:szCs w:val="21"/>
                      <w:lang w:val="en-US" w:eastAsia="zh-CN"/>
                      <w14:textFill>
                        <w14:solidFill>
                          <w14:schemeClr w14:val="tx1"/>
                        </w14:solidFill>
                      </w14:textFill>
                    </w:rPr>
                    <w:t>m</w:t>
                  </w:r>
                  <w:r>
                    <w:rPr>
                      <w:rFonts w:hint="eastAsia" w:cs="Times New Roman"/>
                      <w:color w:val="000000" w:themeColor="text1"/>
                      <w:sz w:val="21"/>
                      <w:szCs w:val="21"/>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的NMP储罐，作为</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NMP</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中转储存设施</w:t>
                  </w:r>
                </w:p>
              </w:tc>
              <w:tc>
                <w:tcPr>
                  <w:tcW w:w="927" w:type="dxa"/>
                  <w:vMerge w:val="continue"/>
                  <w:vAlign w:val="center"/>
                </w:tcPr>
                <w:p w14:paraId="4493C746">
                  <w:pPr>
                    <w:pStyle w:val="70"/>
                    <w:spacing w:line="240" w:lineRule="auto"/>
                    <w:rPr>
                      <w:rFonts w:hint="eastAsia" w:ascii="Times New Roman" w:hAnsi="Times New Roman" w:eastAsia="宋体" w:cs="Times New Roman"/>
                      <w:color w:val="auto"/>
                      <w:sz w:val="21"/>
                      <w:szCs w:val="21"/>
                    </w:rPr>
                  </w:pPr>
                </w:p>
              </w:tc>
              <w:tc>
                <w:tcPr>
                  <w:tcW w:w="981" w:type="dxa"/>
                  <w:shd w:val="clear" w:color="auto" w:fill="auto"/>
                  <w:vAlign w:val="center"/>
                </w:tcPr>
                <w:p w14:paraId="061962E8">
                  <w:pPr>
                    <w:pStyle w:val="70"/>
                    <w:spacing w:line="240" w:lineRule="auto"/>
                    <w:rPr>
                      <w:rFonts w:hint="eastAsia"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环境风险</w:t>
                  </w:r>
                </w:p>
              </w:tc>
              <w:tc>
                <w:tcPr>
                  <w:tcW w:w="733" w:type="dxa"/>
                  <w:shd w:val="clear" w:color="auto" w:fill="auto"/>
                  <w:vAlign w:val="center"/>
                </w:tcPr>
                <w:p w14:paraId="7318EEEC">
                  <w:pPr>
                    <w:pStyle w:val="70"/>
                    <w:spacing w:line="240" w:lineRule="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新建</w:t>
                  </w:r>
                </w:p>
              </w:tc>
            </w:tr>
            <w:tr w14:paraId="30FE354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790" w:type="dxa"/>
                  <w:vMerge w:val="continue"/>
                  <w:vAlign w:val="center"/>
                </w:tcPr>
                <w:p w14:paraId="73DF3291">
                  <w:pPr>
                    <w:pStyle w:val="70"/>
                    <w:spacing w:line="240" w:lineRule="auto"/>
                    <w:rPr>
                      <w:rFonts w:hint="eastAsia" w:ascii="Times New Roman" w:hAnsi="Times New Roman" w:eastAsia="宋体" w:cs="Times New Roman"/>
                      <w:color w:val="auto"/>
                      <w:sz w:val="21"/>
                      <w:szCs w:val="21"/>
                    </w:rPr>
                  </w:pPr>
                </w:p>
              </w:tc>
              <w:tc>
                <w:tcPr>
                  <w:tcW w:w="750" w:type="dxa"/>
                  <w:shd w:val="clear" w:color="auto" w:fill="auto"/>
                  <w:vAlign w:val="center"/>
                </w:tcPr>
                <w:p w14:paraId="6FD93283">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NMP回收储罐</w:t>
                  </w:r>
                </w:p>
              </w:tc>
              <w:tc>
                <w:tcPr>
                  <w:tcW w:w="3573" w:type="dxa"/>
                  <w:gridSpan w:val="2"/>
                  <w:shd w:val="clear" w:color="auto" w:fill="auto"/>
                  <w:vAlign w:val="center"/>
                </w:tcPr>
                <w:p w14:paraId="44E775EB">
                  <w:pPr>
                    <w:pStyle w:val="70"/>
                    <w:spacing w:line="240" w:lineRule="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位于</w:t>
                  </w:r>
                  <w:r>
                    <w:rPr>
                      <w:rFonts w:hint="eastAsia" w:cs="Times New Roman"/>
                      <w:color w:val="000000" w:themeColor="text1"/>
                      <w:sz w:val="21"/>
                      <w:szCs w:val="21"/>
                      <w:lang w:val="en-US" w:eastAsia="zh-CN"/>
                      <w14:textFill>
                        <w14:solidFill>
                          <w14:schemeClr w14:val="tx1"/>
                        </w14:solidFill>
                      </w14:textFill>
                    </w:rPr>
                    <w:t>电芯车间</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外东侧，设置</w:t>
                  </w:r>
                  <w:r>
                    <w:rPr>
                      <w:rFonts w:hint="eastAsia" w:cs="Times New Roman"/>
                      <w:color w:val="000000" w:themeColor="text1"/>
                      <w:sz w:val="21"/>
                      <w:szCs w:val="21"/>
                      <w:lang w:val="en-US" w:eastAsia="zh-CN"/>
                      <w14:textFill>
                        <w14:solidFill>
                          <w14:schemeClr w14:val="tx1"/>
                        </w14:solidFill>
                      </w14:textFill>
                    </w:rPr>
                    <w:t>1</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个NMP储罐，有效容积为</w:t>
                  </w:r>
                  <w:r>
                    <w:rPr>
                      <w:rFonts w:hint="eastAsia" w:cs="Times New Roman"/>
                      <w:color w:val="000000" w:themeColor="text1"/>
                      <w:sz w:val="21"/>
                      <w:szCs w:val="21"/>
                      <w:lang w:val="en-US" w:eastAsia="zh-CN"/>
                      <w14:textFill>
                        <w14:solidFill>
                          <w14:schemeClr w14:val="tx1"/>
                        </w14:solidFill>
                      </w14:textFill>
                    </w:rPr>
                    <w:t>50</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m</w:t>
                  </w:r>
                  <w:r>
                    <w:rPr>
                      <w:rFonts w:hint="eastAsia" w:ascii="Times New Roman" w:hAnsi="Times New Roman" w:eastAsia="宋体" w:cs="Times New Roman"/>
                      <w:color w:val="000000" w:themeColor="text1"/>
                      <w:sz w:val="21"/>
                      <w:szCs w:val="21"/>
                      <w:vertAlign w:val="superscript"/>
                      <w:lang w:val="en-US" w:eastAsia="zh-CN"/>
                      <w14:textFill>
                        <w14:solidFill>
                          <w14:schemeClr w14:val="tx1"/>
                        </w14:solidFill>
                      </w14:textFill>
                    </w:rPr>
                    <w:t>3</w:t>
                  </w:r>
                </w:p>
              </w:tc>
              <w:tc>
                <w:tcPr>
                  <w:tcW w:w="927" w:type="dxa"/>
                  <w:vMerge w:val="continue"/>
                  <w:vAlign w:val="center"/>
                </w:tcPr>
                <w:p w14:paraId="1D32FDC5">
                  <w:pPr>
                    <w:pStyle w:val="70"/>
                    <w:spacing w:line="240" w:lineRule="auto"/>
                    <w:rPr>
                      <w:rFonts w:hint="eastAsia" w:ascii="Times New Roman" w:hAnsi="Times New Roman" w:eastAsia="宋体" w:cs="Times New Roman"/>
                      <w:color w:val="auto"/>
                      <w:sz w:val="21"/>
                      <w:szCs w:val="21"/>
                    </w:rPr>
                  </w:pPr>
                </w:p>
              </w:tc>
              <w:tc>
                <w:tcPr>
                  <w:tcW w:w="981" w:type="dxa"/>
                  <w:vAlign w:val="center"/>
                </w:tcPr>
                <w:p w14:paraId="51B4239B">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环境风险</w:t>
                  </w:r>
                </w:p>
              </w:tc>
              <w:tc>
                <w:tcPr>
                  <w:tcW w:w="733" w:type="dxa"/>
                  <w:vAlign w:val="center"/>
                </w:tcPr>
                <w:p w14:paraId="14F79CE6">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新建</w:t>
                  </w:r>
                </w:p>
              </w:tc>
            </w:tr>
            <w:tr w14:paraId="156C8C0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90" w:type="dxa"/>
                  <w:vMerge w:val="continue"/>
                  <w:vAlign w:val="center"/>
                </w:tcPr>
                <w:p w14:paraId="7206F52E">
                  <w:pPr>
                    <w:pStyle w:val="70"/>
                    <w:spacing w:line="240" w:lineRule="auto"/>
                    <w:rPr>
                      <w:rFonts w:hint="eastAsia" w:ascii="Times New Roman" w:hAnsi="Times New Roman" w:eastAsia="宋体" w:cs="Times New Roman"/>
                      <w:color w:val="auto"/>
                      <w:sz w:val="21"/>
                      <w:szCs w:val="21"/>
                    </w:rPr>
                  </w:pPr>
                </w:p>
              </w:tc>
              <w:tc>
                <w:tcPr>
                  <w:tcW w:w="750" w:type="dxa"/>
                  <w:shd w:val="clear" w:color="auto" w:fill="auto"/>
                  <w:vAlign w:val="center"/>
                </w:tcPr>
                <w:p w14:paraId="578BB375">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成品库</w:t>
                  </w:r>
                </w:p>
              </w:tc>
              <w:tc>
                <w:tcPr>
                  <w:tcW w:w="3573" w:type="dxa"/>
                  <w:gridSpan w:val="2"/>
                  <w:shd w:val="clear" w:color="auto" w:fill="auto"/>
                  <w:vAlign w:val="center"/>
                </w:tcPr>
                <w:p w14:paraId="58786026">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在</w:t>
                  </w:r>
                  <w:r>
                    <w:rPr>
                      <w:rFonts w:hint="eastAsia" w:cs="Times New Roman"/>
                      <w:color w:val="000000" w:themeColor="text1"/>
                      <w:sz w:val="21"/>
                      <w:szCs w:val="21"/>
                      <w:lang w:val="en-US" w:eastAsia="zh-CN"/>
                      <w14:textFill>
                        <w14:solidFill>
                          <w14:schemeClr w14:val="tx1"/>
                        </w14:solidFill>
                      </w14:textFill>
                    </w:rPr>
                    <w:t>电芯车间</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内</w:t>
                  </w:r>
                  <w:r>
                    <w:rPr>
                      <w:rFonts w:hint="eastAsia" w:cs="Times New Roman"/>
                      <w:color w:val="000000" w:themeColor="text1"/>
                      <w:sz w:val="21"/>
                      <w:szCs w:val="21"/>
                      <w:lang w:val="en-US" w:eastAsia="zh-CN"/>
                      <w14:textFill>
                        <w14:solidFill>
                          <w14:schemeClr w14:val="tx1"/>
                        </w14:solidFill>
                      </w14:textFill>
                    </w:rPr>
                    <w:t>东</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侧设置1间</w:t>
                  </w:r>
                  <w:r>
                    <w:rPr>
                      <w:rFonts w:hint="eastAsia" w:cs="Times New Roman"/>
                      <w:color w:val="000000" w:themeColor="text1"/>
                      <w:sz w:val="21"/>
                      <w:szCs w:val="21"/>
                      <w:lang w:val="en-US" w:eastAsia="zh-CN"/>
                      <w14:textFill>
                        <w14:solidFill>
                          <w14:schemeClr w14:val="tx1"/>
                        </w14:solidFill>
                      </w14:textFill>
                    </w:rPr>
                    <w:t>成品</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库房，建筑面积</w:t>
                  </w:r>
                  <w:r>
                    <w:rPr>
                      <w:rFonts w:hint="eastAsia" w:cs="Times New Roman"/>
                      <w:color w:val="000000" w:themeColor="text1"/>
                      <w:sz w:val="21"/>
                      <w:szCs w:val="21"/>
                      <w:lang w:val="en-US" w:eastAsia="zh-CN"/>
                      <w14:textFill>
                        <w14:solidFill>
                          <w14:schemeClr w14:val="tx1"/>
                        </w14:solidFill>
                      </w14:textFill>
                    </w:rPr>
                    <w:t>约50</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m</w:t>
                  </w:r>
                  <w:r>
                    <w:rPr>
                      <w:rFonts w:hint="eastAsia" w:ascii="Times New Roman" w:hAnsi="Times New Roman" w:eastAsia="宋体" w:cs="Times New Roman"/>
                      <w:color w:val="000000" w:themeColor="text1"/>
                      <w:sz w:val="21"/>
                      <w:szCs w:val="21"/>
                      <w:vertAlign w:val="superscript"/>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，用于电池产品临时储存</w:t>
                  </w:r>
                </w:p>
              </w:tc>
              <w:tc>
                <w:tcPr>
                  <w:tcW w:w="927" w:type="dxa"/>
                  <w:vMerge w:val="continue"/>
                  <w:vAlign w:val="center"/>
                </w:tcPr>
                <w:p w14:paraId="4224F71F">
                  <w:pPr>
                    <w:pStyle w:val="70"/>
                    <w:spacing w:line="240" w:lineRule="auto"/>
                    <w:rPr>
                      <w:rFonts w:hint="eastAsia" w:ascii="Times New Roman" w:hAnsi="Times New Roman" w:eastAsia="宋体" w:cs="Times New Roman"/>
                      <w:color w:val="auto"/>
                      <w:sz w:val="21"/>
                      <w:szCs w:val="21"/>
                    </w:rPr>
                  </w:pPr>
                </w:p>
              </w:tc>
              <w:tc>
                <w:tcPr>
                  <w:tcW w:w="981" w:type="dxa"/>
                  <w:vAlign w:val="center"/>
                </w:tcPr>
                <w:p w14:paraId="444B2D7E">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733" w:type="dxa"/>
                  <w:vAlign w:val="center"/>
                </w:tcPr>
                <w:p w14:paraId="7255B6EF">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新建</w:t>
                  </w:r>
                </w:p>
              </w:tc>
            </w:tr>
            <w:tr w14:paraId="53D642B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790" w:type="dxa"/>
                  <w:vMerge w:val="continue"/>
                  <w:vAlign w:val="center"/>
                </w:tcPr>
                <w:p w14:paraId="46D66704">
                  <w:pPr>
                    <w:pStyle w:val="70"/>
                    <w:spacing w:line="240" w:lineRule="auto"/>
                    <w:rPr>
                      <w:rFonts w:hint="eastAsia" w:ascii="Times New Roman" w:hAnsi="Times New Roman" w:eastAsia="宋体" w:cs="Times New Roman"/>
                      <w:color w:val="auto"/>
                      <w:sz w:val="21"/>
                      <w:szCs w:val="21"/>
                    </w:rPr>
                  </w:pPr>
                </w:p>
              </w:tc>
              <w:tc>
                <w:tcPr>
                  <w:tcW w:w="750" w:type="dxa"/>
                  <w:shd w:val="clear" w:color="auto" w:fill="auto"/>
                  <w:vAlign w:val="center"/>
                </w:tcPr>
                <w:p w14:paraId="121923B7">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电解液间</w:t>
                  </w:r>
                </w:p>
              </w:tc>
              <w:tc>
                <w:tcPr>
                  <w:tcW w:w="3573" w:type="dxa"/>
                  <w:gridSpan w:val="2"/>
                  <w:shd w:val="clear" w:color="auto" w:fill="auto"/>
                  <w:vAlign w:val="center"/>
                </w:tcPr>
                <w:p w14:paraId="408CB4F8">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电芯车间内北侧设置1间电解液暂存间，建筑面积约51m</w:t>
                  </w:r>
                  <w:r>
                    <w:rPr>
                      <w:rFonts w:hint="eastAsia" w:cs="Times New Roman"/>
                      <w:color w:val="000000" w:themeColor="text1"/>
                      <w:sz w:val="21"/>
                      <w:szCs w:val="21"/>
                      <w:vertAlign w:val="superscript"/>
                      <w:lang w:val="en-US" w:eastAsia="zh-CN"/>
                      <w14:textFill>
                        <w14:solidFill>
                          <w14:schemeClr w14:val="tx1"/>
                        </w14:solidFill>
                      </w14:textFill>
                    </w:rPr>
                    <w:t>2</w:t>
                  </w:r>
                  <w:r>
                    <w:rPr>
                      <w:rFonts w:hint="eastAsia" w:cs="Times New Roman"/>
                      <w:color w:val="000000" w:themeColor="text1"/>
                      <w:sz w:val="21"/>
                      <w:szCs w:val="21"/>
                      <w:lang w:val="en-US" w:eastAsia="zh-CN"/>
                      <w14:textFill>
                        <w14:solidFill>
                          <w14:schemeClr w14:val="tx1"/>
                        </w14:solidFill>
                      </w14:textFill>
                    </w:rPr>
                    <w:t>，主要暂存生产时所需电解液、NMP原料</w:t>
                  </w:r>
                </w:p>
              </w:tc>
              <w:tc>
                <w:tcPr>
                  <w:tcW w:w="927" w:type="dxa"/>
                  <w:vMerge w:val="continue"/>
                  <w:vAlign w:val="center"/>
                </w:tcPr>
                <w:p w14:paraId="43DA4FF8">
                  <w:pPr>
                    <w:pStyle w:val="70"/>
                    <w:spacing w:line="240" w:lineRule="auto"/>
                    <w:rPr>
                      <w:rFonts w:hint="eastAsia" w:ascii="Times New Roman" w:hAnsi="Times New Roman" w:eastAsia="宋体" w:cs="Times New Roman"/>
                      <w:color w:val="auto"/>
                      <w:sz w:val="21"/>
                      <w:szCs w:val="21"/>
                    </w:rPr>
                  </w:pPr>
                </w:p>
              </w:tc>
              <w:tc>
                <w:tcPr>
                  <w:tcW w:w="981" w:type="dxa"/>
                  <w:vAlign w:val="center"/>
                </w:tcPr>
                <w:p w14:paraId="358ED95C">
                  <w:pPr>
                    <w:pStyle w:val="70"/>
                    <w:spacing w:line="240" w:lineRule="auto"/>
                    <w:rPr>
                      <w:rFonts w:hint="default" w:cs="Times New Roman"/>
                      <w:color w:val="auto"/>
                      <w:sz w:val="21"/>
                      <w:szCs w:val="21"/>
                      <w:lang w:val="en-US" w:eastAsia="zh-CN"/>
                    </w:rPr>
                  </w:pPr>
                  <w:r>
                    <w:rPr>
                      <w:rFonts w:hint="eastAsia" w:cs="Times New Roman"/>
                      <w:color w:val="auto"/>
                      <w:sz w:val="21"/>
                      <w:szCs w:val="21"/>
                      <w:lang w:val="en-US" w:eastAsia="zh-CN"/>
                    </w:rPr>
                    <w:t>/</w:t>
                  </w:r>
                </w:p>
              </w:tc>
              <w:tc>
                <w:tcPr>
                  <w:tcW w:w="733" w:type="dxa"/>
                  <w:vAlign w:val="center"/>
                </w:tcPr>
                <w:p w14:paraId="446AE911">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新建</w:t>
                  </w:r>
                </w:p>
              </w:tc>
            </w:tr>
            <w:tr w14:paraId="6F4E983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790" w:type="dxa"/>
                  <w:vMerge w:val="continue"/>
                  <w:vAlign w:val="center"/>
                </w:tcPr>
                <w:p w14:paraId="1A930948">
                  <w:pPr>
                    <w:pStyle w:val="70"/>
                    <w:spacing w:line="240" w:lineRule="auto"/>
                    <w:rPr>
                      <w:rFonts w:hint="eastAsia" w:ascii="Times New Roman" w:hAnsi="Times New Roman" w:eastAsia="宋体" w:cs="Times New Roman"/>
                      <w:color w:val="auto"/>
                      <w:sz w:val="21"/>
                      <w:szCs w:val="21"/>
                    </w:rPr>
                  </w:pPr>
                </w:p>
              </w:tc>
              <w:tc>
                <w:tcPr>
                  <w:tcW w:w="750" w:type="dxa"/>
                  <w:shd w:val="clear" w:color="auto" w:fill="auto"/>
                  <w:vAlign w:val="center"/>
                </w:tcPr>
                <w:p w14:paraId="53E5F897">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低温电解液仓库</w:t>
                  </w:r>
                </w:p>
              </w:tc>
              <w:tc>
                <w:tcPr>
                  <w:tcW w:w="3573" w:type="dxa"/>
                  <w:gridSpan w:val="2"/>
                  <w:shd w:val="clear" w:color="auto" w:fill="auto"/>
                  <w:vAlign w:val="center"/>
                </w:tcPr>
                <w:p w14:paraId="07C11239">
                  <w:pPr>
                    <w:pStyle w:val="70"/>
                    <w:spacing w:line="240" w:lineRule="auto"/>
                    <w:rPr>
                      <w:rFonts w:hint="default"/>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厂区东侧新建一栋甲类仓库，其中111.99m</w:t>
                  </w:r>
                  <w:r>
                    <w:rPr>
                      <w:rFonts w:hint="eastAsia" w:ascii="Times New Roman" w:hAnsi="Times New Roman" w:eastAsia="宋体" w:cs="Times New Roman"/>
                      <w:color w:val="000000" w:themeColor="text1"/>
                      <w:sz w:val="21"/>
                      <w:szCs w:val="21"/>
                      <w:vertAlign w:val="superscript"/>
                      <w:lang w:val="en-US" w:eastAsia="zh-CN"/>
                      <w14:textFill>
                        <w14:solidFill>
                          <w14:schemeClr w14:val="tx1"/>
                        </w14:solidFill>
                      </w14:textFill>
                    </w:rPr>
                    <w:t>2</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为低温电解液仓库，主要用于存放电解液</w:t>
                  </w:r>
                </w:p>
              </w:tc>
              <w:tc>
                <w:tcPr>
                  <w:tcW w:w="927" w:type="dxa"/>
                  <w:vMerge w:val="continue"/>
                  <w:vAlign w:val="center"/>
                </w:tcPr>
                <w:p w14:paraId="5201DCB9">
                  <w:pPr>
                    <w:pStyle w:val="70"/>
                    <w:spacing w:line="240" w:lineRule="auto"/>
                    <w:rPr>
                      <w:rFonts w:hint="eastAsia" w:ascii="Times New Roman" w:hAnsi="Times New Roman" w:eastAsia="宋体" w:cs="Times New Roman"/>
                      <w:color w:val="auto"/>
                      <w:sz w:val="21"/>
                      <w:szCs w:val="21"/>
                    </w:rPr>
                  </w:pPr>
                </w:p>
              </w:tc>
              <w:tc>
                <w:tcPr>
                  <w:tcW w:w="981" w:type="dxa"/>
                  <w:vAlign w:val="center"/>
                </w:tcPr>
                <w:p w14:paraId="5E22493A">
                  <w:pPr>
                    <w:pStyle w:val="70"/>
                    <w:spacing w:line="240" w:lineRule="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转运噪声、环境风险</w:t>
                  </w:r>
                </w:p>
              </w:tc>
              <w:tc>
                <w:tcPr>
                  <w:tcW w:w="733" w:type="dxa"/>
                  <w:vAlign w:val="center"/>
                </w:tcPr>
                <w:p w14:paraId="33E6EECE">
                  <w:pPr>
                    <w:pStyle w:val="70"/>
                    <w:spacing w:line="240" w:lineRule="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新建</w:t>
                  </w:r>
                </w:p>
              </w:tc>
            </w:tr>
            <w:tr w14:paraId="546A62A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90" w:type="dxa"/>
                  <w:vMerge w:val="continue"/>
                  <w:vAlign w:val="center"/>
                </w:tcPr>
                <w:p w14:paraId="4872C6E6">
                  <w:pPr>
                    <w:pStyle w:val="70"/>
                    <w:spacing w:line="240" w:lineRule="auto"/>
                    <w:rPr>
                      <w:rFonts w:hint="eastAsia" w:ascii="Times New Roman" w:hAnsi="Times New Roman" w:eastAsia="宋体" w:cs="Times New Roman"/>
                      <w:color w:val="auto"/>
                      <w:sz w:val="21"/>
                      <w:szCs w:val="21"/>
                    </w:rPr>
                  </w:pPr>
                </w:p>
              </w:tc>
              <w:tc>
                <w:tcPr>
                  <w:tcW w:w="750" w:type="dxa"/>
                  <w:shd w:val="clear" w:color="auto" w:fill="auto"/>
                  <w:vAlign w:val="center"/>
                </w:tcPr>
                <w:p w14:paraId="3841939F">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危废库</w:t>
                  </w:r>
                </w:p>
              </w:tc>
              <w:tc>
                <w:tcPr>
                  <w:tcW w:w="3573" w:type="dxa"/>
                  <w:gridSpan w:val="2"/>
                  <w:shd w:val="clear" w:color="auto" w:fill="auto"/>
                  <w:vAlign w:val="center"/>
                </w:tcPr>
                <w:p w14:paraId="6BC2FF53">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厂区东侧新建一栋甲类仓库，其中111.99m</w:t>
                  </w:r>
                  <w:r>
                    <w:rPr>
                      <w:rFonts w:hint="eastAsia" w:ascii="Times New Roman" w:hAnsi="Times New Roman" w:eastAsia="宋体" w:cs="Times New Roman"/>
                      <w:color w:val="000000" w:themeColor="text1"/>
                      <w:sz w:val="21"/>
                      <w:szCs w:val="21"/>
                      <w:vertAlign w:val="superscript"/>
                      <w:lang w:val="en-US" w:eastAsia="zh-CN"/>
                      <w14:textFill>
                        <w14:solidFill>
                          <w14:schemeClr w14:val="tx1"/>
                        </w14:solidFill>
                      </w14:textFill>
                    </w:rPr>
                    <w:t>2</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为危废仓库，主要用于暂存厂区所产生的各类危险废物</w:t>
                  </w:r>
                </w:p>
              </w:tc>
              <w:tc>
                <w:tcPr>
                  <w:tcW w:w="927" w:type="dxa"/>
                  <w:vMerge w:val="continue"/>
                  <w:vAlign w:val="center"/>
                </w:tcPr>
                <w:p w14:paraId="0E9FCD85">
                  <w:pPr>
                    <w:pStyle w:val="70"/>
                    <w:spacing w:line="240" w:lineRule="auto"/>
                    <w:rPr>
                      <w:rFonts w:hint="eastAsia" w:ascii="Times New Roman" w:hAnsi="Times New Roman" w:eastAsia="宋体" w:cs="Times New Roman"/>
                      <w:color w:val="auto"/>
                      <w:sz w:val="21"/>
                      <w:szCs w:val="21"/>
                    </w:rPr>
                  </w:pPr>
                </w:p>
              </w:tc>
              <w:tc>
                <w:tcPr>
                  <w:tcW w:w="981" w:type="dxa"/>
                  <w:vAlign w:val="center"/>
                </w:tcPr>
                <w:p w14:paraId="6D504382">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转运噪声、环境风险</w:t>
                  </w:r>
                </w:p>
              </w:tc>
              <w:tc>
                <w:tcPr>
                  <w:tcW w:w="733" w:type="dxa"/>
                  <w:vAlign w:val="center"/>
                </w:tcPr>
                <w:p w14:paraId="4E421BE0">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新建</w:t>
                  </w:r>
                </w:p>
              </w:tc>
            </w:tr>
            <w:tr w14:paraId="2805455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90" w:type="dxa"/>
                  <w:vMerge w:val="continue"/>
                  <w:vAlign w:val="center"/>
                </w:tcPr>
                <w:p w14:paraId="5468A21A">
                  <w:pPr>
                    <w:pStyle w:val="70"/>
                    <w:spacing w:line="240" w:lineRule="auto"/>
                    <w:rPr>
                      <w:rFonts w:hint="eastAsia" w:ascii="Times New Roman" w:hAnsi="Times New Roman" w:eastAsia="宋体" w:cs="Times New Roman"/>
                      <w:color w:val="auto"/>
                      <w:sz w:val="21"/>
                      <w:szCs w:val="21"/>
                    </w:rPr>
                  </w:pPr>
                </w:p>
              </w:tc>
              <w:tc>
                <w:tcPr>
                  <w:tcW w:w="750" w:type="dxa"/>
                  <w:shd w:val="clear" w:color="auto" w:fill="auto"/>
                  <w:vAlign w:val="center"/>
                </w:tcPr>
                <w:p w14:paraId="6AA70830">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废水治理</w:t>
                  </w:r>
                </w:p>
              </w:tc>
              <w:tc>
                <w:tcPr>
                  <w:tcW w:w="1064" w:type="dxa"/>
                  <w:shd w:val="clear" w:color="auto" w:fill="auto"/>
                  <w:vAlign w:val="center"/>
                </w:tcPr>
                <w:p w14:paraId="436658D8">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生活污水</w:t>
                  </w:r>
                  <w:r>
                    <w:rPr>
                      <w:rFonts w:hint="eastAsia" w:cs="Times New Roman"/>
                      <w:color w:val="000000" w:themeColor="text1"/>
                      <w:sz w:val="21"/>
                      <w:szCs w:val="21"/>
                      <w:lang w:val="en-US" w:eastAsia="zh-CN"/>
                      <w14:textFill>
                        <w14:solidFill>
                          <w14:schemeClr w14:val="tx1"/>
                        </w14:solidFill>
                      </w14:textFill>
                    </w:rPr>
                    <w:t>、纯水制备浓水、反冲洗水、空压冷凝水、设备清洗废水</w:t>
                  </w:r>
                </w:p>
              </w:tc>
              <w:tc>
                <w:tcPr>
                  <w:tcW w:w="2509" w:type="dxa"/>
                  <w:shd w:val="clear" w:color="auto" w:fill="auto"/>
                  <w:vAlign w:val="center"/>
                </w:tcPr>
                <w:p w14:paraId="22075F7E">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设备清洗废水经</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新建的废水处理装置（</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处理工艺为</w:t>
                  </w:r>
                  <w:r>
                    <w:rPr>
                      <w:rFonts w:hint="eastAsia" w:cs="Times New Roman"/>
                      <w:color w:val="000000" w:themeColor="text1"/>
                      <w:sz w:val="21"/>
                      <w:szCs w:val="21"/>
                      <w:lang w:val="en-US" w:eastAsia="zh-CN"/>
                      <w14:textFill>
                        <w14:solidFill>
                          <w14:schemeClr w14:val="tx1"/>
                        </w14:solidFill>
                      </w14:textFill>
                    </w:rPr>
                    <w:t>“</w:t>
                  </w:r>
                  <w:r>
                    <w:rPr>
                      <w:rFonts w:hint="eastAsia"/>
                      <w:b w:val="0"/>
                      <w:bCs w:val="0"/>
                      <w:color w:val="000000" w:themeColor="text1"/>
                      <w:sz w:val="21"/>
                      <w:szCs w:val="21"/>
                      <w:highlight w:val="none"/>
                      <w:shd w:val="clear"/>
                      <w:vertAlign w:val="baseline"/>
                      <w:lang w:val="en-US" w:eastAsia="zh-CN"/>
                      <w14:textFill>
                        <w14:solidFill>
                          <w14:schemeClr w14:val="tx1"/>
                        </w14:solidFill>
                      </w14:textFill>
                    </w:rPr>
                    <w:t>正极：除氟+除重+沉淀；负极：芬顿氧化+沉淀</w:t>
                  </w:r>
                  <w:r>
                    <w:rPr>
                      <w:rFonts w:hint="eastAsia" w:cs="Times New Roman"/>
                      <w:color w:val="000000" w:themeColor="text1"/>
                      <w:sz w:val="21"/>
                      <w:szCs w:val="21"/>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，处理能力</w:t>
                  </w:r>
                  <w:r>
                    <w:rPr>
                      <w:rFonts w:hint="eastAsia" w:cs="Times New Roman"/>
                      <w:color w:val="000000" w:themeColor="text1"/>
                      <w:sz w:val="21"/>
                      <w:szCs w:val="21"/>
                      <w:lang w:val="en-US" w:eastAsia="zh-CN"/>
                      <w14:textFill>
                        <w14:solidFill>
                          <w14:schemeClr w14:val="tx1"/>
                        </w14:solidFill>
                      </w14:textFill>
                    </w:rPr>
                    <w:t>6</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m</w:t>
                  </w:r>
                  <w:r>
                    <w:rPr>
                      <w:rFonts w:hint="eastAsia" w:ascii="Times New Roman" w:hAnsi="Times New Roman" w:eastAsia="宋体" w:cs="Times New Roman"/>
                      <w:color w:val="000000" w:themeColor="text1"/>
                      <w:sz w:val="21"/>
                      <w:szCs w:val="21"/>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/d）处理</w:t>
                  </w:r>
                  <w:r>
                    <w:rPr>
                      <w:rFonts w:hint="eastAsia" w:cs="Times New Roman"/>
                      <w:color w:val="000000" w:themeColor="text1"/>
                      <w:sz w:val="21"/>
                      <w:szCs w:val="21"/>
                      <w:lang w:val="en-US" w:eastAsia="zh-CN"/>
                      <w14:textFill>
                        <w14:solidFill>
                          <w14:schemeClr w14:val="tx1"/>
                        </w14:solidFill>
                      </w14:textFill>
                    </w:rPr>
                    <w:t>后同</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办公生活污水</w:t>
                  </w:r>
                  <w:r>
                    <w:rPr>
                      <w:rFonts w:hint="eastAsia" w:cs="Times New Roman"/>
                      <w:color w:val="000000" w:themeColor="text1"/>
                      <w:sz w:val="21"/>
                      <w:szCs w:val="21"/>
                      <w:lang w:val="en-US" w:eastAsia="zh-CN"/>
                      <w14:textFill>
                        <w14:solidFill>
                          <w14:schemeClr w14:val="tx1"/>
                        </w14:solidFill>
                      </w14:textFill>
                    </w:rPr>
                    <w:t>、纯水制备浓水、反冲洗水、空压冷凝水</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经预处理池处理后</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进入园区管网排入巴中经开区污水处理厂处理</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p>
              </w:tc>
              <w:tc>
                <w:tcPr>
                  <w:tcW w:w="927" w:type="dxa"/>
                  <w:vMerge w:val="continue"/>
                  <w:vAlign w:val="center"/>
                </w:tcPr>
                <w:p w14:paraId="1A4D9589">
                  <w:pPr>
                    <w:pStyle w:val="70"/>
                    <w:spacing w:line="240" w:lineRule="auto"/>
                    <w:rPr>
                      <w:rFonts w:hint="eastAsia" w:ascii="Times New Roman" w:hAnsi="Times New Roman" w:eastAsia="宋体" w:cs="Times New Roman"/>
                      <w:color w:val="auto"/>
                      <w:sz w:val="21"/>
                      <w:szCs w:val="21"/>
                    </w:rPr>
                  </w:pPr>
                </w:p>
              </w:tc>
              <w:tc>
                <w:tcPr>
                  <w:tcW w:w="981" w:type="dxa"/>
                  <w:vAlign w:val="center"/>
                </w:tcPr>
                <w:p w14:paraId="76F77C68">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废水、</w:t>
                  </w:r>
                  <w:r>
                    <w:rPr>
                      <w:rFonts w:hint="default" w:ascii="Times New Roman" w:hAnsi="Times New Roman" w:eastAsia="宋体" w:cs="Times New Roman"/>
                      <w:color w:val="auto"/>
                      <w:sz w:val="21"/>
                      <w:szCs w:val="21"/>
                      <w:lang w:val="en-US" w:eastAsia="zh-CN"/>
                    </w:rPr>
                    <w:t>污泥</w:t>
                  </w:r>
                </w:p>
              </w:tc>
              <w:tc>
                <w:tcPr>
                  <w:tcW w:w="733" w:type="dxa"/>
                  <w:vAlign w:val="center"/>
                </w:tcPr>
                <w:p w14:paraId="0574B04D">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新建</w:t>
                  </w:r>
                </w:p>
              </w:tc>
            </w:tr>
            <w:tr w14:paraId="0B52432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90" w:type="dxa"/>
                  <w:vMerge w:val="continue"/>
                  <w:vAlign w:val="center"/>
                </w:tcPr>
                <w:p w14:paraId="724A6A95">
                  <w:pPr>
                    <w:pStyle w:val="70"/>
                    <w:spacing w:line="240" w:lineRule="auto"/>
                    <w:rPr>
                      <w:rFonts w:hint="eastAsia" w:ascii="Times New Roman" w:hAnsi="Times New Roman" w:eastAsia="宋体" w:cs="Times New Roman"/>
                      <w:color w:val="auto"/>
                      <w:sz w:val="21"/>
                      <w:szCs w:val="21"/>
                    </w:rPr>
                  </w:pPr>
                </w:p>
              </w:tc>
              <w:tc>
                <w:tcPr>
                  <w:tcW w:w="750" w:type="dxa"/>
                  <w:vMerge w:val="restart"/>
                  <w:shd w:val="clear" w:color="auto" w:fill="auto"/>
                  <w:vAlign w:val="center"/>
                </w:tcPr>
                <w:p w14:paraId="125F92B1">
                  <w:pPr>
                    <w:keepNext w:val="0"/>
                    <w:keepLines w:val="0"/>
                    <w:pageBreakBefore w:val="0"/>
                    <w:widowControl w:val="0"/>
                    <w:kinsoku/>
                    <w:wordWrap/>
                    <w:overflowPunct/>
                    <w:topLinePunct w:val="0"/>
                    <w:bidi w:val="0"/>
                    <w:adjustRightInd/>
                    <w:snapToGrid/>
                    <w:spacing w:line="240" w:lineRule="auto"/>
                    <w:ind w:firstLine="0" w:firstLineChars="0"/>
                    <w:jc w:val="center"/>
                    <w:textAlignment w:val="baseline"/>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废气治理</w:t>
                  </w:r>
                </w:p>
              </w:tc>
              <w:tc>
                <w:tcPr>
                  <w:tcW w:w="1064" w:type="dxa"/>
                  <w:shd w:val="clear" w:color="auto" w:fill="auto"/>
                  <w:vAlign w:val="center"/>
                </w:tcPr>
                <w:p w14:paraId="0F2783A4">
                  <w:pPr>
                    <w:keepNext w:val="0"/>
                    <w:keepLines w:val="0"/>
                    <w:pageBreakBefore w:val="0"/>
                    <w:widowControl w:val="0"/>
                    <w:kinsoku/>
                    <w:wordWrap/>
                    <w:overflowPunct/>
                    <w:topLinePunct w:val="0"/>
                    <w:bidi w:val="0"/>
                    <w:adjustRightInd/>
                    <w:snapToGrid/>
                    <w:spacing w:line="240" w:lineRule="auto"/>
                    <w:ind w:firstLine="0" w:firstLineChars="0"/>
                    <w:jc w:val="cente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kern w:val="0"/>
                      <w:sz w:val="21"/>
                      <w:szCs w:val="21"/>
                      <w:lang w:val="en-US" w:eastAsia="zh-CN" w:bidi="ar-SA"/>
                      <w14:textFill>
                        <w14:solidFill>
                          <w14:schemeClr w14:val="tx1"/>
                        </w14:solidFill>
                      </w14:textFill>
                    </w:rPr>
                    <w:t>投料粉尘</w:t>
                  </w:r>
                </w:p>
              </w:tc>
              <w:tc>
                <w:tcPr>
                  <w:tcW w:w="2509" w:type="dxa"/>
                  <w:shd w:val="clear" w:color="auto" w:fill="auto"/>
                  <w:vAlign w:val="center"/>
                </w:tcPr>
                <w:p w14:paraId="2FF2BA4B">
                  <w:pPr>
                    <w:keepNext w:val="0"/>
                    <w:keepLines w:val="0"/>
                    <w:pageBreakBefore w:val="0"/>
                    <w:widowControl w:val="0"/>
                    <w:kinsoku/>
                    <w:wordWrap/>
                    <w:overflowPunct/>
                    <w:topLinePunct w:val="0"/>
                    <w:bidi w:val="0"/>
                    <w:adjustRightInd/>
                    <w:snapToGrid/>
                    <w:spacing w:line="240" w:lineRule="auto"/>
                    <w:ind w:firstLine="0" w:firstLineChars="0"/>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投料时，投料间密闭，</w:t>
                  </w:r>
                  <w:r>
                    <w:rPr>
                      <w:rFonts w:hint="default" w:ascii="Times New Roman" w:hAnsi="Times New Roman" w:cs="Times New Roman"/>
                      <w:color w:val="000000" w:themeColor="text1"/>
                      <w:lang w:val="en-US" w:eastAsia="zh-CN"/>
                      <w14:textFill>
                        <w14:solidFill>
                          <w14:schemeClr w14:val="tx1"/>
                        </w14:solidFill>
                      </w14:textFill>
                    </w:rPr>
                    <w:t>投料产生的颗粒物通过真空上料系统自带滤芯除尘器</w:t>
                  </w:r>
                  <w:r>
                    <w:rPr>
                      <w:rFonts w:hint="eastAsia" w:cs="Times New Roman"/>
                      <w:color w:val="000000" w:themeColor="text1"/>
                      <w:lang w:val="en-US" w:eastAsia="zh-CN"/>
                      <w14:textFill>
                        <w14:solidFill>
                          <w14:schemeClr w14:val="tx1"/>
                        </w14:solidFill>
                      </w14:textFill>
                    </w:rPr>
                    <w:t>（TA001）+车间洁净系统</w:t>
                  </w:r>
                  <w:r>
                    <w:rPr>
                      <w:rFonts w:hint="default" w:ascii="Times New Roman" w:hAnsi="Times New Roman" w:cs="Times New Roman"/>
                      <w:color w:val="000000" w:themeColor="text1"/>
                      <w:lang w:val="en-US" w:eastAsia="zh-CN"/>
                      <w14:textFill>
                        <w14:solidFill>
                          <w14:schemeClr w14:val="tx1"/>
                        </w14:solidFill>
                      </w14:textFill>
                    </w:rPr>
                    <w:t>收集</w:t>
                  </w:r>
                  <w:r>
                    <w:rPr>
                      <w:rFonts w:hint="eastAsia" w:cs="Times New Roman"/>
                      <w:color w:val="000000" w:themeColor="text1"/>
                      <w:lang w:val="en-US" w:eastAsia="zh-CN"/>
                      <w14:textFill>
                        <w14:solidFill>
                          <w14:schemeClr w14:val="tx1"/>
                        </w14:solidFill>
                      </w14:textFill>
                    </w:rPr>
                    <w:t>后，无组织排放</w:t>
                  </w:r>
                </w:p>
              </w:tc>
              <w:tc>
                <w:tcPr>
                  <w:tcW w:w="927" w:type="dxa"/>
                  <w:vMerge w:val="continue"/>
                  <w:vAlign w:val="center"/>
                </w:tcPr>
                <w:p w14:paraId="5096FAC0">
                  <w:pPr>
                    <w:pStyle w:val="70"/>
                    <w:spacing w:line="240" w:lineRule="auto"/>
                    <w:rPr>
                      <w:rFonts w:hint="eastAsia" w:ascii="Times New Roman" w:hAnsi="Times New Roman" w:eastAsia="宋体" w:cs="Times New Roman"/>
                      <w:color w:val="auto"/>
                      <w:sz w:val="21"/>
                      <w:szCs w:val="21"/>
                    </w:rPr>
                  </w:pPr>
                </w:p>
              </w:tc>
              <w:tc>
                <w:tcPr>
                  <w:tcW w:w="981" w:type="dxa"/>
                  <w:vMerge w:val="restart"/>
                  <w:vAlign w:val="center"/>
                </w:tcPr>
                <w:p w14:paraId="6C1533ED">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废气</w:t>
                  </w:r>
                </w:p>
              </w:tc>
              <w:tc>
                <w:tcPr>
                  <w:tcW w:w="733" w:type="dxa"/>
                  <w:vAlign w:val="center"/>
                </w:tcPr>
                <w:p w14:paraId="51DBB548">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新建</w:t>
                  </w:r>
                </w:p>
              </w:tc>
            </w:tr>
            <w:tr w14:paraId="3890829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90" w:type="dxa"/>
                  <w:vMerge w:val="continue"/>
                  <w:vAlign w:val="center"/>
                </w:tcPr>
                <w:p w14:paraId="22EF4738">
                  <w:pPr>
                    <w:pStyle w:val="70"/>
                    <w:spacing w:line="240" w:lineRule="auto"/>
                    <w:rPr>
                      <w:rFonts w:hint="eastAsia" w:ascii="Times New Roman" w:hAnsi="Times New Roman" w:eastAsia="宋体" w:cs="Times New Roman"/>
                      <w:color w:val="auto"/>
                      <w:sz w:val="21"/>
                      <w:szCs w:val="21"/>
                    </w:rPr>
                  </w:pPr>
                </w:p>
              </w:tc>
              <w:tc>
                <w:tcPr>
                  <w:tcW w:w="750" w:type="dxa"/>
                  <w:vMerge w:val="continue"/>
                  <w:shd w:val="clear" w:color="auto" w:fill="auto"/>
                  <w:vAlign w:val="center"/>
                </w:tcPr>
                <w:p w14:paraId="5A48A650">
                  <w:pPr>
                    <w:keepNext w:val="0"/>
                    <w:keepLines w:val="0"/>
                    <w:pageBreakBefore w:val="0"/>
                    <w:widowControl w:val="0"/>
                    <w:kinsoku/>
                    <w:wordWrap/>
                    <w:overflowPunct/>
                    <w:topLinePunct w:val="0"/>
                    <w:bidi w:val="0"/>
                    <w:adjustRightInd/>
                    <w:snapToGrid/>
                    <w:spacing w:line="240" w:lineRule="auto"/>
                    <w:ind w:firstLine="0" w:firstLineChars="0"/>
                    <w:jc w:val="center"/>
                    <w:textAlignment w:val="baseline"/>
                    <w:rPr>
                      <w:rFonts w:hint="default" w:ascii="Times New Roman" w:hAnsi="Times New Roman" w:eastAsia="宋体" w:cs="Times New Roman"/>
                      <w:color w:val="auto"/>
                      <w:kern w:val="0"/>
                      <w:sz w:val="21"/>
                      <w:szCs w:val="21"/>
                      <w:lang w:val="en-US" w:eastAsia="zh-CN" w:bidi="ar-SA"/>
                    </w:rPr>
                  </w:pPr>
                </w:p>
              </w:tc>
              <w:tc>
                <w:tcPr>
                  <w:tcW w:w="1064" w:type="dxa"/>
                  <w:shd w:val="clear" w:color="auto" w:fill="auto"/>
                  <w:vAlign w:val="center"/>
                </w:tcPr>
                <w:p w14:paraId="48F780B5">
                  <w:pPr>
                    <w:keepNext w:val="0"/>
                    <w:keepLines w:val="0"/>
                    <w:pageBreakBefore w:val="0"/>
                    <w:widowControl w:val="0"/>
                    <w:kinsoku/>
                    <w:wordWrap/>
                    <w:overflowPunct/>
                    <w:topLinePunct w:val="0"/>
                    <w:bidi w:val="0"/>
                    <w:adjustRightInd/>
                    <w:snapToGrid/>
                    <w:spacing w:line="240" w:lineRule="auto"/>
                    <w:ind w:firstLine="0" w:firstLineChars="0"/>
                    <w:jc w:val="center"/>
                    <w:rPr>
                      <w:rFonts w:hint="eastAsia" w:cs="Times New Roman"/>
                      <w:color w:val="auto"/>
                      <w:kern w:val="0"/>
                      <w:sz w:val="21"/>
                      <w:szCs w:val="21"/>
                      <w:lang w:val="en-US" w:eastAsia="zh-CN" w:bidi="ar-SA"/>
                    </w:rPr>
                  </w:pPr>
                  <w:r>
                    <w:rPr>
                      <w:rFonts w:hint="eastAsia" w:cs="Times New Roman"/>
                      <w:color w:val="auto"/>
                      <w:kern w:val="0"/>
                      <w:sz w:val="21"/>
                      <w:szCs w:val="21"/>
                      <w:lang w:val="en-US" w:eastAsia="zh-CN" w:bidi="ar-SA"/>
                    </w:rPr>
                    <w:t>涂布烘干废气</w:t>
                  </w:r>
                </w:p>
              </w:tc>
              <w:tc>
                <w:tcPr>
                  <w:tcW w:w="2509" w:type="dxa"/>
                  <w:shd w:val="clear" w:color="auto" w:fill="auto"/>
                  <w:vAlign w:val="center"/>
                </w:tcPr>
                <w:p w14:paraId="7B524B3E">
                  <w:pPr>
                    <w:keepNext w:val="0"/>
                    <w:keepLines w:val="0"/>
                    <w:pageBreakBefore w:val="0"/>
                    <w:widowControl w:val="0"/>
                    <w:kinsoku/>
                    <w:wordWrap/>
                    <w:overflowPunct/>
                    <w:topLinePunct w:val="0"/>
                    <w:bidi w:val="0"/>
                    <w:adjustRightInd/>
                    <w:snapToGrid/>
                    <w:spacing w:line="240" w:lineRule="auto"/>
                    <w:ind w:firstLine="0" w:firstLineChars="0"/>
                    <w:rPr>
                      <w:rFonts w:hint="default" w:cs="Times New Roman"/>
                      <w:color w:val="auto"/>
                      <w:kern w:val="0"/>
                      <w:sz w:val="21"/>
                      <w:szCs w:val="21"/>
                      <w:lang w:val="en-US" w:eastAsia="zh-CN" w:bidi="ar-SA"/>
                    </w:rPr>
                  </w:pPr>
                  <w:r>
                    <w:rPr>
                      <w:rFonts w:hint="eastAsia" w:cs="Times New Roman"/>
                      <w:color w:val="auto"/>
                      <w:kern w:val="0"/>
                      <w:sz w:val="21"/>
                      <w:szCs w:val="21"/>
                      <w:lang w:val="en-US" w:eastAsia="zh-CN" w:bidi="ar-SA"/>
                    </w:rPr>
                    <w:t>经NMP回收装置（TA002）处理后通过25m高排气筒（DA001）排放</w:t>
                  </w:r>
                </w:p>
              </w:tc>
              <w:tc>
                <w:tcPr>
                  <w:tcW w:w="927" w:type="dxa"/>
                  <w:vMerge w:val="continue"/>
                  <w:vAlign w:val="center"/>
                </w:tcPr>
                <w:p w14:paraId="1C2E9DEF">
                  <w:pPr>
                    <w:pStyle w:val="70"/>
                    <w:spacing w:line="240" w:lineRule="auto"/>
                    <w:rPr>
                      <w:rFonts w:hint="eastAsia" w:ascii="Times New Roman" w:hAnsi="Times New Roman" w:eastAsia="宋体" w:cs="Times New Roman"/>
                      <w:color w:val="auto"/>
                      <w:sz w:val="21"/>
                      <w:szCs w:val="21"/>
                    </w:rPr>
                  </w:pPr>
                </w:p>
              </w:tc>
              <w:tc>
                <w:tcPr>
                  <w:tcW w:w="981" w:type="dxa"/>
                  <w:vMerge w:val="continue"/>
                  <w:vAlign w:val="center"/>
                </w:tcPr>
                <w:p w14:paraId="34898220">
                  <w:pPr>
                    <w:pStyle w:val="70"/>
                    <w:spacing w:line="240" w:lineRule="auto"/>
                    <w:rPr>
                      <w:rFonts w:hint="eastAsia" w:cs="Times New Roman"/>
                      <w:color w:val="auto"/>
                      <w:sz w:val="21"/>
                      <w:szCs w:val="21"/>
                      <w:lang w:val="en-US" w:eastAsia="zh-CN"/>
                    </w:rPr>
                  </w:pPr>
                </w:p>
              </w:tc>
              <w:tc>
                <w:tcPr>
                  <w:tcW w:w="733" w:type="dxa"/>
                  <w:vAlign w:val="center"/>
                </w:tcPr>
                <w:p w14:paraId="035D43DD">
                  <w:pPr>
                    <w:pStyle w:val="70"/>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新建</w:t>
                  </w:r>
                </w:p>
              </w:tc>
            </w:tr>
            <w:tr w14:paraId="2BE4375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90" w:type="dxa"/>
                  <w:vMerge w:val="continue"/>
                  <w:vAlign w:val="center"/>
                </w:tcPr>
                <w:p w14:paraId="0057C835">
                  <w:pPr>
                    <w:pStyle w:val="70"/>
                    <w:spacing w:line="240" w:lineRule="auto"/>
                    <w:rPr>
                      <w:rFonts w:hint="eastAsia" w:ascii="Times New Roman" w:hAnsi="Times New Roman" w:eastAsia="宋体" w:cs="Times New Roman"/>
                      <w:color w:val="auto"/>
                      <w:sz w:val="21"/>
                      <w:szCs w:val="21"/>
                    </w:rPr>
                  </w:pPr>
                </w:p>
              </w:tc>
              <w:tc>
                <w:tcPr>
                  <w:tcW w:w="750" w:type="dxa"/>
                  <w:vMerge w:val="continue"/>
                  <w:shd w:val="clear" w:color="auto" w:fill="auto"/>
                  <w:vAlign w:val="center"/>
                </w:tcPr>
                <w:p w14:paraId="16F15519">
                  <w:pPr>
                    <w:keepNext w:val="0"/>
                    <w:keepLines w:val="0"/>
                    <w:pageBreakBefore w:val="0"/>
                    <w:widowControl w:val="0"/>
                    <w:kinsoku/>
                    <w:wordWrap/>
                    <w:overflowPunct/>
                    <w:topLinePunct w:val="0"/>
                    <w:bidi w:val="0"/>
                    <w:adjustRightInd/>
                    <w:snapToGrid/>
                    <w:spacing w:line="240" w:lineRule="auto"/>
                    <w:ind w:firstLine="0" w:firstLineChars="0"/>
                    <w:jc w:val="center"/>
                    <w:textAlignment w:val="baseline"/>
                    <w:rPr>
                      <w:rFonts w:hint="default" w:ascii="Times New Roman" w:hAnsi="Times New Roman" w:eastAsia="宋体" w:cs="Times New Roman"/>
                      <w:color w:val="auto"/>
                      <w:kern w:val="0"/>
                      <w:sz w:val="21"/>
                      <w:szCs w:val="21"/>
                      <w:lang w:val="en-US" w:eastAsia="zh-CN" w:bidi="ar-SA"/>
                    </w:rPr>
                  </w:pPr>
                </w:p>
              </w:tc>
              <w:tc>
                <w:tcPr>
                  <w:tcW w:w="1064" w:type="dxa"/>
                  <w:shd w:val="clear" w:color="auto" w:fill="auto"/>
                  <w:vAlign w:val="center"/>
                </w:tcPr>
                <w:p w14:paraId="0E66B80D">
                  <w:pPr>
                    <w:keepNext w:val="0"/>
                    <w:keepLines w:val="0"/>
                    <w:pageBreakBefore w:val="0"/>
                    <w:widowControl w:val="0"/>
                    <w:kinsoku/>
                    <w:wordWrap/>
                    <w:overflowPunct/>
                    <w:topLinePunct w:val="0"/>
                    <w:bidi w:val="0"/>
                    <w:adjustRightInd/>
                    <w:snapToGrid/>
                    <w:spacing w:line="240" w:lineRule="auto"/>
                    <w:ind w:firstLine="0" w:firstLineChars="0"/>
                    <w:jc w:val="center"/>
                    <w:rPr>
                      <w:rFonts w:hint="default" w:cs="Times New Roman"/>
                      <w:color w:val="auto"/>
                      <w:kern w:val="0"/>
                      <w:sz w:val="21"/>
                      <w:szCs w:val="21"/>
                      <w:lang w:val="en-US" w:eastAsia="zh-CN" w:bidi="ar-SA"/>
                    </w:rPr>
                  </w:pPr>
                  <w:r>
                    <w:rPr>
                      <w:rFonts w:hint="eastAsia" w:cs="Times New Roman"/>
                      <w:color w:val="auto"/>
                      <w:kern w:val="0"/>
                      <w:sz w:val="21"/>
                      <w:szCs w:val="21"/>
                      <w:lang w:val="en-US" w:eastAsia="zh-CN" w:bidi="ar-SA"/>
                    </w:rPr>
                    <w:t>注液废气</w:t>
                  </w:r>
                </w:p>
              </w:tc>
              <w:tc>
                <w:tcPr>
                  <w:tcW w:w="2509" w:type="dxa"/>
                  <w:vMerge w:val="restart"/>
                  <w:shd w:val="clear" w:color="auto" w:fill="auto"/>
                  <w:vAlign w:val="center"/>
                </w:tcPr>
                <w:p w14:paraId="15E3650B">
                  <w:pPr>
                    <w:keepNext w:val="0"/>
                    <w:keepLines w:val="0"/>
                    <w:pageBreakBefore w:val="0"/>
                    <w:widowControl w:val="0"/>
                    <w:kinsoku/>
                    <w:wordWrap/>
                    <w:overflowPunct/>
                    <w:topLinePunct w:val="0"/>
                    <w:bidi w:val="0"/>
                    <w:adjustRightInd/>
                    <w:snapToGrid/>
                    <w:spacing w:line="240" w:lineRule="auto"/>
                    <w:ind w:firstLine="0" w:firstLineChars="0"/>
                    <w:rPr>
                      <w:rFonts w:hint="default" w:cs="Times New Roman"/>
                      <w:color w:val="auto"/>
                      <w:kern w:val="0"/>
                      <w:sz w:val="21"/>
                      <w:szCs w:val="21"/>
                      <w:lang w:val="en-US" w:eastAsia="zh-CN" w:bidi="ar-SA"/>
                    </w:rPr>
                  </w:pPr>
                  <w:r>
                    <w:rPr>
                      <w:rFonts w:hint="eastAsia" w:cs="Times New Roman"/>
                      <w:color w:val="auto"/>
                      <w:kern w:val="0"/>
                      <w:sz w:val="21"/>
                      <w:szCs w:val="21"/>
                      <w:lang w:val="en-US" w:eastAsia="zh-CN" w:bidi="ar-SA"/>
                    </w:rPr>
                    <w:t>二级活性炭（TA003）处理后通过25m高排气筒（DA002）排放</w:t>
                  </w:r>
                </w:p>
              </w:tc>
              <w:tc>
                <w:tcPr>
                  <w:tcW w:w="927" w:type="dxa"/>
                  <w:vMerge w:val="continue"/>
                  <w:vAlign w:val="center"/>
                </w:tcPr>
                <w:p w14:paraId="54C5D90A">
                  <w:pPr>
                    <w:pStyle w:val="70"/>
                    <w:spacing w:line="240" w:lineRule="auto"/>
                    <w:rPr>
                      <w:rFonts w:hint="eastAsia" w:ascii="Times New Roman" w:hAnsi="Times New Roman" w:eastAsia="宋体" w:cs="Times New Roman"/>
                      <w:color w:val="auto"/>
                      <w:sz w:val="21"/>
                      <w:szCs w:val="21"/>
                    </w:rPr>
                  </w:pPr>
                </w:p>
              </w:tc>
              <w:tc>
                <w:tcPr>
                  <w:tcW w:w="981" w:type="dxa"/>
                  <w:vMerge w:val="continue"/>
                  <w:vAlign w:val="center"/>
                </w:tcPr>
                <w:p w14:paraId="6B577AEE">
                  <w:pPr>
                    <w:pStyle w:val="70"/>
                    <w:spacing w:line="240" w:lineRule="auto"/>
                    <w:rPr>
                      <w:rFonts w:hint="eastAsia" w:cs="Times New Roman"/>
                      <w:color w:val="auto"/>
                      <w:sz w:val="21"/>
                      <w:szCs w:val="21"/>
                      <w:lang w:val="en-US" w:eastAsia="zh-CN"/>
                    </w:rPr>
                  </w:pPr>
                </w:p>
              </w:tc>
              <w:tc>
                <w:tcPr>
                  <w:tcW w:w="733" w:type="dxa"/>
                  <w:vAlign w:val="center"/>
                </w:tcPr>
                <w:p w14:paraId="2484F7DF">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新建</w:t>
                  </w:r>
                </w:p>
              </w:tc>
            </w:tr>
            <w:tr w14:paraId="13D5FA1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90" w:type="dxa"/>
                  <w:vMerge w:val="continue"/>
                  <w:vAlign w:val="center"/>
                </w:tcPr>
                <w:p w14:paraId="57E2FDEA">
                  <w:pPr>
                    <w:pStyle w:val="70"/>
                    <w:spacing w:line="240" w:lineRule="auto"/>
                    <w:rPr>
                      <w:rFonts w:hint="eastAsia" w:ascii="Times New Roman" w:hAnsi="Times New Roman" w:eastAsia="宋体" w:cs="Times New Roman"/>
                      <w:color w:val="auto"/>
                      <w:sz w:val="21"/>
                      <w:szCs w:val="21"/>
                    </w:rPr>
                  </w:pPr>
                </w:p>
              </w:tc>
              <w:tc>
                <w:tcPr>
                  <w:tcW w:w="750" w:type="dxa"/>
                  <w:vMerge w:val="continue"/>
                  <w:shd w:val="clear" w:color="auto" w:fill="auto"/>
                  <w:vAlign w:val="center"/>
                </w:tcPr>
                <w:p w14:paraId="02B9375C">
                  <w:pPr>
                    <w:keepNext w:val="0"/>
                    <w:keepLines w:val="0"/>
                    <w:pageBreakBefore w:val="0"/>
                    <w:widowControl w:val="0"/>
                    <w:kinsoku/>
                    <w:wordWrap/>
                    <w:overflowPunct/>
                    <w:topLinePunct w:val="0"/>
                    <w:bidi w:val="0"/>
                    <w:adjustRightInd/>
                    <w:snapToGrid/>
                    <w:spacing w:line="240" w:lineRule="auto"/>
                    <w:ind w:firstLine="0" w:firstLineChars="0"/>
                    <w:jc w:val="center"/>
                    <w:textAlignment w:val="baseline"/>
                    <w:rPr>
                      <w:rFonts w:hint="default" w:ascii="Times New Roman" w:hAnsi="Times New Roman" w:eastAsia="宋体" w:cs="Times New Roman"/>
                      <w:color w:val="auto"/>
                      <w:kern w:val="0"/>
                      <w:sz w:val="21"/>
                      <w:szCs w:val="21"/>
                      <w:lang w:val="en-US" w:eastAsia="zh-CN" w:bidi="ar-SA"/>
                    </w:rPr>
                  </w:pPr>
                </w:p>
              </w:tc>
              <w:tc>
                <w:tcPr>
                  <w:tcW w:w="1064" w:type="dxa"/>
                  <w:shd w:val="clear" w:color="auto" w:fill="auto"/>
                  <w:vAlign w:val="center"/>
                </w:tcPr>
                <w:p w14:paraId="2467AE77">
                  <w:pPr>
                    <w:keepNext w:val="0"/>
                    <w:keepLines w:val="0"/>
                    <w:pageBreakBefore w:val="0"/>
                    <w:widowControl w:val="0"/>
                    <w:kinsoku/>
                    <w:wordWrap/>
                    <w:overflowPunct/>
                    <w:topLinePunct w:val="0"/>
                    <w:bidi w:val="0"/>
                    <w:adjustRightInd/>
                    <w:snapToGrid/>
                    <w:spacing w:line="240" w:lineRule="auto"/>
                    <w:ind w:firstLine="0" w:firstLineChars="0"/>
                    <w:jc w:val="center"/>
                    <w:rPr>
                      <w:rFonts w:hint="default" w:cs="Times New Roman"/>
                      <w:color w:val="auto"/>
                      <w:kern w:val="0"/>
                      <w:sz w:val="21"/>
                      <w:szCs w:val="21"/>
                      <w:lang w:val="en-US" w:eastAsia="zh-CN" w:bidi="ar-SA"/>
                    </w:rPr>
                  </w:pPr>
                  <w:r>
                    <w:rPr>
                      <w:rFonts w:hint="eastAsia" w:cs="Times New Roman"/>
                      <w:color w:val="auto"/>
                      <w:kern w:val="0"/>
                      <w:sz w:val="21"/>
                      <w:szCs w:val="21"/>
                      <w:lang w:val="en-US" w:eastAsia="zh-CN" w:bidi="ar-SA"/>
                    </w:rPr>
                    <w:t>二封废气</w:t>
                  </w:r>
                </w:p>
              </w:tc>
              <w:tc>
                <w:tcPr>
                  <w:tcW w:w="2509" w:type="dxa"/>
                  <w:vMerge w:val="continue"/>
                  <w:shd w:val="clear" w:color="auto" w:fill="auto"/>
                  <w:vAlign w:val="center"/>
                </w:tcPr>
                <w:p w14:paraId="574E8FF9">
                  <w:pPr>
                    <w:keepNext w:val="0"/>
                    <w:keepLines w:val="0"/>
                    <w:pageBreakBefore w:val="0"/>
                    <w:widowControl w:val="0"/>
                    <w:kinsoku/>
                    <w:wordWrap/>
                    <w:overflowPunct/>
                    <w:topLinePunct w:val="0"/>
                    <w:bidi w:val="0"/>
                    <w:adjustRightInd/>
                    <w:snapToGrid/>
                    <w:spacing w:line="240" w:lineRule="auto"/>
                    <w:ind w:firstLine="0" w:firstLineChars="0"/>
                    <w:rPr>
                      <w:rFonts w:hint="eastAsia" w:cs="Times New Roman"/>
                      <w:color w:val="auto"/>
                      <w:kern w:val="0"/>
                      <w:sz w:val="21"/>
                      <w:szCs w:val="21"/>
                      <w:lang w:val="en-US" w:eastAsia="zh-CN" w:bidi="ar-SA"/>
                    </w:rPr>
                  </w:pPr>
                </w:p>
              </w:tc>
              <w:tc>
                <w:tcPr>
                  <w:tcW w:w="927" w:type="dxa"/>
                  <w:vMerge w:val="continue"/>
                  <w:vAlign w:val="center"/>
                </w:tcPr>
                <w:p w14:paraId="0FBB1FA4">
                  <w:pPr>
                    <w:pStyle w:val="70"/>
                    <w:spacing w:line="240" w:lineRule="auto"/>
                    <w:rPr>
                      <w:rFonts w:hint="eastAsia" w:ascii="Times New Roman" w:hAnsi="Times New Roman" w:eastAsia="宋体" w:cs="Times New Roman"/>
                      <w:color w:val="auto"/>
                      <w:sz w:val="21"/>
                      <w:szCs w:val="21"/>
                    </w:rPr>
                  </w:pPr>
                </w:p>
              </w:tc>
              <w:tc>
                <w:tcPr>
                  <w:tcW w:w="981" w:type="dxa"/>
                  <w:vMerge w:val="continue"/>
                  <w:vAlign w:val="center"/>
                </w:tcPr>
                <w:p w14:paraId="3D5E943B">
                  <w:pPr>
                    <w:pStyle w:val="70"/>
                    <w:spacing w:line="240" w:lineRule="auto"/>
                    <w:rPr>
                      <w:rFonts w:hint="eastAsia" w:cs="Times New Roman"/>
                      <w:color w:val="auto"/>
                      <w:sz w:val="21"/>
                      <w:szCs w:val="21"/>
                      <w:lang w:val="en-US" w:eastAsia="zh-CN"/>
                    </w:rPr>
                  </w:pPr>
                </w:p>
              </w:tc>
              <w:tc>
                <w:tcPr>
                  <w:tcW w:w="733" w:type="dxa"/>
                  <w:vAlign w:val="center"/>
                </w:tcPr>
                <w:p w14:paraId="52D0D88D">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新建</w:t>
                  </w:r>
                </w:p>
              </w:tc>
            </w:tr>
            <w:tr w14:paraId="361B7A2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90" w:type="dxa"/>
                  <w:vMerge w:val="continue"/>
                  <w:vAlign w:val="center"/>
                </w:tcPr>
                <w:p w14:paraId="09CF9009">
                  <w:pPr>
                    <w:pStyle w:val="70"/>
                    <w:spacing w:line="240" w:lineRule="auto"/>
                    <w:rPr>
                      <w:rFonts w:hint="eastAsia" w:ascii="Times New Roman" w:hAnsi="Times New Roman" w:eastAsia="宋体" w:cs="Times New Roman"/>
                      <w:color w:val="auto"/>
                      <w:sz w:val="21"/>
                      <w:szCs w:val="21"/>
                    </w:rPr>
                  </w:pPr>
                </w:p>
              </w:tc>
              <w:tc>
                <w:tcPr>
                  <w:tcW w:w="750" w:type="dxa"/>
                  <w:vMerge w:val="continue"/>
                  <w:shd w:val="clear" w:color="auto" w:fill="auto"/>
                  <w:vAlign w:val="center"/>
                </w:tcPr>
                <w:p w14:paraId="447B654F">
                  <w:pPr>
                    <w:keepNext w:val="0"/>
                    <w:keepLines w:val="0"/>
                    <w:pageBreakBefore w:val="0"/>
                    <w:widowControl w:val="0"/>
                    <w:kinsoku/>
                    <w:wordWrap/>
                    <w:overflowPunct/>
                    <w:topLinePunct w:val="0"/>
                    <w:bidi w:val="0"/>
                    <w:adjustRightInd/>
                    <w:snapToGrid/>
                    <w:spacing w:line="240" w:lineRule="auto"/>
                    <w:ind w:firstLine="0" w:firstLineChars="0"/>
                    <w:jc w:val="center"/>
                    <w:textAlignment w:val="baseline"/>
                    <w:rPr>
                      <w:rFonts w:hint="default" w:ascii="Times New Roman" w:hAnsi="Times New Roman" w:eastAsia="宋体" w:cs="Times New Roman"/>
                      <w:color w:val="auto"/>
                      <w:kern w:val="0"/>
                      <w:sz w:val="21"/>
                      <w:szCs w:val="21"/>
                      <w:lang w:val="en-US" w:eastAsia="zh-CN" w:bidi="ar-SA"/>
                    </w:rPr>
                  </w:pPr>
                </w:p>
              </w:tc>
              <w:tc>
                <w:tcPr>
                  <w:tcW w:w="1064" w:type="dxa"/>
                  <w:shd w:val="clear" w:color="auto" w:fill="auto"/>
                  <w:vAlign w:val="center"/>
                </w:tcPr>
                <w:p w14:paraId="5E39EB26">
                  <w:pPr>
                    <w:keepNext w:val="0"/>
                    <w:keepLines w:val="0"/>
                    <w:pageBreakBefore w:val="0"/>
                    <w:widowControl w:val="0"/>
                    <w:kinsoku/>
                    <w:wordWrap/>
                    <w:overflowPunct/>
                    <w:topLinePunct w:val="0"/>
                    <w:bidi w:val="0"/>
                    <w:adjustRightInd/>
                    <w:snapToGrid/>
                    <w:spacing w:line="240" w:lineRule="auto"/>
                    <w:ind w:firstLine="0" w:firstLineChars="0"/>
                    <w:jc w:val="center"/>
                    <w:rPr>
                      <w:rFonts w:hint="default" w:cs="Times New Roman"/>
                      <w:color w:val="auto"/>
                      <w:kern w:val="0"/>
                      <w:sz w:val="21"/>
                      <w:szCs w:val="21"/>
                      <w:lang w:val="en-US" w:eastAsia="zh-CN" w:bidi="ar-SA"/>
                    </w:rPr>
                  </w:pPr>
                  <w:r>
                    <w:rPr>
                      <w:rFonts w:hint="eastAsia" w:cs="Times New Roman"/>
                      <w:color w:val="auto"/>
                      <w:kern w:val="0"/>
                      <w:sz w:val="21"/>
                      <w:szCs w:val="21"/>
                      <w:lang w:val="en-US" w:eastAsia="zh-CN" w:bidi="ar-SA"/>
                    </w:rPr>
                    <w:t>拆解废气</w:t>
                  </w:r>
                </w:p>
              </w:tc>
              <w:tc>
                <w:tcPr>
                  <w:tcW w:w="2509" w:type="dxa"/>
                  <w:vMerge w:val="continue"/>
                  <w:shd w:val="clear" w:color="auto" w:fill="auto"/>
                  <w:vAlign w:val="center"/>
                </w:tcPr>
                <w:p w14:paraId="29F4A0FC">
                  <w:pPr>
                    <w:keepNext w:val="0"/>
                    <w:keepLines w:val="0"/>
                    <w:pageBreakBefore w:val="0"/>
                    <w:widowControl w:val="0"/>
                    <w:kinsoku/>
                    <w:wordWrap/>
                    <w:overflowPunct/>
                    <w:topLinePunct w:val="0"/>
                    <w:bidi w:val="0"/>
                    <w:adjustRightInd/>
                    <w:snapToGrid/>
                    <w:spacing w:line="240" w:lineRule="auto"/>
                    <w:ind w:firstLine="0" w:firstLineChars="0"/>
                    <w:rPr>
                      <w:rFonts w:hint="default" w:cs="Times New Roman"/>
                      <w:color w:val="auto"/>
                      <w:kern w:val="0"/>
                      <w:sz w:val="21"/>
                      <w:szCs w:val="21"/>
                      <w:lang w:val="en-US" w:eastAsia="zh-CN" w:bidi="ar-SA"/>
                    </w:rPr>
                  </w:pPr>
                </w:p>
              </w:tc>
              <w:tc>
                <w:tcPr>
                  <w:tcW w:w="927" w:type="dxa"/>
                  <w:vMerge w:val="continue"/>
                  <w:vAlign w:val="center"/>
                </w:tcPr>
                <w:p w14:paraId="0FF52384">
                  <w:pPr>
                    <w:pStyle w:val="70"/>
                    <w:spacing w:line="240" w:lineRule="auto"/>
                    <w:rPr>
                      <w:rFonts w:hint="eastAsia" w:ascii="Times New Roman" w:hAnsi="Times New Roman" w:eastAsia="宋体" w:cs="Times New Roman"/>
                      <w:color w:val="auto"/>
                      <w:sz w:val="21"/>
                      <w:szCs w:val="21"/>
                    </w:rPr>
                  </w:pPr>
                </w:p>
              </w:tc>
              <w:tc>
                <w:tcPr>
                  <w:tcW w:w="981" w:type="dxa"/>
                  <w:vMerge w:val="continue"/>
                  <w:vAlign w:val="center"/>
                </w:tcPr>
                <w:p w14:paraId="5B230448">
                  <w:pPr>
                    <w:pStyle w:val="70"/>
                    <w:spacing w:line="240" w:lineRule="auto"/>
                    <w:rPr>
                      <w:rFonts w:hint="eastAsia" w:cs="Times New Roman"/>
                      <w:color w:val="auto"/>
                      <w:sz w:val="21"/>
                      <w:szCs w:val="21"/>
                      <w:lang w:val="en-US" w:eastAsia="zh-CN"/>
                    </w:rPr>
                  </w:pPr>
                </w:p>
              </w:tc>
              <w:tc>
                <w:tcPr>
                  <w:tcW w:w="733" w:type="dxa"/>
                  <w:vAlign w:val="center"/>
                </w:tcPr>
                <w:p w14:paraId="32D3053E">
                  <w:pPr>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新建</w:t>
                  </w:r>
                </w:p>
              </w:tc>
            </w:tr>
            <w:tr w14:paraId="2DCAF31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90" w:type="dxa"/>
                  <w:vMerge w:val="continue"/>
                  <w:vAlign w:val="center"/>
                </w:tcPr>
                <w:p w14:paraId="138BB8BF">
                  <w:pPr>
                    <w:pStyle w:val="70"/>
                    <w:spacing w:line="240" w:lineRule="auto"/>
                    <w:rPr>
                      <w:rFonts w:hint="eastAsia" w:ascii="Times New Roman" w:hAnsi="Times New Roman" w:eastAsia="宋体" w:cs="Times New Roman"/>
                      <w:color w:val="auto"/>
                      <w:sz w:val="21"/>
                      <w:szCs w:val="21"/>
                    </w:rPr>
                  </w:pPr>
                </w:p>
              </w:tc>
              <w:tc>
                <w:tcPr>
                  <w:tcW w:w="750" w:type="dxa"/>
                  <w:vMerge w:val="continue"/>
                  <w:shd w:val="clear" w:color="auto" w:fill="auto"/>
                  <w:vAlign w:val="center"/>
                </w:tcPr>
                <w:p w14:paraId="1B170622">
                  <w:pPr>
                    <w:keepNext w:val="0"/>
                    <w:keepLines w:val="0"/>
                    <w:pageBreakBefore w:val="0"/>
                    <w:widowControl w:val="0"/>
                    <w:kinsoku/>
                    <w:wordWrap/>
                    <w:overflowPunct/>
                    <w:topLinePunct w:val="0"/>
                    <w:bidi w:val="0"/>
                    <w:adjustRightInd/>
                    <w:snapToGrid/>
                    <w:spacing w:line="240" w:lineRule="auto"/>
                    <w:ind w:firstLine="0" w:firstLineChars="0"/>
                    <w:jc w:val="center"/>
                    <w:textAlignment w:val="baseline"/>
                    <w:rPr>
                      <w:rFonts w:hint="default" w:ascii="Times New Roman" w:hAnsi="Times New Roman" w:eastAsia="宋体" w:cs="Times New Roman"/>
                      <w:color w:val="auto"/>
                      <w:kern w:val="0"/>
                      <w:sz w:val="21"/>
                      <w:szCs w:val="21"/>
                      <w:lang w:val="en-US" w:eastAsia="zh-CN" w:bidi="ar-SA"/>
                    </w:rPr>
                  </w:pPr>
                </w:p>
              </w:tc>
              <w:tc>
                <w:tcPr>
                  <w:tcW w:w="1064" w:type="dxa"/>
                  <w:shd w:val="clear" w:color="auto" w:fill="auto"/>
                  <w:vAlign w:val="center"/>
                </w:tcPr>
                <w:p w14:paraId="3F5A88D6">
                  <w:pPr>
                    <w:keepNext w:val="0"/>
                    <w:keepLines w:val="0"/>
                    <w:pageBreakBefore w:val="0"/>
                    <w:widowControl w:val="0"/>
                    <w:kinsoku/>
                    <w:wordWrap/>
                    <w:overflowPunct/>
                    <w:topLinePunct w:val="0"/>
                    <w:bidi w:val="0"/>
                    <w:adjustRightInd/>
                    <w:snapToGrid/>
                    <w:spacing w:line="240" w:lineRule="auto"/>
                    <w:ind w:firstLine="0" w:firstLineChars="0"/>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NMP储罐呼吸废气</w:t>
                  </w:r>
                </w:p>
              </w:tc>
              <w:tc>
                <w:tcPr>
                  <w:tcW w:w="2509" w:type="dxa"/>
                  <w:shd w:val="clear" w:color="auto" w:fill="auto"/>
                  <w:vAlign w:val="center"/>
                </w:tcPr>
                <w:p w14:paraId="23631B85">
                  <w:pPr>
                    <w:keepNext w:val="0"/>
                    <w:keepLines w:val="0"/>
                    <w:pageBreakBefore w:val="0"/>
                    <w:widowControl w:val="0"/>
                    <w:kinsoku/>
                    <w:wordWrap/>
                    <w:overflowPunct/>
                    <w:topLinePunct w:val="0"/>
                    <w:bidi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无组织排放</w:t>
                  </w:r>
                </w:p>
              </w:tc>
              <w:tc>
                <w:tcPr>
                  <w:tcW w:w="927" w:type="dxa"/>
                  <w:vMerge w:val="continue"/>
                  <w:vAlign w:val="center"/>
                </w:tcPr>
                <w:p w14:paraId="73258FBF">
                  <w:pPr>
                    <w:pStyle w:val="70"/>
                    <w:spacing w:line="240" w:lineRule="auto"/>
                    <w:rPr>
                      <w:rFonts w:hint="eastAsia" w:ascii="Times New Roman" w:hAnsi="Times New Roman" w:eastAsia="宋体" w:cs="Times New Roman"/>
                      <w:color w:val="auto"/>
                      <w:sz w:val="21"/>
                      <w:szCs w:val="21"/>
                    </w:rPr>
                  </w:pPr>
                </w:p>
              </w:tc>
              <w:tc>
                <w:tcPr>
                  <w:tcW w:w="981" w:type="dxa"/>
                  <w:vMerge w:val="continue"/>
                  <w:vAlign w:val="center"/>
                </w:tcPr>
                <w:p w14:paraId="15FA579D">
                  <w:pPr>
                    <w:pStyle w:val="70"/>
                    <w:spacing w:line="240" w:lineRule="auto"/>
                    <w:rPr>
                      <w:rFonts w:hint="eastAsia" w:cs="Times New Roman"/>
                      <w:color w:val="auto"/>
                      <w:sz w:val="21"/>
                      <w:szCs w:val="21"/>
                      <w:lang w:val="en-US" w:eastAsia="zh-CN"/>
                    </w:rPr>
                  </w:pPr>
                </w:p>
              </w:tc>
              <w:tc>
                <w:tcPr>
                  <w:tcW w:w="733" w:type="dxa"/>
                  <w:vAlign w:val="center"/>
                </w:tcPr>
                <w:p w14:paraId="03B7FA6C">
                  <w:pPr>
                    <w:spacing w:line="240" w:lineRule="auto"/>
                    <w:jc w:val="center"/>
                    <w:rPr>
                      <w:rFonts w:hint="eastAsia" w:cs="Times New Roman"/>
                      <w:color w:val="auto"/>
                      <w:sz w:val="21"/>
                      <w:szCs w:val="21"/>
                      <w:lang w:val="en-US" w:eastAsia="zh-CN"/>
                    </w:rPr>
                  </w:pPr>
                  <w:r>
                    <w:rPr>
                      <w:rFonts w:hint="eastAsia" w:cs="Times New Roman"/>
                      <w:color w:val="auto"/>
                      <w:sz w:val="21"/>
                      <w:szCs w:val="21"/>
                      <w:lang w:val="en-US" w:eastAsia="zh-CN"/>
                    </w:rPr>
                    <w:t>新建</w:t>
                  </w:r>
                </w:p>
              </w:tc>
            </w:tr>
            <w:tr w14:paraId="122F611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90" w:type="dxa"/>
                  <w:vMerge w:val="continue"/>
                  <w:vAlign w:val="center"/>
                </w:tcPr>
                <w:p w14:paraId="486F290D">
                  <w:pPr>
                    <w:pStyle w:val="70"/>
                    <w:spacing w:line="240" w:lineRule="auto"/>
                    <w:rPr>
                      <w:rFonts w:hint="eastAsia" w:ascii="Times New Roman" w:hAnsi="Times New Roman" w:eastAsia="宋体" w:cs="Times New Roman"/>
                      <w:color w:val="auto"/>
                      <w:sz w:val="21"/>
                      <w:szCs w:val="21"/>
                    </w:rPr>
                  </w:pPr>
                </w:p>
              </w:tc>
              <w:tc>
                <w:tcPr>
                  <w:tcW w:w="750" w:type="dxa"/>
                  <w:vMerge w:val="continue"/>
                  <w:shd w:val="clear" w:color="auto" w:fill="auto"/>
                  <w:vAlign w:val="center"/>
                </w:tcPr>
                <w:p w14:paraId="5159FBDC">
                  <w:pPr>
                    <w:keepNext w:val="0"/>
                    <w:keepLines w:val="0"/>
                    <w:pageBreakBefore w:val="0"/>
                    <w:widowControl w:val="0"/>
                    <w:kinsoku/>
                    <w:wordWrap/>
                    <w:overflowPunct/>
                    <w:topLinePunct w:val="0"/>
                    <w:bidi w:val="0"/>
                    <w:adjustRightInd/>
                    <w:snapToGrid/>
                    <w:spacing w:line="240" w:lineRule="auto"/>
                    <w:ind w:firstLine="0" w:firstLineChars="0"/>
                    <w:jc w:val="center"/>
                    <w:textAlignment w:val="baseline"/>
                    <w:rPr>
                      <w:rFonts w:hint="default" w:ascii="Times New Roman" w:hAnsi="Times New Roman" w:eastAsia="宋体" w:cs="Times New Roman"/>
                      <w:color w:val="auto"/>
                      <w:kern w:val="0"/>
                      <w:sz w:val="21"/>
                      <w:szCs w:val="21"/>
                      <w:lang w:val="en-US" w:eastAsia="zh-CN" w:bidi="ar-SA"/>
                    </w:rPr>
                  </w:pPr>
                </w:p>
              </w:tc>
              <w:tc>
                <w:tcPr>
                  <w:tcW w:w="1064" w:type="dxa"/>
                  <w:shd w:val="clear" w:color="auto" w:fill="auto"/>
                  <w:vAlign w:val="center"/>
                </w:tcPr>
                <w:p w14:paraId="0C4B7D34">
                  <w:pPr>
                    <w:keepNext w:val="0"/>
                    <w:keepLines w:val="0"/>
                    <w:pageBreakBefore w:val="0"/>
                    <w:widowControl w:val="0"/>
                    <w:kinsoku/>
                    <w:wordWrap/>
                    <w:overflowPunct/>
                    <w:topLinePunct w:val="0"/>
                    <w:bidi w:val="0"/>
                    <w:adjustRightInd/>
                    <w:snapToGrid/>
                    <w:spacing w:line="240" w:lineRule="auto"/>
                    <w:ind w:firstLine="0" w:firstLineChars="0"/>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kern w:val="0"/>
                      <w:sz w:val="21"/>
                      <w:szCs w:val="21"/>
                      <w:lang w:val="en-US" w:eastAsia="zh-CN" w:bidi="ar-SA"/>
                      <w14:textFill>
                        <w14:solidFill>
                          <w14:schemeClr w14:val="tx1"/>
                        </w14:solidFill>
                      </w14:textFill>
                    </w:rPr>
                    <w:t>焊接烟尘</w:t>
                  </w:r>
                </w:p>
              </w:tc>
              <w:tc>
                <w:tcPr>
                  <w:tcW w:w="2509" w:type="dxa"/>
                  <w:shd w:val="clear" w:color="auto" w:fill="auto"/>
                  <w:vAlign w:val="center"/>
                </w:tcPr>
                <w:p w14:paraId="3BC5DF3B">
                  <w:pPr>
                    <w:keepNext w:val="0"/>
                    <w:keepLines w:val="0"/>
                    <w:pageBreakBefore w:val="0"/>
                    <w:widowControl w:val="0"/>
                    <w:kinsoku/>
                    <w:wordWrap/>
                    <w:overflowPunct/>
                    <w:topLinePunct w:val="0"/>
                    <w:bidi w:val="0"/>
                    <w:adjustRightInd/>
                    <w:snapToGrid/>
                    <w:spacing w:line="240" w:lineRule="auto"/>
                    <w:ind w:firstLine="0" w:firstLineChars="0"/>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kern w:val="0"/>
                      <w:sz w:val="21"/>
                      <w:szCs w:val="21"/>
                      <w:lang w:val="en-US" w:eastAsia="zh-CN" w:bidi="ar-SA"/>
                      <w14:textFill>
                        <w14:solidFill>
                          <w14:schemeClr w14:val="tx1"/>
                        </w14:solidFill>
                      </w14:textFill>
                    </w:rPr>
                    <w:t>经自带滤芯除尘器（TA005）处理后</w:t>
                  </w:r>
                  <w:r>
                    <w:rPr>
                      <w:rFonts w:hint="eastAsia" w:cs="Times New Roman"/>
                      <w:color w:val="000000" w:themeColor="text1"/>
                      <w:lang w:val="en-US" w:eastAsia="zh-CN"/>
                      <w14:textFill>
                        <w14:solidFill>
                          <w14:schemeClr w14:val="tx1"/>
                        </w14:solidFill>
                      </w14:textFill>
                    </w:rPr>
                    <w:t>，无组织排放</w:t>
                  </w:r>
                </w:p>
              </w:tc>
              <w:tc>
                <w:tcPr>
                  <w:tcW w:w="927" w:type="dxa"/>
                  <w:vMerge w:val="continue"/>
                  <w:vAlign w:val="center"/>
                </w:tcPr>
                <w:p w14:paraId="382AD74F">
                  <w:pPr>
                    <w:pStyle w:val="70"/>
                    <w:spacing w:line="240" w:lineRule="auto"/>
                    <w:rPr>
                      <w:rFonts w:hint="eastAsia" w:ascii="Times New Roman" w:hAnsi="Times New Roman" w:eastAsia="宋体" w:cs="Times New Roman"/>
                      <w:color w:val="auto"/>
                      <w:sz w:val="21"/>
                      <w:szCs w:val="21"/>
                    </w:rPr>
                  </w:pPr>
                </w:p>
              </w:tc>
              <w:tc>
                <w:tcPr>
                  <w:tcW w:w="981" w:type="dxa"/>
                  <w:vMerge w:val="continue"/>
                  <w:vAlign w:val="center"/>
                </w:tcPr>
                <w:p w14:paraId="3F6F5F1E">
                  <w:pPr>
                    <w:pStyle w:val="70"/>
                    <w:spacing w:line="240" w:lineRule="auto"/>
                    <w:rPr>
                      <w:rFonts w:hint="eastAsia" w:cs="Times New Roman"/>
                      <w:color w:val="auto"/>
                      <w:sz w:val="21"/>
                      <w:szCs w:val="21"/>
                      <w:lang w:val="en-US" w:eastAsia="zh-CN"/>
                    </w:rPr>
                  </w:pPr>
                </w:p>
              </w:tc>
              <w:tc>
                <w:tcPr>
                  <w:tcW w:w="733" w:type="dxa"/>
                  <w:vAlign w:val="center"/>
                </w:tcPr>
                <w:p w14:paraId="3A832966">
                  <w:pPr>
                    <w:spacing w:line="240" w:lineRule="auto"/>
                    <w:jc w:val="center"/>
                    <w:rPr>
                      <w:rFonts w:hint="eastAsia" w:cs="Times New Roman"/>
                      <w:color w:val="auto"/>
                      <w:sz w:val="21"/>
                      <w:szCs w:val="21"/>
                      <w:lang w:val="en-US" w:eastAsia="zh-CN"/>
                    </w:rPr>
                  </w:pPr>
                  <w:r>
                    <w:rPr>
                      <w:rFonts w:hint="eastAsia" w:cs="Times New Roman"/>
                      <w:color w:val="auto"/>
                      <w:sz w:val="21"/>
                      <w:szCs w:val="21"/>
                      <w:lang w:val="en-US" w:eastAsia="zh-CN"/>
                    </w:rPr>
                    <w:t>新建</w:t>
                  </w:r>
                </w:p>
              </w:tc>
            </w:tr>
            <w:tr w14:paraId="2199BED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90" w:type="dxa"/>
                  <w:vMerge w:val="continue"/>
                  <w:vAlign w:val="center"/>
                </w:tcPr>
                <w:p w14:paraId="23585B0B">
                  <w:pPr>
                    <w:pStyle w:val="70"/>
                    <w:spacing w:line="240" w:lineRule="auto"/>
                    <w:rPr>
                      <w:rFonts w:hint="eastAsia" w:ascii="Times New Roman" w:hAnsi="Times New Roman" w:eastAsia="宋体" w:cs="Times New Roman"/>
                      <w:color w:val="auto"/>
                      <w:sz w:val="21"/>
                      <w:szCs w:val="21"/>
                    </w:rPr>
                  </w:pPr>
                </w:p>
              </w:tc>
              <w:tc>
                <w:tcPr>
                  <w:tcW w:w="750" w:type="dxa"/>
                  <w:vMerge w:val="continue"/>
                  <w:shd w:val="clear" w:color="auto" w:fill="auto"/>
                  <w:vAlign w:val="center"/>
                </w:tcPr>
                <w:p w14:paraId="7A6DC5A9">
                  <w:pPr>
                    <w:keepNext w:val="0"/>
                    <w:keepLines w:val="0"/>
                    <w:pageBreakBefore w:val="0"/>
                    <w:widowControl w:val="0"/>
                    <w:kinsoku/>
                    <w:wordWrap/>
                    <w:overflowPunct/>
                    <w:topLinePunct w:val="0"/>
                    <w:bidi w:val="0"/>
                    <w:adjustRightInd/>
                    <w:snapToGrid/>
                    <w:spacing w:line="240" w:lineRule="auto"/>
                    <w:ind w:firstLine="0" w:firstLineChars="0"/>
                    <w:jc w:val="center"/>
                    <w:textAlignment w:val="baseline"/>
                    <w:rPr>
                      <w:rFonts w:hint="default" w:ascii="Times New Roman" w:hAnsi="Times New Roman" w:eastAsia="宋体" w:cs="Times New Roman"/>
                      <w:color w:val="auto"/>
                      <w:kern w:val="0"/>
                      <w:sz w:val="21"/>
                      <w:szCs w:val="21"/>
                      <w:lang w:val="en-US" w:eastAsia="zh-CN" w:bidi="ar-SA"/>
                    </w:rPr>
                  </w:pPr>
                </w:p>
              </w:tc>
              <w:tc>
                <w:tcPr>
                  <w:tcW w:w="1064" w:type="dxa"/>
                  <w:shd w:val="clear" w:color="auto" w:fill="auto"/>
                  <w:vAlign w:val="center"/>
                </w:tcPr>
                <w:p w14:paraId="33E08902">
                  <w:pPr>
                    <w:keepNext w:val="0"/>
                    <w:keepLines w:val="0"/>
                    <w:pageBreakBefore w:val="0"/>
                    <w:widowControl w:val="0"/>
                    <w:kinsoku/>
                    <w:wordWrap/>
                    <w:overflowPunct/>
                    <w:topLinePunct w:val="0"/>
                    <w:bidi w:val="0"/>
                    <w:adjustRightInd/>
                    <w:snapToGrid/>
                    <w:spacing w:line="240" w:lineRule="auto"/>
                    <w:ind w:firstLine="0" w:firstLineChars="0"/>
                    <w:jc w:val="center"/>
                    <w:rPr>
                      <w:rFonts w:hint="default"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kern w:val="0"/>
                      <w:sz w:val="21"/>
                      <w:szCs w:val="21"/>
                      <w:lang w:val="en-US" w:eastAsia="zh-CN" w:bidi="ar-SA"/>
                      <w14:textFill>
                        <w14:solidFill>
                          <w14:schemeClr w14:val="tx1"/>
                        </w14:solidFill>
                      </w14:textFill>
                    </w:rPr>
                    <w:t>分切粉尘</w:t>
                  </w:r>
                </w:p>
              </w:tc>
              <w:tc>
                <w:tcPr>
                  <w:tcW w:w="2509" w:type="dxa"/>
                  <w:shd w:val="clear" w:color="auto" w:fill="auto"/>
                  <w:vAlign w:val="center"/>
                </w:tcPr>
                <w:p w14:paraId="58626BCA">
                  <w:pPr>
                    <w:keepNext w:val="0"/>
                    <w:keepLines w:val="0"/>
                    <w:pageBreakBefore w:val="0"/>
                    <w:widowControl w:val="0"/>
                    <w:kinsoku/>
                    <w:wordWrap/>
                    <w:overflowPunct/>
                    <w:topLinePunct w:val="0"/>
                    <w:bidi w:val="0"/>
                    <w:adjustRightInd/>
                    <w:snapToGrid/>
                    <w:spacing w:line="240" w:lineRule="auto"/>
                    <w:ind w:firstLine="0" w:firstLineChars="0"/>
                    <w:jc w:val="center"/>
                    <w:rPr>
                      <w:rFonts w:hint="default"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经</w:t>
                  </w:r>
                  <w:r>
                    <w:rPr>
                      <w:rFonts w:hint="eastAsia" w:ascii="Times New Roman" w:cs="Times New Roman"/>
                      <w:color w:val="000000" w:themeColor="text1"/>
                      <w:sz w:val="21"/>
                      <w:szCs w:val="21"/>
                      <w:highlight w:val="none"/>
                      <w:lang w:val="en-US" w:eastAsia="zh-CN"/>
                      <w14:textFill>
                        <w14:solidFill>
                          <w14:schemeClr w14:val="tx1"/>
                        </w14:solidFill>
                      </w14:textFill>
                    </w:rPr>
                    <w:t>设备自带滤芯除尘器（TA00</w:t>
                  </w:r>
                  <w:r>
                    <w:rPr>
                      <w:rFonts w:hint="eastAsia" w:cs="Times New Roman"/>
                      <w:color w:val="000000" w:themeColor="text1"/>
                      <w:sz w:val="21"/>
                      <w:szCs w:val="21"/>
                      <w:highlight w:val="none"/>
                      <w:lang w:val="en-US" w:eastAsia="zh-CN"/>
                      <w14:textFill>
                        <w14:solidFill>
                          <w14:schemeClr w14:val="tx1"/>
                        </w14:solidFill>
                      </w14:textFill>
                    </w:rPr>
                    <w:t>4</w:t>
                  </w:r>
                  <w:r>
                    <w:rPr>
                      <w:rFonts w:hint="eastAsia" w:ascii="Times New Roman" w:cs="Times New Roman"/>
                      <w:color w:val="000000" w:themeColor="text1"/>
                      <w:sz w:val="21"/>
                      <w:szCs w:val="21"/>
                      <w:highlight w:val="none"/>
                      <w:lang w:val="en-US" w:eastAsia="zh-CN"/>
                      <w14:textFill>
                        <w14:solidFill>
                          <w14:schemeClr w14:val="tx1"/>
                        </w14:solidFill>
                      </w14:textFill>
                    </w:rPr>
                    <w:t>）+车间洁净系统</w:t>
                  </w:r>
                  <w:r>
                    <w:rPr>
                      <w:rFonts w:hint="eastAsia"/>
                      <w:color w:val="000000" w:themeColor="text1"/>
                      <w:lang w:val="en-US" w:eastAsia="zh-CN"/>
                      <w14:textFill>
                        <w14:solidFill>
                          <w14:schemeClr w14:val="tx1"/>
                        </w14:solidFill>
                      </w14:textFill>
                    </w:rPr>
                    <w:t>收集后，无组织排放</w:t>
                  </w:r>
                </w:p>
              </w:tc>
              <w:tc>
                <w:tcPr>
                  <w:tcW w:w="927" w:type="dxa"/>
                  <w:vMerge w:val="continue"/>
                  <w:vAlign w:val="center"/>
                </w:tcPr>
                <w:p w14:paraId="58656DE1">
                  <w:pPr>
                    <w:pStyle w:val="70"/>
                    <w:spacing w:line="240" w:lineRule="auto"/>
                    <w:rPr>
                      <w:rFonts w:hint="eastAsia" w:ascii="Times New Roman" w:hAnsi="Times New Roman" w:eastAsia="宋体" w:cs="Times New Roman"/>
                      <w:color w:val="auto"/>
                      <w:sz w:val="21"/>
                      <w:szCs w:val="21"/>
                    </w:rPr>
                  </w:pPr>
                </w:p>
              </w:tc>
              <w:tc>
                <w:tcPr>
                  <w:tcW w:w="981" w:type="dxa"/>
                  <w:vMerge w:val="continue"/>
                  <w:vAlign w:val="center"/>
                </w:tcPr>
                <w:p w14:paraId="667FA7DB">
                  <w:pPr>
                    <w:pStyle w:val="70"/>
                    <w:spacing w:line="240" w:lineRule="auto"/>
                    <w:rPr>
                      <w:rFonts w:hint="eastAsia" w:cs="Times New Roman"/>
                      <w:color w:val="auto"/>
                      <w:sz w:val="21"/>
                      <w:szCs w:val="21"/>
                      <w:lang w:val="en-US" w:eastAsia="zh-CN"/>
                    </w:rPr>
                  </w:pPr>
                </w:p>
              </w:tc>
              <w:tc>
                <w:tcPr>
                  <w:tcW w:w="733" w:type="dxa"/>
                  <w:vAlign w:val="center"/>
                </w:tcPr>
                <w:p w14:paraId="207C70A7">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新建</w:t>
                  </w:r>
                </w:p>
              </w:tc>
            </w:tr>
            <w:tr w14:paraId="4087246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90" w:type="dxa"/>
                  <w:vMerge w:val="continue"/>
                  <w:vAlign w:val="center"/>
                </w:tcPr>
                <w:p w14:paraId="7BC6D39B">
                  <w:pPr>
                    <w:pStyle w:val="70"/>
                    <w:spacing w:line="240" w:lineRule="auto"/>
                    <w:rPr>
                      <w:rFonts w:hint="eastAsia" w:ascii="Times New Roman" w:hAnsi="Times New Roman" w:eastAsia="宋体" w:cs="Times New Roman"/>
                      <w:color w:val="auto"/>
                      <w:sz w:val="21"/>
                      <w:szCs w:val="21"/>
                    </w:rPr>
                  </w:pPr>
                </w:p>
              </w:tc>
              <w:tc>
                <w:tcPr>
                  <w:tcW w:w="750" w:type="dxa"/>
                  <w:vMerge w:val="continue"/>
                  <w:shd w:val="clear" w:color="auto" w:fill="auto"/>
                  <w:vAlign w:val="center"/>
                </w:tcPr>
                <w:p w14:paraId="0B8C9B1B">
                  <w:pPr>
                    <w:keepNext w:val="0"/>
                    <w:keepLines w:val="0"/>
                    <w:pageBreakBefore w:val="0"/>
                    <w:widowControl w:val="0"/>
                    <w:kinsoku/>
                    <w:wordWrap/>
                    <w:overflowPunct/>
                    <w:topLinePunct w:val="0"/>
                    <w:bidi w:val="0"/>
                    <w:adjustRightInd/>
                    <w:snapToGrid/>
                    <w:spacing w:line="240" w:lineRule="auto"/>
                    <w:ind w:firstLine="0" w:firstLineChars="0"/>
                    <w:jc w:val="center"/>
                    <w:textAlignment w:val="baseline"/>
                    <w:rPr>
                      <w:rFonts w:hint="default" w:ascii="Times New Roman" w:hAnsi="Times New Roman" w:eastAsia="宋体" w:cs="Times New Roman"/>
                      <w:color w:val="auto"/>
                      <w:kern w:val="0"/>
                      <w:sz w:val="21"/>
                      <w:szCs w:val="21"/>
                      <w:lang w:val="en-US" w:eastAsia="zh-CN" w:bidi="ar-SA"/>
                    </w:rPr>
                  </w:pPr>
                </w:p>
              </w:tc>
              <w:tc>
                <w:tcPr>
                  <w:tcW w:w="1064" w:type="dxa"/>
                  <w:shd w:val="clear" w:color="auto" w:fill="auto"/>
                  <w:vAlign w:val="center"/>
                </w:tcPr>
                <w:p w14:paraId="63D66632">
                  <w:pPr>
                    <w:keepNext w:val="0"/>
                    <w:keepLines w:val="0"/>
                    <w:pageBreakBefore w:val="0"/>
                    <w:widowControl w:val="0"/>
                    <w:kinsoku/>
                    <w:wordWrap/>
                    <w:overflowPunct/>
                    <w:topLinePunct w:val="0"/>
                    <w:bidi w:val="0"/>
                    <w:adjustRightInd/>
                    <w:snapToGrid/>
                    <w:spacing w:line="240" w:lineRule="auto"/>
                    <w:ind w:firstLine="0" w:firstLineChars="0"/>
                    <w:jc w:val="center"/>
                    <w:rPr>
                      <w:rFonts w:hint="default"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kern w:val="0"/>
                      <w:sz w:val="21"/>
                      <w:szCs w:val="21"/>
                      <w:lang w:val="en-US" w:eastAsia="zh-CN" w:bidi="ar-SA"/>
                      <w14:textFill>
                        <w14:solidFill>
                          <w14:schemeClr w14:val="tx1"/>
                        </w14:solidFill>
                      </w14:textFill>
                    </w:rPr>
                    <w:t>危废库废气</w:t>
                  </w:r>
                </w:p>
              </w:tc>
              <w:tc>
                <w:tcPr>
                  <w:tcW w:w="2509" w:type="dxa"/>
                  <w:shd w:val="clear" w:color="auto" w:fill="auto"/>
                  <w:vAlign w:val="center"/>
                </w:tcPr>
                <w:p w14:paraId="49548783">
                  <w:pPr>
                    <w:keepNext w:val="0"/>
                    <w:keepLines w:val="0"/>
                    <w:pageBreakBefore w:val="0"/>
                    <w:widowControl w:val="0"/>
                    <w:kinsoku/>
                    <w:wordWrap/>
                    <w:overflowPunct/>
                    <w:topLinePunct w:val="0"/>
                    <w:bidi w:val="0"/>
                    <w:adjustRightInd/>
                    <w:snapToGrid/>
                    <w:spacing w:line="240" w:lineRule="auto"/>
                    <w:ind w:firstLine="0" w:firstLineChars="0"/>
                    <w:rPr>
                      <w:rFonts w:hint="default"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kern w:val="0"/>
                      <w:sz w:val="21"/>
                      <w:szCs w:val="21"/>
                      <w:lang w:val="en-US" w:eastAsia="zh-CN" w:bidi="ar-SA"/>
                      <w14:textFill>
                        <w14:solidFill>
                          <w14:schemeClr w14:val="tx1"/>
                        </w14:solidFill>
                      </w14:textFill>
                    </w:rPr>
                    <w:t>密闭抽风+活性炭吸附装置（TA006）处理后，无组织排放</w:t>
                  </w:r>
                </w:p>
              </w:tc>
              <w:tc>
                <w:tcPr>
                  <w:tcW w:w="927" w:type="dxa"/>
                  <w:vMerge w:val="continue"/>
                  <w:vAlign w:val="center"/>
                </w:tcPr>
                <w:p w14:paraId="43C01760">
                  <w:pPr>
                    <w:pStyle w:val="70"/>
                    <w:spacing w:line="240" w:lineRule="auto"/>
                    <w:rPr>
                      <w:rFonts w:hint="eastAsia" w:ascii="Times New Roman" w:hAnsi="Times New Roman" w:eastAsia="宋体" w:cs="Times New Roman"/>
                      <w:color w:val="auto"/>
                      <w:sz w:val="21"/>
                      <w:szCs w:val="21"/>
                    </w:rPr>
                  </w:pPr>
                </w:p>
              </w:tc>
              <w:tc>
                <w:tcPr>
                  <w:tcW w:w="981" w:type="dxa"/>
                  <w:vMerge w:val="continue"/>
                  <w:vAlign w:val="center"/>
                </w:tcPr>
                <w:p w14:paraId="007191E0">
                  <w:pPr>
                    <w:pStyle w:val="70"/>
                    <w:spacing w:line="240" w:lineRule="auto"/>
                    <w:rPr>
                      <w:rFonts w:hint="eastAsia" w:cs="Times New Roman"/>
                      <w:color w:val="auto"/>
                      <w:sz w:val="21"/>
                      <w:szCs w:val="21"/>
                      <w:lang w:val="en-US" w:eastAsia="zh-CN"/>
                    </w:rPr>
                  </w:pPr>
                </w:p>
              </w:tc>
              <w:tc>
                <w:tcPr>
                  <w:tcW w:w="733" w:type="dxa"/>
                  <w:vAlign w:val="center"/>
                </w:tcPr>
                <w:p w14:paraId="0B6E9B82">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新建</w:t>
                  </w:r>
                </w:p>
              </w:tc>
            </w:tr>
            <w:tr w14:paraId="20888CF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90" w:type="dxa"/>
                  <w:vMerge w:val="continue"/>
                  <w:vAlign w:val="center"/>
                </w:tcPr>
                <w:p w14:paraId="26D0545B">
                  <w:pPr>
                    <w:pStyle w:val="70"/>
                    <w:spacing w:line="240" w:lineRule="auto"/>
                    <w:rPr>
                      <w:rFonts w:hint="eastAsia" w:ascii="Times New Roman" w:hAnsi="Times New Roman" w:eastAsia="宋体" w:cs="Times New Roman"/>
                      <w:color w:val="auto"/>
                      <w:sz w:val="21"/>
                      <w:szCs w:val="21"/>
                    </w:rPr>
                  </w:pPr>
                </w:p>
              </w:tc>
              <w:tc>
                <w:tcPr>
                  <w:tcW w:w="750" w:type="dxa"/>
                  <w:vMerge w:val="continue"/>
                  <w:shd w:val="clear" w:color="auto" w:fill="auto"/>
                  <w:vAlign w:val="center"/>
                </w:tcPr>
                <w:p w14:paraId="204501DD">
                  <w:pPr>
                    <w:keepNext w:val="0"/>
                    <w:keepLines w:val="0"/>
                    <w:pageBreakBefore w:val="0"/>
                    <w:widowControl w:val="0"/>
                    <w:kinsoku/>
                    <w:wordWrap/>
                    <w:overflowPunct/>
                    <w:topLinePunct w:val="0"/>
                    <w:bidi w:val="0"/>
                    <w:adjustRightInd/>
                    <w:snapToGrid/>
                    <w:spacing w:line="240" w:lineRule="auto"/>
                    <w:ind w:firstLine="0" w:firstLineChars="0"/>
                    <w:jc w:val="center"/>
                    <w:textAlignment w:val="baseline"/>
                    <w:rPr>
                      <w:rFonts w:hint="default" w:ascii="Times New Roman" w:hAnsi="Times New Roman" w:eastAsia="宋体" w:cs="Times New Roman"/>
                      <w:color w:val="auto"/>
                      <w:kern w:val="0"/>
                      <w:sz w:val="21"/>
                      <w:szCs w:val="21"/>
                      <w:lang w:val="en-US" w:eastAsia="zh-CN" w:bidi="ar-SA"/>
                    </w:rPr>
                  </w:pPr>
                </w:p>
              </w:tc>
              <w:tc>
                <w:tcPr>
                  <w:tcW w:w="1064" w:type="dxa"/>
                  <w:shd w:val="clear" w:color="auto" w:fill="auto"/>
                  <w:vAlign w:val="center"/>
                </w:tcPr>
                <w:p w14:paraId="33B2230F">
                  <w:pPr>
                    <w:keepNext w:val="0"/>
                    <w:keepLines w:val="0"/>
                    <w:pageBreakBefore w:val="0"/>
                    <w:widowControl w:val="0"/>
                    <w:kinsoku/>
                    <w:wordWrap/>
                    <w:overflowPunct/>
                    <w:topLinePunct w:val="0"/>
                    <w:bidi w:val="0"/>
                    <w:adjustRightInd/>
                    <w:snapToGrid/>
                    <w:spacing w:line="240" w:lineRule="auto"/>
                    <w:ind w:firstLine="0" w:firstLineChars="0"/>
                    <w:jc w:val="center"/>
                    <w:rPr>
                      <w:rFonts w:hint="default"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kern w:val="0"/>
                      <w:sz w:val="21"/>
                      <w:szCs w:val="21"/>
                      <w:lang w:val="en-US" w:eastAsia="zh-CN" w:bidi="ar-SA"/>
                      <w14:textFill>
                        <w14:solidFill>
                          <w14:schemeClr w14:val="tx1"/>
                        </w14:solidFill>
                      </w14:textFill>
                    </w:rPr>
                    <w:t>污水处理站废气</w:t>
                  </w:r>
                </w:p>
              </w:tc>
              <w:tc>
                <w:tcPr>
                  <w:tcW w:w="2509" w:type="dxa"/>
                  <w:shd w:val="clear" w:color="auto" w:fill="auto"/>
                  <w:vAlign w:val="center"/>
                </w:tcPr>
                <w:p w14:paraId="08C07B70">
                  <w:pPr>
                    <w:keepNext w:val="0"/>
                    <w:keepLines w:val="0"/>
                    <w:pageBreakBefore w:val="0"/>
                    <w:widowControl w:val="0"/>
                    <w:kinsoku/>
                    <w:wordWrap/>
                    <w:overflowPunct/>
                    <w:topLinePunct w:val="0"/>
                    <w:bidi w:val="0"/>
                    <w:adjustRightInd/>
                    <w:snapToGrid/>
                    <w:spacing w:line="240" w:lineRule="auto"/>
                    <w:ind w:firstLine="0" w:firstLineChars="0"/>
                    <w:jc w:val="center"/>
                    <w:rPr>
                      <w:rFonts w:hint="default"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kern w:val="0"/>
                      <w:sz w:val="21"/>
                      <w:szCs w:val="21"/>
                      <w:lang w:val="en-US" w:eastAsia="zh-CN" w:bidi="ar-SA"/>
                      <w14:textFill>
                        <w14:solidFill>
                          <w14:schemeClr w14:val="tx1"/>
                        </w14:solidFill>
                      </w14:textFill>
                    </w:rPr>
                    <w:t>无组织排放</w:t>
                  </w:r>
                </w:p>
              </w:tc>
              <w:tc>
                <w:tcPr>
                  <w:tcW w:w="927" w:type="dxa"/>
                  <w:vMerge w:val="continue"/>
                  <w:vAlign w:val="center"/>
                </w:tcPr>
                <w:p w14:paraId="0D194F6E">
                  <w:pPr>
                    <w:pStyle w:val="70"/>
                    <w:spacing w:line="240" w:lineRule="auto"/>
                    <w:rPr>
                      <w:rFonts w:hint="eastAsia" w:ascii="Times New Roman" w:hAnsi="Times New Roman" w:eastAsia="宋体" w:cs="Times New Roman"/>
                      <w:color w:val="auto"/>
                      <w:sz w:val="21"/>
                      <w:szCs w:val="21"/>
                    </w:rPr>
                  </w:pPr>
                </w:p>
              </w:tc>
              <w:tc>
                <w:tcPr>
                  <w:tcW w:w="981" w:type="dxa"/>
                  <w:vMerge w:val="continue"/>
                  <w:vAlign w:val="center"/>
                </w:tcPr>
                <w:p w14:paraId="5802ED7B">
                  <w:pPr>
                    <w:pStyle w:val="70"/>
                    <w:spacing w:line="240" w:lineRule="auto"/>
                    <w:rPr>
                      <w:rFonts w:hint="eastAsia" w:cs="Times New Roman"/>
                      <w:color w:val="auto"/>
                      <w:sz w:val="21"/>
                      <w:szCs w:val="21"/>
                      <w:lang w:val="en-US" w:eastAsia="zh-CN"/>
                    </w:rPr>
                  </w:pPr>
                </w:p>
              </w:tc>
              <w:tc>
                <w:tcPr>
                  <w:tcW w:w="733" w:type="dxa"/>
                  <w:vAlign w:val="center"/>
                </w:tcPr>
                <w:p w14:paraId="7F3A3A18">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新建</w:t>
                  </w:r>
                </w:p>
              </w:tc>
            </w:tr>
            <w:tr w14:paraId="1F2430F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90" w:type="dxa"/>
                  <w:vMerge w:val="continue"/>
                  <w:vAlign w:val="center"/>
                </w:tcPr>
                <w:p w14:paraId="788D4D7E">
                  <w:pPr>
                    <w:pStyle w:val="70"/>
                    <w:spacing w:line="240" w:lineRule="auto"/>
                    <w:rPr>
                      <w:rFonts w:hint="eastAsia" w:ascii="Times New Roman" w:hAnsi="Times New Roman" w:eastAsia="宋体" w:cs="Times New Roman"/>
                      <w:color w:val="auto"/>
                      <w:sz w:val="21"/>
                      <w:szCs w:val="21"/>
                    </w:rPr>
                  </w:pPr>
                </w:p>
              </w:tc>
              <w:tc>
                <w:tcPr>
                  <w:tcW w:w="750" w:type="dxa"/>
                  <w:vMerge w:val="restart"/>
                  <w:shd w:val="clear" w:color="auto" w:fill="auto"/>
                  <w:vAlign w:val="center"/>
                </w:tcPr>
                <w:p w14:paraId="7D63CC8A">
                  <w:pPr>
                    <w:pStyle w:val="70"/>
                    <w:spacing w:line="240" w:lineRule="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固体废物治理</w:t>
                  </w:r>
                </w:p>
              </w:tc>
              <w:tc>
                <w:tcPr>
                  <w:tcW w:w="1064" w:type="dxa"/>
                  <w:shd w:val="clear" w:color="auto" w:fill="auto"/>
                  <w:vAlign w:val="center"/>
                </w:tcPr>
                <w:p w14:paraId="3F7C6012">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生活垃圾</w:t>
                  </w:r>
                </w:p>
              </w:tc>
              <w:tc>
                <w:tcPr>
                  <w:tcW w:w="2509" w:type="dxa"/>
                  <w:shd w:val="clear" w:color="auto" w:fill="auto"/>
                  <w:vAlign w:val="center"/>
                </w:tcPr>
                <w:p w14:paraId="7B2FDC1E">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设置生活垃圾收集桶若干个，经收集后交环卫部门统一清运处置</w:t>
                  </w:r>
                </w:p>
              </w:tc>
              <w:tc>
                <w:tcPr>
                  <w:tcW w:w="927" w:type="dxa"/>
                  <w:vMerge w:val="continue"/>
                  <w:vAlign w:val="center"/>
                </w:tcPr>
                <w:p w14:paraId="5F898A56">
                  <w:pPr>
                    <w:pStyle w:val="70"/>
                    <w:spacing w:line="240" w:lineRule="auto"/>
                    <w:rPr>
                      <w:rFonts w:hint="eastAsia" w:ascii="Times New Roman" w:hAnsi="Times New Roman" w:eastAsia="宋体" w:cs="Times New Roman"/>
                      <w:color w:val="auto"/>
                      <w:sz w:val="21"/>
                      <w:szCs w:val="21"/>
                    </w:rPr>
                  </w:pPr>
                </w:p>
              </w:tc>
              <w:tc>
                <w:tcPr>
                  <w:tcW w:w="981" w:type="dxa"/>
                  <w:vAlign w:val="center"/>
                </w:tcPr>
                <w:p w14:paraId="1DF35F4C">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生活垃圾</w:t>
                  </w:r>
                </w:p>
              </w:tc>
              <w:tc>
                <w:tcPr>
                  <w:tcW w:w="733" w:type="dxa"/>
                  <w:vAlign w:val="center"/>
                </w:tcPr>
                <w:p w14:paraId="1C6ED3C0">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新建</w:t>
                  </w:r>
                </w:p>
              </w:tc>
            </w:tr>
            <w:tr w14:paraId="4BE3A04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90" w:type="dxa"/>
                  <w:vMerge w:val="continue"/>
                  <w:vAlign w:val="center"/>
                </w:tcPr>
                <w:p w14:paraId="04E7300F">
                  <w:pPr>
                    <w:pStyle w:val="70"/>
                    <w:spacing w:line="240" w:lineRule="auto"/>
                    <w:rPr>
                      <w:rFonts w:hint="eastAsia" w:ascii="Times New Roman" w:hAnsi="Times New Roman" w:eastAsia="宋体" w:cs="Times New Roman"/>
                      <w:color w:val="auto"/>
                      <w:sz w:val="21"/>
                      <w:szCs w:val="21"/>
                    </w:rPr>
                  </w:pPr>
                </w:p>
              </w:tc>
              <w:tc>
                <w:tcPr>
                  <w:tcW w:w="750" w:type="dxa"/>
                  <w:vMerge w:val="continue"/>
                  <w:shd w:val="clear" w:color="auto" w:fill="auto"/>
                  <w:vAlign w:val="center"/>
                </w:tcPr>
                <w:p w14:paraId="33EDF9B3">
                  <w:pPr>
                    <w:pStyle w:val="70"/>
                    <w:spacing w:line="240" w:lineRule="auto"/>
                    <w:rPr>
                      <w:rFonts w:hint="default" w:ascii="Times New Roman" w:hAnsi="Times New Roman" w:eastAsia="宋体" w:cs="Times New Roman"/>
                      <w:color w:val="auto"/>
                      <w:sz w:val="21"/>
                      <w:szCs w:val="21"/>
                      <w:lang w:val="en-US" w:eastAsia="zh-CN"/>
                    </w:rPr>
                  </w:pPr>
                </w:p>
              </w:tc>
              <w:tc>
                <w:tcPr>
                  <w:tcW w:w="1064" w:type="dxa"/>
                  <w:shd w:val="clear" w:color="auto" w:fill="auto"/>
                  <w:vAlign w:val="center"/>
                </w:tcPr>
                <w:p w14:paraId="61A19404">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一般</w:t>
                  </w:r>
                  <w:r>
                    <w:rPr>
                      <w:rFonts w:hint="eastAsia" w:cs="Times New Roman"/>
                      <w:color w:val="000000" w:themeColor="text1"/>
                      <w:sz w:val="21"/>
                      <w:szCs w:val="21"/>
                      <w:lang w:val="en-US" w:eastAsia="zh-CN"/>
                      <w14:textFill>
                        <w14:solidFill>
                          <w14:schemeClr w14:val="tx1"/>
                        </w14:solidFill>
                      </w14:textFill>
                    </w:rPr>
                    <w:t>固废暂存间</w:t>
                  </w:r>
                </w:p>
              </w:tc>
              <w:tc>
                <w:tcPr>
                  <w:tcW w:w="2509" w:type="dxa"/>
                  <w:shd w:val="clear" w:color="auto" w:fill="auto"/>
                  <w:vAlign w:val="center"/>
                </w:tcPr>
                <w:p w14:paraId="5B77687D">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位于</w:t>
                  </w:r>
                  <w:r>
                    <w:rPr>
                      <w:rFonts w:hint="eastAsia" w:cs="Times New Roman"/>
                      <w:color w:val="000000" w:themeColor="text1"/>
                      <w:sz w:val="21"/>
                      <w:szCs w:val="21"/>
                      <w:lang w:val="en-US" w:eastAsia="zh-CN"/>
                      <w14:textFill>
                        <w14:solidFill>
                          <w14:schemeClr w14:val="tx1"/>
                        </w14:solidFill>
                      </w14:textFill>
                    </w:rPr>
                    <w:t>电芯</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车间</w:t>
                  </w:r>
                  <w:r>
                    <w:rPr>
                      <w:rFonts w:hint="eastAsia" w:cs="Times New Roman"/>
                      <w:color w:val="000000" w:themeColor="text1"/>
                      <w:sz w:val="21"/>
                      <w:szCs w:val="21"/>
                      <w:lang w:val="en-US" w:eastAsia="zh-CN"/>
                      <w14:textFill>
                        <w14:solidFill>
                          <w14:schemeClr w14:val="tx1"/>
                        </w14:solidFill>
                      </w14:textFill>
                    </w:rPr>
                    <w:t>内</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南侧，建筑面积</w:t>
                  </w:r>
                  <w:r>
                    <w:rPr>
                      <w:rFonts w:hint="eastAsia" w:cs="Times New Roman"/>
                      <w:color w:val="000000" w:themeColor="text1"/>
                      <w:sz w:val="21"/>
                      <w:szCs w:val="21"/>
                      <w:lang w:val="en-US" w:eastAsia="zh-CN"/>
                      <w14:textFill>
                        <w14:solidFill>
                          <w14:schemeClr w14:val="tx1"/>
                        </w14:solidFill>
                      </w14:textFill>
                    </w:rPr>
                    <w:t>50</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m</w:t>
                  </w:r>
                  <w:r>
                    <w:rPr>
                      <w:rFonts w:hint="eastAsia" w:ascii="Times New Roman" w:hAnsi="Times New Roman" w:eastAsia="宋体" w:cs="Times New Roman"/>
                      <w:color w:val="000000" w:themeColor="text1"/>
                      <w:sz w:val="21"/>
                      <w:szCs w:val="21"/>
                      <w:vertAlign w:val="superscript"/>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，用于项目产生的一般固废临时储存</w:t>
                  </w:r>
                </w:p>
              </w:tc>
              <w:tc>
                <w:tcPr>
                  <w:tcW w:w="927" w:type="dxa"/>
                  <w:vMerge w:val="continue"/>
                  <w:vAlign w:val="center"/>
                </w:tcPr>
                <w:p w14:paraId="07EC78F5">
                  <w:pPr>
                    <w:pStyle w:val="70"/>
                    <w:spacing w:line="240" w:lineRule="auto"/>
                    <w:rPr>
                      <w:rFonts w:hint="eastAsia" w:ascii="Times New Roman" w:hAnsi="Times New Roman" w:eastAsia="宋体" w:cs="Times New Roman"/>
                      <w:color w:val="auto"/>
                      <w:sz w:val="21"/>
                      <w:szCs w:val="21"/>
                    </w:rPr>
                  </w:pPr>
                </w:p>
              </w:tc>
              <w:tc>
                <w:tcPr>
                  <w:tcW w:w="981" w:type="dxa"/>
                  <w:vAlign w:val="center"/>
                </w:tcPr>
                <w:p w14:paraId="5ABAE4C7">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733" w:type="dxa"/>
                  <w:vAlign w:val="center"/>
                </w:tcPr>
                <w:p w14:paraId="6E4A551B">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新建</w:t>
                  </w:r>
                </w:p>
              </w:tc>
            </w:tr>
            <w:tr w14:paraId="49C141A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90" w:type="dxa"/>
                  <w:vMerge w:val="continue"/>
                  <w:vAlign w:val="center"/>
                </w:tcPr>
                <w:p w14:paraId="1190220A">
                  <w:pPr>
                    <w:pStyle w:val="70"/>
                    <w:spacing w:line="240" w:lineRule="auto"/>
                    <w:rPr>
                      <w:rFonts w:hint="eastAsia" w:ascii="Times New Roman" w:hAnsi="Times New Roman" w:eastAsia="宋体" w:cs="Times New Roman"/>
                      <w:color w:val="auto"/>
                      <w:sz w:val="21"/>
                      <w:szCs w:val="21"/>
                    </w:rPr>
                  </w:pPr>
                </w:p>
              </w:tc>
              <w:tc>
                <w:tcPr>
                  <w:tcW w:w="750" w:type="dxa"/>
                  <w:vMerge w:val="continue"/>
                  <w:shd w:val="clear" w:color="auto" w:fill="auto"/>
                  <w:vAlign w:val="center"/>
                </w:tcPr>
                <w:p w14:paraId="759AB531">
                  <w:pPr>
                    <w:pStyle w:val="70"/>
                    <w:spacing w:line="240" w:lineRule="auto"/>
                    <w:rPr>
                      <w:rFonts w:hint="default" w:ascii="Times New Roman" w:hAnsi="Times New Roman" w:eastAsia="宋体" w:cs="Times New Roman"/>
                      <w:color w:val="auto"/>
                      <w:sz w:val="21"/>
                      <w:szCs w:val="21"/>
                      <w:lang w:val="en-US" w:eastAsia="zh-CN"/>
                    </w:rPr>
                  </w:pPr>
                </w:p>
              </w:tc>
              <w:tc>
                <w:tcPr>
                  <w:tcW w:w="1064" w:type="dxa"/>
                  <w:shd w:val="clear" w:color="auto" w:fill="auto"/>
                  <w:vAlign w:val="center"/>
                </w:tcPr>
                <w:p w14:paraId="6DFE0B55">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危废库</w:t>
                  </w:r>
                </w:p>
              </w:tc>
              <w:tc>
                <w:tcPr>
                  <w:tcW w:w="2509" w:type="dxa"/>
                  <w:shd w:val="clear" w:color="auto" w:fill="auto"/>
                  <w:vAlign w:val="center"/>
                </w:tcPr>
                <w:p w14:paraId="1CFD21C4">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厂区东侧新建一栋甲类仓库，其中111.99m</w:t>
                  </w:r>
                  <w:r>
                    <w:rPr>
                      <w:rFonts w:hint="eastAsia" w:ascii="Times New Roman" w:hAnsi="Times New Roman" w:eastAsia="宋体" w:cs="Times New Roman"/>
                      <w:color w:val="000000" w:themeColor="text1"/>
                      <w:sz w:val="21"/>
                      <w:szCs w:val="21"/>
                      <w:vertAlign w:val="superscript"/>
                      <w:lang w:val="en-US" w:eastAsia="zh-CN"/>
                      <w14:textFill>
                        <w14:solidFill>
                          <w14:schemeClr w14:val="tx1"/>
                        </w14:solidFill>
                      </w14:textFill>
                    </w:rPr>
                    <w:t>2</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为危废仓库，</w:t>
                  </w:r>
                  <w:r>
                    <w:rPr>
                      <w:rFonts w:hint="eastAsia" w:cs="Times New Roman"/>
                      <w:color w:val="000000" w:themeColor="text1"/>
                      <w:sz w:val="21"/>
                      <w:szCs w:val="21"/>
                      <w:lang w:val="en-US" w:eastAsia="zh-CN"/>
                      <w14:textFill>
                        <w14:solidFill>
                          <w14:schemeClr w14:val="tx1"/>
                        </w14:solidFill>
                      </w14:textFill>
                    </w:rPr>
                    <w:t>主要用于暂存厂区所产生的各类危险废物</w:t>
                  </w:r>
                </w:p>
              </w:tc>
              <w:tc>
                <w:tcPr>
                  <w:tcW w:w="927" w:type="dxa"/>
                  <w:vMerge w:val="continue"/>
                  <w:vAlign w:val="center"/>
                </w:tcPr>
                <w:p w14:paraId="0FEC1847">
                  <w:pPr>
                    <w:pStyle w:val="70"/>
                    <w:spacing w:line="240" w:lineRule="auto"/>
                    <w:rPr>
                      <w:rFonts w:hint="eastAsia" w:ascii="Times New Roman" w:hAnsi="Times New Roman" w:eastAsia="宋体" w:cs="Times New Roman"/>
                      <w:color w:val="auto"/>
                      <w:sz w:val="21"/>
                      <w:szCs w:val="21"/>
                    </w:rPr>
                  </w:pPr>
                </w:p>
              </w:tc>
              <w:tc>
                <w:tcPr>
                  <w:tcW w:w="981" w:type="dxa"/>
                  <w:vAlign w:val="center"/>
                </w:tcPr>
                <w:p w14:paraId="18B41D87">
                  <w:pPr>
                    <w:pStyle w:val="70"/>
                    <w:spacing w:line="240" w:lineRule="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733" w:type="dxa"/>
                  <w:vAlign w:val="center"/>
                </w:tcPr>
                <w:p w14:paraId="20F111CE">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新建</w:t>
                  </w:r>
                </w:p>
              </w:tc>
            </w:tr>
            <w:tr w14:paraId="67A0654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90" w:type="dxa"/>
                  <w:vMerge w:val="continue"/>
                  <w:vAlign w:val="center"/>
                </w:tcPr>
                <w:p w14:paraId="5BF17031">
                  <w:pPr>
                    <w:pStyle w:val="70"/>
                    <w:spacing w:line="240" w:lineRule="auto"/>
                    <w:rPr>
                      <w:rFonts w:hint="eastAsia" w:ascii="Times New Roman" w:hAnsi="Times New Roman" w:eastAsia="宋体" w:cs="Times New Roman"/>
                      <w:color w:val="auto"/>
                      <w:sz w:val="21"/>
                      <w:szCs w:val="21"/>
                    </w:rPr>
                  </w:pPr>
                </w:p>
              </w:tc>
              <w:tc>
                <w:tcPr>
                  <w:tcW w:w="750" w:type="dxa"/>
                  <w:shd w:val="clear" w:color="auto" w:fill="auto"/>
                  <w:vAlign w:val="center"/>
                </w:tcPr>
                <w:p w14:paraId="0D2B3836">
                  <w:pPr>
                    <w:pStyle w:val="70"/>
                    <w:spacing w:line="240" w:lineRule="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噪声治理</w:t>
                  </w:r>
                </w:p>
              </w:tc>
              <w:tc>
                <w:tcPr>
                  <w:tcW w:w="3573" w:type="dxa"/>
                  <w:gridSpan w:val="2"/>
                  <w:shd w:val="clear" w:color="auto" w:fill="auto"/>
                  <w:vAlign w:val="center"/>
                </w:tcPr>
                <w:p w14:paraId="3961599F">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选用低噪声设备，合理布局，</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隔声，减振，距离衰减</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等</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措施控制。</w:t>
                  </w:r>
                </w:p>
              </w:tc>
              <w:tc>
                <w:tcPr>
                  <w:tcW w:w="927" w:type="dxa"/>
                  <w:vMerge w:val="continue"/>
                  <w:vAlign w:val="center"/>
                </w:tcPr>
                <w:p w14:paraId="14CCF0D6">
                  <w:pPr>
                    <w:pStyle w:val="70"/>
                    <w:spacing w:line="240" w:lineRule="auto"/>
                    <w:rPr>
                      <w:rFonts w:hint="eastAsia" w:ascii="Times New Roman" w:hAnsi="Times New Roman" w:eastAsia="宋体" w:cs="Times New Roman"/>
                      <w:color w:val="auto"/>
                      <w:sz w:val="21"/>
                      <w:szCs w:val="21"/>
                    </w:rPr>
                  </w:pPr>
                </w:p>
              </w:tc>
              <w:tc>
                <w:tcPr>
                  <w:tcW w:w="981" w:type="dxa"/>
                  <w:vAlign w:val="center"/>
                </w:tcPr>
                <w:p w14:paraId="209A9857">
                  <w:pPr>
                    <w:pStyle w:val="70"/>
                    <w:spacing w:line="240" w:lineRule="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733" w:type="dxa"/>
                  <w:vAlign w:val="center"/>
                </w:tcPr>
                <w:p w14:paraId="3BA1D490">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新建</w:t>
                  </w:r>
                </w:p>
              </w:tc>
            </w:tr>
            <w:tr w14:paraId="0C2A3D6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90" w:type="dxa"/>
                  <w:vMerge w:val="continue"/>
                  <w:vAlign w:val="center"/>
                </w:tcPr>
                <w:p w14:paraId="64155F97">
                  <w:pPr>
                    <w:pStyle w:val="70"/>
                    <w:spacing w:line="240" w:lineRule="auto"/>
                    <w:rPr>
                      <w:rFonts w:hint="eastAsia" w:ascii="Times New Roman" w:hAnsi="Times New Roman" w:eastAsia="宋体" w:cs="Times New Roman"/>
                      <w:color w:val="auto"/>
                      <w:sz w:val="21"/>
                      <w:szCs w:val="21"/>
                    </w:rPr>
                  </w:pPr>
                </w:p>
              </w:tc>
              <w:tc>
                <w:tcPr>
                  <w:tcW w:w="750" w:type="dxa"/>
                  <w:vMerge w:val="restart"/>
                  <w:shd w:val="clear" w:color="auto" w:fill="auto"/>
                  <w:vAlign w:val="center"/>
                </w:tcPr>
                <w:p w14:paraId="5E8F58D5">
                  <w:pPr>
                    <w:pStyle w:val="70"/>
                    <w:spacing w:line="240" w:lineRule="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地下水、土壤污染防治措施</w:t>
                  </w:r>
                </w:p>
              </w:tc>
              <w:tc>
                <w:tcPr>
                  <w:tcW w:w="3573" w:type="dxa"/>
                  <w:gridSpan w:val="2"/>
                  <w:shd w:val="clear" w:color="auto" w:fill="auto"/>
                  <w:vAlign w:val="center"/>
                </w:tcPr>
                <w:p w14:paraId="5007DB52">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重点防渗区：</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危废库、低温电解液仓库、污水处理设施（池体）</w:t>
                  </w:r>
                  <w:r>
                    <w:rPr>
                      <w:rFonts w:hint="eastAsia" w:cs="Times New Roman"/>
                      <w:color w:val="000000" w:themeColor="text1"/>
                      <w:sz w:val="21"/>
                      <w:szCs w:val="21"/>
                      <w:lang w:val="en-US" w:eastAsia="zh-CN"/>
                      <w14:textFill>
                        <w14:solidFill>
                          <w14:schemeClr w14:val="tx1"/>
                        </w14:solidFill>
                      </w14:textFill>
                    </w:rPr>
                    <w:t>、电解液间、电池拆解间、NMP储罐区（含NMP回收储罐）</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等，其中危</w:t>
                  </w:r>
                  <w:r>
                    <w:rPr>
                      <w:rFonts w:hint="eastAsia" w:cs="Times New Roman"/>
                      <w:color w:val="000000" w:themeColor="text1"/>
                      <w:sz w:val="21"/>
                      <w:szCs w:val="21"/>
                      <w:lang w:val="en-US" w:eastAsia="zh-CN"/>
                      <w14:textFill>
                        <w14:solidFill>
                          <w14:schemeClr w14:val="tx1"/>
                        </w14:solidFill>
                      </w14:textFill>
                    </w:rPr>
                    <w:t>废</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库、低温电解液仓库防渗系数K≤10</w:t>
                  </w:r>
                  <w:r>
                    <w:rPr>
                      <w:rFonts w:hint="eastAsia" w:ascii="Times New Roman" w:hAnsi="Times New Roman" w:eastAsia="宋体" w:cs="Times New Roman"/>
                      <w:color w:val="000000" w:themeColor="text1"/>
                      <w:sz w:val="21"/>
                      <w:szCs w:val="21"/>
                      <w:vertAlign w:val="superscript"/>
                      <w:lang w:val="en-US" w:eastAsia="zh-CN"/>
                      <w14:textFill>
                        <w14:solidFill>
                          <w14:schemeClr w14:val="tx1"/>
                        </w14:solidFill>
                      </w14:textFill>
                    </w:rPr>
                    <w:t>-10</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cm/s，其余重点防渗区</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等效黏土防渗层Mb≥6.0m，K≤10</w:t>
                  </w:r>
                  <w:r>
                    <w:rPr>
                      <w:rFonts w:hint="default" w:ascii="Times New Roman" w:hAnsi="Times New Roman" w:eastAsia="宋体" w:cs="Times New Roman"/>
                      <w:color w:val="000000" w:themeColor="text1"/>
                      <w:sz w:val="21"/>
                      <w:szCs w:val="21"/>
                      <w:vertAlign w:val="superscript"/>
                      <w:lang w:val="en-US" w:eastAsia="zh-CN"/>
                      <w14:textFill>
                        <w14:solidFill>
                          <w14:schemeClr w14:val="tx1"/>
                        </w14:solidFill>
                      </w14:textFill>
                    </w:rPr>
                    <w:t>-7</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cm/s；或参照GB18598执行。</w:t>
                  </w:r>
                </w:p>
              </w:tc>
              <w:tc>
                <w:tcPr>
                  <w:tcW w:w="927" w:type="dxa"/>
                  <w:vMerge w:val="continue"/>
                  <w:vAlign w:val="center"/>
                </w:tcPr>
                <w:p w14:paraId="643443E2">
                  <w:pPr>
                    <w:pStyle w:val="70"/>
                    <w:spacing w:line="240" w:lineRule="auto"/>
                    <w:rPr>
                      <w:rFonts w:hint="eastAsia" w:ascii="Times New Roman" w:hAnsi="Times New Roman" w:eastAsia="宋体" w:cs="Times New Roman"/>
                      <w:color w:val="auto"/>
                      <w:sz w:val="21"/>
                      <w:szCs w:val="21"/>
                    </w:rPr>
                  </w:pPr>
                </w:p>
              </w:tc>
              <w:tc>
                <w:tcPr>
                  <w:tcW w:w="981" w:type="dxa"/>
                  <w:vAlign w:val="center"/>
                </w:tcPr>
                <w:p w14:paraId="2D4623F7">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733" w:type="dxa"/>
                  <w:vAlign w:val="center"/>
                </w:tcPr>
                <w:p w14:paraId="757EC13A">
                  <w:pPr>
                    <w:pStyle w:val="70"/>
                    <w:spacing w:line="240" w:lineRule="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新建</w:t>
                  </w:r>
                </w:p>
              </w:tc>
            </w:tr>
            <w:tr w14:paraId="4809023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90" w:type="dxa"/>
                  <w:vMerge w:val="continue"/>
                  <w:vAlign w:val="center"/>
                </w:tcPr>
                <w:p w14:paraId="0527F56D">
                  <w:pPr>
                    <w:pStyle w:val="70"/>
                    <w:spacing w:line="240" w:lineRule="auto"/>
                    <w:rPr>
                      <w:rFonts w:hint="eastAsia" w:ascii="Times New Roman" w:hAnsi="Times New Roman" w:eastAsia="宋体" w:cs="Times New Roman"/>
                      <w:color w:val="auto"/>
                      <w:sz w:val="21"/>
                      <w:szCs w:val="21"/>
                    </w:rPr>
                  </w:pPr>
                </w:p>
              </w:tc>
              <w:tc>
                <w:tcPr>
                  <w:tcW w:w="750" w:type="dxa"/>
                  <w:vMerge w:val="continue"/>
                  <w:shd w:val="clear" w:color="auto" w:fill="auto"/>
                  <w:vAlign w:val="center"/>
                </w:tcPr>
                <w:p w14:paraId="2F3F98AC">
                  <w:pPr>
                    <w:pStyle w:val="70"/>
                    <w:spacing w:line="240" w:lineRule="auto"/>
                    <w:rPr>
                      <w:rFonts w:hint="default" w:ascii="Times New Roman" w:hAnsi="Times New Roman" w:eastAsia="宋体" w:cs="Times New Roman"/>
                      <w:color w:val="auto"/>
                      <w:sz w:val="21"/>
                      <w:szCs w:val="21"/>
                      <w:lang w:val="en-US" w:eastAsia="zh-CN"/>
                    </w:rPr>
                  </w:pPr>
                </w:p>
              </w:tc>
              <w:tc>
                <w:tcPr>
                  <w:tcW w:w="3573" w:type="dxa"/>
                  <w:gridSpan w:val="2"/>
                  <w:shd w:val="clear" w:color="auto" w:fill="auto"/>
                  <w:vAlign w:val="center"/>
                </w:tcPr>
                <w:p w14:paraId="195B653A">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一般防渗区：除重点防渗、简单防渗外的其他区域</w:t>
                  </w:r>
                  <w:r>
                    <w:rPr>
                      <w:rFonts w:hint="eastAsia" w:cs="Times New Roman"/>
                      <w:color w:val="000000" w:themeColor="text1"/>
                      <w:sz w:val="21"/>
                      <w:szCs w:val="21"/>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防渗系数Mb≥1.5m，K≤1×10</w:t>
                  </w:r>
                  <w:r>
                    <w:rPr>
                      <w:rFonts w:hint="default" w:ascii="Times New Roman" w:hAnsi="Times New Roman" w:eastAsia="宋体" w:cs="Times New Roman"/>
                      <w:color w:val="000000" w:themeColor="text1"/>
                      <w:sz w:val="21"/>
                      <w:szCs w:val="21"/>
                      <w:vertAlign w:val="superscript"/>
                      <w:lang w:val="en-US" w:eastAsia="zh-CN"/>
                      <w14:textFill>
                        <w14:solidFill>
                          <w14:schemeClr w14:val="tx1"/>
                        </w14:solidFill>
                      </w14:textFill>
                    </w:rPr>
                    <w:t>-7</w:t>
                  </w: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c</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m/s。</w:t>
                  </w:r>
                </w:p>
              </w:tc>
              <w:tc>
                <w:tcPr>
                  <w:tcW w:w="927" w:type="dxa"/>
                  <w:vMerge w:val="continue"/>
                  <w:vAlign w:val="center"/>
                </w:tcPr>
                <w:p w14:paraId="295E3267">
                  <w:pPr>
                    <w:pStyle w:val="70"/>
                    <w:spacing w:line="240" w:lineRule="auto"/>
                    <w:rPr>
                      <w:rFonts w:hint="eastAsia" w:ascii="Times New Roman" w:hAnsi="Times New Roman" w:eastAsia="宋体" w:cs="Times New Roman"/>
                      <w:color w:val="auto"/>
                      <w:sz w:val="21"/>
                      <w:szCs w:val="21"/>
                    </w:rPr>
                  </w:pPr>
                </w:p>
              </w:tc>
              <w:tc>
                <w:tcPr>
                  <w:tcW w:w="981" w:type="dxa"/>
                  <w:vAlign w:val="center"/>
                </w:tcPr>
                <w:p w14:paraId="53F5C04A">
                  <w:pPr>
                    <w:pStyle w:val="70"/>
                    <w:spacing w:line="240" w:lineRule="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p>
              </w:tc>
              <w:tc>
                <w:tcPr>
                  <w:tcW w:w="733" w:type="dxa"/>
                  <w:vAlign w:val="center"/>
                </w:tcPr>
                <w:p w14:paraId="043FBFFC">
                  <w:pPr>
                    <w:pStyle w:val="70"/>
                    <w:spacing w:line="240" w:lineRule="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新建</w:t>
                  </w:r>
                </w:p>
              </w:tc>
            </w:tr>
            <w:tr w14:paraId="4DCB3A2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90" w:type="dxa"/>
                  <w:vMerge w:val="continue"/>
                  <w:vAlign w:val="center"/>
                </w:tcPr>
                <w:p w14:paraId="5B789D4D">
                  <w:pPr>
                    <w:pStyle w:val="70"/>
                    <w:spacing w:line="240" w:lineRule="auto"/>
                    <w:rPr>
                      <w:rFonts w:hint="eastAsia" w:ascii="Times New Roman" w:hAnsi="Times New Roman" w:eastAsia="宋体" w:cs="Times New Roman"/>
                      <w:color w:val="auto"/>
                      <w:sz w:val="21"/>
                      <w:szCs w:val="21"/>
                    </w:rPr>
                  </w:pPr>
                </w:p>
              </w:tc>
              <w:tc>
                <w:tcPr>
                  <w:tcW w:w="750" w:type="dxa"/>
                  <w:vMerge w:val="continue"/>
                  <w:shd w:val="clear" w:color="auto" w:fill="auto"/>
                  <w:vAlign w:val="center"/>
                </w:tcPr>
                <w:p w14:paraId="4466EFDC">
                  <w:pPr>
                    <w:pStyle w:val="70"/>
                    <w:spacing w:line="240" w:lineRule="auto"/>
                    <w:rPr>
                      <w:rFonts w:hint="default" w:ascii="Times New Roman" w:hAnsi="Times New Roman" w:eastAsia="宋体" w:cs="Times New Roman"/>
                      <w:color w:val="auto"/>
                      <w:sz w:val="21"/>
                      <w:szCs w:val="21"/>
                      <w:lang w:val="en-US" w:eastAsia="zh-CN"/>
                    </w:rPr>
                  </w:pPr>
                </w:p>
              </w:tc>
              <w:tc>
                <w:tcPr>
                  <w:tcW w:w="3573" w:type="dxa"/>
                  <w:gridSpan w:val="2"/>
                  <w:shd w:val="clear" w:color="auto" w:fill="auto"/>
                  <w:vAlign w:val="center"/>
                </w:tcPr>
                <w:p w14:paraId="2553C152">
                  <w:pPr>
                    <w:pStyle w:val="70"/>
                    <w:spacing w:line="240" w:lineRule="auto"/>
                    <w:jc w:val="both"/>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简单防渗区：门卫室、研发办公区，水泥地面硬化</w:t>
                  </w:r>
                </w:p>
              </w:tc>
              <w:tc>
                <w:tcPr>
                  <w:tcW w:w="927" w:type="dxa"/>
                  <w:vMerge w:val="continue"/>
                  <w:vAlign w:val="center"/>
                </w:tcPr>
                <w:p w14:paraId="10685ACF">
                  <w:pPr>
                    <w:pStyle w:val="70"/>
                    <w:spacing w:line="240" w:lineRule="auto"/>
                    <w:rPr>
                      <w:rFonts w:hint="eastAsia" w:ascii="Times New Roman" w:hAnsi="Times New Roman" w:eastAsia="宋体" w:cs="Times New Roman"/>
                      <w:color w:val="FF0000"/>
                      <w:sz w:val="21"/>
                      <w:szCs w:val="21"/>
                    </w:rPr>
                  </w:pPr>
                </w:p>
              </w:tc>
              <w:tc>
                <w:tcPr>
                  <w:tcW w:w="981" w:type="dxa"/>
                  <w:vAlign w:val="center"/>
                </w:tcPr>
                <w:p w14:paraId="5BA83645">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p>
              </w:tc>
              <w:tc>
                <w:tcPr>
                  <w:tcW w:w="733" w:type="dxa"/>
                  <w:vAlign w:val="center"/>
                </w:tcPr>
                <w:p w14:paraId="3D43616F">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新建</w:t>
                  </w:r>
                </w:p>
              </w:tc>
            </w:tr>
            <w:tr w14:paraId="08CEAAF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90" w:type="dxa"/>
                  <w:vMerge w:val="continue"/>
                  <w:vAlign w:val="center"/>
                </w:tcPr>
                <w:p w14:paraId="1C19DB55">
                  <w:pPr>
                    <w:pStyle w:val="70"/>
                    <w:spacing w:line="240" w:lineRule="auto"/>
                    <w:rPr>
                      <w:rFonts w:hint="eastAsia" w:ascii="Times New Roman" w:hAnsi="Times New Roman" w:eastAsia="宋体" w:cs="Times New Roman"/>
                      <w:color w:val="auto"/>
                      <w:sz w:val="21"/>
                      <w:szCs w:val="21"/>
                      <w:lang w:val="en-US" w:eastAsia="zh-CN"/>
                    </w:rPr>
                  </w:pPr>
                </w:p>
              </w:tc>
              <w:tc>
                <w:tcPr>
                  <w:tcW w:w="750" w:type="dxa"/>
                  <w:shd w:val="clear" w:color="auto" w:fill="auto"/>
                  <w:vAlign w:val="center"/>
                </w:tcPr>
                <w:p w14:paraId="6F64EDD8">
                  <w:pPr>
                    <w:pStyle w:val="70"/>
                    <w:spacing w:line="240" w:lineRule="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环境风险防范</w:t>
                  </w:r>
                </w:p>
              </w:tc>
              <w:tc>
                <w:tcPr>
                  <w:tcW w:w="3573" w:type="dxa"/>
                  <w:gridSpan w:val="2"/>
                  <w:shd w:val="clear" w:color="auto" w:fill="auto"/>
                  <w:vAlign w:val="center"/>
                </w:tcPr>
                <w:p w14:paraId="609F52B2">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厂区配置消防器材并落实防火管理</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r>
                    <w:rPr>
                      <w:rFonts w:hint="eastAsia" w:cs="Times New Roman"/>
                      <w:color w:val="000000" w:themeColor="text1"/>
                      <w:sz w:val="21"/>
                      <w:szCs w:val="21"/>
                      <w:lang w:val="en-US" w:eastAsia="zh-CN"/>
                      <w14:textFill>
                        <w14:solidFill>
                          <w14:schemeClr w14:val="tx1"/>
                        </w14:solidFill>
                      </w14:textFill>
                    </w:rPr>
                    <w:t>严格落实各防渗分区的防渗措施</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，定期对员工进行上岗培训与安全防护培训</w:t>
                  </w:r>
                  <w:r>
                    <w:rPr>
                      <w:rFonts w:hint="eastAsia" w:cs="Times New Roman"/>
                      <w:color w:val="000000" w:themeColor="text1"/>
                      <w:sz w:val="21"/>
                      <w:szCs w:val="21"/>
                      <w:lang w:val="en-US" w:eastAsia="zh-CN"/>
                      <w14:textFill>
                        <w14:solidFill>
                          <w14:schemeClr w14:val="tx1"/>
                        </w14:solidFill>
                      </w14:textFill>
                    </w:rPr>
                    <w:t>等</w:t>
                  </w:r>
                </w:p>
              </w:tc>
              <w:tc>
                <w:tcPr>
                  <w:tcW w:w="927" w:type="dxa"/>
                  <w:vMerge w:val="continue"/>
                  <w:vAlign w:val="center"/>
                </w:tcPr>
                <w:p w14:paraId="6CE6FF85">
                  <w:pPr>
                    <w:pStyle w:val="70"/>
                    <w:spacing w:line="240" w:lineRule="auto"/>
                    <w:rPr>
                      <w:rFonts w:hint="eastAsia" w:ascii="Times New Roman" w:hAnsi="Times New Roman" w:eastAsia="宋体" w:cs="Times New Roman"/>
                      <w:color w:val="auto"/>
                      <w:sz w:val="21"/>
                      <w:szCs w:val="21"/>
                      <w:lang w:val="en-US" w:eastAsia="zh-CN"/>
                    </w:rPr>
                  </w:pPr>
                </w:p>
              </w:tc>
              <w:tc>
                <w:tcPr>
                  <w:tcW w:w="981" w:type="dxa"/>
                  <w:vAlign w:val="center"/>
                </w:tcPr>
                <w:p w14:paraId="60C34A27">
                  <w:pPr>
                    <w:pStyle w:val="70"/>
                    <w:spacing w:line="240" w:lineRule="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p>
              </w:tc>
              <w:tc>
                <w:tcPr>
                  <w:tcW w:w="733" w:type="dxa"/>
                  <w:vAlign w:val="center"/>
                </w:tcPr>
                <w:p w14:paraId="01300CB4">
                  <w:pPr>
                    <w:pStyle w:val="70"/>
                    <w:spacing w:line="240" w:lineRule="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新建</w:t>
                  </w:r>
                </w:p>
              </w:tc>
            </w:tr>
          </w:tbl>
          <w:p w14:paraId="35D50268">
            <w:pPr>
              <w:pStyle w:val="66"/>
              <w:spacing w:line="360" w:lineRule="auto"/>
              <w:ind w:firstLine="482"/>
              <w:rPr>
                <w:rFonts w:hint="eastAsia" w:ascii="Times New Roman" w:hAnsi="Times New Roman" w:eastAsia="宋体" w:cs="Times New Roman"/>
                <w:b/>
                <w:bCs/>
                <w:color w:val="auto"/>
                <w:lang w:val="en-US" w:eastAsia="zh-CN"/>
              </w:rPr>
            </w:pPr>
            <w:r>
              <w:rPr>
                <w:rFonts w:hint="eastAsia" w:ascii="Times New Roman" w:hAnsi="Times New Roman" w:eastAsia="宋体" w:cs="Times New Roman"/>
                <w:b/>
                <w:bCs/>
                <w:color w:val="auto"/>
                <w:lang w:val="en-US" w:eastAsia="zh-CN"/>
              </w:rPr>
              <w:t>5、主要生产设备</w:t>
            </w:r>
          </w:p>
          <w:p w14:paraId="2FFE313A">
            <w:pPr>
              <w:pStyle w:val="66"/>
              <w:tabs>
                <w:tab w:val="left" w:pos="5548"/>
              </w:tabs>
              <w:spacing w:line="360" w:lineRule="auto"/>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本项目主要生产设备清单见下表。</w:t>
            </w:r>
            <w:r>
              <w:rPr>
                <w:rFonts w:hint="eastAsia" w:cs="Times New Roman"/>
                <w:color w:val="auto"/>
                <w:lang w:val="en-US" w:eastAsia="zh-CN"/>
              </w:rPr>
              <w:tab/>
            </w:r>
          </w:p>
          <w:p w14:paraId="30ECCEE8">
            <w:pPr>
              <w:pStyle w:val="68"/>
              <w:rPr>
                <w:rFonts w:hint="eastAsia" w:ascii="Times New Roman" w:hAnsi="Times New Roman" w:eastAsia="宋体" w:cs="Times New Roman"/>
                <w:b/>
                <w:bCs/>
                <w:color w:val="auto"/>
              </w:rPr>
            </w:pPr>
            <w:r>
              <w:rPr>
                <w:rFonts w:hint="eastAsia" w:ascii="Times New Roman" w:hAnsi="Times New Roman" w:eastAsia="宋体" w:cs="Times New Roman"/>
                <w:b/>
                <w:bCs/>
                <w:color w:val="auto"/>
              </w:rPr>
              <w:t>表2-</w:t>
            </w:r>
            <w:r>
              <w:rPr>
                <w:rFonts w:hint="eastAsia" w:ascii="Times New Roman" w:hAnsi="Times New Roman" w:eastAsia="宋体" w:cs="Times New Roman"/>
                <w:b/>
                <w:bCs/>
                <w:color w:val="auto"/>
                <w:lang w:val="en-US" w:eastAsia="zh-CN"/>
              </w:rPr>
              <w:t>3</w:t>
            </w:r>
            <w:r>
              <w:rPr>
                <w:rFonts w:hint="eastAsia" w:ascii="Times New Roman" w:hAnsi="Times New Roman" w:eastAsia="宋体" w:cs="Times New Roman"/>
                <w:b/>
                <w:bCs/>
                <w:color w:val="auto"/>
              </w:rPr>
              <w:t xml:space="preserve">  主要设备清单一览表</w:t>
            </w:r>
          </w:p>
          <w:tbl>
            <w:tblPr>
              <w:tblStyle w:val="42"/>
              <w:tblW w:w="7778" w:type="dxa"/>
              <w:tblInd w:w="5"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93"/>
              <w:gridCol w:w="2052"/>
              <w:gridCol w:w="1372"/>
              <w:gridCol w:w="1829"/>
              <w:gridCol w:w="916"/>
              <w:gridCol w:w="916"/>
            </w:tblGrid>
            <w:tr w14:paraId="24EB7D1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3" w:type="dxa"/>
                  <w:vAlign w:val="center"/>
                </w:tcPr>
                <w:p w14:paraId="7A775627">
                  <w:pPr>
                    <w:pStyle w:val="70"/>
                    <w:spacing w:line="240" w:lineRule="auto"/>
                    <w:rPr>
                      <w:rFonts w:hint="default" w:ascii="Times New Roman" w:hAnsi="Times New Roman" w:eastAsia="宋体" w:cs="Times New Roman"/>
                      <w:b/>
                      <w:color w:val="auto"/>
                      <w:sz w:val="21"/>
                      <w:szCs w:val="21"/>
                      <w:lang w:val="en-US" w:eastAsia="zh-CN"/>
                    </w:rPr>
                  </w:pPr>
                  <w:r>
                    <w:rPr>
                      <w:rFonts w:hint="default" w:ascii="Times New Roman" w:hAnsi="Times New Roman" w:eastAsia="宋体" w:cs="Times New Roman"/>
                      <w:b/>
                      <w:color w:val="auto"/>
                      <w:sz w:val="21"/>
                      <w:szCs w:val="21"/>
                      <w:lang w:val="en-US" w:eastAsia="zh-CN"/>
                    </w:rPr>
                    <w:t>序号</w:t>
                  </w:r>
                </w:p>
              </w:tc>
              <w:tc>
                <w:tcPr>
                  <w:tcW w:w="2052" w:type="dxa"/>
                  <w:vAlign w:val="center"/>
                </w:tcPr>
                <w:p w14:paraId="443DA3AF">
                  <w:pPr>
                    <w:pStyle w:val="70"/>
                    <w:spacing w:line="240" w:lineRule="auto"/>
                    <w:rPr>
                      <w:rFonts w:hint="default" w:ascii="Times New Roman" w:hAnsi="Times New Roman" w:eastAsia="宋体" w:cs="Times New Roman"/>
                      <w:b/>
                      <w:color w:val="auto"/>
                      <w:sz w:val="21"/>
                      <w:szCs w:val="21"/>
                      <w:lang w:val="en-US" w:eastAsia="zh-CN"/>
                    </w:rPr>
                  </w:pPr>
                  <w:r>
                    <w:rPr>
                      <w:rFonts w:hint="default" w:ascii="Times New Roman" w:hAnsi="Times New Roman" w:eastAsia="宋体" w:cs="Times New Roman"/>
                      <w:b/>
                      <w:color w:val="auto"/>
                      <w:sz w:val="21"/>
                      <w:szCs w:val="21"/>
                      <w:lang w:val="en-US" w:eastAsia="zh-CN"/>
                    </w:rPr>
                    <w:t>设备名称</w:t>
                  </w:r>
                </w:p>
              </w:tc>
              <w:tc>
                <w:tcPr>
                  <w:tcW w:w="1372" w:type="dxa"/>
                  <w:vAlign w:val="center"/>
                </w:tcPr>
                <w:p w14:paraId="2F93045A">
                  <w:pPr>
                    <w:pStyle w:val="70"/>
                    <w:spacing w:line="240" w:lineRule="auto"/>
                    <w:rPr>
                      <w:rFonts w:hint="default" w:ascii="Times New Roman" w:hAnsi="Times New Roman" w:eastAsia="宋体" w:cs="Times New Roman"/>
                      <w:b/>
                      <w:color w:val="auto"/>
                      <w:sz w:val="21"/>
                      <w:szCs w:val="21"/>
                      <w:lang w:val="en-US" w:eastAsia="zh-CN"/>
                    </w:rPr>
                  </w:pPr>
                  <w:r>
                    <w:rPr>
                      <w:rFonts w:hint="default" w:ascii="Times New Roman" w:hAnsi="Times New Roman" w:eastAsia="宋体" w:cs="Times New Roman"/>
                      <w:b/>
                      <w:color w:val="auto"/>
                      <w:sz w:val="21"/>
                      <w:szCs w:val="21"/>
                      <w:lang w:val="en-US" w:eastAsia="zh-CN"/>
                    </w:rPr>
                    <w:t>设备数量（台/套）</w:t>
                  </w:r>
                </w:p>
              </w:tc>
              <w:tc>
                <w:tcPr>
                  <w:tcW w:w="1829" w:type="dxa"/>
                  <w:vAlign w:val="center"/>
                </w:tcPr>
                <w:p w14:paraId="0A470F84">
                  <w:pPr>
                    <w:pStyle w:val="70"/>
                    <w:spacing w:line="240" w:lineRule="auto"/>
                    <w:rPr>
                      <w:rFonts w:hint="default" w:ascii="Times New Roman" w:hAnsi="Times New Roman" w:eastAsia="宋体" w:cs="Times New Roman"/>
                      <w:b/>
                      <w:color w:val="auto"/>
                      <w:sz w:val="21"/>
                      <w:szCs w:val="21"/>
                      <w:lang w:val="en-US" w:eastAsia="zh-CN"/>
                    </w:rPr>
                  </w:pPr>
                  <w:r>
                    <w:rPr>
                      <w:rFonts w:hint="default" w:ascii="Times New Roman" w:hAnsi="Times New Roman" w:eastAsia="宋体" w:cs="Times New Roman"/>
                      <w:b/>
                      <w:color w:val="auto"/>
                      <w:sz w:val="21"/>
                      <w:szCs w:val="21"/>
                      <w:lang w:val="en-US" w:eastAsia="zh-CN"/>
                    </w:rPr>
                    <w:t>型号</w:t>
                  </w:r>
                </w:p>
              </w:tc>
              <w:tc>
                <w:tcPr>
                  <w:tcW w:w="916" w:type="dxa"/>
                  <w:vAlign w:val="center"/>
                </w:tcPr>
                <w:p w14:paraId="0FAF20F2">
                  <w:pPr>
                    <w:pStyle w:val="70"/>
                    <w:spacing w:line="240" w:lineRule="auto"/>
                    <w:rPr>
                      <w:rFonts w:hint="default" w:ascii="Times New Roman" w:hAnsi="Times New Roman" w:eastAsia="宋体" w:cs="Times New Roman"/>
                      <w:b/>
                      <w:color w:val="auto"/>
                      <w:sz w:val="21"/>
                      <w:szCs w:val="21"/>
                      <w:lang w:val="en-US" w:eastAsia="zh-CN"/>
                    </w:rPr>
                  </w:pPr>
                  <w:r>
                    <w:rPr>
                      <w:rFonts w:hint="eastAsia" w:cs="Times New Roman"/>
                      <w:b/>
                      <w:color w:val="auto"/>
                      <w:sz w:val="21"/>
                      <w:szCs w:val="21"/>
                      <w:lang w:val="en-US" w:eastAsia="zh-CN"/>
                    </w:rPr>
                    <w:t>使用工序</w:t>
                  </w:r>
                </w:p>
              </w:tc>
              <w:tc>
                <w:tcPr>
                  <w:tcW w:w="916" w:type="dxa"/>
                  <w:vAlign w:val="center"/>
                </w:tcPr>
                <w:p w14:paraId="7B4D0278">
                  <w:pPr>
                    <w:pStyle w:val="70"/>
                    <w:spacing w:line="240" w:lineRule="auto"/>
                    <w:rPr>
                      <w:rFonts w:hint="default" w:ascii="Times New Roman" w:hAnsi="Times New Roman" w:eastAsia="宋体" w:cs="Times New Roman"/>
                      <w:b/>
                      <w:color w:val="auto"/>
                      <w:sz w:val="21"/>
                      <w:szCs w:val="21"/>
                      <w:lang w:val="en-US" w:eastAsia="zh-CN"/>
                    </w:rPr>
                  </w:pPr>
                  <w:r>
                    <w:rPr>
                      <w:rFonts w:hint="eastAsia" w:cs="Times New Roman"/>
                      <w:b/>
                      <w:color w:val="auto"/>
                      <w:sz w:val="21"/>
                      <w:szCs w:val="21"/>
                      <w:lang w:val="en-US" w:eastAsia="zh-CN"/>
                    </w:rPr>
                    <w:t>设计产能</w:t>
                  </w:r>
                </w:p>
              </w:tc>
            </w:tr>
            <w:tr w14:paraId="597A034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3" w:type="dxa"/>
                  <w:vAlign w:val="center"/>
                </w:tcPr>
                <w:p w14:paraId="55E4DB5A">
                  <w:pPr>
                    <w:pStyle w:val="70"/>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1</w:t>
                  </w:r>
                </w:p>
              </w:tc>
              <w:tc>
                <w:tcPr>
                  <w:tcW w:w="2052" w:type="dxa"/>
                  <w:vAlign w:val="center"/>
                </w:tcPr>
                <w:p w14:paraId="397E4547">
                  <w:pPr>
                    <w:autoSpaceDN w:val="0"/>
                    <w:adjustRightInd w:val="0"/>
                    <w:snapToGrid w:val="0"/>
                    <w:jc w:val="center"/>
                    <w:textAlignment w:val="top"/>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正极</w:t>
                  </w:r>
                  <w:r>
                    <w:rPr>
                      <w:rFonts w:hint="default" w:ascii="Times New Roman" w:hAnsi="Times New Roman" w:cs="Times New Roman"/>
                      <w:color w:val="000000" w:themeColor="text1"/>
                      <w:sz w:val="21"/>
                      <w:szCs w:val="21"/>
                      <w:lang w:val="en-US" w:eastAsia="zh-CN"/>
                      <w14:textFill>
                        <w14:solidFill>
                          <w14:schemeClr w14:val="tx1"/>
                        </w14:solidFill>
                      </w14:textFill>
                    </w:rPr>
                    <w:t>匀浆</w:t>
                  </w:r>
                  <w:r>
                    <w:rPr>
                      <w:rFonts w:hint="default" w:ascii="Times New Roman" w:hAnsi="Times New Roman" w:cs="Times New Roman"/>
                      <w:color w:val="000000" w:themeColor="text1"/>
                      <w:sz w:val="21"/>
                      <w:szCs w:val="21"/>
                      <w14:textFill>
                        <w14:solidFill>
                          <w14:schemeClr w14:val="tx1"/>
                        </w14:solidFill>
                      </w14:textFill>
                    </w:rPr>
                    <w:t>系统</w:t>
                  </w:r>
                </w:p>
              </w:tc>
              <w:tc>
                <w:tcPr>
                  <w:tcW w:w="1372" w:type="dxa"/>
                  <w:vAlign w:val="center"/>
                </w:tcPr>
                <w:p w14:paraId="7A77BA7C">
                  <w:pPr>
                    <w:autoSpaceDN w:val="0"/>
                    <w:adjustRightInd w:val="0"/>
                    <w:snapToGrid w:val="0"/>
                    <w:jc w:val="center"/>
                    <w:textAlignment w:val="top"/>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5</w:t>
                  </w:r>
                </w:p>
              </w:tc>
              <w:tc>
                <w:tcPr>
                  <w:tcW w:w="1829" w:type="dxa"/>
                  <w:vAlign w:val="center"/>
                </w:tcPr>
                <w:p w14:paraId="2571348D">
                  <w:pPr>
                    <w:autoSpaceDN w:val="0"/>
                    <w:adjustRightInd w:val="0"/>
                    <w:snapToGrid w:val="0"/>
                    <w:jc w:val="center"/>
                    <w:textAlignment w:val="top"/>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HY-DLH820L</w:t>
                  </w:r>
                </w:p>
              </w:tc>
              <w:tc>
                <w:tcPr>
                  <w:tcW w:w="916" w:type="dxa"/>
                  <w:vMerge w:val="restart"/>
                  <w:vAlign w:val="center"/>
                </w:tcPr>
                <w:p w14:paraId="422A38C1">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正极匀浆</w:t>
                  </w:r>
                </w:p>
              </w:tc>
              <w:tc>
                <w:tcPr>
                  <w:tcW w:w="916" w:type="dxa"/>
                  <w:vMerge w:val="restart"/>
                  <w:vAlign w:val="center"/>
                </w:tcPr>
                <w:p w14:paraId="184FD856">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11000L/</w:t>
                  </w:r>
                  <w:r>
                    <w:rPr>
                      <w:rFonts w:hint="eastAsia" w:cs="Times New Roman"/>
                      <w:color w:val="auto"/>
                      <w:sz w:val="21"/>
                      <w:szCs w:val="21"/>
                      <w:lang w:val="en-US" w:eastAsia="zh-CN"/>
                    </w:rPr>
                    <w:t>d</w:t>
                  </w:r>
                </w:p>
              </w:tc>
            </w:tr>
            <w:tr w14:paraId="715BC75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3" w:type="dxa"/>
                  <w:vAlign w:val="center"/>
                </w:tcPr>
                <w:p w14:paraId="73CCE99D">
                  <w:pPr>
                    <w:pStyle w:val="70"/>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2</w:t>
                  </w:r>
                </w:p>
              </w:tc>
              <w:tc>
                <w:tcPr>
                  <w:tcW w:w="2052" w:type="dxa"/>
                  <w:vAlign w:val="center"/>
                </w:tcPr>
                <w:p w14:paraId="25CBE239">
                  <w:pPr>
                    <w:autoSpaceDN w:val="0"/>
                    <w:adjustRightInd w:val="0"/>
                    <w:snapToGrid w:val="0"/>
                    <w:jc w:val="center"/>
                    <w:textAlignment w:val="top"/>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正极</w:t>
                  </w:r>
                  <w:r>
                    <w:rPr>
                      <w:rFonts w:hint="default" w:ascii="Times New Roman" w:hAnsi="Times New Roman" w:cs="Times New Roman"/>
                      <w:color w:val="000000" w:themeColor="text1"/>
                      <w:sz w:val="21"/>
                      <w:szCs w:val="21"/>
                      <w:lang w:val="en-US" w:eastAsia="zh-CN"/>
                      <w14:textFill>
                        <w14:solidFill>
                          <w14:schemeClr w14:val="tx1"/>
                        </w14:solidFill>
                      </w14:textFill>
                    </w:rPr>
                    <w:t>粉体上料系统</w:t>
                  </w:r>
                </w:p>
              </w:tc>
              <w:tc>
                <w:tcPr>
                  <w:tcW w:w="1372" w:type="dxa"/>
                  <w:vAlign w:val="center"/>
                </w:tcPr>
                <w:p w14:paraId="7A9386F7">
                  <w:pPr>
                    <w:autoSpaceDN w:val="0"/>
                    <w:adjustRightInd w:val="0"/>
                    <w:snapToGrid w:val="0"/>
                    <w:jc w:val="center"/>
                    <w:textAlignment w:val="top"/>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2</w:t>
                  </w:r>
                </w:p>
              </w:tc>
              <w:tc>
                <w:tcPr>
                  <w:tcW w:w="1829" w:type="dxa"/>
                  <w:vAlign w:val="center"/>
                </w:tcPr>
                <w:p w14:paraId="30475814">
                  <w:pPr>
                    <w:autoSpaceDN w:val="0"/>
                    <w:adjustRightInd w:val="0"/>
                    <w:snapToGrid w:val="0"/>
                    <w:jc w:val="center"/>
                    <w:textAlignment w:val="top"/>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w:t>
                  </w:r>
                </w:p>
              </w:tc>
              <w:tc>
                <w:tcPr>
                  <w:tcW w:w="916" w:type="dxa"/>
                  <w:vMerge w:val="continue"/>
                  <w:vAlign w:val="center"/>
                </w:tcPr>
                <w:p w14:paraId="79DC8FAC">
                  <w:pPr>
                    <w:pStyle w:val="70"/>
                    <w:rPr>
                      <w:rFonts w:hint="default" w:ascii="Times New Roman" w:hAnsi="Times New Roman" w:eastAsia="宋体" w:cs="Times New Roman"/>
                      <w:color w:val="auto"/>
                      <w:sz w:val="21"/>
                      <w:szCs w:val="21"/>
                      <w:lang w:val="en-US" w:eastAsia="zh-CN"/>
                    </w:rPr>
                  </w:pPr>
                </w:p>
              </w:tc>
              <w:tc>
                <w:tcPr>
                  <w:tcW w:w="916" w:type="dxa"/>
                  <w:vMerge w:val="continue"/>
                  <w:vAlign w:val="center"/>
                </w:tcPr>
                <w:p w14:paraId="1CDE59F8">
                  <w:pPr>
                    <w:pStyle w:val="70"/>
                    <w:rPr>
                      <w:rFonts w:hint="default" w:ascii="Times New Roman" w:hAnsi="Times New Roman" w:eastAsia="宋体" w:cs="Times New Roman"/>
                      <w:color w:val="auto"/>
                      <w:sz w:val="21"/>
                      <w:szCs w:val="21"/>
                      <w:lang w:val="en-US" w:eastAsia="zh-CN"/>
                    </w:rPr>
                  </w:pPr>
                </w:p>
              </w:tc>
            </w:tr>
            <w:tr w14:paraId="158819E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3" w:type="dxa"/>
                  <w:vAlign w:val="center"/>
                </w:tcPr>
                <w:p w14:paraId="439A79CC">
                  <w:pPr>
                    <w:pStyle w:val="70"/>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3</w:t>
                  </w:r>
                </w:p>
              </w:tc>
              <w:tc>
                <w:tcPr>
                  <w:tcW w:w="2052" w:type="dxa"/>
                  <w:vAlign w:val="center"/>
                </w:tcPr>
                <w:p w14:paraId="42AE6A3A">
                  <w:pPr>
                    <w:autoSpaceDN w:val="0"/>
                    <w:adjustRightInd w:val="0"/>
                    <w:snapToGrid w:val="0"/>
                    <w:jc w:val="center"/>
                    <w:textAlignment w:val="top"/>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正极</w:t>
                  </w:r>
                  <w:r>
                    <w:rPr>
                      <w:rFonts w:hint="default" w:ascii="Times New Roman" w:hAnsi="Times New Roman" w:cs="Times New Roman"/>
                      <w:color w:val="000000" w:themeColor="text1"/>
                      <w:sz w:val="21"/>
                      <w:szCs w:val="21"/>
                      <w:lang w:val="en-US" w:eastAsia="zh-CN"/>
                      <w14:textFill>
                        <w14:solidFill>
                          <w14:schemeClr w14:val="tx1"/>
                        </w14:solidFill>
                      </w14:textFill>
                    </w:rPr>
                    <w:t>液体上料系统</w:t>
                  </w:r>
                </w:p>
              </w:tc>
              <w:tc>
                <w:tcPr>
                  <w:tcW w:w="1372" w:type="dxa"/>
                  <w:vAlign w:val="center"/>
                </w:tcPr>
                <w:p w14:paraId="2424561D">
                  <w:pPr>
                    <w:autoSpaceDN w:val="0"/>
                    <w:adjustRightInd w:val="0"/>
                    <w:snapToGrid w:val="0"/>
                    <w:jc w:val="center"/>
                    <w:textAlignment w:val="top"/>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1</w:t>
                  </w:r>
                </w:p>
              </w:tc>
              <w:tc>
                <w:tcPr>
                  <w:tcW w:w="1829" w:type="dxa"/>
                  <w:vAlign w:val="center"/>
                </w:tcPr>
                <w:p w14:paraId="15E940DD">
                  <w:pPr>
                    <w:autoSpaceDN w:val="0"/>
                    <w:adjustRightInd w:val="0"/>
                    <w:snapToGrid w:val="0"/>
                    <w:jc w:val="center"/>
                    <w:textAlignment w:val="top"/>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w:t>
                  </w:r>
                </w:p>
              </w:tc>
              <w:tc>
                <w:tcPr>
                  <w:tcW w:w="916" w:type="dxa"/>
                  <w:vMerge w:val="continue"/>
                  <w:vAlign w:val="center"/>
                </w:tcPr>
                <w:p w14:paraId="123D7FD2">
                  <w:pPr>
                    <w:pStyle w:val="70"/>
                    <w:rPr>
                      <w:rFonts w:hint="default" w:ascii="Times New Roman" w:hAnsi="Times New Roman" w:eastAsia="宋体" w:cs="Times New Roman"/>
                      <w:color w:val="auto"/>
                      <w:sz w:val="21"/>
                      <w:szCs w:val="21"/>
                      <w:lang w:val="en-US" w:eastAsia="zh-CN"/>
                    </w:rPr>
                  </w:pPr>
                </w:p>
              </w:tc>
              <w:tc>
                <w:tcPr>
                  <w:tcW w:w="916" w:type="dxa"/>
                  <w:vMerge w:val="continue"/>
                  <w:vAlign w:val="center"/>
                </w:tcPr>
                <w:p w14:paraId="42798D50">
                  <w:pPr>
                    <w:pStyle w:val="70"/>
                    <w:rPr>
                      <w:rFonts w:hint="default" w:ascii="Times New Roman" w:hAnsi="Times New Roman" w:eastAsia="宋体" w:cs="Times New Roman"/>
                      <w:color w:val="auto"/>
                      <w:sz w:val="21"/>
                      <w:szCs w:val="21"/>
                      <w:lang w:val="en-US" w:eastAsia="zh-CN"/>
                    </w:rPr>
                  </w:pPr>
                </w:p>
              </w:tc>
            </w:tr>
            <w:tr w14:paraId="4223FA7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3" w:type="dxa"/>
                  <w:vAlign w:val="center"/>
                </w:tcPr>
                <w:p w14:paraId="52F469B4">
                  <w:pPr>
                    <w:pStyle w:val="70"/>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4</w:t>
                  </w:r>
                </w:p>
              </w:tc>
              <w:tc>
                <w:tcPr>
                  <w:tcW w:w="2052" w:type="dxa"/>
                  <w:vAlign w:val="center"/>
                </w:tcPr>
                <w:p w14:paraId="46300834">
                  <w:pPr>
                    <w:autoSpaceDN w:val="0"/>
                    <w:adjustRightInd w:val="0"/>
                    <w:snapToGrid w:val="0"/>
                    <w:jc w:val="center"/>
                    <w:textAlignment w:val="top"/>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负</w:t>
                  </w:r>
                  <w:r>
                    <w:rPr>
                      <w:rFonts w:hint="default" w:ascii="Times New Roman" w:hAnsi="Times New Roman" w:cs="Times New Roman"/>
                      <w:color w:val="000000" w:themeColor="text1"/>
                      <w:sz w:val="21"/>
                      <w:szCs w:val="21"/>
                      <w14:textFill>
                        <w14:solidFill>
                          <w14:schemeClr w14:val="tx1"/>
                        </w14:solidFill>
                      </w14:textFill>
                    </w:rPr>
                    <w:t>极</w:t>
                  </w:r>
                  <w:r>
                    <w:rPr>
                      <w:rFonts w:hint="default" w:ascii="Times New Roman" w:hAnsi="Times New Roman" w:cs="Times New Roman"/>
                      <w:color w:val="000000" w:themeColor="text1"/>
                      <w:sz w:val="21"/>
                      <w:szCs w:val="21"/>
                      <w:lang w:val="en-US" w:eastAsia="zh-CN"/>
                      <w14:textFill>
                        <w14:solidFill>
                          <w14:schemeClr w14:val="tx1"/>
                        </w14:solidFill>
                      </w14:textFill>
                    </w:rPr>
                    <w:t>匀浆</w:t>
                  </w:r>
                  <w:r>
                    <w:rPr>
                      <w:rFonts w:hint="default" w:ascii="Times New Roman" w:hAnsi="Times New Roman" w:cs="Times New Roman"/>
                      <w:color w:val="000000" w:themeColor="text1"/>
                      <w:sz w:val="21"/>
                      <w:szCs w:val="21"/>
                      <w14:textFill>
                        <w14:solidFill>
                          <w14:schemeClr w14:val="tx1"/>
                        </w14:solidFill>
                      </w14:textFill>
                    </w:rPr>
                    <w:t>系统</w:t>
                  </w:r>
                </w:p>
              </w:tc>
              <w:tc>
                <w:tcPr>
                  <w:tcW w:w="1372" w:type="dxa"/>
                  <w:vAlign w:val="center"/>
                </w:tcPr>
                <w:p w14:paraId="3658CCA0">
                  <w:pPr>
                    <w:autoSpaceDN w:val="0"/>
                    <w:adjustRightInd w:val="0"/>
                    <w:snapToGrid w:val="0"/>
                    <w:jc w:val="center"/>
                    <w:textAlignment w:val="top"/>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3</w:t>
                  </w:r>
                </w:p>
              </w:tc>
              <w:tc>
                <w:tcPr>
                  <w:tcW w:w="1829" w:type="dxa"/>
                  <w:vAlign w:val="center"/>
                </w:tcPr>
                <w:p w14:paraId="2B17B781">
                  <w:pPr>
                    <w:autoSpaceDN w:val="0"/>
                    <w:adjustRightInd w:val="0"/>
                    <w:snapToGrid w:val="0"/>
                    <w:jc w:val="center"/>
                    <w:textAlignment w:val="top"/>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HY-DLH820L</w:t>
                  </w:r>
                </w:p>
              </w:tc>
              <w:tc>
                <w:tcPr>
                  <w:tcW w:w="916" w:type="dxa"/>
                  <w:vMerge w:val="restart"/>
                  <w:vAlign w:val="center"/>
                </w:tcPr>
                <w:p w14:paraId="32423116">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负极匀浆</w:t>
                  </w:r>
                </w:p>
              </w:tc>
              <w:tc>
                <w:tcPr>
                  <w:tcW w:w="916" w:type="dxa"/>
                  <w:vMerge w:val="restart"/>
                  <w:vAlign w:val="center"/>
                </w:tcPr>
                <w:p w14:paraId="1F4B741B">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7200L/</w:t>
                  </w:r>
                  <w:r>
                    <w:rPr>
                      <w:rFonts w:hint="eastAsia" w:cs="Times New Roman"/>
                      <w:color w:val="auto"/>
                      <w:sz w:val="21"/>
                      <w:szCs w:val="21"/>
                      <w:lang w:val="en-US" w:eastAsia="zh-CN"/>
                    </w:rPr>
                    <w:t>d</w:t>
                  </w:r>
                </w:p>
              </w:tc>
            </w:tr>
            <w:tr w14:paraId="56639AF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3" w:type="dxa"/>
                  <w:vAlign w:val="center"/>
                </w:tcPr>
                <w:p w14:paraId="5828F77B">
                  <w:pPr>
                    <w:pStyle w:val="70"/>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5</w:t>
                  </w:r>
                </w:p>
              </w:tc>
              <w:tc>
                <w:tcPr>
                  <w:tcW w:w="2052" w:type="dxa"/>
                  <w:vAlign w:val="center"/>
                </w:tcPr>
                <w:p w14:paraId="7B6B4D90">
                  <w:pPr>
                    <w:autoSpaceDN w:val="0"/>
                    <w:adjustRightInd w:val="0"/>
                    <w:snapToGrid w:val="0"/>
                    <w:jc w:val="center"/>
                    <w:textAlignment w:val="top"/>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负</w:t>
                  </w:r>
                  <w:r>
                    <w:rPr>
                      <w:rFonts w:hint="default" w:ascii="Times New Roman" w:hAnsi="Times New Roman" w:cs="Times New Roman"/>
                      <w:color w:val="auto"/>
                      <w:sz w:val="21"/>
                      <w:szCs w:val="21"/>
                    </w:rPr>
                    <w:t>极</w:t>
                  </w:r>
                  <w:r>
                    <w:rPr>
                      <w:rFonts w:hint="default" w:ascii="Times New Roman" w:hAnsi="Times New Roman" w:cs="Times New Roman"/>
                      <w:color w:val="auto"/>
                      <w:sz w:val="21"/>
                      <w:szCs w:val="21"/>
                      <w:lang w:val="en-US" w:eastAsia="zh-CN"/>
                    </w:rPr>
                    <w:t>粉体上料系统</w:t>
                  </w:r>
                </w:p>
              </w:tc>
              <w:tc>
                <w:tcPr>
                  <w:tcW w:w="1372" w:type="dxa"/>
                  <w:vAlign w:val="center"/>
                </w:tcPr>
                <w:p w14:paraId="2C8B7AFD">
                  <w:pPr>
                    <w:autoSpaceDN w:val="0"/>
                    <w:adjustRightInd w:val="0"/>
                    <w:snapToGrid w:val="0"/>
                    <w:jc w:val="center"/>
                    <w:textAlignment w:val="top"/>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1</w:t>
                  </w:r>
                </w:p>
              </w:tc>
              <w:tc>
                <w:tcPr>
                  <w:tcW w:w="1829" w:type="dxa"/>
                  <w:vAlign w:val="center"/>
                </w:tcPr>
                <w:p w14:paraId="2EB04056">
                  <w:pPr>
                    <w:autoSpaceDN w:val="0"/>
                    <w:adjustRightInd w:val="0"/>
                    <w:snapToGrid w:val="0"/>
                    <w:jc w:val="center"/>
                    <w:textAlignment w:val="top"/>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w:t>
                  </w:r>
                </w:p>
              </w:tc>
              <w:tc>
                <w:tcPr>
                  <w:tcW w:w="916" w:type="dxa"/>
                  <w:vMerge w:val="continue"/>
                  <w:vAlign w:val="center"/>
                </w:tcPr>
                <w:p w14:paraId="5EAB1196">
                  <w:pPr>
                    <w:pStyle w:val="70"/>
                    <w:rPr>
                      <w:rFonts w:hint="default" w:ascii="Times New Roman" w:hAnsi="Times New Roman" w:eastAsia="宋体" w:cs="Times New Roman"/>
                      <w:color w:val="auto"/>
                      <w:sz w:val="21"/>
                      <w:szCs w:val="21"/>
                      <w:lang w:val="en-US" w:eastAsia="zh-CN"/>
                    </w:rPr>
                  </w:pPr>
                </w:p>
              </w:tc>
              <w:tc>
                <w:tcPr>
                  <w:tcW w:w="916" w:type="dxa"/>
                  <w:vMerge w:val="continue"/>
                  <w:vAlign w:val="center"/>
                </w:tcPr>
                <w:p w14:paraId="2010C1F9">
                  <w:pPr>
                    <w:pStyle w:val="70"/>
                    <w:rPr>
                      <w:rFonts w:hint="default" w:ascii="Times New Roman" w:hAnsi="Times New Roman" w:eastAsia="宋体" w:cs="Times New Roman"/>
                      <w:color w:val="auto"/>
                      <w:sz w:val="21"/>
                      <w:szCs w:val="21"/>
                      <w:lang w:val="en-US" w:eastAsia="zh-CN"/>
                    </w:rPr>
                  </w:pPr>
                </w:p>
              </w:tc>
            </w:tr>
            <w:tr w14:paraId="7F2C2B1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3" w:type="dxa"/>
                  <w:vAlign w:val="center"/>
                </w:tcPr>
                <w:p w14:paraId="56A8F292">
                  <w:pPr>
                    <w:pStyle w:val="70"/>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6</w:t>
                  </w:r>
                </w:p>
              </w:tc>
              <w:tc>
                <w:tcPr>
                  <w:tcW w:w="2052" w:type="dxa"/>
                  <w:vAlign w:val="center"/>
                </w:tcPr>
                <w:p w14:paraId="41263010">
                  <w:pPr>
                    <w:autoSpaceDN w:val="0"/>
                    <w:adjustRightInd w:val="0"/>
                    <w:snapToGrid w:val="0"/>
                    <w:jc w:val="center"/>
                    <w:textAlignment w:val="top"/>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负</w:t>
                  </w:r>
                  <w:r>
                    <w:rPr>
                      <w:rFonts w:hint="default" w:ascii="Times New Roman" w:hAnsi="Times New Roman" w:cs="Times New Roman"/>
                      <w:color w:val="auto"/>
                      <w:sz w:val="21"/>
                      <w:szCs w:val="21"/>
                    </w:rPr>
                    <w:t>极</w:t>
                  </w:r>
                  <w:r>
                    <w:rPr>
                      <w:rFonts w:hint="default" w:ascii="Times New Roman" w:hAnsi="Times New Roman" w:cs="Times New Roman"/>
                      <w:color w:val="auto"/>
                      <w:sz w:val="21"/>
                      <w:szCs w:val="21"/>
                      <w:lang w:val="en-US" w:eastAsia="zh-CN"/>
                    </w:rPr>
                    <w:t>液体上料系统</w:t>
                  </w:r>
                </w:p>
              </w:tc>
              <w:tc>
                <w:tcPr>
                  <w:tcW w:w="1372" w:type="dxa"/>
                  <w:vAlign w:val="center"/>
                </w:tcPr>
                <w:p w14:paraId="6ED4AEFB">
                  <w:pPr>
                    <w:autoSpaceDN w:val="0"/>
                    <w:adjustRightInd w:val="0"/>
                    <w:snapToGrid w:val="0"/>
                    <w:jc w:val="center"/>
                    <w:textAlignment w:val="top"/>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1</w:t>
                  </w:r>
                </w:p>
              </w:tc>
              <w:tc>
                <w:tcPr>
                  <w:tcW w:w="1829" w:type="dxa"/>
                  <w:vAlign w:val="center"/>
                </w:tcPr>
                <w:p w14:paraId="26FFBE87">
                  <w:pPr>
                    <w:autoSpaceDN w:val="0"/>
                    <w:adjustRightInd w:val="0"/>
                    <w:snapToGrid w:val="0"/>
                    <w:jc w:val="center"/>
                    <w:textAlignment w:val="top"/>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w:t>
                  </w:r>
                </w:p>
              </w:tc>
              <w:tc>
                <w:tcPr>
                  <w:tcW w:w="916" w:type="dxa"/>
                  <w:vMerge w:val="continue"/>
                  <w:vAlign w:val="center"/>
                </w:tcPr>
                <w:p w14:paraId="15440A3F">
                  <w:pPr>
                    <w:pStyle w:val="70"/>
                    <w:rPr>
                      <w:rFonts w:hint="default" w:ascii="Times New Roman" w:hAnsi="Times New Roman" w:eastAsia="宋体" w:cs="Times New Roman"/>
                      <w:color w:val="auto"/>
                      <w:sz w:val="21"/>
                      <w:szCs w:val="21"/>
                      <w:lang w:val="en-US" w:eastAsia="zh-CN"/>
                    </w:rPr>
                  </w:pPr>
                </w:p>
              </w:tc>
              <w:tc>
                <w:tcPr>
                  <w:tcW w:w="916" w:type="dxa"/>
                  <w:vMerge w:val="continue"/>
                  <w:vAlign w:val="center"/>
                </w:tcPr>
                <w:p w14:paraId="4E6785F2">
                  <w:pPr>
                    <w:pStyle w:val="70"/>
                    <w:rPr>
                      <w:rFonts w:hint="default" w:ascii="Times New Roman" w:hAnsi="Times New Roman" w:eastAsia="宋体" w:cs="Times New Roman"/>
                      <w:color w:val="auto"/>
                      <w:sz w:val="21"/>
                      <w:szCs w:val="21"/>
                      <w:lang w:val="en-US" w:eastAsia="zh-CN"/>
                    </w:rPr>
                  </w:pPr>
                </w:p>
              </w:tc>
            </w:tr>
            <w:tr w14:paraId="53F489D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3" w:type="dxa"/>
                  <w:vAlign w:val="center"/>
                </w:tcPr>
                <w:p w14:paraId="05346638">
                  <w:pPr>
                    <w:pStyle w:val="70"/>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7</w:t>
                  </w:r>
                </w:p>
              </w:tc>
              <w:tc>
                <w:tcPr>
                  <w:tcW w:w="2052" w:type="dxa"/>
                  <w:vAlign w:val="center"/>
                </w:tcPr>
                <w:p w14:paraId="6798A15A">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涂布机</w:t>
                  </w:r>
                </w:p>
              </w:tc>
              <w:tc>
                <w:tcPr>
                  <w:tcW w:w="1372" w:type="dxa"/>
                  <w:vAlign w:val="center"/>
                </w:tcPr>
                <w:p w14:paraId="5543D5C3">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2</w:t>
                  </w:r>
                </w:p>
              </w:tc>
              <w:tc>
                <w:tcPr>
                  <w:tcW w:w="1829" w:type="dxa"/>
                  <w:vAlign w:val="center"/>
                </w:tcPr>
                <w:p w14:paraId="07F78A9B">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KC-SD-1200-45-A</w:t>
                  </w:r>
                </w:p>
              </w:tc>
              <w:tc>
                <w:tcPr>
                  <w:tcW w:w="916" w:type="dxa"/>
                  <w:vAlign w:val="center"/>
                </w:tcPr>
                <w:p w14:paraId="2513E198">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涂布</w:t>
                  </w:r>
                </w:p>
              </w:tc>
              <w:tc>
                <w:tcPr>
                  <w:tcW w:w="916" w:type="dxa"/>
                  <w:vAlign w:val="center"/>
                </w:tcPr>
                <w:p w14:paraId="4D3AE7F8">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45m/min</w:t>
                  </w:r>
                </w:p>
              </w:tc>
            </w:tr>
            <w:tr w14:paraId="4DA7520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3" w:type="dxa"/>
                  <w:vAlign w:val="center"/>
                </w:tcPr>
                <w:p w14:paraId="1C52991E">
                  <w:pPr>
                    <w:pStyle w:val="70"/>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8</w:t>
                  </w:r>
                </w:p>
              </w:tc>
              <w:tc>
                <w:tcPr>
                  <w:tcW w:w="2052" w:type="dxa"/>
                  <w:vAlign w:val="center"/>
                </w:tcPr>
                <w:p w14:paraId="5B64207A">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辊分一体机</w:t>
                  </w:r>
                </w:p>
              </w:tc>
              <w:tc>
                <w:tcPr>
                  <w:tcW w:w="1372" w:type="dxa"/>
                  <w:vAlign w:val="center"/>
                </w:tcPr>
                <w:p w14:paraId="12783785">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2</w:t>
                  </w:r>
                </w:p>
              </w:tc>
              <w:tc>
                <w:tcPr>
                  <w:tcW w:w="1829" w:type="dxa"/>
                  <w:vAlign w:val="center"/>
                </w:tcPr>
                <w:p w14:paraId="3E751DEE">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LDHS900-WND120</w:t>
                  </w:r>
                </w:p>
              </w:tc>
              <w:tc>
                <w:tcPr>
                  <w:tcW w:w="916" w:type="dxa"/>
                  <w:vAlign w:val="center"/>
                </w:tcPr>
                <w:p w14:paraId="01E88098">
                  <w:pPr>
                    <w:pStyle w:val="70"/>
                    <w:spacing w:line="240" w:lineRule="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辊</w:t>
                  </w:r>
                  <w:r>
                    <w:rPr>
                      <w:rFonts w:hint="eastAsia" w:ascii="Times New Roman" w:hAnsi="Times New Roman" w:eastAsia="宋体" w:cs="Times New Roman"/>
                      <w:color w:val="auto"/>
                      <w:sz w:val="21"/>
                      <w:szCs w:val="21"/>
                      <w:lang w:val="en-US" w:eastAsia="zh-CN"/>
                    </w:rPr>
                    <w:t>压、分条</w:t>
                  </w:r>
                </w:p>
              </w:tc>
              <w:tc>
                <w:tcPr>
                  <w:tcW w:w="916" w:type="dxa"/>
                  <w:vAlign w:val="center"/>
                </w:tcPr>
                <w:p w14:paraId="23B421EF">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80m/min</w:t>
                  </w:r>
                </w:p>
              </w:tc>
            </w:tr>
            <w:tr w14:paraId="3D1FE02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3" w:type="dxa"/>
                  <w:vAlign w:val="center"/>
                </w:tcPr>
                <w:p w14:paraId="6F7D8DDA">
                  <w:pPr>
                    <w:pStyle w:val="70"/>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9</w:t>
                  </w:r>
                </w:p>
              </w:tc>
              <w:tc>
                <w:tcPr>
                  <w:tcW w:w="2052" w:type="dxa"/>
                  <w:vAlign w:val="center"/>
                </w:tcPr>
                <w:p w14:paraId="5998645A">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切叠一体机</w:t>
                  </w:r>
                </w:p>
              </w:tc>
              <w:tc>
                <w:tcPr>
                  <w:tcW w:w="1372" w:type="dxa"/>
                  <w:vAlign w:val="center"/>
                </w:tcPr>
                <w:p w14:paraId="71A8BCF7">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6</w:t>
                  </w:r>
                </w:p>
              </w:tc>
              <w:tc>
                <w:tcPr>
                  <w:tcW w:w="1829" w:type="dxa"/>
                  <w:vAlign w:val="center"/>
                </w:tcPr>
                <w:p w14:paraId="1A7486BB">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w:t>
                  </w:r>
                </w:p>
              </w:tc>
              <w:tc>
                <w:tcPr>
                  <w:tcW w:w="916" w:type="dxa"/>
                  <w:vAlign w:val="center"/>
                </w:tcPr>
                <w:p w14:paraId="2472BC5D">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叠片</w:t>
                  </w:r>
                </w:p>
              </w:tc>
              <w:tc>
                <w:tcPr>
                  <w:tcW w:w="916" w:type="dxa"/>
                  <w:vAlign w:val="center"/>
                </w:tcPr>
                <w:p w14:paraId="2FE21505">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0.6S/片</w:t>
                  </w:r>
                </w:p>
              </w:tc>
            </w:tr>
            <w:tr w14:paraId="28F1EB9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3" w:type="dxa"/>
                  <w:vAlign w:val="center"/>
                </w:tcPr>
                <w:p w14:paraId="377DA1A4">
                  <w:pPr>
                    <w:pStyle w:val="70"/>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10</w:t>
                  </w:r>
                </w:p>
              </w:tc>
              <w:tc>
                <w:tcPr>
                  <w:tcW w:w="2052" w:type="dxa"/>
                  <w:vAlign w:val="center"/>
                </w:tcPr>
                <w:p w14:paraId="780F28B3">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热压机</w:t>
                  </w:r>
                </w:p>
              </w:tc>
              <w:tc>
                <w:tcPr>
                  <w:tcW w:w="1372" w:type="dxa"/>
                  <w:vAlign w:val="center"/>
                </w:tcPr>
                <w:p w14:paraId="151501C5">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1</w:t>
                  </w:r>
                </w:p>
              </w:tc>
              <w:tc>
                <w:tcPr>
                  <w:tcW w:w="1829" w:type="dxa"/>
                  <w:vAlign w:val="center"/>
                </w:tcPr>
                <w:p w14:paraId="031E92BF">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AH-RYCS-280</w:t>
                  </w:r>
                </w:p>
              </w:tc>
              <w:tc>
                <w:tcPr>
                  <w:tcW w:w="916" w:type="dxa"/>
                  <w:vAlign w:val="center"/>
                </w:tcPr>
                <w:p w14:paraId="28E3C918">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热压</w:t>
                  </w:r>
                </w:p>
              </w:tc>
              <w:tc>
                <w:tcPr>
                  <w:tcW w:w="916" w:type="dxa"/>
                  <w:vAlign w:val="center"/>
                </w:tcPr>
                <w:p w14:paraId="7B4BE9E2">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15000</w:t>
                  </w:r>
                  <w:r>
                    <w:rPr>
                      <w:rFonts w:hint="eastAsia" w:cs="Times New Roman"/>
                      <w:color w:val="auto"/>
                      <w:sz w:val="21"/>
                      <w:szCs w:val="21"/>
                      <w:lang w:val="en-US" w:eastAsia="zh-CN"/>
                    </w:rPr>
                    <w:t>个</w:t>
                  </w:r>
                  <w:r>
                    <w:rPr>
                      <w:rFonts w:hint="eastAsia" w:ascii="Times New Roman" w:hAnsi="Times New Roman" w:eastAsia="宋体" w:cs="Times New Roman"/>
                      <w:color w:val="auto"/>
                      <w:sz w:val="21"/>
                      <w:szCs w:val="21"/>
                      <w:lang w:val="en-US" w:eastAsia="zh-CN"/>
                    </w:rPr>
                    <w:t>/d</w:t>
                  </w:r>
                </w:p>
              </w:tc>
            </w:tr>
            <w:tr w14:paraId="6B25240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3" w:type="dxa"/>
                  <w:vAlign w:val="center"/>
                </w:tcPr>
                <w:p w14:paraId="117ADB5E">
                  <w:pPr>
                    <w:pStyle w:val="70"/>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11</w:t>
                  </w:r>
                </w:p>
              </w:tc>
              <w:tc>
                <w:tcPr>
                  <w:tcW w:w="2052" w:type="dxa"/>
                  <w:vAlign w:val="center"/>
                </w:tcPr>
                <w:p w14:paraId="70811393">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自动焊接线</w:t>
                  </w:r>
                </w:p>
              </w:tc>
              <w:tc>
                <w:tcPr>
                  <w:tcW w:w="1372" w:type="dxa"/>
                  <w:vAlign w:val="center"/>
                </w:tcPr>
                <w:p w14:paraId="46EC0376">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1</w:t>
                  </w:r>
                </w:p>
              </w:tc>
              <w:tc>
                <w:tcPr>
                  <w:tcW w:w="1829" w:type="dxa"/>
                  <w:vAlign w:val="center"/>
                </w:tcPr>
                <w:p w14:paraId="4CB2A550">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w:t>
                  </w:r>
                </w:p>
              </w:tc>
              <w:tc>
                <w:tcPr>
                  <w:tcW w:w="916" w:type="dxa"/>
                  <w:vAlign w:val="center"/>
                </w:tcPr>
                <w:p w14:paraId="571B0954">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极耳焊接</w:t>
                  </w:r>
                </w:p>
              </w:tc>
              <w:tc>
                <w:tcPr>
                  <w:tcW w:w="916" w:type="dxa"/>
                  <w:vAlign w:val="center"/>
                </w:tcPr>
                <w:p w14:paraId="0568A018">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15000个/d</w:t>
                  </w:r>
                </w:p>
              </w:tc>
            </w:tr>
            <w:tr w14:paraId="56AC33B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3" w:type="dxa"/>
                  <w:vAlign w:val="center"/>
                </w:tcPr>
                <w:p w14:paraId="0977666F">
                  <w:pPr>
                    <w:pStyle w:val="70"/>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12</w:t>
                  </w:r>
                </w:p>
              </w:tc>
              <w:tc>
                <w:tcPr>
                  <w:tcW w:w="2052" w:type="dxa"/>
                  <w:vAlign w:val="center"/>
                </w:tcPr>
                <w:p w14:paraId="49D9A0C2">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自动冲壳机</w:t>
                  </w:r>
                </w:p>
              </w:tc>
              <w:tc>
                <w:tcPr>
                  <w:tcW w:w="1372" w:type="dxa"/>
                  <w:vAlign w:val="center"/>
                </w:tcPr>
                <w:p w14:paraId="66AF199F">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1</w:t>
                  </w:r>
                </w:p>
              </w:tc>
              <w:tc>
                <w:tcPr>
                  <w:tcW w:w="1829" w:type="dxa"/>
                  <w:vAlign w:val="center"/>
                </w:tcPr>
                <w:p w14:paraId="7E6922E7">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w:t>
                  </w:r>
                </w:p>
              </w:tc>
              <w:tc>
                <w:tcPr>
                  <w:tcW w:w="916" w:type="dxa"/>
                  <w:vMerge w:val="restart"/>
                  <w:vAlign w:val="center"/>
                </w:tcPr>
                <w:p w14:paraId="7DC63567">
                  <w:pPr>
                    <w:pStyle w:val="70"/>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装配</w:t>
                  </w:r>
                </w:p>
              </w:tc>
              <w:tc>
                <w:tcPr>
                  <w:tcW w:w="916" w:type="dxa"/>
                  <w:vAlign w:val="center"/>
                </w:tcPr>
                <w:p w14:paraId="22A1CABD">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15000个/d</w:t>
                  </w:r>
                </w:p>
              </w:tc>
            </w:tr>
            <w:tr w14:paraId="4B2A5FF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3" w:type="dxa"/>
                  <w:vAlign w:val="center"/>
                </w:tcPr>
                <w:p w14:paraId="520258F9">
                  <w:pPr>
                    <w:pStyle w:val="70"/>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13</w:t>
                  </w:r>
                </w:p>
              </w:tc>
              <w:tc>
                <w:tcPr>
                  <w:tcW w:w="2052" w:type="dxa"/>
                  <w:shd w:val="clear" w:color="auto" w:fill="auto"/>
                  <w:vAlign w:val="center"/>
                </w:tcPr>
                <w:p w14:paraId="679D8466">
                  <w:pPr>
                    <w:autoSpaceDN w:val="0"/>
                    <w:adjustRightInd w:val="0"/>
                    <w:snapToGrid w:val="0"/>
                    <w:jc w:val="center"/>
                    <w:textAlignment w:val="top"/>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rPr>
                    <w:t>自动贴膜机</w:t>
                  </w:r>
                </w:p>
              </w:tc>
              <w:tc>
                <w:tcPr>
                  <w:tcW w:w="1372" w:type="dxa"/>
                  <w:shd w:val="clear" w:color="auto" w:fill="auto"/>
                  <w:vAlign w:val="center"/>
                </w:tcPr>
                <w:p w14:paraId="77EBEE68">
                  <w:pPr>
                    <w:autoSpaceDN w:val="0"/>
                    <w:adjustRightInd w:val="0"/>
                    <w:snapToGrid w:val="0"/>
                    <w:jc w:val="center"/>
                    <w:textAlignment w:val="top"/>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rPr>
                    <w:t>1</w:t>
                  </w:r>
                </w:p>
              </w:tc>
              <w:tc>
                <w:tcPr>
                  <w:tcW w:w="1829" w:type="dxa"/>
                  <w:shd w:val="clear" w:color="auto" w:fill="auto"/>
                  <w:vAlign w:val="center"/>
                </w:tcPr>
                <w:p w14:paraId="3BCE6853">
                  <w:pPr>
                    <w:autoSpaceDN w:val="0"/>
                    <w:adjustRightInd w:val="0"/>
                    <w:snapToGrid w:val="0"/>
                    <w:jc w:val="center"/>
                    <w:textAlignment w:val="top"/>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rPr>
                    <w:t>/</w:t>
                  </w:r>
                </w:p>
              </w:tc>
              <w:tc>
                <w:tcPr>
                  <w:tcW w:w="916" w:type="dxa"/>
                  <w:vMerge w:val="continue"/>
                  <w:vAlign w:val="center"/>
                </w:tcPr>
                <w:p w14:paraId="2CD52DE3">
                  <w:pPr>
                    <w:pStyle w:val="70"/>
                    <w:rPr>
                      <w:rFonts w:hint="default" w:ascii="Times New Roman" w:hAnsi="Times New Roman" w:eastAsia="宋体" w:cs="Times New Roman"/>
                      <w:color w:val="auto"/>
                      <w:sz w:val="21"/>
                      <w:szCs w:val="21"/>
                      <w:lang w:val="en-US" w:eastAsia="zh-CN"/>
                    </w:rPr>
                  </w:pPr>
                </w:p>
              </w:tc>
              <w:tc>
                <w:tcPr>
                  <w:tcW w:w="916" w:type="dxa"/>
                  <w:vAlign w:val="center"/>
                </w:tcPr>
                <w:p w14:paraId="60220162">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15000个/d</w:t>
                  </w:r>
                </w:p>
              </w:tc>
            </w:tr>
            <w:tr w14:paraId="080985E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3" w:type="dxa"/>
                  <w:vAlign w:val="center"/>
                </w:tcPr>
                <w:p w14:paraId="7FA63EAB">
                  <w:pPr>
                    <w:pStyle w:val="70"/>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14</w:t>
                  </w:r>
                </w:p>
              </w:tc>
              <w:tc>
                <w:tcPr>
                  <w:tcW w:w="2052" w:type="dxa"/>
                  <w:shd w:val="clear" w:color="auto" w:fill="auto"/>
                  <w:vAlign w:val="center"/>
                </w:tcPr>
                <w:p w14:paraId="43F25A79">
                  <w:pPr>
                    <w:autoSpaceDN w:val="0"/>
                    <w:adjustRightInd w:val="0"/>
                    <w:snapToGrid w:val="0"/>
                    <w:jc w:val="center"/>
                    <w:textAlignment w:val="top"/>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rPr>
                    <w:t>自动包装机</w:t>
                  </w:r>
                </w:p>
              </w:tc>
              <w:tc>
                <w:tcPr>
                  <w:tcW w:w="1372" w:type="dxa"/>
                  <w:shd w:val="clear" w:color="auto" w:fill="auto"/>
                  <w:vAlign w:val="center"/>
                </w:tcPr>
                <w:p w14:paraId="67C130D0">
                  <w:pPr>
                    <w:autoSpaceDN w:val="0"/>
                    <w:adjustRightInd w:val="0"/>
                    <w:snapToGrid w:val="0"/>
                    <w:jc w:val="center"/>
                    <w:textAlignment w:val="top"/>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rPr>
                    <w:t>1</w:t>
                  </w:r>
                </w:p>
              </w:tc>
              <w:tc>
                <w:tcPr>
                  <w:tcW w:w="1829" w:type="dxa"/>
                  <w:shd w:val="clear" w:color="auto" w:fill="auto"/>
                  <w:vAlign w:val="center"/>
                </w:tcPr>
                <w:p w14:paraId="3C116B19">
                  <w:pPr>
                    <w:autoSpaceDN w:val="0"/>
                    <w:adjustRightInd w:val="0"/>
                    <w:snapToGrid w:val="0"/>
                    <w:jc w:val="center"/>
                    <w:textAlignment w:val="top"/>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rPr>
                    <w:t>ZDBZ300</w:t>
                  </w:r>
                  <w:r>
                    <w:rPr>
                      <w:rFonts w:hint="default" w:ascii="Times New Roman" w:hAnsi="Times New Roman" w:cs="Times New Roman"/>
                      <w:color w:val="auto"/>
                      <w:sz w:val="21"/>
                      <w:szCs w:val="21"/>
                      <w:lang w:val="en-US" w:eastAsia="zh-CN"/>
                    </w:rPr>
                    <w:t>-15</w:t>
                  </w:r>
                </w:p>
              </w:tc>
              <w:tc>
                <w:tcPr>
                  <w:tcW w:w="916" w:type="dxa"/>
                  <w:vMerge w:val="continue"/>
                  <w:vAlign w:val="center"/>
                </w:tcPr>
                <w:p w14:paraId="4B44511A">
                  <w:pPr>
                    <w:pStyle w:val="70"/>
                    <w:rPr>
                      <w:rFonts w:hint="default" w:ascii="Times New Roman" w:hAnsi="Times New Roman" w:eastAsia="宋体" w:cs="Times New Roman"/>
                      <w:color w:val="auto"/>
                      <w:sz w:val="21"/>
                      <w:szCs w:val="21"/>
                      <w:lang w:val="en-US" w:eastAsia="zh-CN"/>
                    </w:rPr>
                  </w:pPr>
                </w:p>
              </w:tc>
              <w:tc>
                <w:tcPr>
                  <w:tcW w:w="916" w:type="dxa"/>
                  <w:vAlign w:val="center"/>
                </w:tcPr>
                <w:p w14:paraId="75CC9D27">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15000个/d</w:t>
                  </w:r>
                </w:p>
              </w:tc>
            </w:tr>
            <w:tr w14:paraId="444222A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3" w:type="dxa"/>
                  <w:vAlign w:val="center"/>
                </w:tcPr>
                <w:p w14:paraId="2E4434DE">
                  <w:pPr>
                    <w:pStyle w:val="70"/>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15</w:t>
                  </w:r>
                </w:p>
              </w:tc>
              <w:tc>
                <w:tcPr>
                  <w:tcW w:w="2052" w:type="dxa"/>
                  <w:vAlign w:val="center"/>
                </w:tcPr>
                <w:p w14:paraId="61F7F97D">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自动注液机</w:t>
                  </w:r>
                </w:p>
              </w:tc>
              <w:tc>
                <w:tcPr>
                  <w:tcW w:w="1372" w:type="dxa"/>
                  <w:vAlign w:val="center"/>
                </w:tcPr>
                <w:p w14:paraId="10D54821">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1</w:t>
                  </w:r>
                </w:p>
              </w:tc>
              <w:tc>
                <w:tcPr>
                  <w:tcW w:w="1829" w:type="dxa"/>
                  <w:vAlign w:val="center"/>
                </w:tcPr>
                <w:p w14:paraId="5C9A699A">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RZY300ZLA8-15</w:t>
                  </w:r>
                </w:p>
              </w:tc>
              <w:tc>
                <w:tcPr>
                  <w:tcW w:w="916" w:type="dxa"/>
                  <w:vAlign w:val="center"/>
                </w:tcPr>
                <w:p w14:paraId="51DC86AA">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注液</w:t>
                  </w:r>
                </w:p>
              </w:tc>
              <w:tc>
                <w:tcPr>
                  <w:tcW w:w="916" w:type="dxa"/>
                  <w:vAlign w:val="center"/>
                </w:tcPr>
                <w:p w14:paraId="686B76B7">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15000个/d</w:t>
                  </w:r>
                </w:p>
              </w:tc>
            </w:tr>
            <w:tr w14:paraId="2529D47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3" w:type="dxa"/>
                  <w:vAlign w:val="center"/>
                </w:tcPr>
                <w:p w14:paraId="6E86994F">
                  <w:pPr>
                    <w:pStyle w:val="70"/>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16</w:t>
                  </w:r>
                </w:p>
              </w:tc>
              <w:tc>
                <w:tcPr>
                  <w:tcW w:w="2052" w:type="dxa"/>
                  <w:vAlign w:val="center"/>
                </w:tcPr>
                <w:p w14:paraId="041D71E7">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自动二封成型机</w:t>
                  </w:r>
                </w:p>
              </w:tc>
              <w:tc>
                <w:tcPr>
                  <w:tcW w:w="1372" w:type="dxa"/>
                  <w:vAlign w:val="center"/>
                </w:tcPr>
                <w:p w14:paraId="19A16774">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1</w:t>
                  </w:r>
                </w:p>
              </w:tc>
              <w:tc>
                <w:tcPr>
                  <w:tcW w:w="1829" w:type="dxa"/>
                  <w:vAlign w:val="center"/>
                </w:tcPr>
                <w:p w14:paraId="3A010D32">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ZDEF300-15</w:t>
                  </w:r>
                </w:p>
              </w:tc>
              <w:tc>
                <w:tcPr>
                  <w:tcW w:w="916" w:type="dxa"/>
                  <w:vAlign w:val="center"/>
                </w:tcPr>
                <w:p w14:paraId="1CF6366A">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二封</w:t>
                  </w:r>
                </w:p>
              </w:tc>
              <w:tc>
                <w:tcPr>
                  <w:tcW w:w="916" w:type="dxa"/>
                  <w:vAlign w:val="center"/>
                </w:tcPr>
                <w:p w14:paraId="2B34C0BF">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15000个/d</w:t>
                  </w:r>
                </w:p>
              </w:tc>
            </w:tr>
            <w:tr w14:paraId="1868B84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3" w:type="dxa"/>
                  <w:vAlign w:val="center"/>
                </w:tcPr>
                <w:p w14:paraId="71047205">
                  <w:pPr>
                    <w:pStyle w:val="70"/>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17</w:t>
                  </w:r>
                </w:p>
              </w:tc>
              <w:tc>
                <w:tcPr>
                  <w:tcW w:w="2052" w:type="dxa"/>
                  <w:vAlign w:val="center"/>
                </w:tcPr>
                <w:p w14:paraId="2E40AB7E">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激光模分一体机</w:t>
                  </w:r>
                </w:p>
              </w:tc>
              <w:tc>
                <w:tcPr>
                  <w:tcW w:w="1372" w:type="dxa"/>
                  <w:vAlign w:val="center"/>
                </w:tcPr>
                <w:p w14:paraId="72E2E467">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2</w:t>
                  </w:r>
                </w:p>
              </w:tc>
              <w:tc>
                <w:tcPr>
                  <w:tcW w:w="1829" w:type="dxa"/>
                  <w:vAlign w:val="center"/>
                </w:tcPr>
                <w:p w14:paraId="7B4D09D5">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J500D-AG</w:t>
                  </w:r>
                </w:p>
              </w:tc>
              <w:tc>
                <w:tcPr>
                  <w:tcW w:w="916" w:type="dxa"/>
                  <w:vAlign w:val="center"/>
                </w:tcPr>
                <w:p w14:paraId="6F285D2F">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模切</w:t>
                  </w:r>
                </w:p>
              </w:tc>
              <w:tc>
                <w:tcPr>
                  <w:tcW w:w="916" w:type="dxa"/>
                  <w:vAlign w:val="center"/>
                </w:tcPr>
                <w:p w14:paraId="36685C49">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100m/min</w:t>
                  </w:r>
                </w:p>
              </w:tc>
            </w:tr>
            <w:tr w14:paraId="29536DF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3" w:type="dxa"/>
                  <w:vAlign w:val="center"/>
                </w:tcPr>
                <w:p w14:paraId="39D191FC">
                  <w:pPr>
                    <w:pStyle w:val="70"/>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18</w:t>
                  </w:r>
                </w:p>
              </w:tc>
              <w:tc>
                <w:tcPr>
                  <w:tcW w:w="2052" w:type="dxa"/>
                  <w:vAlign w:val="center"/>
                </w:tcPr>
                <w:p w14:paraId="086EE6E7">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夹具化成</w:t>
                  </w:r>
                  <w:r>
                    <w:rPr>
                      <w:rFonts w:hint="default" w:ascii="Times New Roman" w:hAnsi="Times New Roman" w:cs="Times New Roman"/>
                      <w:color w:val="auto"/>
                      <w:sz w:val="21"/>
                      <w:szCs w:val="21"/>
                      <w:lang w:val="en-US" w:eastAsia="zh-CN"/>
                    </w:rPr>
                    <w:t>设备线</w:t>
                  </w:r>
                </w:p>
              </w:tc>
              <w:tc>
                <w:tcPr>
                  <w:tcW w:w="1372" w:type="dxa"/>
                  <w:vAlign w:val="center"/>
                </w:tcPr>
                <w:p w14:paraId="7D5AB65E">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1</w:t>
                  </w:r>
                </w:p>
              </w:tc>
              <w:tc>
                <w:tcPr>
                  <w:tcW w:w="1829" w:type="dxa"/>
                  <w:vAlign w:val="center"/>
                </w:tcPr>
                <w:p w14:paraId="2A8A255B">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5V-30A-80CH</w:t>
                  </w:r>
                </w:p>
              </w:tc>
              <w:tc>
                <w:tcPr>
                  <w:tcW w:w="916" w:type="dxa"/>
                  <w:vAlign w:val="center"/>
                </w:tcPr>
                <w:p w14:paraId="30EB8782">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化成</w:t>
                  </w:r>
                </w:p>
              </w:tc>
              <w:tc>
                <w:tcPr>
                  <w:tcW w:w="916" w:type="dxa"/>
                  <w:vAlign w:val="center"/>
                </w:tcPr>
                <w:p w14:paraId="50FE0965">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15000个/d</w:t>
                  </w:r>
                </w:p>
              </w:tc>
            </w:tr>
            <w:tr w14:paraId="4C53E97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3" w:type="dxa"/>
                  <w:vAlign w:val="center"/>
                </w:tcPr>
                <w:p w14:paraId="1DF97508">
                  <w:pPr>
                    <w:pStyle w:val="70"/>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19</w:t>
                  </w:r>
                </w:p>
              </w:tc>
              <w:tc>
                <w:tcPr>
                  <w:tcW w:w="2052" w:type="dxa"/>
                  <w:shd w:val="clear" w:color="auto" w:fill="auto"/>
                  <w:vAlign w:val="center"/>
                </w:tcPr>
                <w:p w14:paraId="40AC4412">
                  <w:pPr>
                    <w:autoSpaceDN w:val="0"/>
                    <w:adjustRightInd w:val="0"/>
                    <w:snapToGrid w:val="0"/>
                    <w:jc w:val="center"/>
                    <w:textAlignment w:val="top"/>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rPr>
                    <w:t>化成物流</w:t>
                  </w:r>
                  <w:r>
                    <w:rPr>
                      <w:rFonts w:hint="default" w:ascii="Times New Roman" w:hAnsi="Times New Roman" w:cs="Times New Roman"/>
                      <w:color w:val="auto"/>
                      <w:sz w:val="21"/>
                      <w:szCs w:val="21"/>
                      <w:lang w:val="en-US" w:eastAsia="zh-CN"/>
                    </w:rPr>
                    <w:t>线</w:t>
                  </w:r>
                </w:p>
              </w:tc>
              <w:tc>
                <w:tcPr>
                  <w:tcW w:w="1372" w:type="dxa"/>
                  <w:shd w:val="clear" w:color="auto" w:fill="auto"/>
                  <w:vAlign w:val="center"/>
                </w:tcPr>
                <w:p w14:paraId="2AC3542B">
                  <w:pPr>
                    <w:autoSpaceDN w:val="0"/>
                    <w:adjustRightInd w:val="0"/>
                    <w:snapToGrid w:val="0"/>
                    <w:jc w:val="center"/>
                    <w:textAlignment w:val="top"/>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rPr>
                    <w:t>1</w:t>
                  </w:r>
                </w:p>
              </w:tc>
              <w:tc>
                <w:tcPr>
                  <w:tcW w:w="1829" w:type="dxa"/>
                  <w:shd w:val="clear" w:color="auto" w:fill="auto"/>
                  <w:vAlign w:val="center"/>
                </w:tcPr>
                <w:p w14:paraId="615DC15C">
                  <w:pPr>
                    <w:autoSpaceDN w:val="0"/>
                    <w:adjustRightInd w:val="0"/>
                    <w:snapToGrid w:val="0"/>
                    <w:jc w:val="center"/>
                    <w:textAlignment w:val="top"/>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rPr>
                    <w:t>/</w:t>
                  </w:r>
                </w:p>
              </w:tc>
              <w:tc>
                <w:tcPr>
                  <w:tcW w:w="916" w:type="dxa"/>
                  <w:vAlign w:val="center"/>
                </w:tcPr>
                <w:p w14:paraId="05701430">
                  <w:pPr>
                    <w:pStyle w:val="70"/>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w:t>
                  </w:r>
                </w:p>
              </w:tc>
              <w:tc>
                <w:tcPr>
                  <w:tcW w:w="916" w:type="dxa"/>
                  <w:vAlign w:val="center"/>
                </w:tcPr>
                <w:p w14:paraId="7F9B4196">
                  <w:pPr>
                    <w:pStyle w:val="70"/>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w:t>
                  </w:r>
                </w:p>
              </w:tc>
            </w:tr>
            <w:tr w14:paraId="0C63F27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3" w:type="dxa"/>
                  <w:vAlign w:val="center"/>
                </w:tcPr>
                <w:p w14:paraId="6CE66313">
                  <w:pPr>
                    <w:pStyle w:val="70"/>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20</w:t>
                  </w:r>
                </w:p>
              </w:tc>
              <w:tc>
                <w:tcPr>
                  <w:tcW w:w="2052" w:type="dxa"/>
                  <w:vAlign w:val="center"/>
                </w:tcPr>
                <w:p w14:paraId="25BC1E65">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分容设备</w:t>
                  </w:r>
                  <w:r>
                    <w:rPr>
                      <w:rFonts w:hint="default" w:ascii="Times New Roman" w:hAnsi="Times New Roman" w:cs="Times New Roman"/>
                      <w:color w:val="auto"/>
                      <w:sz w:val="21"/>
                      <w:szCs w:val="21"/>
                      <w:lang w:val="en-US" w:eastAsia="zh-CN"/>
                    </w:rPr>
                    <w:t>线</w:t>
                  </w:r>
                </w:p>
              </w:tc>
              <w:tc>
                <w:tcPr>
                  <w:tcW w:w="1372" w:type="dxa"/>
                  <w:vAlign w:val="center"/>
                </w:tcPr>
                <w:p w14:paraId="0F554673">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1</w:t>
                  </w:r>
                </w:p>
              </w:tc>
              <w:tc>
                <w:tcPr>
                  <w:tcW w:w="1829" w:type="dxa"/>
                  <w:vAlign w:val="center"/>
                </w:tcPr>
                <w:p w14:paraId="5F4B293C">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5V-60A-80CH</w:t>
                  </w:r>
                </w:p>
              </w:tc>
              <w:tc>
                <w:tcPr>
                  <w:tcW w:w="916" w:type="dxa"/>
                  <w:vAlign w:val="center"/>
                </w:tcPr>
                <w:p w14:paraId="7DC8778F">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分容</w:t>
                  </w:r>
                </w:p>
              </w:tc>
              <w:tc>
                <w:tcPr>
                  <w:tcW w:w="916" w:type="dxa"/>
                  <w:vAlign w:val="center"/>
                </w:tcPr>
                <w:p w14:paraId="04D0AFDE">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15000个/d</w:t>
                  </w:r>
                </w:p>
              </w:tc>
            </w:tr>
            <w:tr w14:paraId="01E817D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3" w:type="dxa"/>
                  <w:vAlign w:val="center"/>
                </w:tcPr>
                <w:p w14:paraId="38AFF3A0">
                  <w:pPr>
                    <w:pStyle w:val="70"/>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21</w:t>
                  </w:r>
                </w:p>
              </w:tc>
              <w:tc>
                <w:tcPr>
                  <w:tcW w:w="2052" w:type="dxa"/>
                  <w:vAlign w:val="center"/>
                </w:tcPr>
                <w:p w14:paraId="5BB8DC60">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OCV测试线</w:t>
                  </w:r>
                </w:p>
              </w:tc>
              <w:tc>
                <w:tcPr>
                  <w:tcW w:w="1372" w:type="dxa"/>
                  <w:vAlign w:val="center"/>
                </w:tcPr>
                <w:p w14:paraId="0F53EFD7">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1</w:t>
                  </w:r>
                </w:p>
              </w:tc>
              <w:tc>
                <w:tcPr>
                  <w:tcW w:w="1829" w:type="dxa"/>
                  <w:vAlign w:val="center"/>
                </w:tcPr>
                <w:p w14:paraId="258643DA">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w:t>
                  </w:r>
                </w:p>
              </w:tc>
              <w:tc>
                <w:tcPr>
                  <w:tcW w:w="916" w:type="dxa"/>
                  <w:vAlign w:val="center"/>
                </w:tcPr>
                <w:p w14:paraId="1D384DD6">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OVC测试</w:t>
                  </w:r>
                </w:p>
              </w:tc>
              <w:tc>
                <w:tcPr>
                  <w:tcW w:w="916" w:type="dxa"/>
                  <w:vAlign w:val="center"/>
                </w:tcPr>
                <w:p w14:paraId="3D38EF77">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15000个/d</w:t>
                  </w:r>
                </w:p>
              </w:tc>
            </w:tr>
            <w:tr w14:paraId="4D56076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3" w:type="dxa"/>
                  <w:vAlign w:val="center"/>
                </w:tcPr>
                <w:p w14:paraId="175D4C94">
                  <w:pPr>
                    <w:pStyle w:val="70"/>
                    <w:rPr>
                      <w:rFonts w:hint="default" w:cs="Times New Roman"/>
                      <w:color w:val="auto"/>
                      <w:sz w:val="21"/>
                      <w:szCs w:val="21"/>
                      <w:lang w:val="en-US" w:eastAsia="zh-CN"/>
                    </w:rPr>
                  </w:pPr>
                  <w:r>
                    <w:rPr>
                      <w:rFonts w:hint="eastAsia" w:cs="Times New Roman"/>
                      <w:color w:val="auto"/>
                      <w:sz w:val="21"/>
                      <w:szCs w:val="21"/>
                      <w:lang w:val="en-US" w:eastAsia="zh-CN"/>
                    </w:rPr>
                    <w:t>22</w:t>
                  </w:r>
                </w:p>
              </w:tc>
              <w:tc>
                <w:tcPr>
                  <w:tcW w:w="2052" w:type="dxa"/>
                  <w:vAlign w:val="center"/>
                </w:tcPr>
                <w:p w14:paraId="54061947">
                  <w:pPr>
                    <w:autoSpaceDN w:val="0"/>
                    <w:adjustRightInd w:val="0"/>
                    <w:snapToGrid w:val="0"/>
                    <w:jc w:val="center"/>
                    <w:textAlignment w:val="top"/>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压缩空气储气罐</w:t>
                  </w:r>
                </w:p>
              </w:tc>
              <w:tc>
                <w:tcPr>
                  <w:tcW w:w="1372" w:type="dxa"/>
                  <w:vAlign w:val="center"/>
                </w:tcPr>
                <w:p w14:paraId="5339710A">
                  <w:pPr>
                    <w:autoSpaceDN w:val="0"/>
                    <w:adjustRightInd w:val="0"/>
                    <w:snapToGrid w:val="0"/>
                    <w:jc w:val="center"/>
                    <w:textAlignment w:val="top"/>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w:t>
                  </w:r>
                </w:p>
              </w:tc>
              <w:tc>
                <w:tcPr>
                  <w:tcW w:w="1829" w:type="dxa"/>
                  <w:vAlign w:val="center"/>
                </w:tcPr>
                <w:p w14:paraId="7D22D732">
                  <w:pPr>
                    <w:autoSpaceDN w:val="0"/>
                    <w:adjustRightInd w:val="0"/>
                    <w:snapToGrid w:val="0"/>
                    <w:jc w:val="center"/>
                    <w:textAlignment w:val="top"/>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10m</w:t>
                  </w:r>
                  <w:r>
                    <w:rPr>
                      <w:rFonts w:hint="eastAsia" w:cs="Times New Roman"/>
                      <w:color w:val="000000" w:themeColor="text1"/>
                      <w:sz w:val="21"/>
                      <w:szCs w:val="21"/>
                      <w:vertAlign w:val="superscript"/>
                      <w:lang w:val="en-US" w:eastAsia="zh-CN"/>
                      <w14:textFill>
                        <w14:solidFill>
                          <w14:schemeClr w14:val="tx1"/>
                        </w14:solidFill>
                      </w14:textFill>
                    </w:rPr>
                    <w:t>3</w:t>
                  </w:r>
                </w:p>
              </w:tc>
              <w:tc>
                <w:tcPr>
                  <w:tcW w:w="916" w:type="dxa"/>
                  <w:vMerge w:val="restart"/>
                  <w:vAlign w:val="center"/>
                </w:tcPr>
                <w:p w14:paraId="6A50EA7D">
                  <w:pPr>
                    <w:pStyle w:val="70"/>
                    <w:spacing w:line="240" w:lineRule="auto"/>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空压制氮</w:t>
                  </w:r>
                </w:p>
              </w:tc>
              <w:tc>
                <w:tcPr>
                  <w:tcW w:w="916" w:type="dxa"/>
                  <w:vAlign w:val="center"/>
                </w:tcPr>
                <w:p w14:paraId="128A30CA">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r>
            <w:tr w14:paraId="2EEFDF7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3" w:type="dxa"/>
                  <w:vAlign w:val="center"/>
                </w:tcPr>
                <w:p w14:paraId="00816046">
                  <w:pPr>
                    <w:pStyle w:val="70"/>
                    <w:rPr>
                      <w:rFonts w:hint="default" w:cs="Times New Roman"/>
                      <w:color w:val="auto"/>
                      <w:sz w:val="21"/>
                      <w:szCs w:val="21"/>
                      <w:lang w:val="en-US" w:eastAsia="zh-CN"/>
                    </w:rPr>
                  </w:pPr>
                  <w:r>
                    <w:rPr>
                      <w:rFonts w:hint="eastAsia" w:cs="Times New Roman"/>
                      <w:color w:val="auto"/>
                      <w:sz w:val="21"/>
                      <w:szCs w:val="21"/>
                      <w:lang w:val="en-US" w:eastAsia="zh-CN"/>
                    </w:rPr>
                    <w:t>23</w:t>
                  </w:r>
                </w:p>
              </w:tc>
              <w:tc>
                <w:tcPr>
                  <w:tcW w:w="2052" w:type="dxa"/>
                  <w:vAlign w:val="center"/>
                </w:tcPr>
                <w:p w14:paraId="1551C8D9">
                  <w:pPr>
                    <w:autoSpaceDN w:val="0"/>
                    <w:adjustRightInd w:val="0"/>
                    <w:snapToGrid w:val="0"/>
                    <w:jc w:val="center"/>
                    <w:textAlignment w:val="top"/>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氮气储气罐</w:t>
                  </w:r>
                </w:p>
              </w:tc>
              <w:tc>
                <w:tcPr>
                  <w:tcW w:w="1372" w:type="dxa"/>
                  <w:vAlign w:val="center"/>
                </w:tcPr>
                <w:p w14:paraId="16295A74">
                  <w:pPr>
                    <w:autoSpaceDN w:val="0"/>
                    <w:adjustRightInd w:val="0"/>
                    <w:snapToGrid w:val="0"/>
                    <w:jc w:val="center"/>
                    <w:textAlignment w:val="top"/>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w:t>
                  </w:r>
                </w:p>
              </w:tc>
              <w:tc>
                <w:tcPr>
                  <w:tcW w:w="1829" w:type="dxa"/>
                  <w:vAlign w:val="center"/>
                </w:tcPr>
                <w:p w14:paraId="27C61535">
                  <w:pPr>
                    <w:autoSpaceDN w:val="0"/>
                    <w:adjustRightInd w:val="0"/>
                    <w:snapToGrid w:val="0"/>
                    <w:jc w:val="center"/>
                    <w:textAlignment w:val="top"/>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2m</w:t>
                  </w:r>
                  <w:r>
                    <w:rPr>
                      <w:rFonts w:hint="eastAsia" w:cs="Times New Roman"/>
                      <w:color w:val="000000" w:themeColor="text1"/>
                      <w:sz w:val="21"/>
                      <w:szCs w:val="21"/>
                      <w:vertAlign w:val="superscript"/>
                      <w:lang w:val="en-US" w:eastAsia="zh-CN"/>
                      <w14:textFill>
                        <w14:solidFill>
                          <w14:schemeClr w14:val="tx1"/>
                        </w14:solidFill>
                      </w14:textFill>
                    </w:rPr>
                    <w:t>3</w:t>
                  </w:r>
                </w:p>
              </w:tc>
              <w:tc>
                <w:tcPr>
                  <w:tcW w:w="916" w:type="dxa"/>
                  <w:vMerge w:val="continue"/>
                  <w:vAlign w:val="center"/>
                </w:tcPr>
                <w:p w14:paraId="5885F8AC">
                  <w:pPr>
                    <w:pStyle w:val="70"/>
                    <w:spacing w:line="240" w:lineRule="auto"/>
                    <w:rPr>
                      <w:rFonts w:hint="default" w:cs="Times New Roman"/>
                      <w:color w:val="000000" w:themeColor="text1"/>
                      <w:sz w:val="21"/>
                      <w:szCs w:val="21"/>
                      <w:lang w:val="en-US" w:eastAsia="zh-CN"/>
                      <w14:textFill>
                        <w14:solidFill>
                          <w14:schemeClr w14:val="tx1"/>
                        </w14:solidFill>
                      </w14:textFill>
                    </w:rPr>
                  </w:pPr>
                </w:p>
              </w:tc>
              <w:tc>
                <w:tcPr>
                  <w:tcW w:w="916" w:type="dxa"/>
                  <w:vAlign w:val="center"/>
                </w:tcPr>
                <w:p w14:paraId="50B88D50">
                  <w:pPr>
                    <w:pStyle w:val="70"/>
                    <w:spacing w:line="240" w:lineRule="auto"/>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r>
            <w:tr w14:paraId="446776A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3" w:type="dxa"/>
                  <w:vAlign w:val="center"/>
                </w:tcPr>
                <w:p w14:paraId="7603D176">
                  <w:pPr>
                    <w:pStyle w:val="70"/>
                    <w:rPr>
                      <w:rFonts w:hint="default" w:cs="Times New Roman"/>
                      <w:color w:val="auto"/>
                      <w:sz w:val="21"/>
                      <w:szCs w:val="21"/>
                      <w:lang w:val="en-US" w:eastAsia="zh-CN"/>
                    </w:rPr>
                  </w:pPr>
                  <w:r>
                    <w:rPr>
                      <w:rFonts w:hint="eastAsia" w:cs="Times New Roman"/>
                      <w:color w:val="auto"/>
                      <w:sz w:val="21"/>
                      <w:szCs w:val="21"/>
                      <w:lang w:val="en-US" w:eastAsia="zh-CN"/>
                    </w:rPr>
                    <w:t>24</w:t>
                  </w:r>
                </w:p>
              </w:tc>
              <w:tc>
                <w:tcPr>
                  <w:tcW w:w="2052" w:type="dxa"/>
                  <w:vAlign w:val="center"/>
                </w:tcPr>
                <w:p w14:paraId="626F82BA">
                  <w:pPr>
                    <w:autoSpaceDN w:val="0"/>
                    <w:adjustRightInd w:val="0"/>
                    <w:snapToGrid w:val="0"/>
                    <w:jc w:val="center"/>
                    <w:textAlignment w:val="top"/>
                    <w:rPr>
                      <w:rFonts w:hint="eastAsia" w:cs="Times New Roman"/>
                      <w:color w:val="000000" w:themeColor="text1"/>
                      <w:sz w:val="21"/>
                      <w:szCs w:val="21"/>
                      <w:lang w:val="en-US" w:eastAsia="zh-CN"/>
                      <w14:textFill>
                        <w14:solidFill>
                          <w14:schemeClr w14:val="tx1"/>
                        </w14:solidFill>
                      </w14:textFill>
                    </w:rPr>
                  </w:pPr>
                  <w:r>
                    <w:rPr>
                      <w:rFonts w:hint="eastAsia" w:ascii="Times New Roman" w:hAnsi="Times New Roman" w:cs="宋体"/>
                      <w:color w:val="000000" w:themeColor="text1"/>
                      <w:sz w:val="21"/>
                      <w:szCs w:val="21"/>
                      <w:highlight w:val="none"/>
                      <w14:textFill>
                        <w14:solidFill>
                          <w14:schemeClr w14:val="tx1"/>
                        </w14:solidFill>
                      </w14:textFill>
                    </w:rPr>
                    <w:t>缓冲罐</w:t>
                  </w:r>
                </w:p>
              </w:tc>
              <w:tc>
                <w:tcPr>
                  <w:tcW w:w="1372" w:type="dxa"/>
                  <w:vAlign w:val="center"/>
                </w:tcPr>
                <w:p w14:paraId="7CBB7881">
                  <w:pPr>
                    <w:autoSpaceDN w:val="0"/>
                    <w:adjustRightInd w:val="0"/>
                    <w:snapToGrid w:val="0"/>
                    <w:jc w:val="center"/>
                    <w:textAlignment w:val="top"/>
                    <w:rPr>
                      <w:rFonts w:hint="eastAsia" w:cs="Times New Roman"/>
                      <w:color w:val="000000" w:themeColor="text1"/>
                      <w:sz w:val="21"/>
                      <w:szCs w:val="21"/>
                      <w:lang w:val="en-US" w:eastAsia="zh-CN"/>
                      <w14:textFill>
                        <w14:solidFill>
                          <w14:schemeClr w14:val="tx1"/>
                        </w14:solidFill>
                      </w14:textFill>
                    </w:rPr>
                  </w:pPr>
                  <w:r>
                    <w:rPr>
                      <w:rFonts w:hint="eastAsia" w:ascii="Times New Roman" w:hAnsi="Times New Roman" w:cs="宋体"/>
                      <w:color w:val="000000" w:themeColor="text1"/>
                      <w:sz w:val="21"/>
                      <w:szCs w:val="21"/>
                      <w:highlight w:val="none"/>
                      <w14:textFill>
                        <w14:solidFill>
                          <w14:schemeClr w14:val="tx1"/>
                        </w14:solidFill>
                      </w14:textFill>
                    </w:rPr>
                    <w:t>4</w:t>
                  </w:r>
                </w:p>
              </w:tc>
              <w:tc>
                <w:tcPr>
                  <w:tcW w:w="1829" w:type="dxa"/>
                  <w:vAlign w:val="center"/>
                </w:tcPr>
                <w:p w14:paraId="3ED0A35B">
                  <w:pPr>
                    <w:autoSpaceDN w:val="0"/>
                    <w:adjustRightInd w:val="0"/>
                    <w:snapToGrid w:val="0"/>
                    <w:jc w:val="center"/>
                    <w:textAlignment w:val="top"/>
                    <w:rPr>
                      <w:rFonts w:hint="eastAsia" w:cs="Times New Roman"/>
                      <w:color w:val="000000" w:themeColor="text1"/>
                      <w:sz w:val="21"/>
                      <w:szCs w:val="21"/>
                      <w:lang w:val="en-US" w:eastAsia="zh-CN"/>
                      <w14:textFill>
                        <w14:solidFill>
                          <w14:schemeClr w14:val="tx1"/>
                        </w14:solidFill>
                      </w14:textFill>
                    </w:rPr>
                  </w:pPr>
                  <w:r>
                    <w:rPr>
                      <w:rFonts w:hint="eastAsia" w:ascii="Times New Roman" w:hAnsi="Times New Roman" w:cs="宋体"/>
                      <w:color w:val="000000" w:themeColor="text1"/>
                      <w:sz w:val="21"/>
                      <w:szCs w:val="21"/>
                      <w:highlight w:val="none"/>
                      <w14:textFill>
                        <w14:solidFill>
                          <w14:schemeClr w14:val="tx1"/>
                        </w14:solidFill>
                      </w14:textFill>
                    </w:rPr>
                    <w:t>2m</w:t>
                  </w:r>
                  <w:r>
                    <w:rPr>
                      <w:rFonts w:hint="eastAsia" w:ascii="Times New Roman" w:hAnsi="Times New Roman" w:cs="宋体"/>
                      <w:color w:val="000000" w:themeColor="text1"/>
                      <w:sz w:val="21"/>
                      <w:szCs w:val="21"/>
                      <w:highlight w:val="none"/>
                      <w:vertAlign w:val="superscript"/>
                      <w14:textFill>
                        <w14:solidFill>
                          <w14:schemeClr w14:val="tx1"/>
                        </w14:solidFill>
                      </w14:textFill>
                    </w:rPr>
                    <w:t>3</w:t>
                  </w:r>
                </w:p>
              </w:tc>
              <w:tc>
                <w:tcPr>
                  <w:tcW w:w="916" w:type="dxa"/>
                  <w:vMerge w:val="continue"/>
                  <w:vAlign w:val="center"/>
                </w:tcPr>
                <w:p w14:paraId="03D5B079">
                  <w:pPr>
                    <w:pStyle w:val="70"/>
                    <w:spacing w:line="240" w:lineRule="auto"/>
                    <w:rPr>
                      <w:rFonts w:hint="eastAsia" w:cs="Times New Roman"/>
                      <w:color w:val="000000" w:themeColor="text1"/>
                      <w:sz w:val="21"/>
                      <w:szCs w:val="21"/>
                      <w:lang w:val="en-US" w:eastAsia="zh-CN"/>
                      <w14:textFill>
                        <w14:solidFill>
                          <w14:schemeClr w14:val="tx1"/>
                        </w14:solidFill>
                      </w14:textFill>
                    </w:rPr>
                  </w:pPr>
                </w:p>
              </w:tc>
              <w:tc>
                <w:tcPr>
                  <w:tcW w:w="916" w:type="dxa"/>
                  <w:vAlign w:val="center"/>
                </w:tcPr>
                <w:p w14:paraId="22139541">
                  <w:pPr>
                    <w:pStyle w:val="70"/>
                    <w:spacing w:line="240" w:lineRule="auto"/>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r>
            <w:tr w14:paraId="1EE5916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3" w:type="dxa"/>
                  <w:vAlign w:val="center"/>
                </w:tcPr>
                <w:p w14:paraId="0D1E7DD5">
                  <w:pPr>
                    <w:pStyle w:val="70"/>
                    <w:rPr>
                      <w:rFonts w:hint="default" w:cs="Times New Roman"/>
                      <w:color w:val="auto"/>
                      <w:sz w:val="21"/>
                      <w:szCs w:val="21"/>
                      <w:lang w:val="en-US" w:eastAsia="zh-CN"/>
                    </w:rPr>
                  </w:pPr>
                  <w:r>
                    <w:rPr>
                      <w:rFonts w:hint="eastAsia" w:cs="Times New Roman"/>
                      <w:color w:val="auto"/>
                      <w:sz w:val="21"/>
                      <w:szCs w:val="21"/>
                      <w:lang w:val="en-US" w:eastAsia="zh-CN"/>
                    </w:rPr>
                    <w:t>25</w:t>
                  </w:r>
                </w:p>
              </w:tc>
              <w:tc>
                <w:tcPr>
                  <w:tcW w:w="2052" w:type="dxa"/>
                  <w:vAlign w:val="center"/>
                </w:tcPr>
                <w:p w14:paraId="50511A49">
                  <w:pPr>
                    <w:autoSpaceDN w:val="0"/>
                    <w:adjustRightInd w:val="0"/>
                    <w:snapToGrid w:val="0"/>
                    <w:jc w:val="center"/>
                    <w:textAlignment w:val="top"/>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NMP储罐</w:t>
                  </w:r>
                </w:p>
              </w:tc>
              <w:tc>
                <w:tcPr>
                  <w:tcW w:w="1372" w:type="dxa"/>
                  <w:vAlign w:val="center"/>
                </w:tcPr>
                <w:p w14:paraId="13E8B6D1">
                  <w:pPr>
                    <w:autoSpaceDN w:val="0"/>
                    <w:adjustRightInd w:val="0"/>
                    <w:snapToGrid w:val="0"/>
                    <w:jc w:val="center"/>
                    <w:textAlignment w:val="top"/>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w:t>
                  </w:r>
                </w:p>
              </w:tc>
              <w:tc>
                <w:tcPr>
                  <w:tcW w:w="1829" w:type="dxa"/>
                  <w:vAlign w:val="center"/>
                </w:tcPr>
                <w:p w14:paraId="7A82FE8C">
                  <w:pPr>
                    <w:autoSpaceDN w:val="0"/>
                    <w:adjustRightInd w:val="0"/>
                    <w:snapToGrid w:val="0"/>
                    <w:jc w:val="center"/>
                    <w:textAlignment w:val="top"/>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L1500mm×H2200mm，3m</w:t>
                  </w:r>
                  <w:r>
                    <w:rPr>
                      <w:rFonts w:hint="eastAsia" w:cs="Times New Roman"/>
                      <w:color w:val="000000" w:themeColor="text1"/>
                      <w:sz w:val="21"/>
                      <w:szCs w:val="21"/>
                      <w:vertAlign w:val="superscript"/>
                      <w:lang w:val="en-US" w:eastAsia="zh-CN"/>
                      <w14:textFill>
                        <w14:solidFill>
                          <w14:schemeClr w14:val="tx1"/>
                        </w14:solidFill>
                      </w14:textFill>
                    </w:rPr>
                    <w:t>3</w:t>
                  </w:r>
                </w:p>
              </w:tc>
              <w:tc>
                <w:tcPr>
                  <w:tcW w:w="916" w:type="dxa"/>
                  <w:vAlign w:val="center"/>
                </w:tcPr>
                <w:p w14:paraId="4D555B1F">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NMP原液暂存</w:t>
                  </w:r>
                </w:p>
              </w:tc>
              <w:tc>
                <w:tcPr>
                  <w:tcW w:w="916" w:type="dxa"/>
                  <w:vAlign w:val="center"/>
                </w:tcPr>
                <w:p w14:paraId="5B33E50C">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r>
            <w:tr w14:paraId="306AF8F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3" w:type="dxa"/>
                  <w:vAlign w:val="center"/>
                </w:tcPr>
                <w:p w14:paraId="0B9940CA">
                  <w:pPr>
                    <w:pStyle w:val="70"/>
                    <w:rPr>
                      <w:rFonts w:hint="default" w:cs="Times New Roman"/>
                      <w:color w:val="auto"/>
                      <w:sz w:val="21"/>
                      <w:szCs w:val="21"/>
                      <w:lang w:val="en-US" w:eastAsia="zh-CN"/>
                    </w:rPr>
                  </w:pPr>
                  <w:r>
                    <w:rPr>
                      <w:rFonts w:hint="eastAsia" w:cs="Times New Roman"/>
                      <w:color w:val="auto"/>
                      <w:sz w:val="21"/>
                      <w:szCs w:val="21"/>
                      <w:lang w:val="en-US" w:eastAsia="zh-CN"/>
                    </w:rPr>
                    <w:t>26</w:t>
                  </w:r>
                </w:p>
              </w:tc>
              <w:tc>
                <w:tcPr>
                  <w:tcW w:w="2052" w:type="dxa"/>
                  <w:vAlign w:val="center"/>
                </w:tcPr>
                <w:p w14:paraId="4A056247">
                  <w:pPr>
                    <w:autoSpaceDN w:val="0"/>
                    <w:adjustRightInd w:val="0"/>
                    <w:snapToGrid w:val="0"/>
                    <w:jc w:val="center"/>
                    <w:textAlignment w:val="top"/>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NMP回收罐</w:t>
                  </w:r>
                </w:p>
              </w:tc>
              <w:tc>
                <w:tcPr>
                  <w:tcW w:w="1372" w:type="dxa"/>
                  <w:vAlign w:val="center"/>
                </w:tcPr>
                <w:p w14:paraId="7A968174">
                  <w:pPr>
                    <w:autoSpaceDN w:val="0"/>
                    <w:adjustRightInd w:val="0"/>
                    <w:snapToGrid w:val="0"/>
                    <w:jc w:val="center"/>
                    <w:textAlignment w:val="top"/>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w:t>
                  </w:r>
                </w:p>
              </w:tc>
              <w:tc>
                <w:tcPr>
                  <w:tcW w:w="1829" w:type="dxa"/>
                  <w:vAlign w:val="center"/>
                </w:tcPr>
                <w:p w14:paraId="15354949">
                  <w:pPr>
                    <w:autoSpaceDN w:val="0"/>
                    <w:adjustRightInd w:val="0"/>
                    <w:snapToGrid w:val="0"/>
                    <w:jc w:val="center"/>
                    <w:textAlignment w:val="top"/>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L3200mm×H6500mm，50m</w:t>
                  </w:r>
                  <w:r>
                    <w:rPr>
                      <w:rFonts w:hint="eastAsia" w:cs="Times New Roman"/>
                      <w:color w:val="000000" w:themeColor="text1"/>
                      <w:sz w:val="21"/>
                      <w:szCs w:val="21"/>
                      <w:vertAlign w:val="superscript"/>
                      <w:lang w:val="en-US" w:eastAsia="zh-CN"/>
                      <w14:textFill>
                        <w14:solidFill>
                          <w14:schemeClr w14:val="tx1"/>
                        </w14:solidFill>
                      </w14:textFill>
                    </w:rPr>
                    <w:t>3</w:t>
                  </w:r>
                </w:p>
              </w:tc>
              <w:tc>
                <w:tcPr>
                  <w:tcW w:w="916" w:type="dxa"/>
                  <w:vAlign w:val="center"/>
                </w:tcPr>
                <w:p w14:paraId="2CA3E8A8">
                  <w:pPr>
                    <w:pStyle w:val="70"/>
                    <w:spacing w:line="240" w:lineRule="auto"/>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NMP废液储存</w:t>
                  </w:r>
                </w:p>
              </w:tc>
              <w:tc>
                <w:tcPr>
                  <w:tcW w:w="916" w:type="dxa"/>
                  <w:vAlign w:val="center"/>
                </w:tcPr>
                <w:p w14:paraId="0672D32B">
                  <w:pPr>
                    <w:pStyle w:val="70"/>
                    <w:spacing w:line="240" w:lineRule="auto"/>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r>
            <w:tr w14:paraId="5FE7E0D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3" w:type="dxa"/>
                  <w:vAlign w:val="center"/>
                </w:tcPr>
                <w:p w14:paraId="74377936">
                  <w:pPr>
                    <w:pStyle w:val="70"/>
                    <w:rPr>
                      <w:rFonts w:hint="default" w:cs="Times New Roman"/>
                      <w:color w:val="auto"/>
                      <w:sz w:val="21"/>
                      <w:szCs w:val="21"/>
                      <w:lang w:val="en-US" w:eastAsia="zh-CN"/>
                    </w:rPr>
                  </w:pPr>
                  <w:r>
                    <w:rPr>
                      <w:rFonts w:hint="eastAsia" w:cs="Times New Roman"/>
                      <w:color w:val="auto"/>
                      <w:sz w:val="21"/>
                      <w:szCs w:val="21"/>
                      <w:lang w:val="en-US" w:eastAsia="zh-CN"/>
                    </w:rPr>
                    <w:t>27</w:t>
                  </w:r>
                </w:p>
              </w:tc>
              <w:tc>
                <w:tcPr>
                  <w:tcW w:w="2052" w:type="dxa"/>
                  <w:vAlign w:val="center"/>
                </w:tcPr>
                <w:p w14:paraId="6DF3C8BE">
                  <w:pPr>
                    <w:autoSpaceDN w:val="0"/>
                    <w:adjustRightInd w:val="0"/>
                    <w:snapToGrid w:val="0"/>
                    <w:jc w:val="center"/>
                    <w:textAlignment w:val="top"/>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冷却塔</w:t>
                  </w:r>
                </w:p>
              </w:tc>
              <w:tc>
                <w:tcPr>
                  <w:tcW w:w="1372" w:type="dxa"/>
                  <w:vAlign w:val="center"/>
                </w:tcPr>
                <w:p w14:paraId="3B67E64B">
                  <w:pPr>
                    <w:autoSpaceDN w:val="0"/>
                    <w:adjustRightInd w:val="0"/>
                    <w:snapToGrid w:val="0"/>
                    <w:jc w:val="center"/>
                    <w:textAlignment w:val="top"/>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w:t>
                  </w:r>
                </w:p>
              </w:tc>
              <w:tc>
                <w:tcPr>
                  <w:tcW w:w="1829" w:type="dxa"/>
                  <w:vAlign w:val="center"/>
                </w:tcPr>
                <w:p w14:paraId="6DAA9076">
                  <w:pPr>
                    <w:autoSpaceDN w:val="0"/>
                    <w:adjustRightInd w:val="0"/>
                    <w:snapToGrid w:val="0"/>
                    <w:jc w:val="center"/>
                    <w:textAlignment w:val="top"/>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c>
                <w:tcPr>
                  <w:tcW w:w="916" w:type="dxa"/>
                  <w:vAlign w:val="center"/>
                </w:tcPr>
                <w:p w14:paraId="68B5969B">
                  <w:pPr>
                    <w:pStyle w:val="70"/>
                    <w:spacing w:line="240" w:lineRule="auto"/>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c>
                <w:tcPr>
                  <w:tcW w:w="916" w:type="dxa"/>
                  <w:vAlign w:val="center"/>
                </w:tcPr>
                <w:p w14:paraId="15E792B1">
                  <w:pPr>
                    <w:pStyle w:val="70"/>
                    <w:spacing w:line="240" w:lineRule="auto"/>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r>
            <w:tr w14:paraId="5F8BACC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3" w:type="dxa"/>
                  <w:vAlign w:val="center"/>
                </w:tcPr>
                <w:p w14:paraId="50A02122">
                  <w:pPr>
                    <w:pStyle w:val="70"/>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28</w:t>
                  </w:r>
                </w:p>
              </w:tc>
              <w:tc>
                <w:tcPr>
                  <w:tcW w:w="2052" w:type="dxa"/>
                  <w:vAlign w:val="center"/>
                </w:tcPr>
                <w:p w14:paraId="2A6B0357">
                  <w:pPr>
                    <w:autoSpaceDN w:val="0"/>
                    <w:adjustRightInd w:val="0"/>
                    <w:snapToGrid w:val="0"/>
                    <w:jc w:val="center"/>
                    <w:textAlignment w:val="top"/>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冷水机组</w:t>
                  </w:r>
                </w:p>
              </w:tc>
              <w:tc>
                <w:tcPr>
                  <w:tcW w:w="1372" w:type="dxa"/>
                  <w:vAlign w:val="center"/>
                </w:tcPr>
                <w:p w14:paraId="5752E3E3">
                  <w:pPr>
                    <w:autoSpaceDN w:val="0"/>
                    <w:adjustRightInd w:val="0"/>
                    <w:snapToGrid w:val="0"/>
                    <w:jc w:val="center"/>
                    <w:textAlignment w:val="top"/>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5</w:t>
                  </w:r>
                </w:p>
              </w:tc>
              <w:tc>
                <w:tcPr>
                  <w:tcW w:w="1829" w:type="dxa"/>
                  <w:vAlign w:val="center"/>
                </w:tcPr>
                <w:p w14:paraId="1AC80F81">
                  <w:pPr>
                    <w:autoSpaceDN w:val="0"/>
                    <w:adjustRightInd w:val="0"/>
                    <w:snapToGrid w:val="0"/>
                    <w:jc w:val="center"/>
                    <w:textAlignment w:val="top"/>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YVAA0165-V</w:t>
                  </w:r>
                </w:p>
              </w:tc>
              <w:tc>
                <w:tcPr>
                  <w:tcW w:w="916" w:type="dxa"/>
                  <w:vAlign w:val="center"/>
                </w:tcPr>
                <w:p w14:paraId="140349B9">
                  <w:pPr>
                    <w:pStyle w:val="70"/>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w:t>
                  </w:r>
                </w:p>
              </w:tc>
              <w:tc>
                <w:tcPr>
                  <w:tcW w:w="916" w:type="dxa"/>
                  <w:vAlign w:val="center"/>
                </w:tcPr>
                <w:p w14:paraId="05226323">
                  <w:pPr>
                    <w:pStyle w:val="70"/>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w:t>
                  </w:r>
                </w:p>
              </w:tc>
            </w:tr>
            <w:tr w14:paraId="6436B3D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3" w:type="dxa"/>
                  <w:vAlign w:val="center"/>
                </w:tcPr>
                <w:p w14:paraId="4A64A40E">
                  <w:pPr>
                    <w:pStyle w:val="70"/>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29</w:t>
                  </w:r>
                </w:p>
              </w:tc>
              <w:tc>
                <w:tcPr>
                  <w:tcW w:w="2052" w:type="dxa"/>
                  <w:vAlign w:val="center"/>
                </w:tcPr>
                <w:p w14:paraId="681B1DF4">
                  <w:pPr>
                    <w:autoSpaceDN w:val="0"/>
                    <w:adjustRightInd w:val="0"/>
                    <w:snapToGrid w:val="0"/>
                    <w:jc w:val="center"/>
                    <w:textAlignment w:val="top"/>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除湿机</w:t>
                  </w:r>
                  <w:r>
                    <w:rPr>
                      <w:rFonts w:hint="default" w:ascii="Times New Roman" w:hAnsi="Times New Roman" w:cs="Times New Roman"/>
                      <w:color w:val="000000" w:themeColor="text1"/>
                      <w:sz w:val="21"/>
                      <w:szCs w:val="21"/>
                      <w:lang w:val="en-US" w:eastAsia="zh-CN"/>
                      <w14:textFill>
                        <w14:solidFill>
                          <w14:schemeClr w14:val="tx1"/>
                        </w14:solidFill>
                      </w14:textFill>
                    </w:rPr>
                    <w:t>系统</w:t>
                  </w:r>
                </w:p>
              </w:tc>
              <w:tc>
                <w:tcPr>
                  <w:tcW w:w="1372" w:type="dxa"/>
                  <w:vAlign w:val="center"/>
                </w:tcPr>
                <w:p w14:paraId="63919D89">
                  <w:pPr>
                    <w:autoSpaceDN w:val="0"/>
                    <w:adjustRightInd w:val="0"/>
                    <w:snapToGrid w:val="0"/>
                    <w:jc w:val="center"/>
                    <w:textAlignment w:val="top"/>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9</w:t>
                  </w:r>
                </w:p>
              </w:tc>
              <w:tc>
                <w:tcPr>
                  <w:tcW w:w="1829" w:type="dxa"/>
                  <w:vAlign w:val="center"/>
                </w:tcPr>
                <w:p w14:paraId="2129D4CE">
                  <w:pPr>
                    <w:autoSpaceDN w:val="0"/>
                    <w:adjustRightInd w:val="0"/>
                    <w:snapToGrid w:val="0"/>
                    <w:jc w:val="center"/>
                    <w:textAlignment w:val="top"/>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 xml:space="preserve">DST251060 RFA-28000R-SP </w:t>
                  </w:r>
                </w:p>
              </w:tc>
              <w:tc>
                <w:tcPr>
                  <w:tcW w:w="916" w:type="dxa"/>
                  <w:vAlign w:val="center"/>
                </w:tcPr>
                <w:p w14:paraId="51A64D01">
                  <w:pPr>
                    <w:pStyle w:val="70"/>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w:t>
                  </w:r>
                </w:p>
              </w:tc>
              <w:tc>
                <w:tcPr>
                  <w:tcW w:w="916" w:type="dxa"/>
                  <w:vAlign w:val="center"/>
                </w:tcPr>
                <w:p w14:paraId="4F071756">
                  <w:pPr>
                    <w:pStyle w:val="7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tc>
            </w:tr>
            <w:tr w14:paraId="32BC186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3" w:type="dxa"/>
                  <w:vAlign w:val="center"/>
                </w:tcPr>
                <w:p w14:paraId="673C5246">
                  <w:pPr>
                    <w:pStyle w:val="70"/>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30</w:t>
                  </w:r>
                </w:p>
              </w:tc>
              <w:tc>
                <w:tcPr>
                  <w:tcW w:w="2052" w:type="dxa"/>
                  <w:vAlign w:val="center"/>
                </w:tcPr>
                <w:p w14:paraId="44FF3061">
                  <w:pPr>
                    <w:autoSpaceDN w:val="0"/>
                    <w:adjustRightInd w:val="0"/>
                    <w:snapToGrid w:val="0"/>
                    <w:jc w:val="center"/>
                    <w:textAlignment w:val="top"/>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空压机系统</w:t>
                  </w:r>
                </w:p>
              </w:tc>
              <w:tc>
                <w:tcPr>
                  <w:tcW w:w="1372" w:type="dxa"/>
                  <w:vAlign w:val="center"/>
                </w:tcPr>
                <w:p w14:paraId="03CE1845">
                  <w:pPr>
                    <w:autoSpaceDN w:val="0"/>
                    <w:adjustRightInd w:val="0"/>
                    <w:snapToGrid w:val="0"/>
                    <w:jc w:val="center"/>
                    <w:textAlignment w:val="top"/>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2</w:t>
                  </w:r>
                </w:p>
              </w:tc>
              <w:tc>
                <w:tcPr>
                  <w:tcW w:w="1829" w:type="dxa"/>
                  <w:vAlign w:val="center"/>
                </w:tcPr>
                <w:p w14:paraId="2D123440">
                  <w:pPr>
                    <w:autoSpaceDN w:val="0"/>
                    <w:adjustRightInd w:val="0"/>
                    <w:snapToGrid w:val="0"/>
                    <w:jc w:val="center"/>
                    <w:textAlignment w:val="top"/>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KSOZ-315W-10</w:t>
                  </w:r>
                </w:p>
              </w:tc>
              <w:tc>
                <w:tcPr>
                  <w:tcW w:w="916" w:type="dxa"/>
                  <w:vMerge w:val="restart"/>
                  <w:vAlign w:val="center"/>
                </w:tcPr>
                <w:p w14:paraId="166EEDAC">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压缩空气</w:t>
                  </w:r>
                </w:p>
              </w:tc>
              <w:tc>
                <w:tcPr>
                  <w:tcW w:w="916" w:type="dxa"/>
                  <w:vAlign w:val="center"/>
                </w:tcPr>
                <w:p w14:paraId="40D7A628">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41</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m</w:t>
                  </w:r>
                  <w:r>
                    <w:rPr>
                      <w:rFonts w:hint="eastAsia" w:ascii="Times New Roman" w:hAnsi="Times New Roman" w:eastAsia="宋体" w:cs="Times New Roman"/>
                      <w:color w:val="000000" w:themeColor="text1"/>
                      <w:sz w:val="21"/>
                      <w:szCs w:val="21"/>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/min</w:t>
                  </w:r>
                </w:p>
              </w:tc>
            </w:tr>
            <w:tr w14:paraId="102E4BE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3" w:type="dxa"/>
                  <w:shd w:val="clear" w:color="auto" w:fill="auto"/>
                  <w:vAlign w:val="center"/>
                </w:tcPr>
                <w:p w14:paraId="2EEF2E70">
                  <w:pPr>
                    <w:pStyle w:val="70"/>
                    <w:rPr>
                      <w:rFonts w:hint="default" w:cs="Times New Roman"/>
                      <w:color w:val="auto"/>
                      <w:sz w:val="21"/>
                      <w:szCs w:val="21"/>
                      <w:lang w:val="en-US" w:eastAsia="zh-CN"/>
                    </w:rPr>
                  </w:pPr>
                  <w:r>
                    <w:rPr>
                      <w:rFonts w:hint="eastAsia" w:cs="Times New Roman"/>
                      <w:color w:val="auto"/>
                      <w:sz w:val="21"/>
                      <w:szCs w:val="21"/>
                      <w:lang w:val="en-US" w:eastAsia="zh-CN"/>
                    </w:rPr>
                    <w:t>31</w:t>
                  </w:r>
                </w:p>
              </w:tc>
              <w:tc>
                <w:tcPr>
                  <w:tcW w:w="2052" w:type="dxa"/>
                  <w:shd w:val="clear" w:color="auto" w:fill="auto"/>
                  <w:vAlign w:val="center"/>
                </w:tcPr>
                <w:p w14:paraId="03DC5932">
                  <w:pPr>
                    <w:autoSpaceDN w:val="0"/>
                    <w:adjustRightInd w:val="0"/>
                    <w:snapToGrid w:val="0"/>
                    <w:jc w:val="center"/>
                    <w:textAlignment w:val="top"/>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鼓风热再生吸附式干燥机</w:t>
                  </w:r>
                </w:p>
              </w:tc>
              <w:tc>
                <w:tcPr>
                  <w:tcW w:w="1372" w:type="dxa"/>
                  <w:shd w:val="clear" w:color="auto" w:fill="auto"/>
                  <w:vAlign w:val="center"/>
                </w:tcPr>
                <w:p w14:paraId="139B7389">
                  <w:pPr>
                    <w:autoSpaceDN w:val="0"/>
                    <w:adjustRightInd w:val="0"/>
                    <w:snapToGrid w:val="0"/>
                    <w:jc w:val="center"/>
                    <w:textAlignment w:val="top"/>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2</w:t>
                  </w:r>
                </w:p>
              </w:tc>
              <w:tc>
                <w:tcPr>
                  <w:tcW w:w="1829" w:type="dxa"/>
                  <w:shd w:val="clear" w:color="auto" w:fill="auto"/>
                  <w:vAlign w:val="center"/>
                </w:tcPr>
                <w:p w14:paraId="4A722EA6">
                  <w:pPr>
                    <w:autoSpaceDN w:val="0"/>
                    <w:adjustRightInd w:val="0"/>
                    <w:snapToGrid w:val="0"/>
                    <w:jc w:val="center"/>
                    <w:textAlignment w:val="top"/>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c>
                <w:tcPr>
                  <w:tcW w:w="916" w:type="dxa"/>
                  <w:vMerge w:val="continue"/>
                  <w:shd w:val="clear" w:color="auto" w:fill="auto"/>
                  <w:vAlign w:val="center"/>
                </w:tcPr>
                <w:p w14:paraId="5273504F">
                  <w:pPr>
                    <w:pStyle w:val="70"/>
                    <w:spacing w:line="240" w:lineRule="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p>
              </w:tc>
              <w:tc>
                <w:tcPr>
                  <w:tcW w:w="916" w:type="dxa"/>
                  <w:vAlign w:val="center"/>
                </w:tcPr>
                <w:p w14:paraId="2AB5718F">
                  <w:pPr>
                    <w:pStyle w:val="70"/>
                    <w:spacing w:line="240" w:lineRule="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51</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m</w:t>
                  </w:r>
                  <w:r>
                    <w:rPr>
                      <w:rFonts w:hint="eastAsia" w:ascii="Times New Roman" w:hAnsi="Times New Roman" w:eastAsia="宋体" w:cs="Times New Roman"/>
                      <w:color w:val="000000" w:themeColor="text1"/>
                      <w:sz w:val="21"/>
                      <w:szCs w:val="21"/>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/min</w:t>
                  </w:r>
                </w:p>
              </w:tc>
            </w:tr>
            <w:tr w14:paraId="75569B0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3" w:type="dxa"/>
                  <w:shd w:val="clear" w:color="auto" w:fill="auto"/>
                  <w:vAlign w:val="center"/>
                </w:tcPr>
                <w:p w14:paraId="5FB2210D">
                  <w:pPr>
                    <w:pStyle w:val="70"/>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32</w:t>
                  </w:r>
                </w:p>
              </w:tc>
              <w:tc>
                <w:tcPr>
                  <w:tcW w:w="2052" w:type="dxa"/>
                  <w:shd w:val="clear" w:color="auto" w:fill="auto"/>
                  <w:vAlign w:val="center"/>
                </w:tcPr>
                <w:p w14:paraId="06947BAE">
                  <w:pPr>
                    <w:autoSpaceDN w:val="0"/>
                    <w:adjustRightInd w:val="0"/>
                    <w:snapToGrid w:val="0"/>
                    <w:jc w:val="center"/>
                    <w:textAlignment w:val="top"/>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风柜机组</w:t>
                  </w:r>
                </w:p>
              </w:tc>
              <w:tc>
                <w:tcPr>
                  <w:tcW w:w="1372" w:type="dxa"/>
                  <w:shd w:val="clear" w:color="auto" w:fill="auto"/>
                  <w:vAlign w:val="center"/>
                </w:tcPr>
                <w:p w14:paraId="780C9F60">
                  <w:pPr>
                    <w:autoSpaceDN w:val="0"/>
                    <w:adjustRightInd w:val="0"/>
                    <w:snapToGrid w:val="0"/>
                    <w:jc w:val="center"/>
                    <w:textAlignment w:val="top"/>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12</w:t>
                  </w:r>
                </w:p>
              </w:tc>
              <w:tc>
                <w:tcPr>
                  <w:tcW w:w="1829" w:type="dxa"/>
                  <w:shd w:val="clear" w:color="auto" w:fill="auto"/>
                  <w:vAlign w:val="center"/>
                </w:tcPr>
                <w:p w14:paraId="3A9096A8">
                  <w:pPr>
                    <w:autoSpaceDN w:val="0"/>
                    <w:adjustRightInd w:val="0"/>
                    <w:snapToGrid w:val="0"/>
                    <w:jc w:val="center"/>
                    <w:textAlignment w:val="top"/>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w:t>
                  </w:r>
                </w:p>
              </w:tc>
              <w:tc>
                <w:tcPr>
                  <w:tcW w:w="916" w:type="dxa"/>
                  <w:shd w:val="clear" w:color="auto" w:fill="auto"/>
                  <w:vAlign w:val="center"/>
                </w:tcPr>
                <w:p w14:paraId="10EE8D3C">
                  <w:pPr>
                    <w:pStyle w:val="70"/>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w:t>
                  </w:r>
                </w:p>
              </w:tc>
              <w:tc>
                <w:tcPr>
                  <w:tcW w:w="916" w:type="dxa"/>
                  <w:vAlign w:val="center"/>
                </w:tcPr>
                <w:p w14:paraId="2DC3AE80">
                  <w:pPr>
                    <w:pStyle w:val="70"/>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w:t>
                  </w:r>
                </w:p>
              </w:tc>
            </w:tr>
            <w:tr w14:paraId="638AF80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3" w:type="dxa"/>
                  <w:shd w:val="clear" w:color="auto" w:fill="auto"/>
                  <w:vAlign w:val="center"/>
                </w:tcPr>
                <w:p w14:paraId="21441B35">
                  <w:pPr>
                    <w:pStyle w:val="70"/>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33</w:t>
                  </w:r>
                </w:p>
              </w:tc>
              <w:tc>
                <w:tcPr>
                  <w:tcW w:w="2052" w:type="dxa"/>
                  <w:shd w:val="clear" w:color="auto" w:fill="auto"/>
                  <w:vAlign w:val="center"/>
                </w:tcPr>
                <w:p w14:paraId="39152B96">
                  <w:pPr>
                    <w:autoSpaceDN w:val="0"/>
                    <w:adjustRightInd w:val="0"/>
                    <w:snapToGrid w:val="0"/>
                    <w:jc w:val="center"/>
                    <w:textAlignment w:val="top"/>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NMP</w:t>
                  </w:r>
                  <w:r>
                    <w:rPr>
                      <w:rFonts w:hint="eastAsia" w:cs="Times New Roman"/>
                      <w:color w:val="000000" w:themeColor="text1"/>
                      <w:sz w:val="21"/>
                      <w:szCs w:val="21"/>
                      <w:lang w:val="en-US" w:eastAsia="zh-CN"/>
                      <w14:textFill>
                        <w14:solidFill>
                          <w14:schemeClr w14:val="tx1"/>
                        </w14:solidFill>
                      </w14:textFill>
                    </w:rPr>
                    <w:t>回收</w:t>
                  </w:r>
                  <w:r>
                    <w:rPr>
                      <w:rFonts w:hint="default" w:ascii="Times New Roman" w:hAnsi="Times New Roman" w:cs="Times New Roman"/>
                      <w:color w:val="000000" w:themeColor="text1"/>
                      <w:sz w:val="21"/>
                      <w:szCs w:val="21"/>
                      <w:lang w:val="en-US" w:eastAsia="zh-CN"/>
                      <w14:textFill>
                        <w14:solidFill>
                          <w14:schemeClr w14:val="tx1"/>
                        </w14:solidFill>
                      </w14:textFill>
                    </w:rPr>
                    <w:t>系统</w:t>
                  </w:r>
                </w:p>
              </w:tc>
              <w:tc>
                <w:tcPr>
                  <w:tcW w:w="1372" w:type="dxa"/>
                  <w:shd w:val="clear" w:color="auto" w:fill="auto"/>
                  <w:vAlign w:val="center"/>
                </w:tcPr>
                <w:p w14:paraId="313F1EFD">
                  <w:pPr>
                    <w:autoSpaceDN w:val="0"/>
                    <w:adjustRightInd w:val="0"/>
                    <w:snapToGrid w:val="0"/>
                    <w:jc w:val="center"/>
                    <w:textAlignment w:val="top"/>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1</w:t>
                  </w:r>
                </w:p>
              </w:tc>
              <w:tc>
                <w:tcPr>
                  <w:tcW w:w="1829" w:type="dxa"/>
                  <w:shd w:val="clear" w:color="auto" w:fill="auto"/>
                  <w:vAlign w:val="center"/>
                </w:tcPr>
                <w:p w14:paraId="5B1AFCDE">
                  <w:pPr>
                    <w:autoSpaceDN w:val="0"/>
                    <w:adjustRightInd w:val="0"/>
                    <w:snapToGrid w:val="0"/>
                    <w:jc w:val="center"/>
                    <w:textAlignment w:val="top"/>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c>
                <w:tcPr>
                  <w:tcW w:w="916" w:type="dxa"/>
                  <w:shd w:val="clear" w:color="auto" w:fill="auto"/>
                  <w:vAlign w:val="center"/>
                </w:tcPr>
                <w:p w14:paraId="17168519">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NMP回收</w:t>
                  </w:r>
                </w:p>
              </w:tc>
              <w:tc>
                <w:tcPr>
                  <w:tcW w:w="916" w:type="dxa"/>
                  <w:shd w:val="clear" w:color="auto" w:fill="auto"/>
                  <w:vAlign w:val="center"/>
                </w:tcPr>
                <w:p w14:paraId="78920D47">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r>
            <w:tr w14:paraId="498934F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3" w:type="dxa"/>
                  <w:shd w:val="clear" w:color="auto" w:fill="auto"/>
                  <w:vAlign w:val="center"/>
                </w:tcPr>
                <w:p w14:paraId="44F695A3">
                  <w:pPr>
                    <w:pStyle w:val="70"/>
                    <w:rPr>
                      <w:rFonts w:hint="default" w:cs="Times New Roman"/>
                      <w:color w:val="auto"/>
                      <w:sz w:val="21"/>
                      <w:szCs w:val="21"/>
                      <w:lang w:val="en-US" w:eastAsia="zh-CN"/>
                    </w:rPr>
                  </w:pPr>
                  <w:r>
                    <w:rPr>
                      <w:rFonts w:hint="eastAsia" w:cs="Times New Roman"/>
                      <w:color w:val="auto"/>
                      <w:sz w:val="21"/>
                      <w:szCs w:val="21"/>
                      <w:lang w:val="en-US" w:eastAsia="zh-CN"/>
                    </w:rPr>
                    <w:t>34</w:t>
                  </w:r>
                </w:p>
              </w:tc>
              <w:tc>
                <w:tcPr>
                  <w:tcW w:w="2052" w:type="dxa"/>
                  <w:shd w:val="clear" w:color="auto" w:fill="auto"/>
                  <w:vAlign w:val="center"/>
                </w:tcPr>
                <w:p w14:paraId="5C6F89B7">
                  <w:pPr>
                    <w:autoSpaceDN w:val="0"/>
                    <w:adjustRightInd w:val="0"/>
                    <w:snapToGrid w:val="0"/>
                    <w:jc w:val="center"/>
                    <w:textAlignment w:val="top"/>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高温静置箱</w:t>
                  </w:r>
                </w:p>
              </w:tc>
              <w:tc>
                <w:tcPr>
                  <w:tcW w:w="1372" w:type="dxa"/>
                  <w:shd w:val="clear" w:color="auto" w:fill="auto"/>
                  <w:vAlign w:val="center"/>
                </w:tcPr>
                <w:p w14:paraId="2E5997D0">
                  <w:pPr>
                    <w:autoSpaceDN w:val="0"/>
                    <w:adjustRightInd w:val="0"/>
                    <w:snapToGrid w:val="0"/>
                    <w:jc w:val="center"/>
                    <w:textAlignment w:val="top"/>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w:t>
                  </w:r>
                </w:p>
              </w:tc>
              <w:tc>
                <w:tcPr>
                  <w:tcW w:w="1829" w:type="dxa"/>
                  <w:shd w:val="clear" w:color="auto" w:fill="auto"/>
                  <w:vAlign w:val="center"/>
                </w:tcPr>
                <w:p w14:paraId="7E1B6FAE">
                  <w:pPr>
                    <w:autoSpaceDN w:val="0"/>
                    <w:adjustRightInd w:val="0"/>
                    <w:snapToGrid w:val="0"/>
                    <w:jc w:val="center"/>
                    <w:textAlignment w:val="top"/>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c>
                <w:tcPr>
                  <w:tcW w:w="916" w:type="dxa"/>
                  <w:shd w:val="clear" w:color="auto" w:fill="auto"/>
                  <w:vAlign w:val="center"/>
                </w:tcPr>
                <w:p w14:paraId="6CA50FF8">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静置</w:t>
                  </w:r>
                </w:p>
              </w:tc>
              <w:tc>
                <w:tcPr>
                  <w:tcW w:w="916" w:type="dxa"/>
                  <w:vAlign w:val="center"/>
                </w:tcPr>
                <w:p w14:paraId="3581EE52">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15000个/d</w:t>
                  </w:r>
                </w:p>
              </w:tc>
            </w:tr>
            <w:tr w14:paraId="564B802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3" w:type="dxa"/>
                  <w:shd w:val="clear" w:color="auto" w:fill="auto"/>
                  <w:vAlign w:val="center"/>
                </w:tcPr>
                <w:p w14:paraId="112A42B7">
                  <w:pPr>
                    <w:pStyle w:val="70"/>
                    <w:rPr>
                      <w:rFonts w:hint="default" w:cs="Times New Roman"/>
                      <w:color w:val="auto"/>
                      <w:sz w:val="21"/>
                      <w:szCs w:val="21"/>
                      <w:lang w:val="en-US" w:eastAsia="zh-CN"/>
                    </w:rPr>
                  </w:pPr>
                  <w:r>
                    <w:rPr>
                      <w:rFonts w:hint="eastAsia" w:cs="Times New Roman"/>
                      <w:color w:val="auto"/>
                      <w:sz w:val="21"/>
                      <w:szCs w:val="21"/>
                      <w:lang w:val="en-US" w:eastAsia="zh-CN"/>
                    </w:rPr>
                    <w:t>35</w:t>
                  </w:r>
                </w:p>
              </w:tc>
              <w:tc>
                <w:tcPr>
                  <w:tcW w:w="2052" w:type="dxa"/>
                  <w:shd w:val="clear" w:color="auto" w:fill="auto"/>
                  <w:vAlign w:val="center"/>
                </w:tcPr>
                <w:p w14:paraId="64EC7344">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真空泵系统</w:t>
                  </w:r>
                </w:p>
              </w:tc>
              <w:tc>
                <w:tcPr>
                  <w:tcW w:w="1372" w:type="dxa"/>
                  <w:shd w:val="clear" w:color="auto" w:fill="auto"/>
                  <w:vAlign w:val="center"/>
                </w:tcPr>
                <w:p w14:paraId="2E170EC7">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12</w:t>
                  </w:r>
                </w:p>
              </w:tc>
              <w:tc>
                <w:tcPr>
                  <w:tcW w:w="1829" w:type="dxa"/>
                  <w:shd w:val="clear" w:color="auto" w:fill="auto"/>
                  <w:vAlign w:val="center"/>
                </w:tcPr>
                <w:p w14:paraId="7D0DB800">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GXS160/1750MD</w:t>
                  </w:r>
                </w:p>
              </w:tc>
              <w:tc>
                <w:tcPr>
                  <w:tcW w:w="916" w:type="dxa"/>
                  <w:shd w:val="clear" w:color="auto" w:fill="auto"/>
                  <w:vAlign w:val="center"/>
                </w:tcPr>
                <w:p w14:paraId="18782563">
                  <w:pPr>
                    <w:pStyle w:val="70"/>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w:t>
                  </w:r>
                </w:p>
              </w:tc>
              <w:tc>
                <w:tcPr>
                  <w:tcW w:w="916" w:type="dxa"/>
                  <w:vAlign w:val="center"/>
                </w:tcPr>
                <w:p w14:paraId="76C1FE2F">
                  <w:pPr>
                    <w:pStyle w:val="70"/>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w:t>
                  </w:r>
                </w:p>
              </w:tc>
            </w:tr>
            <w:tr w14:paraId="718B417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693" w:type="dxa"/>
                  <w:shd w:val="clear" w:color="auto" w:fill="auto"/>
                  <w:vAlign w:val="center"/>
                </w:tcPr>
                <w:p w14:paraId="520C2CB0">
                  <w:pPr>
                    <w:pStyle w:val="70"/>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36</w:t>
                  </w:r>
                </w:p>
              </w:tc>
              <w:tc>
                <w:tcPr>
                  <w:tcW w:w="2052" w:type="dxa"/>
                  <w:shd w:val="clear" w:color="auto" w:fill="auto"/>
                  <w:vAlign w:val="center"/>
                </w:tcPr>
                <w:p w14:paraId="0D97326D">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全自动高真空烘烤线</w:t>
                  </w:r>
                </w:p>
              </w:tc>
              <w:tc>
                <w:tcPr>
                  <w:tcW w:w="1372" w:type="dxa"/>
                  <w:shd w:val="clear" w:color="auto" w:fill="auto"/>
                  <w:vAlign w:val="center"/>
                </w:tcPr>
                <w:p w14:paraId="231EE4D4">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1</w:t>
                  </w:r>
                </w:p>
              </w:tc>
              <w:tc>
                <w:tcPr>
                  <w:tcW w:w="1829" w:type="dxa"/>
                  <w:shd w:val="clear" w:color="auto" w:fill="auto"/>
                  <w:vAlign w:val="center"/>
                </w:tcPr>
                <w:p w14:paraId="0DA0BA1B">
                  <w:pPr>
                    <w:autoSpaceDN w:val="0"/>
                    <w:adjustRightInd w:val="0"/>
                    <w:snapToGrid w:val="0"/>
                    <w:jc w:val="center"/>
                    <w:textAlignment w:val="top"/>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XKX9-318C</w:t>
                  </w:r>
                </w:p>
                <w:p w14:paraId="315A934E">
                  <w:pPr>
                    <w:autoSpaceDN w:val="0"/>
                    <w:adjustRightInd w:val="0"/>
                    <w:snapToGrid w:val="0"/>
                    <w:jc w:val="center"/>
                    <w:textAlignment w:val="top"/>
                    <w:rPr>
                      <w:rFonts w:hint="default" w:ascii="Times New Roman" w:hAnsi="Times New Roman" w:cs="Times New Roman"/>
                      <w:color w:val="auto"/>
                      <w:sz w:val="21"/>
                      <w:szCs w:val="21"/>
                      <w:lang w:val="en-US" w:eastAsia="zh-CN"/>
                    </w:rPr>
                  </w:pPr>
                </w:p>
                <w:p w14:paraId="679DF911">
                  <w:pPr>
                    <w:autoSpaceDN w:val="0"/>
                    <w:adjustRightInd w:val="0"/>
                    <w:snapToGrid w:val="0"/>
                    <w:jc w:val="center"/>
                    <w:textAlignment w:val="top"/>
                    <w:rPr>
                      <w:rFonts w:hint="default" w:ascii="Times New Roman" w:hAnsi="Times New Roman" w:cs="Times New Roman"/>
                      <w:color w:val="auto"/>
                      <w:sz w:val="21"/>
                      <w:szCs w:val="21"/>
                      <w:lang w:val="en-US" w:eastAsia="zh-CN"/>
                    </w:rPr>
                  </w:pPr>
                </w:p>
              </w:tc>
              <w:tc>
                <w:tcPr>
                  <w:tcW w:w="916" w:type="dxa"/>
                  <w:shd w:val="clear" w:color="auto" w:fill="auto"/>
                  <w:vAlign w:val="center"/>
                </w:tcPr>
                <w:p w14:paraId="3699B26E">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电芯干燥</w:t>
                  </w:r>
                </w:p>
              </w:tc>
              <w:tc>
                <w:tcPr>
                  <w:tcW w:w="916" w:type="dxa"/>
                  <w:vAlign w:val="center"/>
                </w:tcPr>
                <w:p w14:paraId="2ECE83A5">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15000个/d</w:t>
                  </w:r>
                </w:p>
              </w:tc>
            </w:tr>
            <w:tr w14:paraId="64C165C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3" w:type="dxa"/>
                  <w:shd w:val="clear" w:color="auto" w:fill="auto"/>
                  <w:vAlign w:val="center"/>
                </w:tcPr>
                <w:p w14:paraId="7FFF0446">
                  <w:pPr>
                    <w:pStyle w:val="70"/>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37</w:t>
                  </w:r>
                </w:p>
              </w:tc>
              <w:tc>
                <w:tcPr>
                  <w:tcW w:w="2052" w:type="dxa"/>
                  <w:shd w:val="clear" w:color="auto" w:fill="auto"/>
                  <w:vAlign w:val="center"/>
                </w:tcPr>
                <w:p w14:paraId="41E0E5C5">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制氮机</w:t>
                  </w:r>
                </w:p>
              </w:tc>
              <w:tc>
                <w:tcPr>
                  <w:tcW w:w="1372" w:type="dxa"/>
                  <w:shd w:val="clear" w:color="auto" w:fill="auto"/>
                  <w:vAlign w:val="center"/>
                </w:tcPr>
                <w:p w14:paraId="54DB07DC">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w:t>
                  </w:r>
                </w:p>
              </w:tc>
              <w:tc>
                <w:tcPr>
                  <w:tcW w:w="1829" w:type="dxa"/>
                  <w:shd w:val="clear" w:color="auto" w:fill="auto"/>
                  <w:vAlign w:val="center"/>
                </w:tcPr>
                <w:p w14:paraId="21CB7815">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w:t>
                  </w:r>
                </w:p>
              </w:tc>
              <w:tc>
                <w:tcPr>
                  <w:tcW w:w="916" w:type="dxa"/>
                  <w:shd w:val="clear" w:color="auto" w:fill="auto"/>
                  <w:vAlign w:val="center"/>
                </w:tcPr>
                <w:p w14:paraId="7E500648">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制氮</w:t>
                  </w:r>
                </w:p>
              </w:tc>
              <w:tc>
                <w:tcPr>
                  <w:tcW w:w="916" w:type="dxa"/>
                  <w:vAlign w:val="center"/>
                </w:tcPr>
                <w:p w14:paraId="01C934F8">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200m</w:t>
                  </w:r>
                  <w:r>
                    <w:rPr>
                      <w:rFonts w:hint="eastAsia" w:ascii="Times New Roman" w:hAnsi="Times New Roman" w:eastAsia="宋体" w:cs="Times New Roman"/>
                      <w:color w:val="auto"/>
                      <w:sz w:val="21"/>
                      <w:szCs w:val="21"/>
                      <w:vertAlign w:val="superscript"/>
                      <w:lang w:val="en-US" w:eastAsia="zh-CN"/>
                    </w:rPr>
                    <w:t>3</w:t>
                  </w:r>
                  <w:r>
                    <w:rPr>
                      <w:rFonts w:hint="eastAsia" w:ascii="Times New Roman" w:hAnsi="Times New Roman" w:eastAsia="宋体" w:cs="Times New Roman"/>
                      <w:color w:val="auto"/>
                      <w:sz w:val="21"/>
                      <w:szCs w:val="21"/>
                      <w:lang w:val="en-US" w:eastAsia="zh-CN"/>
                    </w:rPr>
                    <w:t>/h</w:t>
                  </w:r>
                </w:p>
              </w:tc>
            </w:tr>
            <w:tr w14:paraId="34B145B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3" w:type="dxa"/>
                  <w:vAlign w:val="center"/>
                </w:tcPr>
                <w:p w14:paraId="6BBE565B">
                  <w:pPr>
                    <w:pStyle w:val="70"/>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38</w:t>
                  </w:r>
                </w:p>
              </w:tc>
              <w:tc>
                <w:tcPr>
                  <w:tcW w:w="2052" w:type="dxa"/>
                  <w:vAlign w:val="center"/>
                </w:tcPr>
                <w:p w14:paraId="38AFF94E">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纯水系统</w:t>
                  </w:r>
                </w:p>
              </w:tc>
              <w:tc>
                <w:tcPr>
                  <w:tcW w:w="1372" w:type="dxa"/>
                  <w:vAlign w:val="center"/>
                </w:tcPr>
                <w:p w14:paraId="174DDE80">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1</w:t>
                  </w:r>
                </w:p>
              </w:tc>
              <w:tc>
                <w:tcPr>
                  <w:tcW w:w="1829" w:type="dxa"/>
                  <w:vAlign w:val="center"/>
                </w:tcPr>
                <w:p w14:paraId="5E61F373">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w:t>
                  </w:r>
                </w:p>
              </w:tc>
              <w:tc>
                <w:tcPr>
                  <w:tcW w:w="916" w:type="dxa"/>
                  <w:vAlign w:val="center"/>
                </w:tcPr>
                <w:p w14:paraId="7CE2121E">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纯水制备</w:t>
                  </w:r>
                </w:p>
              </w:tc>
              <w:tc>
                <w:tcPr>
                  <w:tcW w:w="916" w:type="dxa"/>
                  <w:vAlign w:val="center"/>
                </w:tcPr>
                <w:p w14:paraId="703EC592">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1t/h</w:t>
                  </w:r>
                </w:p>
              </w:tc>
            </w:tr>
            <w:tr w14:paraId="49912DA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3" w:type="dxa"/>
                  <w:vAlign w:val="center"/>
                </w:tcPr>
                <w:p w14:paraId="3D432C84">
                  <w:pPr>
                    <w:pStyle w:val="70"/>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39</w:t>
                  </w:r>
                </w:p>
              </w:tc>
              <w:tc>
                <w:tcPr>
                  <w:tcW w:w="2052" w:type="dxa"/>
                  <w:vAlign w:val="center"/>
                </w:tcPr>
                <w:p w14:paraId="70B1C8F5">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二级活性炭吸附装置</w:t>
                  </w:r>
                </w:p>
              </w:tc>
              <w:tc>
                <w:tcPr>
                  <w:tcW w:w="1372" w:type="dxa"/>
                  <w:vAlign w:val="center"/>
                </w:tcPr>
                <w:p w14:paraId="7698306F">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w:t>
                  </w:r>
                </w:p>
              </w:tc>
              <w:tc>
                <w:tcPr>
                  <w:tcW w:w="1829" w:type="dxa"/>
                  <w:shd w:val="clear" w:color="auto" w:fill="auto"/>
                  <w:vAlign w:val="center"/>
                </w:tcPr>
                <w:p w14:paraId="6800A517">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w:t>
                  </w:r>
                </w:p>
              </w:tc>
              <w:tc>
                <w:tcPr>
                  <w:tcW w:w="916" w:type="dxa"/>
                  <w:shd w:val="clear" w:color="auto" w:fill="auto"/>
                  <w:vAlign w:val="center"/>
                </w:tcPr>
                <w:p w14:paraId="30DBE733">
                  <w:pPr>
                    <w:pStyle w:val="70"/>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916" w:type="dxa"/>
                  <w:shd w:val="clear" w:color="auto" w:fill="auto"/>
                  <w:vAlign w:val="center"/>
                </w:tcPr>
                <w:p w14:paraId="5C5679AD">
                  <w:pPr>
                    <w:pStyle w:val="70"/>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1C271C8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3" w:type="dxa"/>
                  <w:vAlign w:val="center"/>
                </w:tcPr>
                <w:p w14:paraId="763D5F43">
                  <w:pPr>
                    <w:pStyle w:val="70"/>
                    <w:rPr>
                      <w:rFonts w:hint="default" w:cs="Times New Roman"/>
                      <w:color w:val="auto"/>
                      <w:sz w:val="21"/>
                      <w:szCs w:val="21"/>
                      <w:lang w:val="en-US" w:eastAsia="zh-CN"/>
                    </w:rPr>
                  </w:pPr>
                  <w:r>
                    <w:rPr>
                      <w:rFonts w:hint="eastAsia" w:cs="Times New Roman"/>
                      <w:color w:val="auto"/>
                      <w:sz w:val="21"/>
                      <w:szCs w:val="21"/>
                      <w:lang w:val="en-US" w:eastAsia="zh-CN"/>
                    </w:rPr>
                    <w:t>40</w:t>
                  </w:r>
                </w:p>
              </w:tc>
              <w:tc>
                <w:tcPr>
                  <w:tcW w:w="2052" w:type="dxa"/>
                  <w:vAlign w:val="center"/>
                </w:tcPr>
                <w:p w14:paraId="0B5C7C8F">
                  <w:pPr>
                    <w:autoSpaceDN w:val="0"/>
                    <w:adjustRightInd w:val="0"/>
                    <w:snapToGrid w:val="0"/>
                    <w:jc w:val="center"/>
                    <w:textAlignment w:val="top"/>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活性炭吸附装置</w:t>
                  </w:r>
                </w:p>
              </w:tc>
              <w:tc>
                <w:tcPr>
                  <w:tcW w:w="1372" w:type="dxa"/>
                  <w:vAlign w:val="center"/>
                </w:tcPr>
                <w:p w14:paraId="786861CB">
                  <w:pPr>
                    <w:autoSpaceDN w:val="0"/>
                    <w:adjustRightInd w:val="0"/>
                    <w:snapToGrid w:val="0"/>
                    <w:jc w:val="center"/>
                    <w:textAlignment w:val="top"/>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1</w:t>
                  </w:r>
                </w:p>
              </w:tc>
              <w:tc>
                <w:tcPr>
                  <w:tcW w:w="1829" w:type="dxa"/>
                  <w:shd w:val="clear" w:color="auto" w:fill="auto"/>
                  <w:vAlign w:val="center"/>
                </w:tcPr>
                <w:p w14:paraId="19FF9B1A">
                  <w:pPr>
                    <w:autoSpaceDN w:val="0"/>
                    <w:adjustRightInd w:val="0"/>
                    <w:snapToGrid w:val="0"/>
                    <w:jc w:val="center"/>
                    <w:textAlignment w:val="top"/>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w:t>
                  </w:r>
                </w:p>
              </w:tc>
              <w:tc>
                <w:tcPr>
                  <w:tcW w:w="916" w:type="dxa"/>
                  <w:shd w:val="clear" w:color="auto" w:fill="auto"/>
                  <w:vAlign w:val="center"/>
                </w:tcPr>
                <w:p w14:paraId="3B054EA5">
                  <w:pPr>
                    <w:pStyle w:val="70"/>
                    <w:rPr>
                      <w:rFonts w:hint="default" w:cs="Times New Roman"/>
                      <w:color w:val="auto"/>
                      <w:sz w:val="21"/>
                      <w:szCs w:val="21"/>
                      <w:lang w:val="en-US" w:eastAsia="zh-CN"/>
                    </w:rPr>
                  </w:pPr>
                  <w:r>
                    <w:rPr>
                      <w:rFonts w:hint="eastAsia" w:cs="Times New Roman"/>
                      <w:color w:val="auto"/>
                      <w:sz w:val="21"/>
                      <w:szCs w:val="21"/>
                      <w:lang w:val="en-US" w:eastAsia="zh-CN"/>
                    </w:rPr>
                    <w:t>/</w:t>
                  </w:r>
                </w:p>
              </w:tc>
              <w:tc>
                <w:tcPr>
                  <w:tcW w:w="916" w:type="dxa"/>
                  <w:shd w:val="clear" w:color="auto" w:fill="auto"/>
                  <w:vAlign w:val="center"/>
                </w:tcPr>
                <w:p w14:paraId="16CB4B1E">
                  <w:pPr>
                    <w:pStyle w:val="70"/>
                    <w:rPr>
                      <w:rFonts w:hint="default" w:cs="Times New Roman"/>
                      <w:color w:val="auto"/>
                      <w:sz w:val="21"/>
                      <w:szCs w:val="21"/>
                      <w:lang w:val="en-US" w:eastAsia="zh-CN"/>
                    </w:rPr>
                  </w:pPr>
                  <w:r>
                    <w:rPr>
                      <w:rFonts w:hint="eastAsia" w:cs="Times New Roman"/>
                      <w:color w:val="auto"/>
                      <w:sz w:val="21"/>
                      <w:szCs w:val="21"/>
                      <w:lang w:val="en-US" w:eastAsia="zh-CN"/>
                    </w:rPr>
                    <w:t>/</w:t>
                  </w:r>
                </w:p>
              </w:tc>
            </w:tr>
            <w:tr w14:paraId="30A57AD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4" w:hRule="atLeast"/>
              </w:trPr>
              <w:tc>
                <w:tcPr>
                  <w:tcW w:w="693" w:type="dxa"/>
                  <w:vAlign w:val="center"/>
                </w:tcPr>
                <w:p w14:paraId="44506137">
                  <w:pPr>
                    <w:pStyle w:val="70"/>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41</w:t>
                  </w:r>
                </w:p>
              </w:tc>
              <w:tc>
                <w:tcPr>
                  <w:tcW w:w="2052" w:type="dxa"/>
                  <w:vAlign w:val="center"/>
                </w:tcPr>
                <w:p w14:paraId="61795549">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污水处理系统</w:t>
                  </w:r>
                </w:p>
              </w:tc>
              <w:tc>
                <w:tcPr>
                  <w:tcW w:w="1372" w:type="dxa"/>
                  <w:vAlign w:val="center"/>
                </w:tcPr>
                <w:p w14:paraId="4C674BA1">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1</w:t>
                  </w:r>
                </w:p>
              </w:tc>
              <w:tc>
                <w:tcPr>
                  <w:tcW w:w="1829" w:type="dxa"/>
                  <w:vAlign w:val="center"/>
                </w:tcPr>
                <w:p w14:paraId="3C3A68E3">
                  <w:pPr>
                    <w:autoSpaceDN w:val="0"/>
                    <w:adjustRightInd w:val="0"/>
                    <w:snapToGrid w:val="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w:t>
                  </w:r>
                </w:p>
              </w:tc>
              <w:tc>
                <w:tcPr>
                  <w:tcW w:w="916" w:type="dxa"/>
                  <w:vAlign w:val="center"/>
                </w:tcPr>
                <w:p w14:paraId="6F7130FB">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废水治理</w:t>
                  </w:r>
                </w:p>
              </w:tc>
              <w:tc>
                <w:tcPr>
                  <w:tcW w:w="916" w:type="dxa"/>
                  <w:vAlign w:val="center"/>
                </w:tcPr>
                <w:p w14:paraId="17589DF5">
                  <w:pPr>
                    <w:pStyle w:val="70"/>
                    <w:spacing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6m</w:t>
                  </w:r>
                  <w:r>
                    <w:rPr>
                      <w:rFonts w:hint="eastAsia" w:ascii="Times New Roman" w:hAnsi="Times New Roman" w:eastAsia="宋体" w:cs="Times New Roman"/>
                      <w:color w:val="auto"/>
                      <w:sz w:val="21"/>
                      <w:szCs w:val="21"/>
                      <w:vertAlign w:val="superscript"/>
                      <w:lang w:val="en-US" w:eastAsia="zh-CN"/>
                    </w:rPr>
                    <w:t>3</w:t>
                  </w:r>
                  <w:r>
                    <w:rPr>
                      <w:rFonts w:hint="eastAsia" w:ascii="Times New Roman" w:hAnsi="Times New Roman" w:eastAsia="宋体" w:cs="Times New Roman"/>
                      <w:color w:val="auto"/>
                      <w:sz w:val="21"/>
                      <w:szCs w:val="21"/>
                      <w:lang w:val="en-US" w:eastAsia="zh-CN"/>
                    </w:rPr>
                    <w:t>/d</w:t>
                  </w:r>
                </w:p>
              </w:tc>
            </w:tr>
            <w:tr w14:paraId="26797F3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4" w:hRule="atLeast"/>
              </w:trPr>
              <w:tc>
                <w:tcPr>
                  <w:tcW w:w="693" w:type="dxa"/>
                  <w:vAlign w:val="center"/>
                </w:tcPr>
                <w:p w14:paraId="5459DD1A">
                  <w:pPr>
                    <w:pStyle w:val="70"/>
                    <w:rPr>
                      <w:rFonts w:hint="default" w:cs="Times New Roman"/>
                      <w:color w:val="auto"/>
                      <w:sz w:val="21"/>
                      <w:szCs w:val="21"/>
                      <w:lang w:val="en-US" w:eastAsia="zh-CN"/>
                    </w:rPr>
                  </w:pPr>
                  <w:r>
                    <w:rPr>
                      <w:rFonts w:hint="eastAsia" w:cs="Times New Roman"/>
                      <w:color w:val="auto"/>
                      <w:sz w:val="21"/>
                      <w:szCs w:val="21"/>
                      <w:lang w:val="en-US" w:eastAsia="zh-CN"/>
                    </w:rPr>
                    <w:t>42</w:t>
                  </w:r>
                </w:p>
              </w:tc>
              <w:tc>
                <w:tcPr>
                  <w:tcW w:w="2052" w:type="dxa"/>
                  <w:vAlign w:val="center"/>
                </w:tcPr>
                <w:p w14:paraId="35C4556D">
                  <w:pPr>
                    <w:autoSpaceDN w:val="0"/>
                    <w:adjustRightInd w:val="0"/>
                    <w:snapToGrid w:val="0"/>
                    <w:jc w:val="center"/>
                    <w:textAlignment w:val="top"/>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焊裁一体机</w:t>
                  </w:r>
                </w:p>
              </w:tc>
              <w:tc>
                <w:tcPr>
                  <w:tcW w:w="1372" w:type="dxa"/>
                  <w:vAlign w:val="center"/>
                </w:tcPr>
                <w:p w14:paraId="4C5B34E2">
                  <w:pPr>
                    <w:autoSpaceDN w:val="0"/>
                    <w:adjustRightInd w:val="0"/>
                    <w:snapToGrid w:val="0"/>
                    <w:jc w:val="center"/>
                    <w:textAlignment w:val="top"/>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1</w:t>
                  </w:r>
                </w:p>
              </w:tc>
              <w:tc>
                <w:tcPr>
                  <w:tcW w:w="1829" w:type="dxa"/>
                  <w:vAlign w:val="center"/>
                </w:tcPr>
                <w:p w14:paraId="2E4AB249">
                  <w:pPr>
                    <w:autoSpaceDN w:val="0"/>
                    <w:adjustRightInd w:val="0"/>
                    <w:snapToGrid w:val="0"/>
                    <w:jc w:val="center"/>
                    <w:textAlignment w:val="top"/>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w:t>
                  </w:r>
                </w:p>
              </w:tc>
              <w:tc>
                <w:tcPr>
                  <w:tcW w:w="916" w:type="dxa"/>
                  <w:vAlign w:val="center"/>
                </w:tcPr>
                <w:p w14:paraId="2C2481B7">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组块焊接</w:t>
                  </w:r>
                </w:p>
              </w:tc>
              <w:tc>
                <w:tcPr>
                  <w:tcW w:w="916" w:type="dxa"/>
                  <w:vAlign w:val="center"/>
                </w:tcPr>
                <w:p w14:paraId="20A1890F">
                  <w:pPr>
                    <w:pStyle w:val="70"/>
                    <w:spacing w:line="240" w:lineRule="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bl>
          <w:p w14:paraId="7E4A8DD9">
            <w:pPr>
              <w:pStyle w:val="66"/>
              <w:spacing w:line="360" w:lineRule="auto"/>
              <w:ind w:firstLine="482"/>
              <w:rPr>
                <w:rFonts w:hint="eastAsia" w:ascii="Times New Roman" w:hAnsi="Times New Roman" w:eastAsia="宋体" w:cs="Times New Roman"/>
                <w:b/>
                <w:bCs/>
                <w:color w:val="auto"/>
                <w:lang w:val="en-US" w:eastAsia="zh-CN"/>
              </w:rPr>
            </w:pPr>
            <w:r>
              <w:rPr>
                <w:rFonts w:hint="eastAsia" w:ascii="Times New Roman" w:hAnsi="Times New Roman" w:eastAsia="宋体" w:cs="Times New Roman"/>
                <w:b/>
                <w:bCs/>
                <w:color w:val="auto"/>
                <w:lang w:val="en-US" w:eastAsia="zh-CN"/>
              </w:rPr>
              <w:t>6、主要原辅材料及能源消耗情况</w:t>
            </w:r>
          </w:p>
          <w:p w14:paraId="4029E858">
            <w:pPr>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lang w:val="en-US" w:eastAsia="zh-CN"/>
              </w:rPr>
              <w:t>本</w:t>
            </w:r>
            <w:r>
              <w:rPr>
                <w:rFonts w:hint="eastAsia" w:ascii="Times New Roman" w:hAnsi="Times New Roman" w:eastAsia="宋体" w:cs="Times New Roman"/>
                <w:color w:val="auto"/>
                <w:sz w:val="24"/>
                <w:highlight w:val="none"/>
              </w:rPr>
              <w:t>项目主要原辅料及能源消耗情况见下表。</w:t>
            </w:r>
          </w:p>
          <w:p w14:paraId="3EBA71D1">
            <w:pPr>
              <w:pStyle w:val="68"/>
              <w:rPr>
                <w:rFonts w:hint="eastAsia" w:ascii="Times New Roman" w:hAnsi="Times New Roman" w:eastAsia="宋体" w:cs="Times New Roman"/>
                <w:b/>
                <w:bCs/>
                <w:color w:val="auto"/>
              </w:rPr>
            </w:pPr>
            <w:r>
              <w:rPr>
                <w:rFonts w:hint="eastAsia" w:ascii="Times New Roman" w:hAnsi="Times New Roman" w:eastAsia="宋体" w:cs="Times New Roman"/>
                <w:b/>
                <w:bCs/>
                <w:color w:val="auto"/>
              </w:rPr>
              <w:t>表2-</w:t>
            </w:r>
            <w:r>
              <w:rPr>
                <w:rFonts w:hint="eastAsia" w:ascii="Times New Roman" w:hAnsi="Times New Roman" w:eastAsia="宋体" w:cs="Times New Roman"/>
                <w:b/>
                <w:bCs/>
                <w:color w:val="auto"/>
                <w:lang w:val="en-US" w:eastAsia="zh-CN"/>
              </w:rPr>
              <w:t>4</w:t>
            </w:r>
            <w:r>
              <w:rPr>
                <w:rFonts w:hint="eastAsia" w:ascii="Times New Roman" w:hAnsi="Times New Roman" w:eastAsia="宋体" w:cs="Times New Roman"/>
                <w:b/>
                <w:bCs/>
                <w:color w:val="auto"/>
              </w:rPr>
              <w:t xml:space="preserve">  主要原辅料一览表</w:t>
            </w:r>
          </w:p>
          <w:tbl>
            <w:tblPr>
              <w:tblStyle w:val="42"/>
              <w:tblW w:w="7817" w:type="dxa"/>
              <w:tblInd w:w="5"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461"/>
              <w:gridCol w:w="846"/>
              <w:gridCol w:w="1034"/>
              <w:gridCol w:w="1131"/>
              <w:gridCol w:w="1231"/>
              <w:gridCol w:w="507"/>
              <w:gridCol w:w="869"/>
              <w:gridCol w:w="869"/>
              <w:gridCol w:w="869"/>
            </w:tblGrid>
            <w:tr w14:paraId="4F33E18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4" w:hRule="atLeast"/>
              </w:trPr>
              <w:tc>
                <w:tcPr>
                  <w:tcW w:w="461" w:type="dxa"/>
                  <w:shd w:val="clear" w:color="auto" w:fill="auto"/>
                  <w:vAlign w:val="center"/>
                </w:tcPr>
                <w:p w14:paraId="53371EE7">
                  <w:pPr>
                    <w:pStyle w:val="70"/>
                    <w:spacing w:line="240" w:lineRule="auto"/>
                    <w:rPr>
                      <w:rFonts w:hint="eastAsia" w:ascii="Times New Roman" w:hAnsi="Times New Roman" w:eastAsia="宋体" w:cs="Times New Roman"/>
                      <w:b/>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color w:val="000000" w:themeColor="text1"/>
                      <w:sz w:val="21"/>
                      <w:szCs w:val="21"/>
                      <w:lang w:val="en-US" w:eastAsia="zh-CN"/>
                      <w14:textFill>
                        <w14:solidFill>
                          <w14:schemeClr w14:val="tx1"/>
                        </w14:solidFill>
                      </w14:textFill>
                    </w:rPr>
                    <w:t>序号</w:t>
                  </w:r>
                </w:p>
              </w:tc>
              <w:tc>
                <w:tcPr>
                  <w:tcW w:w="846" w:type="dxa"/>
                  <w:shd w:val="clear" w:color="auto" w:fill="auto"/>
                  <w:vAlign w:val="center"/>
                </w:tcPr>
                <w:p w14:paraId="18D8B285">
                  <w:pPr>
                    <w:pStyle w:val="70"/>
                    <w:spacing w:line="240" w:lineRule="auto"/>
                    <w:rPr>
                      <w:rFonts w:hint="eastAsia" w:ascii="Times New Roman" w:hAnsi="Times New Roman" w:eastAsia="宋体" w:cs="Times New Roman"/>
                      <w:b/>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color w:val="000000" w:themeColor="text1"/>
                      <w:sz w:val="21"/>
                      <w:szCs w:val="21"/>
                      <w:lang w:val="en-US" w:eastAsia="zh-CN"/>
                      <w14:textFill>
                        <w14:solidFill>
                          <w14:schemeClr w14:val="tx1"/>
                        </w14:solidFill>
                      </w14:textFill>
                    </w:rPr>
                    <w:t>名称</w:t>
                  </w:r>
                </w:p>
              </w:tc>
              <w:tc>
                <w:tcPr>
                  <w:tcW w:w="1034" w:type="dxa"/>
                  <w:shd w:val="clear" w:color="auto" w:fill="auto"/>
                  <w:vAlign w:val="center"/>
                </w:tcPr>
                <w:p w14:paraId="0BB7FEBC">
                  <w:pPr>
                    <w:pStyle w:val="70"/>
                    <w:spacing w:line="240" w:lineRule="auto"/>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color w:val="000000" w:themeColor="text1"/>
                      <w:sz w:val="21"/>
                      <w:szCs w:val="21"/>
                      <w:lang w:val="en-US" w:eastAsia="zh-CN"/>
                      <w14:textFill>
                        <w14:solidFill>
                          <w14:schemeClr w14:val="tx1"/>
                        </w14:solidFill>
                      </w14:textFill>
                    </w:rPr>
                    <w:t>主要成分</w:t>
                  </w:r>
                </w:p>
              </w:tc>
              <w:tc>
                <w:tcPr>
                  <w:tcW w:w="1131" w:type="dxa"/>
                  <w:shd w:val="clear" w:color="auto" w:fill="auto"/>
                  <w:vAlign w:val="center"/>
                </w:tcPr>
                <w:p w14:paraId="4A63B221">
                  <w:pPr>
                    <w:pStyle w:val="70"/>
                    <w:spacing w:line="240" w:lineRule="auto"/>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color w:val="000000" w:themeColor="text1"/>
                      <w:sz w:val="21"/>
                      <w:szCs w:val="21"/>
                      <w:lang w:val="en-US" w:eastAsia="zh-CN"/>
                      <w14:textFill>
                        <w14:solidFill>
                          <w14:schemeClr w14:val="tx1"/>
                        </w14:solidFill>
                      </w14:textFill>
                    </w:rPr>
                    <w:t>年使用量</w:t>
                  </w:r>
                </w:p>
              </w:tc>
              <w:tc>
                <w:tcPr>
                  <w:tcW w:w="1231" w:type="dxa"/>
                  <w:shd w:val="clear" w:color="auto" w:fill="auto"/>
                  <w:vAlign w:val="center"/>
                </w:tcPr>
                <w:p w14:paraId="58FE20CF">
                  <w:pPr>
                    <w:pStyle w:val="70"/>
                    <w:spacing w:line="240" w:lineRule="auto"/>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color w:val="000000" w:themeColor="text1"/>
                      <w:sz w:val="21"/>
                      <w:szCs w:val="21"/>
                      <w:lang w:val="en-US" w:eastAsia="zh-CN"/>
                      <w14:textFill>
                        <w14:solidFill>
                          <w14:schemeClr w14:val="tx1"/>
                        </w14:solidFill>
                      </w14:textFill>
                    </w:rPr>
                    <w:t>最大暂存量</w:t>
                  </w:r>
                </w:p>
              </w:tc>
              <w:tc>
                <w:tcPr>
                  <w:tcW w:w="507" w:type="dxa"/>
                  <w:shd w:val="clear" w:color="auto" w:fill="auto"/>
                  <w:vAlign w:val="center"/>
                </w:tcPr>
                <w:p w14:paraId="217B8CB7">
                  <w:pPr>
                    <w:pStyle w:val="70"/>
                    <w:spacing w:line="240" w:lineRule="auto"/>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color w:val="000000" w:themeColor="text1"/>
                      <w:sz w:val="21"/>
                      <w:szCs w:val="21"/>
                      <w:lang w:val="en-US" w:eastAsia="zh-CN"/>
                      <w14:textFill>
                        <w14:solidFill>
                          <w14:schemeClr w14:val="tx1"/>
                        </w14:solidFill>
                      </w14:textFill>
                    </w:rPr>
                    <w:t>来源</w:t>
                  </w:r>
                </w:p>
              </w:tc>
              <w:tc>
                <w:tcPr>
                  <w:tcW w:w="869" w:type="dxa"/>
                  <w:shd w:val="clear" w:color="auto" w:fill="auto"/>
                  <w:vAlign w:val="center"/>
                </w:tcPr>
                <w:p w14:paraId="088817BB">
                  <w:pPr>
                    <w:pStyle w:val="70"/>
                    <w:spacing w:line="240" w:lineRule="auto"/>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color w:val="000000" w:themeColor="text1"/>
                      <w:sz w:val="21"/>
                      <w:szCs w:val="21"/>
                      <w:lang w:val="en-US" w:eastAsia="zh-CN"/>
                      <w14:textFill>
                        <w14:solidFill>
                          <w14:schemeClr w14:val="tx1"/>
                        </w14:solidFill>
                      </w14:textFill>
                    </w:rPr>
                    <w:t>包装方式</w:t>
                  </w:r>
                </w:p>
              </w:tc>
              <w:tc>
                <w:tcPr>
                  <w:tcW w:w="869" w:type="dxa"/>
                  <w:shd w:val="clear" w:color="auto" w:fill="auto"/>
                  <w:vAlign w:val="center"/>
                </w:tcPr>
                <w:p w14:paraId="3EF534A1">
                  <w:pPr>
                    <w:pStyle w:val="70"/>
                    <w:spacing w:line="240" w:lineRule="auto"/>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eastAsia" w:cs="Times New Roman"/>
                      <w:b/>
                      <w:color w:val="000000" w:themeColor="text1"/>
                      <w:sz w:val="21"/>
                      <w:szCs w:val="21"/>
                      <w:lang w:val="en-US" w:eastAsia="zh-CN"/>
                      <w14:textFill>
                        <w14:solidFill>
                          <w14:schemeClr w14:val="tx1"/>
                        </w14:solidFill>
                      </w14:textFill>
                    </w:rPr>
                    <w:t>运输方式</w:t>
                  </w:r>
                </w:p>
              </w:tc>
              <w:tc>
                <w:tcPr>
                  <w:tcW w:w="869" w:type="dxa"/>
                  <w:shd w:val="clear" w:color="auto" w:fill="auto"/>
                  <w:vAlign w:val="center"/>
                </w:tcPr>
                <w:p w14:paraId="74CBD7E4">
                  <w:pPr>
                    <w:pStyle w:val="70"/>
                    <w:spacing w:line="240" w:lineRule="auto"/>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eastAsia" w:cs="Times New Roman"/>
                      <w:b/>
                      <w:color w:val="000000" w:themeColor="text1"/>
                      <w:sz w:val="21"/>
                      <w:szCs w:val="21"/>
                      <w:lang w:val="en-US" w:eastAsia="zh-CN"/>
                      <w14:textFill>
                        <w14:solidFill>
                          <w14:schemeClr w14:val="tx1"/>
                        </w14:solidFill>
                      </w14:textFill>
                    </w:rPr>
                    <w:t>储存位置</w:t>
                  </w:r>
                </w:p>
              </w:tc>
            </w:tr>
            <w:tr w14:paraId="67DA1A5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61" w:type="dxa"/>
                  <w:shd w:val="clear" w:color="auto" w:fill="auto"/>
                  <w:vAlign w:val="center"/>
                </w:tcPr>
                <w:p w14:paraId="3395F0E6">
                  <w:pPr>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w:t>
                  </w:r>
                </w:p>
              </w:tc>
              <w:tc>
                <w:tcPr>
                  <w:tcW w:w="846" w:type="dxa"/>
                  <w:shd w:val="clear" w:color="auto" w:fill="auto"/>
                  <w:vAlign w:val="center"/>
                </w:tcPr>
                <w:p w14:paraId="745A57FC">
                  <w:pPr>
                    <w:pStyle w:val="70"/>
                    <w:spacing w:line="240" w:lineRule="auto"/>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正极材料1</w:t>
                  </w:r>
                </w:p>
              </w:tc>
              <w:tc>
                <w:tcPr>
                  <w:tcW w:w="1034" w:type="dxa"/>
                  <w:shd w:val="clear" w:color="auto" w:fill="auto"/>
                  <w:vAlign w:val="center"/>
                </w:tcPr>
                <w:p w14:paraId="06F71563">
                  <w:pPr>
                    <w:pStyle w:val="70"/>
                    <w:spacing w:line="240" w:lineRule="auto"/>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磷酸铁锂</w:t>
                  </w:r>
                </w:p>
              </w:tc>
              <w:tc>
                <w:tcPr>
                  <w:tcW w:w="1131" w:type="dxa"/>
                  <w:shd w:val="clear" w:color="auto" w:fill="auto"/>
                  <w:vAlign w:val="center"/>
                </w:tcPr>
                <w:p w14:paraId="7AF6E244">
                  <w:pPr>
                    <w:pStyle w:val="70"/>
                    <w:spacing w:line="240" w:lineRule="auto"/>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ascii="Times New Roman" w:hAnsi="Times New Roman" w:eastAsia="等线" w:cs="Times New Roman"/>
                      <w:color w:val="000000" w:themeColor="text1"/>
                      <w:sz w:val="21"/>
                      <w:szCs w:val="21"/>
                      <w14:textFill>
                        <w14:solidFill>
                          <w14:schemeClr w14:val="tx1"/>
                        </w14:solidFill>
                      </w14:textFill>
                    </w:rPr>
                    <w:t>824.2t/a</w:t>
                  </w:r>
                </w:p>
              </w:tc>
              <w:tc>
                <w:tcPr>
                  <w:tcW w:w="1231" w:type="dxa"/>
                  <w:shd w:val="clear" w:color="auto" w:fill="auto"/>
                  <w:vAlign w:val="center"/>
                </w:tcPr>
                <w:p w14:paraId="227E5D3B">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等线" w:cs="Times New Roman"/>
                      <w:color w:val="000000" w:themeColor="text1"/>
                      <w:sz w:val="21"/>
                      <w:szCs w:val="21"/>
                      <w14:textFill>
                        <w14:solidFill>
                          <w14:schemeClr w14:val="tx1"/>
                        </w14:solidFill>
                      </w14:textFill>
                    </w:rPr>
                    <w:t>112397kg</w:t>
                  </w:r>
                </w:p>
              </w:tc>
              <w:tc>
                <w:tcPr>
                  <w:tcW w:w="507" w:type="dxa"/>
                  <w:shd w:val="clear" w:color="auto" w:fill="auto"/>
                  <w:vAlign w:val="center"/>
                </w:tcPr>
                <w:p w14:paraId="56D92A9E">
                  <w:pPr>
                    <w:pStyle w:val="70"/>
                    <w:spacing w:line="240" w:lineRule="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olor w:val="000000" w:themeColor="text1"/>
                      <w:sz w:val="21"/>
                      <w:szCs w:val="21"/>
                      <w14:textFill>
                        <w14:solidFill>
                          <w14:schemeClr w14:val="tx1"/>
                        </w14:solidFill>
                      </w14:textFill>
                    </w:rPr>
                    <w:t>外购</w:t>
                  </w:r>
                </w:p>
              </w:tc>
              <w:tc>
                <w:tcPr>
                  <w:tcW w:w="869" w:type="dxa"/>
                  <w:shd w:val="clear" w:color="auto" w:fill="auto"/>
                  <w:vAlign w:val="center"/>
                </w:tcPr>
                <w:p w14:paraId="3084AA73">
                  <w:pPr>
                    <w:pStyle w:val="70"/>
                    <w:spacing w:line="240" w:lineRule="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olor w:val="000000" w:themeColor="text1"/>
                      <w:sz w:val="21"/>
                      <w:szCs w:val="21"/>
                      <w14:textFill>
                        <w14:solidFill>
                          <w14:schemeClr w14:val="tx1"/>
                        </w14:solidFill>
                      </w14:textFill>
                    </w:rPr>
                    <w:t>袋装</w:t>
                  </w:r>
                </w:p>
              </w:tc>
              <w:tc>
                <w:tcPr>
                  <w:tcW w:w="869" w:type="dxa"/>
                  <w:shd w:val="clear" w:color="auto" w:fill="auto"/>
                  <w:vAlign w:val="center"/>
                </w:tcPr>
                <w:p w14:paraId="7D7D9973">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olor w:val="000000" w:themeColor="text1"/>
                      <w:sz w:val="21"/>
                      <w:szCs w:val="21"/>
                      <w14:textFill>
                        <w14:solidFill>
                          <w14:schemeClr w14:val="tx1"/>
                        </w14:solidFill>
                      </w14:textFill>
                    </w:rPr>
                    <w:t>汽运</w:t>
                  </w:r>
                </w:p>
              </w:tc>
              <w:tc>
                <w:tcPr>
                  <w:tcW w:w="869" w:type="dxa"/>
                  <w:shd w:val="clear" w:color="auto" w:fill="auto"/>
                  <w:vAlign w:val="center"/>
                </w:tcPr>
                <w:p w14:paraId="0D78AADD">
                  <w:pPr>
                    <w:pStyle w:val="70"/>
                    <w:spacing w:line="240" w:lineRule="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olor w:val="000000" w:themeColor="text1"/>
                      <w:sz w:val="21"/>
                      <w:szCs w:val="21"/>
                      <w14:textFill>
                        <w14:solidFill>
                          <w14:schemeClr w14:val="tx1"/>
                        </w14:solidFill>
                      </w14:textFill>
                    </w:rPr>
                    <w:t>电芯车间</w:t>
                  </w:r>
                </w:p>
              </w:tc>
            </w:tr>
            <w:tr w14:paraId="748F7EB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61" w:type="dxa"/>
                  <w:shd w:val="clear" w:color="auto" w:fill="auto"/>
                  <w:vAlign w:val="center"/>
                </w:tcPr>
                <w:p w14:paraId="0B8066A4">
                  <w:pPr>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w:t>
                  </w:r>
                </w:p>
              </w:tc>
              <w:tc>
                <w:tcPr>
                  <w:tcW w:w="846" w:type="dxa"/>
                  <w:shd w:val="clear" w:color="auto" w:fill="auto"/>
                  <w:vAlign w:val="center"/>
                </w:tcPr>
                <w:p w14:paraId="799A323E">
                  <w:pPr>
                    <w:pStyle w:val="70"/>
                    <w:spacing w:line="240" w:lineRule="auto"/>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正极材料2</w:t>
                  </w:r>
                </w:p>
              </w:tc>
              <w:tc>
                <w:tcPr>
                  <w:tcW w:w="1034" w:type="dxa"/>
                  <w:shd w:val="clear" w:color="auto" w:fill="auto"/>
                  <w:vAlign w:val="center"/>
                </w:tcPr>
                <w:p w14:paraId="0AA0E0DF">
                  <w:pPr>
                    <w:pStyle w:val="70"/>
                    <w:spacing w:line="240" w:lineRule="auto"/>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镍钴锰酸锂</w:t>
                  </w:r>
                </w:p>
              </w:tc>
              <w:tc>
                <w:tcPr>
                  <w:tcW w:w="1131" w:type="dxa"/>
                  <w:shd w:val="clear" w:color="auto" w:fill="auto"/>
                  <w:vAlign w:val="center"/>
                </w:tcPr>
                <w:p w14:paraId="58EE01A8">
                  <w:pPr>
                    <w:pStyle w:val="70"/>
                    <w:spacing w:line="240" w:lineRule="auto"/>
                    <w:rPr>
                      <w:rFonts w:hint="eastAsia" w:ascii="Times New Roman" w:hAnsi="Times New Roman" w:eastAsia="宋体" w:cs="Times New Roman"/>
                      <w:color w:val="000000" w:themeColor="text1"/>
                      <w:sz w:val="21"/>
                      <w:szCs w:val="21"/>
                      <w14:textFill>
                        <w14:solidFill>
                          <w14:schemeClr w14:val="tx1"/>
                        </w14:solidFill>
                      </w14:textFill>
                    </w:rPr>
                  </w:pPr>
                  <w:r>
                    <w:rPr>
                      <w:rFonts w:ascii="Times New Roman" w:hAnsi="Times New Roman" w:eastAsia="等线" w:cs="Times New Roman"/>
                      <w:color w:val="000000" w:themeColor="text1"/>
                      <w:sz w:val="21"/>
                      <w:szCs w:val="21"/>
                      <w14:textFill>
                        <w14:solidFill>
                          <w14:schemeClr w14:val="tx1"/>
                        </w14:solidFill>
                      </w14:textFill>
                    </w:rPr>
                    <w:t>982.8t/a</w:t>
                  </w:r>
                </w:p>
              </w:tc>
              <w:tc>
                <w:tcPr>
                  <w:tcW w:w="1231" w:type="dxa"/>
                  <w:shd w:val="clear" w:color="auto" w:fill="auto"/>
                  <w:vAlign w:val="center"/>
                </w:tcPr>
                <w:p w14:paraId="121C7BEA">
                  <w:pPr>
                    <w:pStyle w:val="70"/>
                    <w:spacing w:line="240" w:lineRule="auto"/>
                    <w:rPr>
                      <w:rFonts w:hint="default" w:ascii="Times New Roman" w:hAnsi="Times New Roman" w:eastAsia="宋体" w:cs="Times New Roman"/>
                      <w:color w:val="000000" w:themeColor="text1"/>
                      <w:sz w:val="21"/>
                      <w:szCs w:val="21"/>
                      <w14:textFill>
                        <w14:solidFill>
                          <w14:schemeClr w14:val="tx1"/>
                        </w14:solidFill>
                      </w14:textFill>
                    </w:rPr>
                  </w:pPr>
                  <w:r>
                    <w:rPr>
                      <w:rFonts w:hint="eastAsia" w:eastAsia="等线" w:cs="Times New Roman"/>
                      <w:color w:val="000000" w:themeColor="text1"/>
                      <w:sz w:val="21"/>
                      <w:szCs w:val="21"/>
                      <w:lang w:val="en-US" w:eastAsia="zh-CN"/>
                      <w14:textFill>
                        <w14:solidFill>
                          <w14:schemeClr w14:val="tx1"/>
                        </w14:solidFill>
                      </w14:textFill>
                    </w:rPr>
                    <w:t>13104</w:t>
                  </w:r>
                  <w:r>
                    <w:rPr>
                      <w:rFonts w:hint="default" w:ascii="Times New Roman" w:hAnsi="Times New Roman" w:eastAsia="等线" w:cs="Times New Roman"/>
                      <w:color w:val="000000" w:themeColor="text1"/>
                      <w:sz w:val="21"/>
                      <w:szCs w:val="21"/>
                      <w14:textFill>
                        <w14:solidFill>
                          <w14:schemeClr w14:val="tx1"/>
                        </w14:solidFill>
                      </w14:textFill>
                    </w:rPr>
                    <w:t>kg</w:t>
                  </w:r>
                </w:p>
              </w:tc>
              <w:tc>
                <w:tcPr>
                  <w:tcW w:w="507" w:type="dxa"/>
                  <w:shd w:val="clear" w:color="auto" w:fill="auto"/>
                  <w:vAlign w:val="center"/>
                </w:tcPr>
                <w:p w14:paraId="2442E666">
                  <w:pPr>
                    <w:pStyle w:val="70"/>
                    <w:spacing w:line="240" w:lineRule="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olor w:val="000000" w:themeColor="text1"/>
                      <w:sz w:val="21"/>
                      <w:szCs w:val="21"/>
                      <w14:textFill>
                        <w14:solidFill>
                          <w14:schemeClr w14:val="tx1"/>
                        </w14:solidFill>
                      </w14:textFill>
                    </w:rPr>
                    <w:t>外购</w:t>
                  </w:r>
                </w:p>
              </w:tc>
              <w:tc>
                <w:tcPr>
                  <w:tcW w:w="869" w:type="dxa"/>
                  <w:shd w:val="clear" w:color="auto" w:fill="auto"/>
                  <w:vAlign w:val="center"/>
                </w:tcPr>
                <w:p w14:paraId="66797A5B">
                  <w:pPr>
                    <w:pStyle w:val="70"/>
                    <w:spacing w:line="240" w:lineRule="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olor w:val="000000" w:themeColor="text1"/>
                      <w:sz w:val="21"/>
                      <w:szCs w:val="21"/>
                      <w14:textFill>
                        <w14:solidFill>
                          <w14:schemeClr w14:val="tx1"/>
                        </w14:solidFill>
                      </w14:textFill>
                    </w:rPr>
                    <w:t>袋装</w:t>
                  </w:r>
                </w:p>
              </w:tc>
              <w:tc>
                <w:tcPr>
                  <w:tcW w:w="869" w:type="dxa"/>
                  <w:shd w:val="clear" w:color="auto" w:fill="auto"/>
                  <w:vAlign w:val="center"/>
                </w:tcPr>
                <w:p w14:paraId="018A285F">
                  <w:pPr>
                    <w:pStyle w:val="70"/>
                    <w:spacing w:line="240" w:lineRule="auto"/>
                    <w:rPr>
                      <w:rFonts w:hint="eastAsia" w:cs="Times New Roman"/>
                      <w:color w:val="000000" w:themeColor="text1"/>
                      <w:sz w:val="21"/>
                      <w:szCs w:val="21"/>
                      <w:lang w:val="en-US" w:eastAsia="zh-CN"/>
                      <w14:textFill>
                        <w14:solidFill>
                          <w14:schemeClr w14:val="tx1"/>
                        </w14:solidFill>
                      </w14:textFill>
                    </w:rPr>
                  </w:pPr>
                  <w:r>
                    <w:rPr>
                      <w:rFonts w:hint="eastAsia"/>
                      <w:color w:val="000000" w:themeColor="text1"/>
                      <w:sz w:val="21"/>
                      <w:szCs w:val="21"/>
                      <w14:textFill>
                        <w14:solidFill>
                          <w14:schemeClr w14:val="tx1"/>
                        </w14:solidFill>
                      </w14:textFill>
                    </w:rPr>
                    <w:t>汽运</w:t>
                  </w:r>
                </w:p>
              </w:tc>
              <w:tc>
                <w:tcPr>
                  <w:tcW w:w="869" w:type="dxa"/>
                  <w:shd w:val="clear" w:color="auto" w:fill="auto"/>
                  <w:vAlign w:val="center"/>
                </w:tcPr>
                <w:p w14:paraId="2C2D8FFB">
                  <w:pPr>
                    <w:pStyle w:val="70"/>
                    <w:spacing w:line="240" w:lineRule="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olor w:val="000000" w:themeColor="text1"/>
                      <w:sz w:val="21"/>
                      <w:szCs w:val="21"/>
                      <w14:textFill>
                        <w14:solidFill>
                          <w14:schemeClr w14:val="tx1"/>
                        </w14:solidFill>
                      </w14:textFill>
                    </w:rPr>
                    <w:t>电芯车间</w:t>
                  </w:r>
                </w:p>
              </w:tc>
            </w:tr>
            <w:tr w14:paraId="37E8C5D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61" w:type="dxa"/>
                  <w:shd w:val="clear" w:color="auto" w:fill="auto"/>
                  <w:vAlign w:val="center"/>
                </w:tcPr>
                <w:p w14:paraId="0BE1718D">
                  <w:pPr>
                    <w:spacing w:line="240" w:lineRule="auto"/>
                    <w:jc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3</w:t>
                  </w:r>
                </w:p>
              </w:tc>
              <w:tc>
                <w:tcPr>
                  <w:tcW w:w="846" w:type="dxa"/>
                  <w:shd w:val="clear" w:color="auto" w:fill="auto"/>
                  <w:vAlign w:val="center"/>
                </w:tcPr>
                <w:p w14:paraId="2D2EE3A7">
                  <w:pPr>
                    <w:spacing w:line="240" w:lineRule="auto"/>
                    <w:jc w:val="center"/>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粘结剂1</w:t>
                  </w:r>
                </w:p>
              </w:tc>
              <w:tc>
                <w:tcPr>
                  <w:tcW w:w="1034" w:type="dxa"/>
                  <w:shd w:val="clear" w:color="auto" w:fill="auto"/>
                  <w:vAlign w:val="center"/>
                </w:tcPr>
                <w:p w14:paraId="2AEC6D1C">
                  <w:pPr>
                    <w:spacing w:line="240" w:lineRule="auto"/>
                    <w:jc w:val="center"/>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聚偏二氟乙烯</w:t>
                  </w:r>
                </w:p>
              </w:tc>
              <w:tc>
                <w:tcPr>
                  <w:tcW w:w="1131" w:type="dxa"/>
                  <w:shd w:val="clear" w:color="auto" w:fill="auto"/>
                  <w:vAlign w:val="center"/>
                </w:tcPr>
                <w:p w14:paraId="69DE26AC">
                  <w:pPr>
                    <w:spacing w:line="240" w:lineRule="auto"/>
                    <w:jc w:val="center"/>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54.1t/a</w:t>
                  </w:r>
                </w:p>
              </w:tc>
              <w:tc>
                <w:tcPr>
                  <w:tcW w:w="1231" w:type="dxa"/>
                  <w:shd w:val="clear" w:color="auto" w:fill="auto"/>
                  <w:vAlign w:val="center"/>
                </w:tcPr>
                <w:p w14:paraId="7020AB70">
                  <w:pPr>
                    <w:spacing w:line="240" w:lineRule="auto"/>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2704kg</w:t>
                  </w:r>
                </w:p>
              </w:tc>
              <w:tc>
                <w:tcPr>
                  <w:tcW w:w="507" w:type="dxa"/>
                  <w:shd w:val="clear" w:color="auto" w:fill="auto"/>
                  <w:vAlign w:val="center"/>
                </w:tcPr>
                <w:p w14:paraId="0B2B86A3">
                  <w:pPr>
                    <w:spacing w:line="240" w:lineRule="auto"/>
                    <w:jc w:val="center"/>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外购</w:t>
                  </w:r>
                </w:p>
              </w:tc>
              <w:tc>
                <w:tcPr>
                  <w:tcW w:w="869" w:type="dxa"/>
                  <w:shd w:val="clear" w:color="auto" w:fill="auto"/>
                  <w:vAlign w:val="center"/>
                </w:tcPr>
                <w:p w14:paraId="62569DC6">
                  <w:pPr>
                    <w:spacing w:line="240" w:lineRule="auto"/>
                    <w:jc w:val="center"/>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袋装</w:t>
                  </w:r>
                </w:p>
              </w:tc>
              <w:tc>
                <w:tcPr>
                  <w:tcW w:w="869" w:type="dxa"/>
                  <w:shd w:val="clear" w:color="auto" w:fill="auto"/>
                  <w:vAlign w:val="center"/>
                </w:tcPr>
                <w:p w14:paraId="0460B945">
                  <w:pPr>
                    <w:spacing w:line="240" w:lineRule="auto"/>
                    <w:jc w:val="center"/>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汽运</w:t>
                  </w:r>
                </w:p>
              </w:tc>
              <w:tc>
                <w:tcPr>
                  <w:tcW w:w="869" w:type="dxa"/>
                  <w:shd w:val="clear" w:color="auto" w:fill="auto"/>
                  <w:vAlign w:val="center"/>
                </w:tcPr>
                <w:p w14:paraId="4989E61D">
                  <w:pPr>
                    <w:spacing w:line="240" w:lineRule="auto"/>
                    <w:jc w:val="center"/>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电芯车间</w:t>
                  </w:r>
                </w:p>
              </w:tc>
            </w:tr>
            <w:tr w14:paraId="03A4F9D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61" w:type="dxa"/>
                  <w:shd w:val="clear" w:color="auto" w:fill="auto"/>
                  <w:vAlign w:val="center"/>
                </w:tcPr>
                <w:p w14:paraId="4DD38C7A">
                  <w:pPr>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4</w:t>
                  </w:r>
                </w:p>
              </w:tc>
              <w:tc>
                <w:tcPr>
                  <w:tcW w:w="846" w:type="dxa"/>
                  <w:shd w:val="clear" w:color="auto" w:fill="auto"/>
                  <w:vAlign w:val="center"/>
                </w:tcPr>
                <w:p w14:paraId="543122A4">
                  <w:pPr>
                    <w:pStyle w:val="70"/>
                    <w:spacing w:line="240" w:lineRule="auto"/>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负极材料</w:t>
                  </w:r>
                </w:p>
              </w:tc>
              <w:tc>
                <w:tcPr>
                  <w:tcW w:w="1034" w:type="dxa"/>
                  <w:shd w:val="clear" w:color="auto" w:fill="auto"/>
                  <w:vAlign w:val="center"/>
                </w:tcPr>
                <w:p w14:paraId="4F89F2DE">
                  <w:pPr>
                    <w:pStyle w:val="70"/>
                    <w:spacing w:line="240" w:lineRule="auto"/>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石墨</w:t>
                  </w:r>
                </w:p>
              </w:tc>
              <w:tc>
                <w:tcPr>
                  <w:tcW w:w="1131" w:type="dxa"/>
                  <w:shd w:val="clear" w:color="auto" w:fill="auto"/>
                  <w:vAlign w:val="center"/>
                </w:tcPr>
                <w:p w14:paraId="0CE0E09D">
                  <w:pPr>
                    <w:pStyle w:val="70"/>
                    <w:spacing w:line="240" w:lineRule="auto"/>
                    <w:rPr>
                      <w:rFonts w:hint="eastAsia" w:ascii="Times New Roman" w:hAnsi="Times New Roman" w:eastAsia="宋体" w:cs="Times New Roman"/>
                      <w:color w:val="000000" w:themeColor="text1"/>
                      <w:sz w:val="21"/>
                      <w:szCs w:val="21"/>
                      <w14:textFill>
                        <w14:solidFill>
                          <w14:schemeClr w14:val="tx1"/>
                        </w14:solidFill>
                      </w14:textFill>
                    </w:rPr>
                  </w:pPr>
                  <w:r>
                    <w:rPr>
                      <w:rFonts w:ascii="Times New Roman" w:hAnsi="Times New Roman" w:eastAsia="等线" w:cs="Times New Roman"/>
                      <w:color w:val="000000" w:themeColor="text1"/>
                      <w:sz w:val="21"/>
                      <w:szCs w:val="21"/>
                      <w14:textFill>
                        <w14:solidFill>
                          <w14:schemeClr w14:val="tx1"/>
                        </w14:solidFill>
                      </w14:textFill>
                    </w:rPr>
                    <w:t>1117.2t/a</w:t>
                  </w:r>
                </w:p>
              </w:tc>
              <w:tc>
                <w:tcPr>
                  <w:tcW w:w="1231" w:type="dxa"/>
                  <w:shd w:val="clear" w:color="auto" w:fill="auto"/>
                  <w:vAlign w:val="center"/>
                </w:tcPr>
                <w:p w14:paraId="79C9B39C">
                  <w:pPr>
                    <w:pStyle w:val="70"/>
                    <w:spacing w:line="240" w:lineRule="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等线" w:cs="Times New Roman"/>
                      <w:color w:val="000000" w:themeColor="text1"/>
                      <w:sz w:val="21"/>
                      <w:szCs w:val="21"/>
                      <w14:textFill>
                        <w14:solidFill>
                          <w14:schemeClr w14:val="tx1"/>
                        </w14:solidFill>
                      </w14:textFill>
                    </w:rPr>
                    <w:t>55858kg</w:t>
                  </w:r>
                </w:p>
              </w:tc>
              <w:tc>
                <w:tcPr>
                  <w:tcW w:w="507" w:type="dxa"/>
                  <w:shd w:val="clear" w:color="auto" w:fill="auto"/>
                  <w:vAlign w:val="center"/>
                </w:tcPr>
                <w:p w14:paraId="3BAB926C">
                  <w:pPr>
                    <w:pStyle w:val="70"/>
                    <w:spacing w:line="240" w:lineRule="auto"/>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外购</w:t>
                  </w:r>
                </w:p>
              </w:tc>
              <w:tc>
                <w:tcPr>
                  <w:tcW w:w="869" w:type="dxa"/>
                  <w:shd w:val="clear" w:color="auto" w:fill="auto"/>
                  <w:vAlign w:val="center"/>
                </w:tcPr>
                <w:p w14:paraId="7C738A45">
                  <w:pPr>
                    <w:pStyle w:val="70"/>
                    <w:spacing w:line="240" w:lineRule="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olor w:val="000000" w:themeColor="text1"/>
                      <w:sz w:val="21"/>
                      <w:szCs w:val="21"/>
                      <w14:textFill>
                        <w14:solidFill>
                          <w14:schemeClr w14:val="tx1"/>
                        </w14:solidFill>
                      </w14:textFill>
                    </w:rPr>
                    <w:t>袋装</w:t>
                  </w:r>
                </w:p>
              </w:tc>
              <w:tc>
                <w:tcPr>
                  <w:tcW w:w="869" w:type="dxa"/>
                  <w:shd w:val="clear" w:color="auto" w:fill="auto"/>
                  <w:vAlign w:val="center"/>
                </w:tcPr>
                <w:p w14:paraId="7124281F">
                  <w:pPr>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olor w:val="000000" w:themeColor="text1"/>
                      <w:szCs w:val="21"/>
                      <w14:textFill>
                        <w14:solidFill>
                          <w14:schemeClr w14:val="tx1"/>
                        </w14:solidFill>
                      </w14:textFill>
                    </w:rPr>
                    <w:t>汽运</w:t>
                  </w:r>
                </w:p>
              </w:tc>
              <w:tc>
                <w:tcPr>
                  <w:tcW w:w="869" w:type="dxa"/>
                  <w:shd w:val="clear" w:color="auto" w:fill="auto"/>
                  <w:vAlign w:val="center"/>
                </w:tcPr>
                <w:p w14:paraId="3C4B3E31">
                  <w:pPr>
                    <w:pStyle w:val="70"/>
                    <w:spacing w:line="240" w:lineRule="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olor w:val="000000" w:themeColor="text1"/>
                      <w:sz w:val="21"/>
                      <w:szCs w:val="21"/>
                      <w14:textFill>
                        <w14:solidFill>
                          <w14:schemeClr w14:val="tx1"/>
                        </w14:solidFill>
                      </w14:textFill>
                    </w:rPr>
                    <w:t>电芯车间</w:t>
                  </w:r>
                </w:p>
              </w:tc>
            </w:tr>
            <w:tr w14:paraId="3427394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61" w:type="dxa"/>
                  <w:shd w:val="clear" w:color="auto" w:fill="auto"/>
                  <w:vAlign w:val="center"/>
                </w:tcPr>
                <w:p w14:paraId="47A016B6">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5</w:t>
                  </w:r>
                </w:p>
              </w:tc>
              <w:tc>
                <w:tcPr>
                  <w:tcW w:w="846" w:type="dxa"/>
                  <w:shd w:val="clear" w:color="auto" w:fill="auto"/>
                  <w:vAlign w:val="center"/>
                </w:tcPr>
                <w:p w14:paraId="7670B2E1">
                  <w:pPr>
                    <w:pStyle w:val="70"/>
                    <w:spacing w:line="240" w:lineRule="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导电剂2</w:t>
                  </w:r>
                </w:p>
              </w:tc>
              <w:tc>
                <w:tcPr>
                  <w:tcW w:w="1034" w:type="dxa"/>
                  <w:shd w:val="clear" w:color="auto" w:fill="auto"/>
                  <w:vAlign w:val="center"/>
                </w:tcPr>
                <w:p w14:paraId="025D0C83">
                  <w:pPr>
                    <w:pStyle w:val="70"/>
                    <w:spacing w:line="240" w:lineRule="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碳纳米管/NMP</w:t>
                  </w:r>
                </w:p>
              </w:tc>
              <w:tc>
                <w:tcPr>
                  <w:tcW w:w="1131" w:type="dxa"/>
                  <w:shd w:val="clear" w:color="auto" w:fill="auto"/>
                  <w:vAlign w:val="center"/>
                </w:tcPr>
                <w:p w14:paraId="79EF3E6F">
                  <w:pPr>
                    <w:pStyle w:val="70"/>
                    <w:spacing w:line="240" w:lineRule="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等线" w:cs="Times New Roman"/>
                      <w:color w:val="000000" w:themeColor="text1"/>
                      <w:sz w:val="21"/>
                      <w:szCs w:val="21"/>
                      <w14:textFill>
                        <w14:solidFill>
                          <w14:schemeClr w14:val="tx1"/>
                        </w14:solidFill>
                      </w14:textFill>
                    </w:rPr>
                    <w:t>282.2t/a</w:t>
                  </w:r>
                </w:p>
              </w:tc>
              <w:tc>
                <w:tcPr>
                  <w:tcW w:w="1231" w:type="dxa"/>
                  <w:shd w:val="clear" w:color="auto" w:fill="auto"/>
                  <w:vAlign w:val="center"/>
                </w:tcPr>
                <w:p w14:paraId="4D8D8E02">
                  <w:pPr>
                    <w:pStyle w:val="70"/>
                    <w:spacing w:line="240" w:lineRule="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等线" w:cs="Times New Roman"/>
                      <w:color w:val="000000" w:themeColor="text1"/>
                      <w:sz w:val="21"/>
                      <w:szCs w:val="21"/>
                      <w14:textFill>
                        <w14:solidFill>
                          <w14:schemeClr w14:val="tx1"/>
                        </w14:solidFill>
                      </w14:textFill>
                    </w:rPr>
                    <w:t>14108kg</w:t>
                  </w:r>
                </w:p>
              </w:tc>
              <w:tc>
                <w:tcPr>
                  <w:tcW w:w="507" w:type="dxa"/>
                  <w:shd w:val="clear" w:color="auto" w:fill="auto"/>
                  <w:vAlign w:val="center"/>
                </w:tcPr>
                <w:p w14:paraId="37DB64F0">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外购</w:t>
                  </w:r>
                </w:p>
              </w:tc>
              <w:tc>
                <w:tcPr>
                  <w:tcW w:w="869" w:type="dxa"/>
                  <w:shd w:val="clear" w:color="auto" w:fill="auto"/>
                  <w:vAlign w:val="center"/>
                </w:tcPr>
                <w:p w14:paraId="656C752F">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桶装</w:t>
                  </w:r>
                </w:p>
              </w:tc>
              <w:tc>
                <w:tcPr>
                  <w:tcW w:w="869" w:type="dxa"/>
                  <w:shd w:val="clear" w:color="auto" w:fill="auto"/>
                  <w:vAlign w:val="center"/>
                </w:tcPr>
                <w:p w14:paraId="790703E4">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汽运</w:t>
                  </w:r>
                </w:p>
              </w:tc>
              <w:tc>
                <w:tcPr>
                  <w:tcW w:w="869" w:type="dxa"/>
                  <w:shd w:val="clear" w:color="auto" w:fill="auto"/>
                  <w:vAlign w:val="center"/>
                </w:tcPr>
                <w:p w14:paraId="3DA0C3E5">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电芯车间</w:t>
                  </w:r>
                </w:p>
              </w:tc>
            </w:tr>
            <w:tr w14:paraId="3CBF052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61" w:type="dxa"/>
                  <w:shd w:val="clear" w:color="auto" w:fill="auto"/>
                  <w:vAlign w:val="center"/>
                </w:tcPr>
                <w:p w14:paraId="7BE09D4D">
                  <w:pPr>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6</w:t>
                  </w:r>
                </w:p>
              </w:tc>
              <w:tc>
                <w:tcPr>
                  <w:tcW w:w="846" w:type="dxa"/>
                  <w:shd w:val="clear" w:color="auto" w:fill="auto"/>
                  <w:vAlign w:val="center"/>
                </w:tcPr>
                <w:p w14:paraId="5BE0CA8E">
                  <w:pPr>
                    <w:pStyle w:val="70"/>
                    <w:spacing w:line="240" w:lineRule="auto"/>
                    <w:jc w:val="center"/>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隔膜</w:t>
                  </w:r>
                </w:p>
              </w:tc>
              <w:tc>
                <w:tcPr>
                  <w:tcW w:w="1034" w:type="dxa"/>
                  <w:shd w:val="clear" w:color="auto" w:fill="auto"/>
                  <w:vAlign w:val="center"/>
                </w:tcPr>
                <w:p w14:paraId="2133489B">
                  <w:pPr>
                    <w:pStyle w:val="70"/>
                    <w:spacing w:line="240" w:lineRule="auto"/>
                    <w:jc w:val="center"/>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tc>
              <w:tc>
                <w:tcPr>
                  <w:tcW w:w="1131" w:type="dxa"/>
                  <w:shd w:val="clear" w:color="auto" w:fill="auto"/>
                  <w:vAlign w:val="center"/>
                </w:tcPr>
                <w:p w14:paraId="4DC183FE">
                  <w:pPr>
                    <w:pStyle w:val="70"/>
                    <w:spacing w:line="240" w:lineRule="auto"/>
                    <w:jc w:val="center"/>
                    <w:rPr>
                      <w:rFonts w:hint="eastAsia" w:ascii="Times New Roman" w:hAnsi="Times New Roman" w:eastAsia="宋体" w:cs="Times New Roman"/>
                      <w:color w:val="000000" w:themeColor="text1"/>
                      <w:sz w:val="21"/>
                      <w:szCs w:val="21"/>
                      <w14:textFill>
                        <w14:solidFill>
                          <w14:schemeClr w14:val="tx1"/>
                        </w14:solidFill>
                      </w14:textFill>
                    </w:rPr>
                  </w:pPr>
                  <w:r>
                    <w:rPr>
                      <w:rFonts w:ascii="Times New Roman" w:hAnsi="Times New Roman" w:eastAsia="等线" w:cs="Times New Roman"/>
                      <w:color w:val="000000" w:themeColor="text1"/>
                      <w:sz w:val="21"/>
                      <w:szCs w:val="21"/>
                      <w14:textFill>
                        <w14:solidFill>
                          <w14:schemeClr w14:val="tx1"/>
                        </w14:solidFill>
                      </w14:textFill>
                    </w:rPr>
                    <w:t>1772.2</w:t>
                  </w:r>
                  <w:r>
                    <w:rPr>
                      <w:rFonts w:hint="eastAsia" w:ascii="Times New Roman" w:hAnsi="Times New Roman" w:eastAsia="宋体" w:cs="Times New Roman"/>
                      <w:color w:val="000000" w:themeColor="text1"/>
                      <w:sz w:val="21"/>
                      <w:szCs w:val="21"/>
                      <w14:textFill>
                        <w14:solidFill>
                          <w14:schemeClr w14:val="tx1"/>
                        </w14:solidFill>
                      </w14:textFill>
                    </w:rPr>
                    <w:t>万m</w:t>
                  </w:r>
                  <w:r>
                    <w:rPr>
                      <w:rFonts w:hint="eastAsia" w:ascii="Times New Roman" w:hAnsi="Times New Roman" w:eastAsia="宋体" w:cs="Times New Roman"/>
                      <w:color w:val="000000" w:themeColor="text1"/>
                      <w:sz w:val="21"/>
                      <w:szCs w:val="21"/>
                      <w:vertAlign w:val="superscript"/>
                      <w14:textFill>
                        <w14:solidFill>
                          <w14:schemeClr w14:val="tx1"/>
                        </w14:solidFill>
                      </w14:textFill>
                    </w:rPr>
                    <w:t>2</w:t>
                  </w:r>
                  <w:r>
                    <w:rPr>
                      <w:rFonts w:hint="eastAsia" w:cs="Times New Roman"/>
                      <w:color w:val="000000" w:themeColor="text1"/>
                      <w:sz w:val="21"/>
                      <w:szCs w:val="21"/>
                      <w:lang w:val="en-US" w:eastAsia="zh-CN"/>
                      <w14:textFill>
                        <w14:solidFill>
                          <w14:schemeClr w14:val="tx1"/>
                        </w14:solidFill>
                      </w14:textFill>
                    </w:rPr>
                    <w:t>（约160t）</w:t>
                  </w:r>
                </w:p>
              </w:tc>
              <w:tc>
                <w:tcPr>
                  <w:tcW w:w="1231" w:type="dxa"/>
                  <w:shd w:val="clear" w:color="auto" w:fill="auto"/>
                  <w:vAlign w:val="center"/>
                </w:tcPr>
                <w:p w14:paraId="34058893">
                  <w:pPr>
                    <w:pStyle w:val="70"/>
                    <w:spacing w:line="240" w:lineRule="auto"/>
                    <w:jc w:val="center"/>
                    <w:rPr>
                      <w:rFonts w:hint="eastAsia" w:ascii="Times New Roman" w:hAnsi="Times New Roman" w:eastAsia="宋体" w:cs="Times New Roman"/>
                      <w:color w:val="000000" w:themeColor="text1"/>
                      <w:sz w:val="21"/>
                      <w:szCs w:val="21"/>
                      <w14:textFill>
                        <w14:solidFill>
                          <w14:schemeClr w14:val="tx1"/>
                        </w14:solidFill>
                      </w14:textFill>
                    </w:rPr>
                  </w:pPr>
                  <w:r>
                    <w:rPr>
                      <w:rFonts w:ascii="Times New Roman" w:hAnsi="Times New Roman" w:eastAsia="等线" w:cs="Times New Roman"/>
                      <w:color w:val="000000" w:themeColor="text1"/>
                      <w:sz w:val="21"/>
                      <w:szCs w:val="21"/>
                      <w14:textFill>
                        <w14:solidFill>
                          <w14:schemeClr w14:val="tx1"/>
                        </w14:solidFill>
                      </w14:textFill>
                    </w:rPr>
                    <w:t>886084</w:t>
                  </w:r>
                  <w:r>
                    <w:rPr>
                      <w:rFonts w:hint="eastAsia" w:ascii="Times New Roman" w:hAnsi="Times New Roman" w:eastAsia="宋体" w:cs="Times New Roman"/>
                      <w:color w:val="000000" w:themeColor="text1"/>
                      <w:sz w:val="21"/>
                      <w:szCs w:val="21"/>
                      <w14:textFill>
                        <w14:solidFill>
                          <w14:schemeClr w14:val="tx1"/>
                        </w14:solidFill>
                      </w14:textFill>
                    </w:rPr>
                    <w:t>m</w:t>
                  </w:r>
                  <w:r>
                    <w:rPr>
                      <w:rFonts w:hint="eastAsia" w:ascii="Times New Roman" w:hAnsi="Times New Roman" w:eastAsia="宋体" w:cs="Times New Roman"/>
                      <w:color w:val="000000" w:themeColor="text1"/>
                      <w:sz w:val="21"/>
                      <w:szCs w:val="21"/>
                      <w:vertAlign w:val="superscript"/>
                      <w14:textFill>
                        <w14:solidFill>
                          <w14:schemeClr w14:val="tx1"/>
                        </w14:solidFill>
                      </w14:textFill>
                    </w:rPr>
                    <w:t>2</w:t>
                  </w:r>
                  <w:r>
                    <w:rPr>
                      <w:rFonts w:hint="eastAsia" w:cs="Times New Roman"/>
                      <w:color w:val="000000" w:themeColor="text1"/>
                      <w:sz w:val="21"/>
                      <w:szCs w:val="21"/>
                      <w:lang w:val="en-US" w:eastAsia="zh-CN"/>
                      <w14:textFill>
                        <w14:solidFill>
                          <w14:schemeClr w14:val="tx1"/>
                        </w14:solidFill>
                      </w14:textFill>
                    </w:rPr>
                    <w:t>（约8t）</w:t>
                  </w:r>
                </w:p>
              </w:tc>
              <w:tc>
                <w:tcPr>
                  <w:tcW w:w="507" w:type="dxa"/>
                  <w:shd w:val="clear" w:color="auto" w:fill="auto"/>
                  <w:vAlign w:val="center"/>
                </w:tcPr>
                <w:p w14:paraId="52549A33">
                  <w:pPr>
                    <w:pStyle w:val="70"/>
                    <w:spacing w:line="240" w:lineRule="auto"/>
                    <w:jc w:val="center"/>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外购</w:t>
                  </w:r>
                </w:p>
              </w:tc>
              <w:tc>
                <w:tcPr>
                  <w:tcW w:w="869" w:type="dxa"/>
                  <w:shd w:val="clear" w:color="auto" w:fill="auto"/>
                  <w:vAlign w:val="center"/>
                </w:tcPr>
                <w:p w14:paraId="64562D54">
                  <w:pPr>
                    <w:pStyle w:val="70"/>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tc>
              <w:tc>
                <w:tcPr>
                  <w:tcW w:w="869" w:type="dxa"/>
                  <w:shd w:val="clear" w:color="auto" w:fill="auto"/>
                  <w:vAlign w:val="center"/>
                </w:tcPr>
                <w:p w14:paraId="6FC70AB7">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汽运</w:t>
                  </w:r>
                </w:p>
              </w:tc>
              <w:tc>
                <w:tcPr>
                  <w:tcW w:w="869" w:type="dxa"/>
                  <w:shd w:val="clear" w:color="auto" w:fill="auto"/>
                  <w:vAlign w:val="center"/>
                </w:tcPr>
                <w:p w14:paraId="3AE5B669">
                  <w:pPr>
                    <w:pStyle w:val="70"/>
                    <w:spacing w:line="240" w:lineRule="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电芯车间</w:t>
                  </w:r>
                </w:p>
              </w:tc>
            </w:tr>
            <w:tr w14:paraId="492E94E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70" w:hRule="atLeast"/>
              </w:trPr>
              <w:tc>
                <w:tcPr>
                  <w:tcW w:w="461" w:type="dxa"/>
                  <w:shd w:val="clear" w:color="auto" w:fill="auto"/>
                  <w:vAlign w:val="center"/>
                </w:tcPr>
                <w:p w14:paraId="0D20E8B5">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7</w:t>
                  </w:r>
                </w:p>
              </w:tc>
              <w:tc>
                <w:tcPr>
                  <w:tcW w:w="846" w:type="dxa"/>
                  <w:shd w:val="clear" w:color="auto" w:fill="auto"/>
                  <w:vAlign w:val="center"/>
                </w:tcPr>
                <w:p w14:paraId="47590C4E">
                  <w:pPr>
                    <w:pStyle w:val="70"/>
                    <w:spacing w:line="240" w:lineRule="auto"/>
                    <w:jc w:val="center"/>
                    <w:rPr>
                      <w:rFonts w:hint="eastAsia"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电解液</w:t>
                  </w:r>
                </w:p>
              </w:tc>
              <w:tc>
                <w:tcPr>
                  <w:tcW w:w="1034" w:type="dxa"/>
                  <w:shd w:val="clear" w:color="auto" w:fill="auto"/>
                  <w:vAlign w:val="center"/>
                </w:tcPr>
                <w:p w14:paraId="1732426B">
                  <w:pPr>
                    <w:pStyle w:val="70"/>
                    <w:spacing w:line="240" w:lineRule="auto"/>
                    <w:jc w:val="center"/>
                    <w:rPr>
                      <w:rFonts w:hint="eastAsia"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碳酸二甲酯、碳酸二乙酯等</w:t>
                  </w:r>
                </w:p>
              </w:tc>
              <w:tc>
                <w:tcPr>
                  <w:tcW w:w="1131" w:type="dxa"/>
                  <w:shd w:val="clear" w:color="auto" w:fill="auto"/>
                  <w:vAlign w:val="center"/>
                </w:tcPr>
                <w:p w14:paraId="5F1A8E96">
                  <w:pPr>
                    <w:pStyle w:val="70"/>
                    <w:spacing w:line="240" w:lineRule="auto"/>
                    <w:rPr>
                      <w:rFonts w:hint="eastAsia" w:ascii="Times New Roman" w:hAnsi="Times New Roman" w:eastAsia="等线" w:cs="Times New Roman"/>
                      <w:color w:val="000000" w:themeColor="text1"/>
                      <w:sz w:val="21"/>
                      <w:szCs w:val="21"/>
                      <w14:textFill>
                        <w14:solidFill>
                          <w14:schemeClr w14:val="tx1"/>
                        </w14:solidFill>
                      </w14:textFill>
                    </w:rPr>
                  </w:pPr>
                  <w:r>
                    <w:rPr>
                      <w:rFonts w:hint="default" w:ascii="Times New Roman" w:hAnsi="Times New Roman" w:eastAsia="等线" w:cs="Times New Roman"/>
                      <w:color w:val="000000" w:themeColor="text1"/>
                      <w:sz w:val="21"/>
                      <w:szCs w:val="21"/>
                      <w14:textFill>
                        <w14:solidFill>
                          <w14:schemeClr w14:val="tx1"/>
                        </w14:solidFill>
                      </w14:textFill>
                    </w:rPr>
                    <w:t>1230t/a</w:t>
                  </w:r>
                </w:p>
              </w:tc>
              <w:tc>
                <w:tcPr>
                  <w:tcW w:w="1231" w:type="dxa"/>
                  <w:shd w:val="clear" w:color="auto" w:fill="auto"/>
                  <w:vAlign w:val="center"/>
                </w:tcPr>
                <w:p w14:paraId="1E209FB2">
                  <w:pPr>
                    <w:pStyle w:val="70"/>
                    <w:spacing w:line="240" w:lineRule="auto"/>
                    <w:rPr>
                      <w:rFonts w:hint="eastAsia" w:ascii="Times New Roman" w:hAnsi="Times New Roman" w:eastAsia="等线" w:cs="Times New Roman"/>
                      <w:color w:val="000000" w:themeColor="text1"/>
                      <w:sz w:val="21"/>
                      <w:szCs w:val="21"/>
                      <w14:textFill>
                        <w14:solidFill>
                          <w14:schemeClr w14:val="tx1"/>
                        </w14:solidFill>
                      </w14:textFill>
                    </w:rPr>
                  </w:pPr>
                  <w:r>
                    <w:rPr>
                      <w:rFonts w:hint="default" w:ascii="Times New Roman" w:hAnsi="Times New Roman" w:eastAsia="等线" w:cs="Times New Roman"/>
                      <w:color w:val="000000" w:themeColor="text1"/>
                      <w:sz w:val="21"/>
                      <w:szCs w:val="21"/>
                      <w14:textFill>
                        <w14:solidFill>
                          <w14:schemeClr w14:val="tx1"/>
                        </w14:solidFill>
                      </w14:textFill>
                    </w:rPr>
                    <w:t>61500kg</w:t>
                  </w:r>
                </w:p>
              </w:tc>
              <w:tc>
                <w:tcPr>
                  <w:tcW w:w="507" w:type="dxa"/>
                  <w:shd w:val="clear" w:color="auto" w:fill="auto"/>
                  <w:vAlign w:val="center"/>
                </w:tcPr>
                <w:p w14:paraId="74A6F197">
                  <w:pPr>
                    <w:pStyle w:val="70"/>
                    <w:spacing w:line="240" w:lineRule="auto"/>
                    <w:jc w:val="center"/>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外购</w:t>
                  </w:r>
                </w:p>
              </w:tc>
              <w:tc>
                <w:tcPr>
                  <w:tcW w:w="869" w:type="dxa"/>
                  <w:shd w:val="clear" w:color="auto" w:fill="auto"/>
                  <w:vAlign w:val="center"/>
                </w:tcPr>
                <w:p w14:paraId="273DBC62">
                  <w:pPr>
                    <w:pStyle w:val="70"/>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桶装</w:t>
                  </w:r>
                </w:p>
              </w:tc>
              <w:tc>
                <w:tcPr>
                  <w:tcW w:w="869" w:type="dxa"/>
                  <w:shd w:val="clear" w:color="auto" w:fill="auto"/>
                  <w:vAlign w:val="center"/>
                </w:tcPr>
                <w:p w14:paraId="2B466456">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汽运</w:t>
                  </w:r>
                </w:p>
              </w:tc>
              <w:tc>
                <w:tcPr>
                  <w:tcW w:w="869" w:type="dxa"/>
                  <w:shd w:val="clear" w:color="auto" w:fill="auto"/>
                  <w:vAlign w:val="center"/>
                </w:tcPr>
                <w:p w14:paraId="28C6DC89">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低温电解液仓库</w:t>
                  </w:r>
                </w:p>
              </w:tc>
            </w:tr>
            <w:tr w14:paraId="3096588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461" w:type="dxa"/>
                  <w:shd w:val="clear" w:color="auto" w:fill="auto"/>
                  <w:vAlign w:val="center"/>
                </w:tcPr>
                <w:p w14:paraId="37E673E6">
                  <w:pPr>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8</w:t>
                  </w:r>
                </w:p>
              </w:tc>
              <w:tc>
                <w:tcPr>
                  <w:tcW w:w="846" w:type="dxa"/>
                  <w:shd w:val="clear" w:color="auto" w:fill="auto"/>
                  <w:vAlign w:val="center"/>
                </w:tcPr>
                <w:p w14:paraId="3CED3167">
                  <w:pPr>
                    <w:pStyle w:val="70"/>
                    <w:spacing w:line="240" w:lineRule="auto"/>
                    <w:jc w:val="center"/>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铝塑膜</w:t>
                  </w:r>
                </w:p>
              </w:tc>
              <w:tc>
                <w:tcPr>
                  <w:tcW w:w="1034" w:type="dxa"/>
                  <w:shd w:val="clear" w:color="auto" w:fill="auto"/>
                  <w:vAlign w:val="center"/>
                </w:tcPr>
                <w:p w14:paraId="4DA55862">
                  <w:pPr>
                    <w:pStyle w:val="70"/>
                    <w:spacing w:line="240" w:lineRule="auto"/>
                    <w:jc w:val="center"/>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c>
                <w:tcPr>
                  <w:tcW w:w="1131" w:type="dxa"/>
                  <w:shd w:val="clear" w:color="auto" w:fill="auto"/>
                  <w:vAlign w:val="center"/>
                </w:tcPr>
                <w:p w14:paraId="3D409299">
                  <w:pPr>
                    <w:pStyle w:val="70"/>
                    <w:spacing w:line="240" w:lineRule="auto"/>
                    <w:jc w:val="center"/>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68.7</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万m</w:t>
                  </w:r>
                  <w:r>
                    <w:rPr>
                      <w:rFonts w:hint="eastAsia" w:ascii="Times New Roman" w:hAnsi="Times New Roman" w:eastAsia="宋体" w:cs="Times New Roman"/>
                      <w:color w:val="000000" w:themeColor="text1"/>
                      <w:sz w:val="21"/>
                      <w:szCs w:val="21"/>
                      <w:vertAlign w:val="superscript"/>
                      <w:lang w:val="en-US" w:eastAsia="zh-CN"/>
                      <w14:textFill>
                        <w14:solidFill>
                          <w14:schemeClr w14:val="tx1"/>
                        </w14:solidFill>
                      </w14:textFill>
                    </w:rPr>
                    <w:t>2</w:t>
                  </w:r>
                  <w:r>
                    <w:rPr>
                      <w:rFonts w:hint="eastAsia" w:cs="Times New Roman"/>
                      <w:color w:val="000000" w:themeColor="text1"/>
                      <w:sz w:val="21"/>
                      <w:szCs w:val="21"/>
                      <w:lang w:val="en-US" w:eastAsia="zh-CN"/>
                      <w14:textFill>
                        <w14:solidFill>
                          <w14:schemeClr w14:val="tx1"/>
                        </w14:solidFill>
                      </w14:textFill>
                    </w:rPr>
                    <w:t>（约158.7t/a）</w:t>
                  </w:r>
                </w:p>
              </w:tc>
              <w:tc>
                <w:tcPr>
                  <w:tcW w:w="1231" w:type="dxa"/>
                  <w:shd w:val="clear" w:color="auto" w:fill="auto"/>
                  <w:vAlign w:val="center"/>
                </w:tcPr>
                <w:p w14:paraId="021F1482">
                  <w:pPr>
                    <w:pStyle w:val="70"/>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34344</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m</w:t>
                  </w:r>
                  <w:r>
                    <w:rPr>
                      <w:rFonts w:hint="eastAsia" w:ascii="Times New Roman" w:hAnsi="Times New Roman" w:eastAsia="宋体" w:cs="Times New Roman"/>
                      <w:color w:val="000000" w:themeColor="text1"/>
                      <w:sz w:val="21"/>
                      <w:szCs w:val="21"/>
                      <w:vertAlign w:val="superscript"/>
                      <w:lang w:val="en-US" w:eastAsia="zh-CN"/>
                      <w14:textFill>
                        <w14:solidFill>
                          <w14:schemeClr w14:val="tx1"/>
                        </w14:solidFill>
                      </w14:textFill>
                    </w:rPr>
                    <w:t>2</w:t>
                  </w:r>
                </w:p>
                <w:p w14:paraId="02A79D75">
                  <w:pPr>
                    <w:pStyle w:val="70"/>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（约8t）</w:t>
                  </w:r>
                </w:p>
              </w:tc>
              <w:tc>
                <w:tcPr>
                  <w:tcW w:w="507" w:type="dxa"/>
                  <w:shd w:val="clear" w:color="auto" w:fill="auto"/>
                  <w:vAlign w:val="center"/>
                </w:tcPr>
                <w:p w14:paraId="00D515F3">
                  <w:pPr>
                    <w:pStyle w:val="70"/>
                    <w:spacing w:line="240" w:lineRule="auto"/>
                    <w:jc w:val="center"/>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外购</w:t>
                  </w:r>
                </w:p>
              </w:tc>
              <w:tc>
                <w:tcPr>
                  <w:tcW w:w="869" w:type="dxa"/>
                  <w:shd w:val="clear" w:color="auto" w:fill="auto"/>
                  <w:vAlign w:val="center"/>
                </w:tcPr>
                <w:p w14:paraId="16FF817A">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纸箱装</w:t>
                  </w:r>
                </w:p>
              </w:tc>
              <w:tc>
                <w:tcPr>
                  <w:tcW w:w="869" w:type="dxa"/>
                  <w:shd w:val="clear" w:color="auto" w:fill="auto"/>
                  <w:vAlign w:val="center"/>
                </w:tcPr>
                <w:p w14:paraId="3675F32B">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汽运</w:t>
                  </w:r>
                </w:p>
              </w:tc>
              <w:tc>
                <w:tcPr>
                  <w:tcW w:w="869" w:type="dxa"/>
                  <w:shd w:val="clear" w:color="auto" w:fill="auto"/>
                  <w:vAlign w:val="center"/>
                </w:tcPr>
                <w:p w14:paraId="257723BA">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电芯车间</w:t>
                  </w:r>
                </w:p>
              </w:tc>
            </w:tr>
            <w:tr w14:paraId="086F5BE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61" w:type="dxa"/>
                  <w:shd w:val="clear" w:color="auto" w:fill="auto"/>
                  <w:vAlign w:val="center"/>
                </w:tcPr>
                <w:p w14:paraId="7BF44EC3">
                  <w:pPr>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9</w:t>
                  </w:r>
                </w:p>
              </w:tc>
              <w:tc>
                <w:tcPr>
                  <w:tcW w:w="846" w:type="dxa"/>
                  <w:shd w:val="clear" w:color="auto" w:fill="auto"/>
                  <w:vAlign w:val="center"/>
                </w:tcPr>
                <w:p w14:paraId="59A49B98">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正极耳</w:t>
                  </w:r>
                </w:p>
              </w:tc>
              <w:tc>
                <w:tcPr>
                  <w:tcW w:w="1034" w:type="dxa"/>
                  <w:shd w:val="clear" w:color="auto" w:fill="auto"/>
                  <w:vAlign w:val="center"/>
                </w:tcPr>
                <w:p w14:paraId="170B3C3D">
                  <w:pPr>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c>
                <w:tcPr>
                  <w:tcW w:w="1131" w:type="dxa"/>
                  <w:shd w:val="clear" w:color="auto" w:fill="auto"/>
                  <w:vAlign w:val="center"/>
                </w:tcPr>
                <w:p w14:paraId="503D3FA3">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600</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万片</w:t>
                  </w:r>
                  <w:r>
                    <w:rPr>
                      <w:rFonts w:hint="eastAsia" w:cs="Times New Roman"/>
                      <w:color w:val="000000" w:themeColor="text1"/>
                      <w:sz w:val="21"/>
                      <w:szCs w:val="21"/>
                      <w:lang w:val="en-US" w:eastAsia="zh-CN"/>
                      <w14:textFill>
                        <w14:solidFill>
                          <w14:schemeClr w14:val="tx1"/>
                        </w14:solidFill>
                      </w14:textFill>
                    </w:rPr>
                    <w:t>（约22.5t）</w:t>
                  </w:r>
                </w:p>
              </w:tc>
              <w:tc>
                <w:tcPr>
                  <w:tcW w:w="1231" w:type="dxa"/>
                  <w:shd w:val="clear" w:color="auto" w:fill="auto"/>
                  <w:vAlign w:val="center"/>
                </w:tcPr>
                <w:p w14:paraId="79F87280">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300000</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片</w:t>
                  </w:r>
                </w:p>
                <w:p w14:paraId="366EB9FB">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（约1.13t）</w:t>
                  </w:r>
                </w:p>
              </w:tc>
              <w:tc>
                <w:tcPr>
                  <w:tcW w:w="507" w:type="dxa"/>
                  <w:shd w:val="clear" w:color="auto" w:fill="auto"/>
                  <w:vAlign w:val="center"/>
                </w:tcPr>
                <w:p w14:paraId="5249EEBE">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外购</w:t>
                  </w:r>
                </w:p>
              </w:tc>
              <w:tc>
                <w:tcPr>
                  <w:tcW w:w="869" w:type="dxa"/>
                  <w:shd w:val="clear" w:color="auto" w:fill="auto"/>
                  <w:vAlign w:val="center"/>
                </w:tcPr>
                <w:p w14:paraId="17DBE82A">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纸箱装</w:t>
                  </w:r>
                </w:p>
              </w:tc>
              <w:tc>
                <w:tcPr>
                  <w:tcW w:w="869" w:type="dxa"/>
                  <w:shd w:val="clear" w:color="auto" w:fill="auto"/>
                  <w:vAlign w:val="center"/>
                </w:tcPr>
                <w:p w14:paraId="2BD9745F">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汽运</w:t>
                  </w:r>
                </w:p>
              </w:tc>
              <w:tc>
                <w:tcPr>
                  <w:tcW w:w="869" w:type="dxa"/>
                  <w:shd w:val="clear" w:color="auto" w:fill="auto"/>
                  <w:vAlign w:val="center"/>
                </w:tcPr>
                <w:p w14:paraId="2620E298">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电芯车间</w:t>
                  </w:r>
                </w:p>
              </w:tc>
            </w:tr>
            <w:tr w14:paraId="3A617D2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461" w:type="dxa"/>
                  <w:shd w:val="clear" w:color="auto" w:fill="auto"/>
                  <w:vAlign w:val="center"/>
                </w:tcPr>
                <w:p w14:paraId="7629217E">
                  <w:pPr>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10</w:t>
                  </w:r>
                </w:p>
              </w:tc>
              <w:tc>
                <w:tcPr>
                  <w:tcW w:w="846" w:type="dxa"/>
                  <w:shd w:val="clear" w:color="auto" w:fill="auto"/>
                  <w:vAlign w:val="center"/>
                </w:tcPr>
                <w:p w14:paraId="1A29C487">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负极耳</w:t>
                  </w:r>
                </w:p>
              </w:tc>
              <w:tc>
                <w:tcPr>
                  <w:tcW w:w="1034" w:type="dxa"/>
                  <w:shd w:val="clear" w:color="auto" w:fill="auto"/>
                  <w:vAlign w:val="center"/>
                </w:tcPr>
                <w:p w14:paraId="43AF047C">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tc>
              <w:tc>
                <w:tcPr>
                  <w:tcW w:w="1131" w:type="dxa"/>
                  <w:shd w:val="clear" w:color="auto" w:fill="auto"/>
                  <w:vAlign w:val="center"/>
                </w:tcPr>
                <w:p w14:paraId="62B22C61">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600</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万片</w:t>
                  </w:r>
                  <w:r>
                    <w:rPr>
                      <w:rFonts w:hint="eastAsia" w:cs="Times New Roman"/>
                      <w:color w:val="000000" w:themeColor="text1"/>
                      <w:sz w:val="21"/>
                      <w:szCs w:val="21"/>
                      <w:lang w:val="en-US" w:eastAsia="zh-CN"/>
                      <w14:textFill>
                        <w14:solidFill>
                          <w14:schemeClr w14:val="tx1"/>
                        </w14:solidFill>
                      </w14:textFill>
                    </w:rPr>
                    <w:t>（约22.5t）</w:t>
                  </w:r>
                </w:p>
              </w:tc>
              <w:tc>
                <w:tcPr>
                  <w:tcW w:w="1231" w:type="dxa"/>
                  <w:shd w:val="clear" w:color="auto" w:fill="auto"/>
                  <w:vAlign w:val="center"/>
                </w:tcPr>
                <w:p w14:paraId="6E19CE86">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300000</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片</w:t>
                  </w:r>
                </w:p>
                <w:p w14:paraId="09DB2FC8">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（约1.13t）</w:t>
                  </w:r>
                </w:p>
              </w:tc>
              <w:tc>
                <w:tcPr>
                  <w:tcW w:w="507" w:type="dxa"/>
                  <w:shd w:val="clear" w:color="auto" w:fill="auto"/>
                  <w:vAlign w:val="center"/>
                </w:tcPr>
                <w:p w14:paraId="5A53EFC2">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外购</w:t>
                  </w:r>
                </w:p>
              </w:tc>
              <w:tc>
                <w:tcPr>
                  <w:tcW w:w="869" w:type="dxa"/>
                  <w:shd w:val="clear" w:color="auto" w:fill="auto"/>
                  <w:vAlign w:val="center"/>
                </w:tcPr>
                <w:p w14:paraId="31418442">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纸箱装</w:t>
                  </w:r>
                </w:p>
              </w:tc>
              <w:tc>
                <w:tcPr>
                  <w:tcW w:w="869" w:type="dxa"/>
                  <w:shd w:val="clear" w:color="auto" w:fill="auto"/>
                  <w:vAlign w:val="center"/>
                </w:tcPr>
                <w:p w14:paraId="6D99AB32">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汽运</w:t>
                  </w:r>
                </w:p>
              </w:tc>
              <w:tc>
                <w:tcPr>
                  <w:tcW w:w="869" w:type="dxa"/>
                  <w:shd w:val="clear" w:color="auto" w:fill="auto"/>
                  <w:vAlign w:val="center"/>
                </w:tcPr>
                <w:p w14:paraId="21603230">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电芯车间</w:t>
                  </w:r>
                </w:p>
              </w:tc>
            </w:tr>
            <w:tr w14:paraId="3CA8F1F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461" w:type="dxa"/>
                  <w:shd w:val="clear" w:color="auto" w:fill="auto"/>
                  <w:vAlign w:val="center"/>
                </w:tcPr>
                <w:p w14:paraId="2CE06110">
                  <w:pPr>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11</w:t>
                  </w:r>
                </w:p>
              </w:tc>
              <w:tc>
                <w:tcPr>
                  <w:tcW w:w="846" w:type="dxa"/>
                  <w:shd w:val="clear" w:color="auto" w:fill="auto"/>
                  <w:vAlign w:val="center"/>
                </w:tcPr>
                <w:p w14:paraId="194092DF">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数字胶带</w:t>
                  </w:r>
                </w:p>
              </w:tc>
              <w:tc>
                <w:tcPr>
                  <w:tcW w:w="1034" w:type="dxa"/>
                  <w:shd w:val="clear" w:color="auto" w:fill="auto"/>
                  <w:vAlign w:val="center"/>
                </w:tcPr>
                <w:p w14:paraId="1143D76C">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tc>
              <w:tc>
                <w:tcPr>
                  <w:tcW w:w="1131" w:type="dxa"/>
                  <w:shd w:val="clear" w:color="auto" w:fill="auto"/>
                  <w:vAlign w:val="center"/>
                </w:tcPr>
                <w:p w14:paraId="1E97BDB8">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ascii="Times New Roman" w:hAnsi="Times New Roman" w:eastAsia="等线" w:cs="Times New Roman"/>
                      <w:color w:val="000000" w:themeColor="text1"/>
                      <w:szCs w:val="21"/>
                      <w14:textFill>
                        <w14:solidFill>
                          <w14:schemeClr w14:val="tx1"/>
                        </w14:solidFill>
                      </w14:textFill>
                    </w:rPr>
                    <w:t>197.9万</w:t>
                  </w:r>
                </w:p>
              </w:tc>
              <w:tc>
                <w:tcPr>
                  <w:tcW w:w="1231" w:type="dxa"/>
                  <w:shd w:val="clear" w:color="auto" w:fill="auto"/>
                  <w:vAlign w:val="center"/>
                </w:tcPr>
                <w:p w14:paraId="5FCBDF7F">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ascii="Times New Roman" w:hAnsi="Times New Roman" w:eastAsia="等线" w:cs="Times New Roman"/>
                      <w:color w:val="000000" w:themeColor="text1"/>
                      <w:szCs w:val="21"/>
                      <w14:textFill>
                        <w14:solidFill>
                          <w14:schemeClr w14:val="tx1"/>
                        </w14:solidFill>
                      </w14:textFill>
                    </w:rPr>
                    <w:t>98942</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m</w:t>
                  </w:r>
                </w:p>
              </w:tc>
              <w:tc>
                <w:tcPr>
                  <w:tcW w:w="507" w:type="dxa"/>
                  <w:shd w:val="clear" w:color="auto" w:fill="auto"/>
                  <w:vAlign w:val="center"/>
                </w:tcPr>
                <w:p w14:paraId="43EC7EF7">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外购</w:t>
                  </w:r>
                </w:p>
              </w:tc>
              <w:tc>
                <w:tcPr>
                  <w:tcW w:w="869" w:type="dxa"/>
                  <w:shd w:val="clear" w:color="auto" w:fill="auto"/>
                  <w:vAlign w:val="center"/>
                </w:tcPr>
                <w:p w14:paraId="547C2454">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纸箱装</w:t>
                  </w:r>
                </w:p>
              </w:tc>
              <w:tc>
                <w:tcPr>
                  <w:tcW w:w="869" w:type="dxa"/>
                  <w:shd w:val="clear" w:color="auto" w:fill="auto"/>
                  <w:vAlign w:val="center"/>
                </w:tcPr>
                <w:p w14:paraId="06CC78E3">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汽运</w:t>
                  </w:r>
                </w:p>
              </w:tc>
              <w:tc>
                <w:tcPr>
                  <w:tcW w:w="869" w:type="dxa"/>
                  <w:shd w:val="clear" w:color="auto" w:fill="auto"/>
                  <w:vAlign w:val="center"/>
                </w:tcPr>
                <w:p w14:paraId="01E09F8B">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电芯车间</w:t>
                  </w:r>
                </w:p>
              </w:tc>
            </w:tr>
            <w:tr w14:paraId="1E33158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461" w:type="dxa"/>
                  <w:shd w:val="clear" w:color="auto" w:fill="auto"/>
                  <w:vAlign w:val="center"/>
                </w:tcPr>
                <w:p w14:paraId="752FC77F">
                  <w:pPr>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12</w:t>
                  </w:r>
                </w:p>
              </w:tc>
              <w:tc>
                <w:tcPr>
                  <w:tcW w:w="846" w:type="dxa"/>
                  <w:shd w:val="clear" w:color="auto" w:fill="auto"/>
                  <w:vAlign w:val="center"/>
                </w:tcPr>
                <w:p w14:paraId="07606F79">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焊接保护胶带</w:t>
                  </w:r>
                </w:p>
              </w:tc>
              <w:tc>
                <w:tcPr>
                  <w:tcW w:w="1034" w:type="dxa"/>
                  <w:shd w:val="clear" w:color="auto" w:fill="auto"/>
                  <w:vAlign w:val="center"/>
                </w:tcPr>
                <w:p w14:paraId="437ACF92">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tc>
              <w:tc>
                <w:tcPr>
                  <w:tcW w:w="1131" w:type="dxa"/>
                  <w:shd w:val="clear" w:color="auto" w:fill="auto"/>
                  <w:vAlign w:val="center"/>
                </w:tcPr>
                <w:p w14:paraId="1AC52372">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168</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万m</w:t>
                  </w:r>
                </w:p>
              </w:tc>
              <w:tc>
                <w:tcPr>
                  <w:tcW w:w="1231" w:type="dxa"/>
                  <w:shd w:val="clear" w:color="auto" w:fill="auto"/>
                  <w:vAlign w:val="center"/>
                </w:tcPr>
                <w:p w14:paraId="1A1E3E6F">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84000</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m</w:t>
                  </w:r>
                </w:p>
              </w:tc>
              <w:tc>
                <w:tcPr>
                  <w:tcW w:w="507" w:type="dxa"/>
                  <w:shd w:val="clear" w:color="auto" w:fill="auto"/>
                  <w:vAlign w:val="center"/>
                </w:tcPr>
                <w:p w14:paraId="04A9C6EF">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外购</w:t>
                  </w:r>
                </w:p>
              </w:tc>
              <w:tc>
                <w:tcPr>
                  <w:tcW w:w="869" w:type="dxa"/>
                  <w:shd w:val="clear" w:color="auto" w:fill="auto"/>
                  <w:vAlign w:val="center"/>
                </w:tcPr>
                <w:p w14:paraId="5A33A17D">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纸箱装</w:t>
                  </w:r>
                </w:p>
              </w:tc>
              <w:tc>
                <w:tcPr>
                  <w:tcW w:w="869" w:type="dxa"/>
                  <w:shd w:val="clear" w:color="auto" w:fill="auto"/>
                  <w:vAlign w:val="center"/>
                </w:tcPr>
                <w:p w14:paraId="17C9A983">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汽运</w:t>
                  </w:r>
                </w:p>
              </w:tc>
              <w:tc>
                <w:tcPr>
                  <w:tcW w:w="869" w:type="dxa"/>
                  <w:shd w:val="clear" w:color="auto" w:fill="auto"/>
                  <w:vAlign w:val="center"/>
                </w:tcPr>
                <w:p w14:paraId="47D17B1E">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电芯车间</w:t>
                  </w:r>
                </w:p>
              </w:tc>
            </w:tr>
            <w:tr w14:paraId="3205044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461" w:type="dxa"/>
                  <w:shd w:val="clear" w:color="auto" w:fill="auto"/>
                  <w:vAlign w:val="center"/>
                </w:tcPr>
                <w:p w14:paraId="3B72882D">
                  <w:pPr>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13</w:t>
                  </w:r>
                </w:p>
              </w:tc>
              <w:tc>
                <w:tcPr>
                  <w:tcW w:w="846" w:type="dxa"/>
                  <w:shd w:val="clear" w:color="auto" w:fill="auto"/>
                  <w:vAlign w:val="center"/>
                </w:tcPr>
                <w:p w14:paraId="411457EA">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保护膜</w:t>
                  </w:r>
                </w:p>
              </w:tc>
              <w:tc>
                <w:tcPr>
                  <w:tcW w:w="1034" w:type="dxa"/>
                  <w:shd w:val="clear" w:color="auto" w:fill="auto"/>
                  <w:vAlign w:val="center"/>
                </w:tcPr>
                <w:p w14:paraId="28F65B54">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tc>
              <w:tc>
                <w:tcPr>
                  <w:tcW w:w="1131" w:type="dxa"/>
                  <w:shd w:val="clear" w:color="auto" w:fill="auto"/>
                  <w:vAlign w:val="center"/>
                </w:tcPr>
                <w:p w14:paraId="380A78FE">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268.3</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万m</w:t>
                  </w:r>
                </w:p>
              </w:tc>
              <w:tc>
                <w:tcPr>
                  <w:tcW w:w="1231" w:type="dxa"/>
                  <w:shd w:val="clear" w:color="auto" w:fill="auto"/>
                  <w:vAlign w:val="center"/>
                </w:tcPr>
                <w:p w14:paraId="738C442A">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134168</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m</w:t>
                  </w:r>
                </w:p>
              </w:tc>
              <w:tc>
                <w:tcPr>
                  <w:tcW w:w="507" w:type="dxa"/>
                  <w:shd w:val="clear" w:color="auto" w:fill="auto"/>
                  <w:vAlign w:val="center"/>
                </w:tcPr>
                <w:p w14:paraId="61888A37">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外购</w:t>
                  </w:r>
                </w:p>
              </w:tc>
              <w:tc>
                <w:tcPr>
                  <w:tcW w:w="869" w:type="dxa"/>
                  <w:shd w:val="clear" w:color="auto" w:fill="auto"/>
                  <w:vAlign w:val="center"/>
                </w:tcPr>
                <w:p w14:paraId="0817DA17">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纸箱装</w:t>
                  </w:r>
                </w:p>
              </w:tc>
              <w:tc>
                <w:tcPr>
                  <w:tcW w:w="869" w:type="dxa"/>
                  <w:shd w:val="clear" w:color="auto" w:fill="auto"/>
                  <w:vAlign w:val="center"/>
                </w:tcPr>
                <w:p w14:paraId="47BE0D96">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汽运</w:t>
                  </w:r>
                </w:p>
              </w:tc>
              <w:tc>
                <w:tcPr>
                  <w:tcW w:w="869" w:type="dxa"/>
                  <w:shd w:val="clear" w:color="auto" w:fill="auto"/>
                  <w:vAlign w:val="center"/>
                </w:tcPr>
                <w:p w14:paraId="15042A05">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电芯车间</w:t>
                  </w:r>
                </w:p>
              </w:tc>
            </w:tr>
            <w:tr w14:paraId="5336AC0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461" w:type="dxa"/>
                  <w:shd w:val="clear" w:color="auto" w:fill="auto"/>
                  <w:vAlign w:val="center"/>
                </w:tcPr>
                <w:p w14:paraId="5BA50F1E">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14</w:t>
                  </w:r>
                </w:p>
              </w:tc>
              <w:tc>
                <w:tcPr>
                  <w:tcW w:w="846" w:type="dxa"/>
                  <w:shd w:val="clear" w:color="auto" w:fill="auto"/>
                  <w:vAlign w:val="center"/>
                </w:tcPr>
                <w:p w14:paraId="51C6DBFA">
                  <w:pPr>
                    <w:pStyle w:val="70"/>
                    <w:spacing w:line="240" w:lineRule="auto"/>
                    <w:jc w:val="center"/>
                    <w:rPr>
                      <w:rFonts w:hint="eastAsia"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溶剂</w:t>
                  </w:r>
                </w:p>
              </w:tc>
              <w:tc>
                <w:tcPr>
                  <w:tcW w:w="1034" w:type="dxa"/>
                  <w:shd w:val="clear" w:color="auto" w:fill="auto"/>
                  <w:vAlign w:val="center"/>
                </w:tcPr>
                <w:p w14:paraId="0DCA21A3">
                  <w:pPr>
                    <w:pStyle w:val="70"/>
                    <w:spacing w:line="240" w:lineRule="auto"/>
                    <w:jc w:val="center"/>
                    <w:rPr>
                      <w:rFonts w:hint="eastAsia"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N-甲基吡咯烷酮</w:t>
                  </w:r>
                </w:p>
              </w:tc>
              <w:tc>
                <w:tcPr>
                  <w:tcW w:w="1131" w:type="dxa"/>
                  <w:shd w:val="clear" w:color="auto" w:fill="auto"/>
                  <w:vAlign w:val="center"/>
                </w:tcPr>
                <w:p w14:paraId="76D5E035">
                  <w:pPr>
                    <w:pStyle w:val="70"/>
                    <w:spacing w:line="240" w:lineRule="auto"/>
                    <w:jc w:val="center"/>
                    <w:rPr>
                      <w:rFonts w:hint="eastAsia" w:ascii="Times New Roman" w:hAnsi="Times New Roman" w:eastAsia="宋体"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1173.1</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t</w:t>
                  </w:r>
                </w:p>
              </w:tc>
              <w:tc>
                <w:tcPr>
                  <w:tcW w:w="1231" w:type="dxa"/>
                  <w:shd w:val="clear" w:color="auto" w:fill="auto"/>
                  <w:vAlign w:val="center"/>
                </w:tcPr>
                <w:p w14:paraId="10227BB0">
                  <w:pPr>
                    <w:pStyle w:val="70"/>
                    <w:spacing w:line="240" w:lineRule="auto"/>
                    <w:jc w:val="center"/>
                    <w:rPr>
                      <w:rFonts w:hint="eastAsia" w:ascii="Times New Roman" w:hAnsi="Times New Roman" w:eastAsia="宋体"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58656</w:t>
                  </w:r>
                  <w:r>
                    <w:rPr>
                      <w:rFonts w:hint="eastAsia" w:ascii="Times New Roman" w:hAnsi="Times New Roman" w:eastAsia="宋体" w:cs="Times New Roman"/>
                      <w:color w:val="000000" w:themeColor="text1"/>
                      <w:sz w:val="21"/>
                      <w:szCs w:val="21"/>
                      <w:highlight w:val="none"/>
                      <w14:textFill>
                        <w14:solidFill>
                          <w14:schemeClr w14:val="tx1"/>
                        </w14:solidFill>
                      </w14:textFill>
                    </w:rPr>
                    <w:t>kg</w:t>
                  </w:r>
                </w:p>
              </w:tc>
              <w:tc>
                <w:tcPr>
                  <w:tcW w:w="507" w:type="dxa"/>
                  <w:shd w:val="clear" w:color="auto" w:fill="auto"/>
                  <w:vAlign w:val="center"/>
                </w:tcPr>
                <w:p w14:paraId="4BB5E2A0">
                  <w:pPr>
                    <w:pStyle w:val="70"/>
                    <w:spacing w:line="240" w:lineRule="auto"/>
                    <w:jc w:val="center"/>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外购</w:t>
                  </w:r>
                </w:p>
              </w:tc>
              <w:tc>
                <w:tcPr>
                  <w:tcW w:w="869" w:type="dxa"/>
                  <w:shd w:val="clear" w:color="auto" w:fill="auto"/>
                  <w:vAlign w:val="center"/>
                </w:tcPr>
                <w:p w14:paraId="397B39EC">
                  <w:pPr>
                    <w:pStyle w:val="70"/>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桶装</w:t>
                  </w:r>
                </w:p>
              </w:tc>
              <w:tc>
                <w:tcPr>
                  <w:tcW w:w="869" w:type="dxa"/>
                  <w:shd w:val="clear" w:color="auto" w:fill="auto"/>
                  <w:vAlign w:val="center"/>
                </w:tcPr>
                <w:p w14:paraId="2452FDCA">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汽运</w:t>
                  </w:r>
                </w:p>
              </w:tc>
              <w:tc>
                <w:tcPr>
                  <w:tcW w:w="869" w:type="dxa"/>
                  <w:shd w:val="clear" w:color="auto" w:fill="auto"/>
                  <w:vAlign w:val="center"/>
                </w:tcPr>
                <w:p w14:paraId="45BF23FB">
                  <w:pPr>
                    <w:pStyle w:val="70"/>
                    <w:spacing w:line="240" w:lineRule="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电芯车间</w:t>
                  </w:r>
                </w:p>
              </w:tc>
            </w:tr>
            <w:tr w14:paraId="1083989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461" w:type="dxa"/>
                  <w:shd w:val="clear" w:color="auto" w:fill="auto"/>
                  <w:vAlign w:val="center"/>
                </w:tcPr>
                <w:p w14:paraId="53A96A00">
                  <w:pPr>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15</w:t>
                  </w:r>
                </w:p>
              </w:tc>
              <w:tc>
                <w:tcPr>
                  <w:tcW w:w="846" w:type="dxa"/>
                  <w:shd w:val="clear" w:color="auto" w:fill="auto"/>
                  <w:vAlign w:val="center"/>
                </w:tcPr>
                <w:p w14:paraId="3A868661">
                  <w:pPr>
                    <w:pStyle w:val="70"/>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陶瓷材料</w:t>
                  </w:r>
                </w:p>
              </w:tc>
              <w:tc>
                <w:tcPr>
                  <w:tcW w:w="1034" w:type="dxa"/>
                  <w:shd w:val="clear" w:color="auto" w:fill="auto"/>
                  <w:vAlign w:val="center"/>
                </w:tcPr>
                <w:p w14:paraId="0FE25AA9">
                  <w:pPr>
                    <w:pStyle w:val="70"/>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勃姆石</w:t>
                  </w:r>
                </w:p>
              </w:tc>
              <w:tc>
                <w:tcPr>
                  <w:tcW w:w="1131" w:type="dxa"/>
                  <w:shd w:val="clear" w:color="auto" w:fill="auto"/>
                  <w:vAlign w:val="center"/>
                </w:tcPr>
                <w:p w14:paraId="1B922520">
                  <w:pPr>
                    <w:pStyle w:val="70"/>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5.2</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t</w:t>
                  </w:r>
                </w:p>
              </w:tc>
              <w:tc>
                <w:tcPr>
                  <w:tcW w:w="1231" w:type="dxa"/>
                  <w:shd w:val="clear" w:color="auto" w:fill="auto"/>
                  <w:vAlign w:val="center"/>
                </w:tcPr>
                <w:p w14:paraId="38DBEBE3">
                  <w:pPr>
                    <w:pStyle w:val="70"/>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260</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kg</w:t>
                  </w:r>
                </w:p>
              </w:tc>
              <w:tc>
                <w:tcPr>
                  <w:tcW w:w="507" w:type="dxa"/>
                  <w:shd w:val="clear" w:color="auto" w:fill="auto"/>
                  <w:vAlign w:val="center"/>
                </w:tcPr>
                <w:p w14:paraId="7BFC428D">
                  <w:pPr>
                    <w:pStyle w:val="70"/>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外购</w:t>
                  </w:r>
                </w:p>
              </w:tc>
              <w:tc>
                <w:tcPr>
                  <w:tcW w:w="869" w:type="dxa"/>
                  <w:shd w:val="clear" w:color="auto" w:fill="auto"/>
                  <w:vAlign w:val="center"/>
                </w:tcPr>
                <w:p w14:paraId="1EA41D05">
                  <w:pPr>
                    <w:pStyle w:val="70"/>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袋装</w:t>
                  </w:r>
                </w:p>
              </w:tc>
              <w:tc>
                <w:tcPr>
                  <w:tcW w:w="869" w:type="dxa"/>
                  <w:shd w:val="clear" w:color="auto" w:fill="auto"/>
                  <w:vAlign w:val="center"/>
                </w:tcPr>
                <w:p w14:paraId="08719DA0">
                  <w:pPr>
                    <w:pStyle w:val="70"/>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汽运</w:t>
                  </w:r>
                </w:p>
              </w:tc>
              <w:tc>
                <w:tcPr>
                  <w:tcW w:w="869" w:type="dxa"/>
                  <w:shd w:val="clear" w:color="auto" w:fill="auto"/>
                  <w:vAlign w:val="center"/>
                </w:tcPr>
                <w:p w14:paraId="6F279359">
                  <w:pPr>
                    <w:pStyle w:val="70"/>
                    <w:spacing w:line="240" w:lineRule="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电芯车间</w:t>
                  </w:r>
                </w:p>
              </w:tc>
            </w:tr>
            <w:tr w14:paraId="11CBA31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461" w:type="dxa"/>
                  <w:shd w:val="clear" w:color="auto" w:fill="auto"/>
                  <w:vAlign w:val="center"/>
                </w:tcPr>
                <w:p w14:paraId="0D52634F">
                  <w:pPr>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16</w:t>
                  </w:r>
                </w:p>
              </w:tc>
              <w:tc>
                <w:tcPr>
                  <w:tcW w:w="846" w:type="dxa"/>
                  <w:shd w:val="clear" w:color="auto" w:fill="auto"/>
                  <w:vAlign w:val="center"/>
                </w:tcPr>
                <w:p w14:paraId="3B476E2E">
                  <w:pPr>
                    <w:pStyle w:val="70"/>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导电剂</w:t>
                  </w:r>
                  <w:r>
                    <w:rPr>
                      <w:rFonts w:hint="eastAsia" w:cs="Times New Roman"/>
                      <w:color w:val="000000" w:themeColor="text1"/>
                      <w:sz w:val="21"/>
                      <w:szCs w:val="21"/>
                      <w:lang w:val="en-US" w:eastAsia="zh-CN"/>
                      <w14:textFill>
                        <w14:solidFill>
                          <w14:schemeClr w14:val="tx1"/>
                        </w14:solidFill>
                      </w14:textFill>
                    </w:rPr>
                    <w:t>1</w:t>
                  </w:r>
                </w:p>
              </w:tc>
              <w:tc>
                <w:tcPr>
                  <w:tcW w:w="1034" w:type="dxa"/>
                  <w:shd w:val="clear" w:color="auto" w:fill="auto"/>
                  <w:vAlign w:val="center"/>
                </w:tcPr>
                <w:p w14:paraId="10379EB2">
                  <w:pPr>
                    <w:pStyle w:val="70"/>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碳黑</w:t>
                  </w:r>
                </w:p>
              </w:tc>
              <w:tc>
                <w:tcPr>
                  <w:tcW w:w="1131" w:type="dxa"/>
                  <w:shd w:val="clear" w:color="auto" w:fill="auto"/>
                  <w:vAlign w:val="center"/>
                </w:tcPr>
                <w:p w14:paraId="3FD60106">
                  <w:pPr>
                    <w:pStyle w:val="70"/>
                    <w:spacing w:line="240" w:lineRule="auto"/>
                    <w:jc w:val="center"/>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47.3</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t</w:t>
                  </w:r>
                </w:p>
              </w:tc>
              <w:tc>
                <w:tcPr>
                  <w:tcW w:w="1231" w:type="dxa"/>
                  <w:shd w:val="clear" w:color="auto" w:fill="auto"/>
                  <w:vAlign w:val="center"/>
                </w:tcPr>
                <w:p w14:paraId="230CA485">
                  <w:pPr>
                    <w:pStyle w:val="70"/>
                    <w:spacing w:line="240" w:lineRule="auto"/>
                    <w:jc w:val="center"/>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2364</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kg</w:t>
                  </w:r>
                </w:p>
              </w:tc>
              <w:tc>
                <w:tcPr>
                  <w:tcW w:w="507" w:type="dxa"/>
                  <w:shd w:val="clear" w:color="auto" w:fill="auto"/>
                  <w:vAlign w:val="center"/>
                </w:tcPr>
                <w:p w14:paraId="042ECFDB">
                  <w:pPr>
                    <w:pStyle w:val="70"/>
                    <w:spacing w:line="240" w:lineRule="auto"/>
                    <w:jc w:val="center"/>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外购</w:t>
                  </w:r>
                </w:p>
              </w:tc>
              <w:tc>
                <w:tcPr>
                  <w:tcW w:w="869" w:type="dxa"/>
                  <w:shd w:val="clear" w:color="auto" w:fill="auto"/>
                  <w:vAlign w:val="center"/>
                </w:tcPr>
                <w:p w14:paraId="4BA2A531">
                  <w:pPr>
                    <w:pStyle w:val="70"/>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袋装</w:t>
                  </w:r>
                </w:p>
              </w:tc>
              <w:tc>
                <w:tcPr>
                  <w:tcW w:w="869" w:type="dxa"/>
                  <w:shd w:val="clear" w:color="auto" w:fill="auto"/>
                  <w:vAlign w:val="center"/>
                </w:tcPr>
                <w:p w14:paraId="602BE4A4">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汽运</w:t>
                  </w:r>
                </w:p>
              </w:tc>
              <w:tc>
                <w:tcPr>
                  <w:tcW w:w="869" w:type="dxa"/>
                  <w:shd w:val="clear" w:color="auto" w:fill="auto"/>
                  <w:vAlign w:val="center"/>
                </w:tcPr>
                <w:p w14:paraId="37710D4B">
                  <w:pPr>
                    <w:pStyle w:val="70"/>
                    <w:spacing w:line="240" w:lineRule="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电芯车间</w:t>
                  </w:r>
                </w:p>
              </w:tc>
            </w:tr>
            <w:tr w14:paraId="362264E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461" w:type="dxa"/>
                  <w:shd w:val="clear" w:color="auto" w:fill="auto"/>
                  <w:vAlign w:val="center"/>
                </w:tcPr>
                <w:p w14:paraId="65272346">
                  <w:pPr>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17</w:t>
                  </w:r>
                </w:p>
              </w:tc>
              <w:tc>
                <w:tcPr>
                  <w:tcW w:w="846" w:type="dxa"/>
                  <w:shd w:val="clear" w:color="auto" w:fill="auto"/>
                  <w:vAlign w:val="center"/>
                </w:tcPr>
                <w:p w14:paraId="4B5C6691">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增稠剂</w:t>
                  </w:r>
                </w:p>
              </w:tc>
              <w:tc>
                <w:tcPr>
                  <w:tcW w:w="1034" w:type="dxa"/>
                  <w:shd w:val="clear" w:color="auto" w:fill="auto"/>
                  <w:vAlign w:val="center"/>
                </w:tcPr>
                <w:p w14:paraId="76D31F7B">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羧甲基纤维素</w:t>
                  </w:r>
                </w:p>
              </w:tc>
              <w:tc>
                <w:tcPr>
                  <w:tcW w:w="1131" w:type="dxa"/>
                  <w:shd w:val="clear" w:color="auto" w:fill="auto"/>
                  <w:vAlign w:val="center"/>
                </w:tcPr>
                <w:p w14:paraId="7531D5EC">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15.8</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t</w:t>
                  </w:r>
                </w:p>
              </w:tc>
              <w:tc>
                <w:tcPr>
                  <w:tcW w:w="1231" w:type="dxa"/>
                  <w:shd w:val="clear" w:color="auto" w:fill="auto"/>
                  <w:vAlign w:val="center"/>
                </w:tcPr>
                <w:p w14:paraId="71E3F199">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792</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kg</w:t>
                  </w:r>
                </w:p>
              </w:tc>
              <w:tc>
                <w:tcPr>
                  <w:tcW w:w="507" w:type="dxa"/>
                  <w:shd w:val="clear" w:color="auto" w:fill="auto"/>
                  <w:vAlign w:val="center"/>
                </w:tcPr>
                <w:p w14:paraId="02E7822B">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外购</w:t>
                  </w:r>
                </w:p>
              </w:tc>
              <w:tc>
                <w:tcPr>
                  <w:tcW w:w="869" w:type="dxa"/>
                  <w:shd w:val="clear" w:color="auto" w:fill="auto"/>
                  <w:vAlign w:val="center"/>
                </w:tcPr>
                <w:p w14:paraId="1E51E166">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袋装</w:t>
                  </w:r>
                </w:p>
              </w:tc>
              <w:tc>
                <w:tcPr>
                  <w:tcW w:w="869" w:type="dxa"/>
                  <w:shd w:val="clear" w:color="auto" w:fill="auto"/>
                  <w:vAlign w:val="center"/>
                </w:tcPr>
                <w:p w14:paraId="0118DD5E">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汽运</w:t>
                  </w:r>
                </w:p>
              </w:tc>
              <w:tc>
                <w:tcPr>
                  <w:tcW w:w="869" w:type="dxa"/>
                  <w:shd w:val="clear" w:color="auto" w:fill="auto"/>
                  <w:vAlign w:val="center"/>
                </w:tcPr>
                <w:p w14:paraId="6030FA35">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电芯车间</w:t>
                  </w:r>
                </w:p>
              </w:tc>
            </w:tr>
            <w:tr w14:paraId="40CE9A0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461" w:type="dxa"/>
                  <w:vMerge w:val="restart"/>
                  <w:shd w:val="clear" w:color="auto" w:fill="auto"/>
                  <w:vAlign w:val="center"/>
                </w:tcPr>
                <w:p w14:paraId="0E9E75C9">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18</w:t>
                  </w:r>
                </w:p>
              </w:tc>
              <w:tc>
                <w:tcPr>
                  <w:tcW w:w="846" w:type="dxa"/>
                  <w:vMerge w:val="restart"/>
                  <w:shd w:val="clear" w:color="auto" w:fill="auto"/>
                  <w:vAlign w:val="center"/>
                </w:tcPr>
                <w:p w14:paraId="5CAC9C7A">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粘结剂2~3</w:t>
                  </w:r>
                </w:p>
              </w:tc>
              <w:tc>
                <w:tcPr>
                  <w:tcW w:w="1034" w:type="dxa"/>
                  <w:shd w:val="clear" w:color="auto" w:fill="auto"/>
                  <w:vAlign w:val="center"/>
                </w:tcPr>
                <w:p w14:paraId="37776C89">
                  <w:pPr>
                    <w:spacing w:line="240" w:lineRule="auto"/>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聚酰亚胺</w:t>
                  </w:r>
                </w:p>
              </w:tc>
              <w:tc>
                <w:tcPr>
                  <w:tcW w:w="1131" w:type="dxa"/>
                  <w:shd w:val="clear" w:color="auto" w:fill="auto"/>
                  <w:vAlign w:val="center"/>
                </w:tcPr>
                <w:p w14:paraId="311B643D">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16.3t</w:t>
                  </w:r>
                </w:p>
              </w:tc>
              <w:tc>
                <w:tcPr>
                  <w:tcW w:w="1231" w:type="dxa"/>
                  <w:shd w:val="clear" w:color="auto" w:fill="auto"/>
                  <w:vAlign w:val="center"/>
                </w:tcPr>
                <w:p w14:paraId="505FB8AF">
                  <w:pPr>
                    <w:spacing w:line="240" w:lineRule="auto"/>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814kg</w:t>
                  </w:r>
                </w:p>
              </w:tc>
              <w:tc>
                <w:tcPr>
                  <w:tcW w:w="507" w:type="dxa"/>
                  <w:shd w:val="clear" w:color="auto" w:fill="auto"/>
                  <w:vAlign w:val="center"/>
                </w:tcPr>
                <w:p w14:paraId="2342FAC5">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外购</w:t>
                  </w:r>
                </w:p>
              </w:tc>
              <w:tc>
                <w:tcPr>
                  <w:tcW w:w="869" w:type="dxa"/>
                  <w:shd w:val="clear" w:color="auto" w:fill="auto"/>
                  <w:vAlign w:val="center"/>
                </w:tcPr>
                <w:p w14:paraId="219F2774">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桶装</w:t>
                  </w:r>
                </w:p>
              </w:tc>
              <w:tc>
                <w:tcPr>
                  <w:tcW w:w="869" w:type="dxa"/>
                  <w:shd w:val="clear" w:color="auto" w:fill="auto"/>
                  <w:vAlign w:val="center"/>
                </w:tcPr>
                <w:p w14:paraId="488BE27C">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汽运</w:t>
                  </w:r>
                </w:p>
              </w:tc>
              <w:tc>
                <w:tcPr>
                  <w:tcW w:w="869" w:type="dxa"/>
                  <w:shd w:val="clear" w:color="auto" w:fill="auto"/>
                  <w:vAlign w:val="center"/>
                </w:tcPr>
                <w:p w14:paraId="5AA4BC18">
                  <w:pPr>
                    <w:pStyle w:val="70"/>
                    <w:spacing w:line="240" w:lineRule="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电芯车间</w:t>
                  </w:r>
                </w:p>
              </w:tc>
            </w:tr>
            <w:tr w14:paraId="4922343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61" w:type="dxa"/>
                  <w:vMerge w:val="continue"/>
                  <w:shd w:val="clear" w:color="auto" w:fill="auto"/>
                  <w:vAlign w:val="center"/>
                </w:tcPr>
                <w:p w14:paraId="0B5B95B7">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p>
              </w:tc>
              <w:tc>
                <w:tcPr>
                  <w:tcW w:w="846" w:type="dxa"/>
                  <w:vMerge w:val="continue"/>
                  <w:shd w:val="clear" w:color="auto" w:fill="auto"/>
                  <w:vAlign w:val="center"/>
                </w:tcPr>
                <w:p w14:paraId="737065A8">
                  <w:pPr>
                    <w:pStyle w:val="70"/>
                    <w:spacing w:line="240" w:lineRule="auto"/>
                    <w:jc w:val="center"/>
                    <w:rPr>
                      <w:rFonts w:hint="eastAsia" w:ascii="Times New Roman" w:hAnsi="Times New Roman" w:eastAsia="宋体" w:cs="Times New Roman"/>
                      <w:color w:val="000000" w:themeColor="text1"/>
                      <w:sz w:val="21"/>
                      <w:szCs w:val="21"/>
                      <w14:textFill>
                        <w14:solidFill>
                          <w14:schemeClr w14:val="tx1"/>
                        </w14:solidFill>
                      </w14:textFill>
                    </w:rPr>
                  </w:pPr>
                </w:p>
              </w:tc>
              <w:tc>
                <w:tcPr>
                  <w:tcW w:w="1034" w:type="dxa"/>
                  <w:shd w:val="clear" w:color="auto" w:fill="auto"/>
                  <w:vAlign w:val="center"/>
                </w:tcPr>
                <w:p w14:paraId="2B33BC7B">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丁苯橡胶</w:t>
                  </w:r>
                </w:p>
              </w:tc>
              <w:tc>
                <w:tcPr>
                  <w:tcW w:w="1131" w:type="dxa"/>
                  <w:shd w:val="clear" w:color="auto" w:fill="auto"/>
                  <w:vAlign w:val="center"/>
                </w:tcPr>
                <w:p w14:paraId="7F7A6B0A">
                  <w:pPr>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44.3</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t</w:t>
                  </w:r>
                </w:p>
              </w:tc>
              <w:tc>
                <w:tcPr>
                  <w:tcW w:w="1231" w:type="dxa"/>
                  <w:shd w:val="clear" w:color="auto" w:fill="auto"/>
                  <w:vAlign w:val="center"/>
                </w:tcPr>
                <w:p w14:paraId="0955B4B8">
                  <w:pPr>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55858</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kg</w:t>
                  </w:r>
                </w:p>
              </w:tc>
              <w:tc>
                <w:tcPr>
                  <w:tcW w:w="507" w:type="dxa"/>
                  <w:shd w:val="clear" w:color="auto" w:fill="auto"/>
                  <w:vAlign w:val="center"/>
                </w:tcPr>
                <w:p w14:paraId="6C7BF988">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外购</w:t>
                  </w:r>
                </w:p>
              </w:tc>
              <w:tc>
                <w:tcPr>
                  <w:tcW w:w="869" w:type="dxa"/>
                  <w:shd w:val="clear" w:color="auto" w:fill="auto"/>
                  <w:vAlign w:val="center"/>
                </w:tcPr>
                <w:p w14:paraId="48D3D25B">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桶装</w:t>
                  </w:r>
                </w:p>
              </w:tc>
              <w:tc>
                <w:tcPr>
                  <w:tcW w:w="869" w:type="dxa"/>
                  <w:shd w:val="clear" w:color="auto" w:fill="auto"/>
                  <w:vAlign w:val="center"/>
                </w:tcPr>
                <w:p w14:paraId="18956DB4">
                  <w:pPr>
                    <w:spacing w:line="240" w:lineRule="auto"/>
                    <w:jc w:val="center"/>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汽运</w:t>
                  </w:r>
                </w:p>
              </w:tc>
              <w:tc>
                <w:tcPr>
                  <w:tcW w:w="869" w:type="dxa"/>
                  <w:shd w:val="clear" w:color="auto" w:fill="auto"/>
                  <w:vAlign w:val="center"/>
                </w:tcPr>
                <w:p w14:paraId="1E42BA4D">
                  <w:pPr>
                    <w:pStyle w:val="70"/>
                    <w:spacing w:line="240" w:lineRule="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电芯车间</w:t>
                  </w:r>
                </w:p>
              </w:tc>
            </w:tr>
            <w:tr w14:paraId="40E43DB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61" w:type="dxa"/>
                  <w:shd w:val="clear" w:color="auto" w:fill="auto"/>
                  <w:vAlign w:val="center"/>
                </w:tcPr>
                <w:p w14:paraId="2B9E9F34">
                  <w:pPr>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19</w:t>
                  </w:r>
                </w:p>
              </w:tc>
              <w:tc>
                <w:tcPr>
                  <w:tcW w:w="846" w:type="dxa"/>
                  <w:shd w:val="clear" w:color="auto" w:fill="auto"/>
                  <w:vAlign w:val="center"/>
                </w:tcPr>
                <w:p w14:paraId="5C9B9E0A">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铜箔</w:t>
                  </w:r>
                </w:p>
              </w:tc>
              <w:tc>
                <w:tcPr>
                  <w:tcW w:w="1034" w:type="dxa"/>
                  <w:shd w:val="clear" w:color="auto" w:fill="auto"/>
                  <w:vAlign w:val="center"/>
                </w:tcPr>
                <w:p w14:paraId="186B53D7">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tc>
              <w:tc>
                <w:tcPr>
                  <w:tcW w:w="1131" w:type="dxa"/>
                  <w:shd w:val="clear" w:color="auto" w:fill="auto"/>
                  <w:vAlign w:val="center"/>
                </w:tcPr>
                <w:p w14:paraId="1F0F23C2">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434.8t</w:t>
                  </w:r>
                </w:p>
              </w:tc>
              <w:tc>
                <w:tcPr>
                  <w:tcW w:w="1231" w:type="dxa"/>
                  <w:shd w:val="clear" w:color="auto" w:fill="auto"/>
                  <w:vAlign w:val="center"/>
                </w:tcPr>
                <w:p w14:paraId="1AE6741B">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23822</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kg</w:t>
                  </w:r>
                </w:p>
              </w:tc>
              <w:tc>
                <w:tcPr>
                  <w:tcW w:w="507" w:type="dxa"/>
                  <w:shd w:val="clear" w:color="auto" w:fill="auto"/>
                  <w:vAlign w:val="center"/>
                </w:tcPr>
                <w:p w14:paraId="6BA184E1">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外购</w:t>
                  </w:r>
                </w:p>
              </w:tc>
              <w:tc>
                <w:tcPr>
                  <w:tcW w:w="869" w:type="dxa"/>
                  <w:shd w:val="clear" w:color="auto" w:fill="auto"/>
                  <w:vAlign w:val="center"/>
                </w:tcPr>
                <w:p w14:paraId="76F08A1B">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木箱装</w:t>
                  </w:r>
                </w:p>
              </w:tc>
              <w:tc>
                <w:tcPr>
                  <w:tcW w:w="869" w:type="dxa"/>
                  <w:shd w:val="clear" w:color="auto" w:fill="auto"/>
                  <w:vAlign w:val="center"/>
                </w:tcPr>
                <w:p w14:paraId="67542648">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汽运</w:t>
                  </w:r>
                </w:p>
              </w:tc>
              <w:tc>
                <w:tcPr>
                  <w:tcW w:w="869" w:type="dxa"/>
                  <w:shd w:val="clear" w:color="auto" w:fill="auto"/>
                  <w:vAlign w:val="center"/>
                </w:tcPr>
                <w:p w14:paraId="46A213ED">
                  <w:pPr>
                    <w:pStyle w:val="70"/>
                    <w:spacing w:line="240" w:lineRule="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电芯车间</w:t>
                  </w:r>
                </w:p>
              </w:tc>
            </w:tr>
            <w:tr w14:paraId="5E7836D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61" w:type="dxa"/>
                  <w:shd w:val="clear" w:color="auto" w:fill="auto"/>
                  <w:vAlign w:val="center"/>
                </w:tcPr>
                <w:p w14:paraId="0D3F3944">
                  <w:pPr>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20</w:t>
                  </w:r>
                </w:p>
              </w:tc>
              <w:tc>
                <w:tcPr>
                  <w:tcW w:w="846" w:type="dxa"/>
                  <w:shd w:val="clear" w:color="auto" w:fill="auto"/>
                  <w:vAlign w:val="center"/>
                </w:tcPr>
                <w:p w14:paraId="16F464ED">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铝箔</w:t>
                  </w:r>
                </w:p>
              </w:tc>
              <w:tc>
                <w:tcPr>
                  <w:tcW w:w="1034" w:type="dxa"/>
                  <w:shd w:val="clear" w:color="auto" w:fill="auto"/>
                  <w:vAlign w:val="center"/>
                </w:tcPr>
                <w:p w14:paraId="454E6964">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tc>
              <w:tc>
                <w:tcPr>
                  <w:tcW w:w="1131" w:type="dxa"/>
                  <w:shd w:val="clear" w:color="auto" w:fill="auto"/>
                  <w:vAlign w:val="center"/>
                </w:tcPr>
                <w:p w14:paraId="609AD2E9">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277.4t</w:t>
                  </w:r>
                </w:p>
              </w:tc>
              <w:tc>
                <w:tcPr>
                  <w:tcW w:w="1231" w:type="dxa"/>
                  <w:shd w:val="clear" w:color="auto" w:fill="auto"/>
                  <w:vAlign w:val="center"/>
                </w:tcPr>
                <w:p w14:paraId="0AFACD7B">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15200</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kg</w:t>
                  </w:r>
                </w:p>
              </w:tc>
              <w:tc>
                <w:tcPr>
                  <w:tcW w:w="507" w:type="dxa"/>
                  <w:shd w:val="clear" w:color="auto" w:fill="auto"/>
                  <w:vAlign w:val="center"/>
                </w:tcPr>
                <w:p w14:paraId="3A0C8882">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外购</w:t>
                  </w:r>
                </w:p>
              </w:tc>
              <w:tc>
                <w:tcPr>
                  <w:tcW w:w="869" w:type="dxa"/>
                  <w:shd w:val="clear" w:color="auto" w:fill="auto"/>
                  <w:vAlign w:val="center"/>
                </w:tcPr>
                <w:p w14:paraId="3BE47E0A">
                  <w:pPr>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木箱装</w:t>
                  </w:r>
                </w:p>
              </w:tc>
              <w:tc>
                <w:tcPr>
                  <w:tcW w:w="869" w:type="dxa"/>
                  <w:shd w:val="clear" w:color="auto" w:fill="auto"/>
                  <w:vAlign w:val="center"/>
                </w:tcPr>
                <w:p w14:paraId="3BD9A761">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汽运</w:t>
                  </w:r>
                </w:p>
              </w:tc>
              <w:tc>
                <w:tcPr>
                  <w:tcW w:w="869" w:type="dxa"/>
                  <w:shd w:val="clear" w:color="auto" w:fill="auto"/>
                  <w:vAlign w:val="center"/>
                </w:tcPr>
                <w:p w14:paraId="75A293B8">
                  <w:pPr>
                    <w:pStyle w:val="70"/>
                    <w:spacing w:line="240" w:lineRule="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电芯车间</w:t>
                  </w:r>
                </w:p>
              </w:tc>
            </w:tr>
            <w:tr w14:paraId="2B8AC22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61" w:type="dxa"/>
                  <w:shd w:val="clear" w:color="auto" w:fill="auto"/>
                  <w:vAlign w:val="center"/>
                </w:tcPr>
                <w:p w14:paraId="48D8AAF4">
                  <w:pPr>
                    <w:pStyle w:val="70"/>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21</w:t>
                  </w:r>
                </w:p>
              </w:tc>
              <w:tc>
                <w:tcPr>
                  <w:tcW w:w="846" w:type="dxa"/>
                  <w:shd w:val="clear" w:color="auto" w:fill="auto"/>
                  <w:vAlign w:val="center"/>
                </w:tcPr>
                <w:p w14:paraId="1BDF99D1">
                  <w:pPr>
                    <w:pStyle w:val="70"/>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压缩空气</w:t>
                  </w:r>
                </w:p>
              </w:tc>
              <w:tc>
                <w:tcPr>
                  <w:tcW w:w="1034" w:type="dxa"/>
                  <w:shd w:val="clear" w:color="auto" w:fill="auto"/>
                  <w:vAlign w:val="center"/>
                </w:tcPr>
                <w:p w14:paraId="3DFB7443">
                  <w:pPr>
                    <w:pStyle w:val="70"/>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tc>
              <w:tc>
                <w:tcPr>
                  <w:tcW w:w="1131" w:type="dxa"/>
                  <w:shd w:val="clear" w:color="auto" w:fill="auto"/>
                  <w:vAlign w:val="center"/>
                </w:tcPr>
                <w:p w14:paraId="6EA3EDD3">
                  <w:pPr>
                    <w:pStyle w:val="70"/>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1600万</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m</w:t>
                  </w:r>
                  <w:r>
                    <w:rPr>
                      <w:rFonts w:hint="eastAsia" w:ascii="Times New Roman" w:hAnsi="Times New Roman" w:eastAsia="宋体" w:cs="Times New Roman"/>
                      <w:color w:val="000000" w:themeColor="text1"/>
                      <w:sz w:val="21"/>
                      <w:szCs w:val="21"/>
                      <w:vertAlign w:val="superscript"/>
                      <w:lang w:val="en-US" w:eastAsia="zh-CN"/>
                      <w14:textFill>
                        <w14:solidFill>
                          <w14:schemeClr w14:val="tx1"/>
                        </w14:solidFill>
                      </w14:textFill>
                    </w:rPr>
                    <w:t>3</w:t>
                  </w:r>
                </w:p>
              </w:tc>
              <w:tc>
                <w:tcPr>
                  <w:tcW w:w="1231" w:type="dxa"/>
                  <w:shd w:val="clear" w:color="auto" w:fill="auto"/>
                  <w:vAlign w:val="center"/>
                </w:tcPr>
                <w:p w14:paraId="3D1378BE">
                  <w:pPr>
                    <w:pStyle w:val="70"/>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tc>
              <w:tc>
                <w:tcPr>
                  <w:tcW w:w="507" w:type="dxa"/>
                  <w:shd w:val="clear" w:color="auto" w:fill="auto"/>
                  <w:vAlign w:val="center"/>
                </w:tcPr>
                <w:p w14:paraId="4483D22C">
                  <w:pPr>
                    <w:pStyle w:val="70"/>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自制</w:t>
                  </w:r>
                </w:p>
              </w:tc>
              <w:tc>
                <w:tcPr>
                  <w:tcW w:w="869" w:type="dxa"/>
                  <w:shd w:val="clear" w:color="auto" w:fill="auto"/>
                  <w:vAlign w:val="center"/>
                </w:tcPr>
                <w:p w14:paraId="5C155812">
                  <w:pPr>
                    <w:pStyle w:val="70"/>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tc>
              <w:tc>
                <w:tcPr>
                  <w:tcW w:w="869" w:type="dxa"/>
                  <w:shd w:val="clear" w:color="auto" w:fill="auto"/>
                  <w:vAlign w:val="center"/>
                </w:tcPr>
                <w:p w14:paraId="0B29F93C">
                  <w:pPr>
                    <w:pStyle w:val="70"/>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c>
                <w:tcPr>
                  <w:tcW w:w="869" w:type="dxa"/>
                  <w:shd w:val="clear" w:color="auto" w:fill="auto"/>
                  <w:vAlign w:val="center"/>
                </w:tcPr>
                <w:p w14:paraId="018A2CD8">
                  <w:pPr>
                    <w:pStyle w:val="70"/>
                    <w:spacing w:line="240" w:lineRule="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电芯车间</w:t>
                  </w:r>
                </w:p>
              </w:tc>
            </w:tr>
            <w:tr w14:paraId="12509B8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61" w:type="dxa"/>
                  <w:shd w:val="clear" w:color="auto" w:fill="auto"/>
                  <w:vAlign w:val="center"/>
                </w:tcPr>
                <w:p w14:paraId="0E273C70">
                  <w:pPr>
                    <w:pStyle w:val="70"/>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22</w:t>
                  </w:r>
                </w:p>
              </w:tc>
              <w:tc>
                <w:tcPr>
                  <w:tcW w:w="846" w:type="dxa"/>
                  <w:shd w:val="clear" w:color="auto" w:fill="auto"/>
                  <w:vAlign w:val="center"/>
                </w:tcPr>
                <w:p w14:paraId="66A7DCE1">
                  <w:pPr>
                    <w:pStyle w:val="70"/>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氮气</w:t>
                  </w:r>
                </w:p>
              </w:tc>
              <w:tc>
                <w:tcPr>
                  <w:tcW w:w="1034" w:type="dxa"/>
                  <w:shd w:val="clear" w:color="auto" w:fill="auto"/>
                  <w:vAlign w:val="center"/>
                </w:tcPr>
                <w:p w14:paraId="3571ED90">
                  <w:pPr>
                    <w:pStyle w:val="70"/>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tc>
              <w:tc>
                <w:tcPr>
                  <w:tcW w:w="1131" w:type="dxa"/>
                  <w:shd w:val="clear" w:color="auto" w:fill="auto"/>
                  <w:vAlign w:val="center"/>
                </w:tcPr>
                <w:p w14:paraId="745233E8">
                  <w:pPr>
                    <w:pStyle w:val="70"/>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20万</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m</w:t>
                  </w:r>
                  <w:r>
                    <w:rPr>
                      <w:rFonts w:hint="eastAsia" w:ascii="Times New Roman" w:hAnsi="Times New Roman" w:eastAsia="宋体" w:cs="Times New Roman"/>
                      <w:color w:val="000000" w:themeColor="text1"/>
                      <w:sz w:val="21"/>
                      <w:szCs w:val="21"/>
                      <w:vertAlign w:val="superscript"/>
                      <w:lang w:val="en-US" w:eastAsia="zh-CN"/>
                      <w14:textFill>
                        <w14:solidFill>
                          <w14:schemeClr w14:val="tx1"/>
                        </w14:solidFill>
                      </w14:textFill>
                    </w:rPr>
                    <w:t>3</w:t>
                  </w:r>
                </w:p>
              </w:tc>
              <w:tc>
                <w:tcPr>
                  <w:tcW w:w="1231" w:type="dxa"/>
                  <w:shd w:val="clear" w:color="auto" w:fill="auto"/>
                  <w:vAlign w:val="center"/>
                </w:tcPr>
                <w:p w14:paraId="0A362C60">
                  <w:pPr>
                    <w:pStyle w:val="70"/>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tc>
              <w:tc>
                <w:tcPr>
                  <w:tcW w:w="507" w:type="dxa"/>
                  <w:shd w:val="clear" w:color="auto" w:fill="auto"/>
                  <w:vAlign w:val="center"/>
                </w:tcPr>
                <w:p w14:paraId="7BCC04C2">
                  <w:pPr>
                    <w:pStyle w:val="70"/>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自制</w:t>
                  </w:r>
                </w:p>
              </w:tc>
              <w:tc>
                <w:tcPr>
                  <w:tcW w:w="869" w:type="dxa"/>
                  <w:shd w:val="clear" w:color="auto" w:fill="auto"/>
                  <w:vAlign w:val="center"/>
                </w:tcPr>
                <w:p w14:paraId="1F36FD7F">
                  <w:pPr>
                    <w:pStyle w:val="70"/>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tc>
              <w:tc>
                <w:tcPr>
                  <w:tcW w:w="869" w:type="dxa"/>
                  <w:shd w:val="clear" w:color="auto" w:fill="auto"/>
                  <w:vAlign w:val="center"/>
                </w:tcPr>
                <w:p w14:paraId="57D2EB90">
                  <w:pPr>
                    <w:pStyle w:val="70"/>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c>
                <w:tcPr>
                  <w:tcW w:w="869" w:type="dxa"/>
                  <w:shd w:val="clear" w:color="auto" w:fill="auto"/>
                  <w:vAlign w:val="center"/>
                </w:tcPr>
                <w:p w14:paraId="469AEAAA">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电芯车间</w:t>
                  </w:r>
                </w:p>
              </w:tc>
            </w:tr>
            <w:tr w14:paraId="47C45C7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61" w:type="dxa"/>
                  <w:shd w:val="clear" w:color="auto" w:fill="auto"/>
                  <w:vAlign w:val="center"/>
                </w:tcPr>
                <w:p w14:paraId="3889F1A5">
                  <w:pPr>
                    <w:pStyle w:val="70"/>
                    <w:spacing w:line="240" w:lineRule="auto"/>
                    <w:jc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23</w:t>
                  </w:r>
                </w:p>
              </w:tc>
              <w:tc>
                <w:tcPr>
                  <w:tcW w:w="846" w:type="dxa"/>
                  <w:shd w:val="clear" w:color="auto" w:fill="auto"/>
                  <w:vAlign w:val="center"/>
                </w:tcPr>
                <w:p w14:paraId="06617E58">
                  <w:pPr>
                    <w:pStyle w:val="70"/>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铝板</w:t>
                  </w:r>
                </w:p>
              </w:tc>
              <w:tc>
                <w:tcPr>
                  <w:tcW w:w="1034" w:type="dxa"/>
                  <w:shd w:val="clear" w:color="auto" w:fill="auto"/>
                  <w:vAlign w:val="center"/>
                </w:tcPr>
                <w:p w14:paraId="2B32796E">
                  <w:pPr>
                    <w:pStyle w:val="70"/>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c>
                <w:tcPr>
                  <w:tcW w:w="1131" w:type="dxa"/>
                  <w:shd w:val="clear" w:color="auto" w:fill="auto"/>
                  <w:vAlign w:val="center"/>
                </w:tcPr>
                <w:p w14:paraId="0130C479">
                  <w:pPr>
                    <w:pStyle w:val="70"/>
                    <w:spacing w:line="240" w:lineRule="auto"/>
                    <w:jc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40万套</w:t>
                  </w:r>
                </w:p>
              </w:tc>
              <w:tc>
                <w:tcPr>
                  <w:tcW w:w="1231" w:type="dxa"/>
                  <w:shd w:val="clear" w:color="auto" w:fill="auto"/>
                  <w:vAlign w:val="center"/>
                </w:tcPr>
                <w:p w14:paraId="30C12B39">
                  <w:pPr>
                    <w:pStyle w:val="70"/>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1万套</w:t>
                  </w:r>
                </w:p>
              </w:tc>
              <w:tc>
                <w:tcPr>
                  <w:tcW w:w="507" w:type="dxa"/>
                  <w:shd w:val="clear" w:color="auto" w:fill="auto"/>
                  <w:vAlign w:val="center"/>
                </w:tcPr>
                <w:p w14:paraId="18D0DCC5">
                  <w:pPr>
                    <w:pStyle w:val="70"/>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外购</w:t>
                  </w:r>
                </w:p>
              </w:tc>
              <w:tc>
                <w:tcPr>
                  <w:tcW w:w="869" w:type="dxa"/>
                  <w:shd w:val="clear" w:color="auto" w:fill="auto"/>
                  <w:vAlign w:val="center"/>
                </w:tcPr>
                <w:p w14:paraId="4D918666">
                  <w:pPr>
                    <w:pStyle w:val="70"/>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c>
                <w:tcPr>
                  <w:tcW w:w="869" w:type="dxa"/>
                  <w:shd w:val="clear" w:color="auto" w:fill="auto"/>
                  <w:vAlign w:val="center"/>
                </w:tcPr>
                <w:p w14:paraId="4AFFAFFF">
                  <w:pPr>
                    <w:pStyle w:val="70"/>
                    <w:spacing w:line="240" w:lineRule="auto"/>
                    <w:jc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c>
                <w:tcPr>
                  <w:tcW w:w="869" w:type="dxa"/>
                  <w:shd w:val="clear" w:color="auto" w:fill="auto"/>
                  <w:vAlign w:val="center"/>
                </w:tcPr>
                <w:p w14:paraId="2D8EFAAC">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集成车间</w:t>
                  </w:r>
                </w:p>
              </w:tc>
            </w:tr>
            <w:tr w14:paraId="7C79FC8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61" w:type="dxa"/>
                  <w:shd w:val="clear" w:color="auto" w:fill="auto"/>
                  <w:vAlign w:val="center"/>
                </w:tcPr>
                <w:p w14:paraId="2C930743">
                  <w:pPr>
                    <w:pStyle w:val="70"/>
                    <w:spacing w:line="240" w:lineRule="auto"/>
                    <w:jc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24</w:t>
                  </w:r>
                </w:p>
              </w:tc>
              <w:tc>
                <w:tcPr>
                  <w:tcW w:w="846" w:type="dxa"/>
                  <w:shd w:val="clear" w:color="auto" w:fill="auto"/>
                  <w:vAlign w:val="center"/>
                </w:tcPr>
                <w:p w14:paraId="56BD47A4">
                  <w:pPr>
                    <w:pStyle w:val="70"/>
                    <w:spacing w:line="240" w:lineRule="auto"/>
                    <w:jc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电池箱</w:t>
                  </w:r>
                </w:p>
              </w:tc>
              <w:tc>
                <w:tcPr>
                  <w:tcW w:w="1034" w:type="dxa"/>
                  <w:shd w:val="clear" w:color="auto" w:fill="auto"/>
                  <w:vAlign w:val="center"/>
                </w:tcPr>
                <w:p w14:paraId="0EDD30AE">
                  <w:pPr>
                    <w:pStyle w:val="70"/>
                    <w:spacing w:line="240" w:lineRule="auto"/>
                    <w:jc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c>
                <w:tcPr>
                  <w:tcW w:w="1131" w:type="dxa"/>
                  <w:shd w:val="clear" w:color="auto" w:fill="auto"/>
                  <w:vAlign w:val="center"/>
                </w:tcPr>
                <w:p w14:paraId="1E0E67C6">
                  <w:pPr>
                    <w:pStyle w:val="70"/>
                    <w:spacing w:line="240" w:lineRule="auto"/>
                    <w:jc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20万套</w:t>
                  </w:r>
                </w:p>
              </w:tc>
              <w:tc>
                <w:tcPr>
                  <w:tcW w:w="1231" w:type="dxa"/>
                  <w:shd w:val="clear" w:color="auto" w:fill="auto"/>
                  <w:vAlign w:val="center"/>
                </w:tcPr>
                <w:p w14:paraId="35E6EE26">
                  <w:pPr>
                    <w:pStyle w:val="70"/>
                    <w:spacing w:line="240" w:lineRule="auto"/>
                    <w:jc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1万套</w:t>
                  </w:r>
                </w:p>
              </w:tc>
              <w:tc>
                <w:tcPr>
                  <w:tcW w:w="507" w:type="dxa"/>
                  <w:shd w:val="clear" w:color="auto" w:fill="auto"/>
                  <w:vAlign w:val="center"/>
                </w:tcPr>
                <w:p w14:paraId="3CD491E6">
                  <w:pPr>
                    <w:pStyle w:val="70"/>
                    <w:spacing w:line="240" w:lineRule="auto"/>
                    <w:jc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外购</w:t>
                  </w:r>
                </w:p>
              </w:tc>
              <w:tc>
                <w:tcPr>
                  <w:tcW w:w="869" w:type="dxa"/>
                  <w:shd w:val="clear" w:color="auto" w:fill="auto"/>
                  <w:vAlign w:val="center"/>
                </w:tcPr>
                <w:p w14:paraId="25624D7F">
                  <w:pPr>
                    <w:pStyle w:val="70"/>
                    <w:spacing w:line="240" w:lineRule="auto"/>
                    <w:jc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c>
                <w:tcPr>
                  <w:tcW w:w="869" w:type="dxa"/>
                  <w:shd w:val="clear" w:color="auto" w:fill="auto"/>
                  <w:vAlign w:val="center"/>
                </w:tcPr>
                <w:p w14:paraId="794A3730">
                  <w:pPr>
                    <w:pStyle w:val="70"/>
                    <w:spacing w:line="240" w:lineRule="auto"/>
                    <w:jc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c>
                <w:tcPr>
                  <w:tcW w:w="869" w:type="dxa"/>
                  <w:shd w:val="clear" w:color="auto" w:fill="auto"/>
                  <w:vAlign w:val="center"/>
                </w:tcPr>
                <w:p w14:paraId="76958634">
                  <w:pPr>
                    <w:pStyle w:val="70"/>
                    <w:spacing w:line="240" w:lineRule="auto"/>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集成车间</w:t>
                  </w:r>
                </w:p>
              </w:tc>
            </w:tr>
            <w:tr w14:paraId="2C1E6FD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461" w:type="dxa"/>
                  <w:shd w:val="clear" w:color="auto" w:fill="auto"/>
                  <w:vAlign w:val="center"/>
                </w:tcPr>
                <w:p w14:paraId="2E6C701D">
                  <w:pPr>
                    <w:pStyle w:val="70"/>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25</w:t>
                  </w:r>
                </w:p>
              </w:tc>
              <w:tc>
                <w:tcPr>
                  <w:tcW w:w="846" w:type="dxa"/>
                  <w:shd w:val="clear" w:color="auto" w:fill="auto"/>
                  <w:vAlign w:val="center"/>
                </w:tcPr>
                <w:p w14:paraId="26923F53">
                  <w:pPr>
                    <w:pStyle w:val="70"/>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新鲜水</w:t>
                  </w:r>
                </w:p>
              </w:tc>
              <w:tc>
                <w:tcPr>
                  <w:tcW w:w="1034" w:type="dxa"/>
                  <w:shd w:val="clear" w:color="auto" w:fill="auto"/>
                  <w:vAlign w:val="center"/>
                </w:tcPr>
                <w:p w14:paraId="77BF745A">
                  <w:pPr>
                    <w:pStyle w:val="70"/>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tc>
              <w:tc>
                <w:tcPr>
                  <w:tcW w:w="1131" w:type="dxa"/>
                  <w:shd w:val="clear" w:color="auto" w:fill="auto"/>
                  <w:vAlign w:val="center"/>
                </w:tcPr>
                <w:p w14:paraId="356DE86F">
                  <w:pPr>
                    <w:pStyle w:val="70"/>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8016</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m</w:t>
                  </w:r>
                  <w:r>
                    <w:rPr>
                      <w:rFonts w:hint="eastAsia" w:ascii="Times New Roman" w:hAnsi="Times New Roman" w:eastAsia="宋体" w:cs="Times New Roman"/>
                      <w:color w:val="000000" w:themeColor="text1"/>
                      <w:sz w:val="21"/>
                      <w:szCs w:val="21"/>
                      <w:vertAlign w:val="superscript"/>
                      <w:lang w:val="en-US" w:eastAsia="zh-CN"/>
                      <w14:textFill>
                        <w14:solidFill>
                          <w14:schemeClr w14:val="tx1"/>
                        </w14:solidFill>
                      </w14:textFill>
                    </w:rPr>
                    <w:t>3</w:t>
                  </w:r>
                </w:p>
              </w:tc>
              <w:tc>
                <w:tcPr>
                  <w:tcW w:w="1231" w:type="dxa"/>
                  <w:shd w:val="clear" w:color="auto" w:fill="auto"/>
                  <w:vAlign w:val="center"/>
                </w:tcPr>
                <w:p w14:paraId="48B8FDB5">
                  <w:pPr>
                    <w:pStyle w:val="70"/>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tc>
              <w:tc>
                <w:tcPr>
                  <w:tcW w:w="507" w:type="dxa"/>
                  <w:shd w:val="clear" w:color="auto" w:fill="auto"/>
                  <w:vAlign w:val="center"/>
                </w:tcPr>
                <w:p w14:paraId="70E0CAA5">
                  <w:pPr>
                    <w:pStyle w:val="70"/>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园区供水管网</w:t>
                  </w:r>
                </w:p>
              </w:tc>
              <w:tc>
                <w:tcPr>
                  <w:tcW w:w="869" w:type="dxa"/>
                  <w:shd w:val="clear" w:color="auto" w:fill="auto"/>
                  <w:vAlign w:val="center"/>
                </w:tcPr>
                <w:p w14:paraId="7C7B4470">
                  <w:pPr>
                    <w:pStyle w:val="70"/>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tc>
              <w:tc>
                <w:tcPr>
                  <w:tcW w:w="869" w:type="dxa"/>
                  <w:shd w:val="clear" w:color="auto" w:fill="auto"/>
                  <w:vAlign w:val="center"/>
                </w:tcPr>
                <w:p w14:paraId="39FBCFC7">
                  <w:pPr>
                    <w:pStyle w:val="70"/>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c>
                <w:tcPr>
                  <w:tcW w:w="869" w:type="dxa"/>
                  <w:shd w:val="clear" w:color="auto" w:fill="auto"/>
                  <w:vAlign w:val="center"/>
                </w:tcPr>
                <w:p w14:paraId="02D77E25">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tc>
            </w:tr>
            <w:tr w14:paraId="5C1BAA7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9" w:hRule="atLeast"/>
              </w:trPr>
              <w:tc>
                <w:tcPr>
                  <w:tcW w:w="461" w:type="dxa"/>
                  <w:shd w:val="clear" w:color="auto" w:fill="auto"/>
                  <w:vAlign w:val="center"/>
                </w:tcPr>
                <w:p w14:paraId="7BDB3AD5">
                  <w:pPr>
                    <w:pStyle w:val="70"/>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26</w:t>
                  </w:r>
                </w:p>
              </w:tc>
              <w:tc>
                <w:tcPr>
                  <w:tcW w:w="846" w:type="dxa"/>
                  <w:shd w:val="clear" w:color="auto" w:fill="auto"/>
                  <w:vAlign w:val="center"/>
                </w:tcPr>
                <w:p w14:paraId="327987F0">
                  <w:pPr>
                    <w:pStyle w:val="70"/>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电</w:t>
                  </w:r>
                </w:p>
              </w:tc>
              <w:tc>
                <w:tcPr>
                  <w:tcW w:w="1034" w:type="dxa"/>
                  <w:shd w:val="clear" w:color="auto" w:fill="auto"/>
                  <w:vAlign w:val="center"/>
                </w:tcPr>
                <w:p w14:paraId="75C632CA">
                  <w:pPr>
                    <w:pStyle w:val="70"/>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tc>
              <w:tc>
                <w:tcPr>
                  <w:tcW w:w="1131" w:type="dxa"/>
                  <w:shd w:val="clear" w:color="auto" w:fill="auto"/>
                  <w:vAlign w:val="center"/>
                </w:tcPr>
                <w:p w14:paraId="3E54C914">
                  <w:pPr>
                    <w:pStyle w:val="70"/>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5400</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万kW·h</w:t>
                  </w:r>
                </w:p>
              </w:tc>
              <w:tc>
                <w:tcPr>
                  <w:tcW w:w="1231" w:type="dxa"/>
                  <w:shd w:val="clear" w:color="auto" w:fill="auto"/>
                  <w:vAlign w:val="center"/>
                </w:tcPr>
                <w:p w14:paraId="07D621F8">
                  <w:pPr>
                    <w:pStyle w:val="70"/>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tc>
              <w:tc>
                <w:tcPr>
                  <w:tcW w:w="507" w:type="dxa"/>
                  <w:shd w:val="clear" w:color="auto" w:fill="auto"/>
                  <w:vAlign w:val="center"/>
                </w:tcPr>
                <w:p w14:paraId="4F036769">
                  <w:pPr>
                    <w:pStyle w:val="70"/>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园区供电管网</w:t>
                  </w:r>
                </w:p>
              </w:tc>
              <w:tc>
                <w:tcPr>
                  <w:tcW w:w="869" w:type="dxa"/>
                  <w:shd w:val="clear" w:color="auto" w:fill="auto"/>
                  <w:vAlign w:val="center"/>
                </w:tcPr>
                <w:p w14:paraId="3C4E657A">
                  <w:pPr>
                    <w:pStyle w:val="70"/>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tc>
              <w:tc>
                <w:tcPr>
                  <w:tcW w:w="869" w:type="dxa"/>
                  <w:shd w:val="clear" w:color="auto" w:fill="auto"/>
                  <w:vAlign w:val="center"/>
                </w:tcPr>
                <w:p w14:paraId="23306BEB">
                  <w:pPr>
                    <w:pStyle w:val="70"/>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c>
                <w:tcPr>
                  <w:tcW w:w="869" w:type="dxa"/>
                  <w:shd w:val="clear" w:color="auto" w:fill="auto"/>
                  <w:vAlign w:val="center"/>
                </w:tcPr>
                <w:p w14:paraId="758CF92E">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tc>
            </w:tr>
          </w:tbl>
          <w:p w14:paraId="1B03373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sz w:val="24"/>
                <w:szCs w:val="24"/>
              </w:rPr>
            </w:pPr>
            <w:r>
              <w:rPr>
                <w:rFonts w:hint="default" w:ascii="Times New Roman" w:hAnsi="Times New Roman" w:cs="Times New Roman"/>
                <w:color w:val="000000" w:themeColor="text1"/>
                <w:sz w:val="24"/>
                <w:szCs w:val="24"/>
                <w14:textFill>
                  <w14:solidFill>
                    <w14:schemeClr w14:val="tx1"/>
                  </w14:solidFill>
                </w14:textFill>
              </w:rPr>
              <w:t>本项目主要化学品物料理化性质及毒理危险性见下表。</w:t>
            </w:r>
          </w:p>
          <w:p w14:paraId="55BBF60C">
            <w:pPr>
              <w:pStyle w:val="68"/>
              <w:spacing w:line="240" w:lineRule="auto"/>
              <w:rPr>
                <w:rFonts w:hint="eastAsia" w:ascii="Times New Roman" w:hAnsi="Times New Roman" w:eastAsia="宋体" w:cs="Times New Roman"/>
                <w:b/>
                <w:bCs/>
                <w:color w:val="auto"/>
              </w:rPr>
            </w:pPr>
            <w:r>
              <w:rPr>
                <w:rFonts w:hint="eastAsia" w:ascii="Times New Roman" w:hAnsi="Times New Roman" w:eastAsia="宋体" w:cs="Times New Roman"/>
                <w:b/>
                <w:bCs/>
                <w:color w:val="auto"/>
              </w:rPr>
              <w:t>表2-</w:t>
            </w:r>
            <w:r>
              <w:rPr>
                <w:rFonts w:hint="eastAsia" w:eastAsia="宋体" w:cs="Times New Roman"/>
                <w:b/>
                <w:bCs/>
                <w:color w:val="auto"/>
                <w:lang w:val="en-US" w:eastAsia="zh-CN"/>
              </w:rPr>
              <w:t>5</w:t>
            </w:r>
            <w:r>
              <w:rPr>
                <w:rFonts w:hint="eastAsia" w:ascii="Times New Roman" w:hAnsi="Times New Roman" w:eastAsia="宋体" w:cs="Times New Roman"/>
                <w:b/>
                <w:bCs/>
                <w:color w:val="auto"/>
              </w:rPr>
              <w:t xml:space="preserve">  </w:t>
            </w:r>
            <w:r>
              <w:rPr>
                <w:rFonts w:hint="eastAsia" w:ascii="Times New Roman" w:hAnsi="Times New Roman" w:eastAsia="宋体" w:cs="Times New Roman"/>
                <w:b/>
                <w:bCs/>
                <w:color w:val="auto"/>
                <w:lang w:val="en-US" w:eastAsia="zh-CN"/>
              </w:rPr>
              <w:t>项目涉及的主要化学品物料理化性质及</w:t>
            </w:r>
            <w:r>
              <w:rPr>
                <w:rFonts w:hint="eastAsia" w:eastAsia="宋体" w:cs="Times New Roman"/>
                <w:b/>
                <w:bCs/>
                <w:color w:val="auto"/>
                <w:lang w:val="en-US" w:eastAsia="zh-CN"/>
              </w:rPr>
              <w:t>其危害性</w:t>
            </w:r>
            <w:r>
              <w:rPr>
                <w:rFonts w:hint="eastAsia" w:ascii="Times New Roman" w:hAnsi="Times New Roman" w:eastAsia="宋体" w:cs="Times New Roman"/>
                <w:b/>
                <w:bCs/>
                <w:color w:val="auto"/>
                <w:lang w:val="en-US" w:eastAsia="zh-CN"/>
              </w:rPr>
              <w:t>一览</w:t>
            </w:r>
            <w:r>
              <w:rPr>
                <w:rFonts w:hint="eastAsia" w:ascii="Times New Roman" w:hAnsi="Times New Roman" w:eastAsia="宋体" w:cs="Times New Roman"/>
                <w:b/>
                <w:bCs/>
                <w:color w:val="auto"/>
              </w:rPr>
              <w:t>表</w:t>
            </w:r>
          </w:p>
          <w:tbl>
            <w:tblPr>
              <w:tblStyle w:val="42"/>
              <w:tblW w:w="7760" w:type="dxa"/>
              <w:tblInd w:w="5"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79"/>
              <w:gridCol w:w="1320"/>
              <w:gridCol w:w="3825"/>
              <w:gridCol w:w="2236"/>
            </w:tblGrid>
            <w:tr w14:paraId="71A6651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79" w:type="dxa"/>
                  <w:vAlign w:val="center"/>
                </w:tcPr>
                <w:p w14:paraId="42A617DD">
                  <w:pPr>
                    <w:pStyle w:val="70"/>
                    <w:spacing w:line="240" w:lineRule="auto"/>
                    <w:jc w:val="center"/>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序号</w:t>
                  </w:r>
                </w:p>
              </w:tc>
              <w:tc>
                <w:tcPr>
                  <w:tcW w:w="1320" w:type="dxa"/>
                  <w:vAlign w:val="center"/>
                </w:tcPr>
                <w:p w14:paraId="17C18B85">
                  <w:pPr>
                    <w:pStyle w:val="70"/>
                    <w:spacing w:line="240" w:lineRule="auto"/>
                    <w:jc w:val="center"/>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名称</w:t>
                  </w:r>
                </w:p>
              </w:tc>
              <w:tc>
                <w:tcPr>
                  <w:tcW w:w="3825" w:type="dxa"/>
                  <w:vAlign w:val="center"/>
                </w:tcPr>
                <w:p w14:paraId="6854DABE">
                  <w:pPr>
                    <w:pStyle w:val="70"/>
                    <w:spacing w:line="240" w:lineRule="auto"/>
                    <w:jc w:val="center"/>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理化特性</w:t>
                  </w:r>
                </w:p>
              </w:tc>
              <w:tc>
                <w:tcPr>
                  <w:tcW w:w="2236" w:type="dxa"/>
                  <w:vAlign w:val="center"/>
                </w:tcPr>
                <w:p w14:paraId="2B7D8D00">
                  <w:pPr>
                    <w:pStyle w:val="70"/>
                    <w:spacing w:line="240" w:lineRule="auto"/>
                    <w:jc w:val="center"/>
                    <w:rPr>
                      <w:rFonts w:hint="default"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危害性</w:t>
                  </w:r>
                </w:p>
              </w:tc>
            </w:tr>
            <w:tr w14:paraId="5CFFD2D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79" w:type="dxa"/>
                  <w:vAlign w:val="center"/>
                </w:tcPr>
                <w:p w14:paraId="4C081724">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w:t>
                  </w:r>
                </w:p>
              </w:tc>
              <w:tc>
                <w:tcPr>
                  <w:tcW w:w="1320" w:type="dxa"/>
                  <w:vAlign w:val="center"/>
                </w:tcPr>
                <w:p w14:paraId="4BD190E8">
                  <w:pPr>
                    <w:pStyle w:val="70"/>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磷酸铁锂</w:t>
                  </w:r>
                </w:p>
              </w:tc>
              <w:tc>
                <w:tcPr>
                  <w:tcW w:w="3825" w:type="dxa"/>
                  <w:vAlign w:val="center"/>
                </w:tcPr>
                <w:p w14:paraId="599678C3">
                  <w:pPr>
                    <w:pStyle w:val="70"/>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ascii="Helvetica" w:hAnsi="Helvetica" w:eastAsia="Helvetica" w:cs="Helvetica"/>
                      <w:i w:val="0"/>
                      <w:iCs w:val="0"/>
                      <w:caps w:val="0"/>
                      <w:color w:val="000000" w:themeColor="text1"/>
                      <w:spacing w:val="0"/>
                      <w:sz w:val="21"/>
                      <w:szCs w:val="21"/>
                      <w:shd w:val="clear" w:fill="FFFFFF"/>
                      <w14:textFill>
                        <w14:solidFill>
                          <w14:schemeClr w14:val="tx1"/>
                        </w14:solidFill>
                      </w14:textFill>
                    </w:rPr>
                    <w:t>是一种具有橄榄石结构的新型锂离子电池正极材料，</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CAS号15365-14-7，分子式</w:t>
                  </w:r>
                  <w:r>
                    <w:rPr>
                      <w:rFonts w:hint="eastAsia" w:cs="Times New Roman"/>
                      <w:color w:val="000000" w:themeColor="text1"/>
                      <w:sz w:val="21"/>
                      <w:szCs w:val="21"/>
                      <w:lang w:val="en-US" w:eastAsia="zh-CN"/>
                      <w14:textFill>
                        <w14:solidFill>
                          <w14:schemeClr w14:val="tx1"/>
                        </w14:solidFill>
                      </w14:textFill>
                    </w:rPr>
                    <w:t>为</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FeLiO</w:t>
                  </w:r>
                  <w:r>
                    <w:rPr>
                      <w:rFonts w:hint="eastAsia" w:ascii="Times New Roman" w:hAnsi="Times New Roman" w:eastAsia="宋体" w:cs="Times New Roman"/>
                      <w:color w:val="000000" w:themeColor="text1"/>
                      <w:sz w:val="21"/>
                      <w:szCs w:val="21"/>
                      <w:vertAlign w:val="subscript"/>
                      <w:lang w:val="en-US" w:eastAsia="zh-CN"/>
                      <w14:textFill>
                        <w14:solidFill>
                          <w14:schemeClr w14:val="tx1"/>
                        </w14:solidFill>
                      </w14:textFill>
                    </w:rPr>
                    <w:t>4</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P，熔点＞300</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tc>
              <w:tc>
                <w:tcPr>
                  <w:tcW w:w="2236" w:type="dxa"/>
                  <w:vAlign w:val="center"/>
                </w:tcPr>
                <w:p w14:paraId="7B8D1460">
                  <w:pPr>
                    <w:pStyle w:val="70"/>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r>
            <w:tr w14:paraId="4DD8305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79" w:type="dxa"/>
                  <w:vAlign w:val="center"/>
                </w:tcPr>
                <w:p w14:paraId="02A85DE6">
                  <w:pPr>
                    <w:pStyle w:val="70"/>
                    <w:spacing w:line="240" w:lineRule="auto"/>
                    <w:jc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w:t>
                  </w:r>
                </w:p>
              </w:tc>
              <w:tc>
                <w:tcPr>
                  <w:tcW w:w="1320" w:type="dxa"/>
                  <w:vAlign w:val="center"/>
                </w:tcPr>
                <w:p w14:paraId="1EC7C625">
                  <w:pPr>
                    <w:pStyle w:val="70"/>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镍钴锰酸锂</w:t>
                  </w:r>
                </w:p>
              </w:tc>
              <w:tc>
                <w:tcPr>
                  <w:tcW w:w="3825" w:type="dxa"/>
                  <w:vAlign w:val="center"/>
                </w:tcPr>
                <w:p w14:paraId="6B83F155">
                  <w:pPr>
                    <w:pStyle w:val="70"/>
                    <w:spacing w:line="240" w:lineRule="auto"/>
                    <w:jc w:val="center"/>
                    <w:rPr>
                      <w:rFonts w:hint="default" w:ascii="Helvetica" w:hAnsi="Helvetica" w:eastAsia="宋体" w:cs="Helvetica"/>
                      <w:i w:val="0"/>
                      <w:iCs w:val="0"/>
                      <w:caps w:val="0"/>
                      <w:color w:val="000000" w:themeColor="text1"/>
                      <w:spacing w:val="0"/>
                      <w:sz w:val="21"/>
                      <w:szCs w:val="21"/>
                      <w:shd w:val="clear" w:fill="FFFFFF"/>
                      <w:lang w:val="en-US" w:eastAsia="zh-CN"/>
                      <w14:textFill>
                        <w14:solidFill>
                          <w14:schemeClr w14:val="tx1"/>
                        </w14:solidFill>
                      </w14:textFill>
                    </w:rPr>
                  </w:pPr>
                  <w:r>
                    <w:rPr>
                      <w:rFonts w:hint="eastAsia" w:ascii="Helvetica" w:hAnsi="Helvetica" w:eastAsia="宋体" w:cs="Helvetica"/>
                      <w:i w:val="0"/>
                      <w:iCs w:val="0"/>
                      <w:caps w:val="0"/>
                      <w:color w:val="000000" w:themeColor="text1"/>
                      <w:spacing w:val="0"/>
                      <w:sz w:val="21"/>
                      <w:szCs w:val="21"/>
                      <w:shd w:val="clear" w:fill="FFFFFF"/>
                      <w:lang w:val="en-US" w:eastAsia="zh-CN"/>
                      <w14:textFill>
                        <w14:solidFill>
                          <w14:schemeClr w14:val="tx1"/>
                        </w14:solidFill>
                      </w14:textFill>
                    </w:rPr>
                    <w:t>黑色粉末，分子式为</w:t>
                  </w:r>
                  <w:r>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t>LiNixC</w:t>
                  </w:r>
                  <w:r>
                    <w:rPr>
                      <w:rFonts w:hint="eastAsia" w:ascii="Times New Roman" w:hAnsi="Times New Roman" w:eastAsia="宋体" w:cs="Times New Roman"/>
                      <w:i w:val="0"/>
                      <w:iCs w:val="0"/>
                      <w:caps w:val="0"/>
                      <w:color w:val="000000" w:themeColor="text1"/>
                      <w:spacing w:val="0"/>
                      <w:sz w:val="21"/>
                      <w:szCs w:val="21"/>
                      <w:shd w:val="clear" w:fill="FFFFFF"/>
                      <w:lang w:val="en-US" w:eastAsia="zh-CN"/>
                      <w14:textFill>
                        <w14:solidFill>
                          <w14:schemeClr w14:val="tx1"/>
                        </w14:solidFill>
                      </w14:textFill>
                    </w:rPr>
                    <w:t>o</w:t>
                  </w:r>
                  <w:r>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t>yMn1-x-yO</w:t>
                  </w:r>
                  <w:r>
                    <w:rPr>
                      <w:rFonts w:hint="default" w:ascii="Times New Roman" w:hAnsi="Times New Roman" w:eastAsia="Helvetica" w:cs="Times New Roman"/>
                      <w:i w:val="0"/>
                      <w:iCs w:val="0"/>
                      <w:caps w:val="0"/>
                      <w:color w:val="000000" w:themeColor="text1"/>
                      <w:spacing w:val="0"/>
                      <w:sz w:val="21"/>
                      <w:szCs w:val="21"/>
                      <w:shd w:val="clear" w:fill="FFFFFF"/>
                      <w:vertAlign w:val="subscript"/>
                      <w14:textFill>
                        <w14:solidFill>
                          <w14:schemeClr w14:val="tx1"/>
                        </w14:solidFill>
                      </w14:textFill>
                    </w:rPr>
                    <w:t>2</w:t>
                  </w:r>
                  <w:r>
                    <w:rPr>
                      <w:rFonts w:hint="eastAsia" w:ascii="Times New Roman" w:hAnsi="Times New Roman" w:eastAsia="宋体" w:cs="Times New Roman"/>
                      <w:i w:val="0"/>
                      <w:iCs w:val="0"/>
                      <w:caps w:val="0"/>
                      <w:color w:val="000000" w:themeColor="text1"/>
                      <w:spacing w:val="0"/>
                      <w:sz w:val="21"/>
                      <w:szCs w:val="21"/>
                      <w:shd w:val="clear" w:fill="FFFFFF"/>
                      <w:lang w:eastAsia="zh-CN"/>
                      <w14:textFill>
                        <w14:solidFill>
                          <w14:schemeClr w14:val="tx1"/>
                        </w14:solidFill>
                      </w14:textFill>
                    </w:rPr>
                    <w:t>，</w:t>
                  </w:r>
                  <w:r>
                    <w:rPr>
                      <w:rFonts w:hint="eastAsia" w:ascii="Times New Roman" w:hAnsi="Times New Roman" w:eastAsia="宋体" w:cs="Times New Roman"/>
                      <w:i w:val="0"/>
                      <w:iCs w:val="0"/>
                      <w:caps w:val="0"/>
                      <w:color w:val="000000" w:themeColor="text1"/>
                      <w:spacing w:val="0"/>
                      <w:sz w:val="21"/>
                      <w:szCs w:val="21"/>
                      <w:shd w:val="clear" w:fill="FFFFFF"/>
                      <w:lang w:val="en-US" w:eastAsia="zh-CN"/>
                      <w14:textFill>
                        <w14:solidFill>
                          <w14:schemeClr w14:val="tx1"/>
                        </w14:solidFill>
                      </w14:textFill>
                    </w:rPr>
                    <w:t>镍钴锰酸锂不溶于水</w:t>
                  </w:r>
                  <w:r>
                    <w:rPr>
                      <w:rFonts w:hint="eastAsia" w:cs="Times New Roman"/>
                      <w:i w:val="0"/>
                      <w:iCs w:val="0"/>
                      <w:caps w:val="0"/>
                      <w:color w:val="000000" w:themeColor="text1"/>
                      <w:spacing w:val="0"/>
                      <w:sz w:val="21"/>
                      <w:szCs w:val="21"/>
                      <w:shd w:val="clear" w:fill="FFFFFF"/>
                      <w:lang w:val="en-US" w:eastAsia="zh-CN"/>
                      <w14:textFill>
                        <w14:solidFill>
                          <w14:schemeClr w14:val="tx1"/>
                        </w14:solidFill>
                      </w14:textFill>
                    </w:rPr>
                    <w:t>，</w:t>
                  </w:r>
                  <w:r>
                    <w:rPr>
                      <w:rFonts w:hint="eastAsia" w:ascii="Times New Roman" w:hAnsi="Times New Roman" w:eastAsia="宋体" w:cs="Times New Roman"/>
                      <w:i w:val="0"/>
                      <w:iCs w:val="0"/>
                      <w:caps w:val="0"/>
                      <w:color w:val="000000" w:themeColor="text1"/>
                      <w:spacing w:val="0"/>
                      <w:sz w:val="21"/>
                      <w:szCs w:val="21"/>
                      <w:shd w:val="clear" w:fill="FFFFFF"/>
                      <w:lang w:val="en-US" w:eastAsia="zh-CN"/>
                      <w14:textFill>
                        <w14:solidFill>
                          <w14:schemeClr w14:val="tx1"/>
                        </w14:solidFill>
                      </w14:textFill>
                    </w:rPr>
                    <w:t>具有高能量密度、循环性能好、电压平台高、热稳定性好、循环寿命长、晶体结构理想等</w:t>
                  </w:r>
                  <w:r>
                    <w:rPr>
                      <w:rFonts w:hint="eastAsia" w:cs="Times New Roman"/>
                      <w:i w:val="0"/>
                      <w:iCs w:val="0"/>
                      <w:caps w:val="0"/>
                      <w:color w:val="000000" w:themeColor="text1"/>
                      <w:spacing w:val="0"/>
                      <w:sz w:val="21"/>
                      <w:szCs w:val="21"/>
                      <w:shd w:val="clear" w:fill="FFFFFF"/>
                      <w:lang w:val="en-US" w:eastAsia="zh-CN"/>
                      <w14:textFill>
                        <w14:solidFill>
                          <w14:schemeClr w14:val="tx1"/>
                        </w14:solidFill>
                      </w14:textFill>
                    </w:rPr>
                    <w:t>优点</w:t>
                  </w:r>
                  <w:r>
                    <w:rPr>
                      <w:rFonts w:hint="eastAsia" w:ascii="Times New Roman" w:hAnsi="Times New Roman" w:eastAsia="宋体" w:cs="Times New Roman"/>
                      <w:i w:val="0"/>
                      <w:iCs w:val="0"/>
                      <w:caps w:val="0"/>
                      <w:color w:val="000000" w:themeColor="text1"/>
                      <w:spacing w:val="0"/>
                      <w:sz w:val="21"/>
                      <w:szCs w:val="21"/>
                      <w:shd w:val="clear" w:fill="FFFFFF"/>
                      <w:lang w:val="en-US" w:eastAsia="zh-CN"/>
                      <w14:textFill>
                        <w14:solidFill>
                          <w14:schemeClr w14:val="tx1"/>
                        </w14:solidFill>
                      </w14:textFill>
                    </w:rPr>
                    <w:t>。根据建设单位提供资料，镍钴锰酸锂中Ni含量为90.09%、Co含量为5.66%、Mn含量为</w:t>
                  </w:r>
                  <w:r>
                    <w:rPr>
                      <w:rFonts w:hint="eastAsia" w:ascii="Times New Roman" w:hAnsi="Times New Roman" w:eastAsia="宋体" w:cs="Times New Roman"/>
                      <w:i w:val="0"/>
                      <w:iCs w:val="0"/>
                      <w:caps w:val="0"/>
                      <w:color w:val="000000" w:themeColor="text1"/>
                      <w:spacing w:val="0"/>
                      <w:sz w:val="21"/>
                      <w:szCs w:val="21"/>
                      <w:highlight w:val="none"/>
                      <w:shd w:val="clear" w:fill="FFFFFF"/>
                      <w:lang w:val="en-US" w:eastAsia="zh-CN"/>
                      <w14:textFill>
                        <w14:solidFill>
                          <w14:schemeClr w14:val="tx1"/>
                        </w14:solidFill>
                      </w14:textFill>
                    </w:rPr>
                    <w:t>4.25</w:t>
                  </w:r>
                  <w:r>
                    <w:rPr>
                      <w:rFonts w:hint="eastAsia" w:cs="Times New Roman"/>
                      <w:i w:val="0"/>
                      <w:iCs w:val="0"/>
                      <w:caps w:val="0"/>
                      <w:color w:val="000000" w:themeColor="text1"/>
                      <w:spacing w:val="0"/>
                      <w:sz w:val="21"/>
                      <w:szCs w:val="21"/>
                      <w:highlight w:val="none"/>
                      <w:shd w:val="clear" w:fill="FFFFFF"/>
                      <w:lang w:val="en-US" w:eastAsia="zh-CN"/>
                      <w14:textFill>
                        <w14:solidFill>
                          <w14:schemeClr w14:val="tx1"/>
                        </w14:solidFill>
                      </w14:textFill>
                    </w:rPr>
                    <w:t>%</w:t>
                  </w:r>
                  <w:r>
                    <w:rPr>
                      <w:rFonts w:hint="eastAsia" w:ascii="Times New Roman" w:hAnsi="Times New Roman" w:eastAsia="宋体" w:cs="Times New Roman"/>
                      <w:i w:val="0"/>
                      <w:iCs w:val="0"/>
                      <w:caps w:val="0"/>
                      <w:color w:val="000000" w:themeColor="text1"/>
                      <w:spacing w:val="0"/>
                      <w:sz w:val="21"/>
                      <w:szCs w:val="21"/>
                      <w:highlight w:val="none"/>
                      <w:shd w:val="clear" w:fill="FFFFFF"/>
                      <w:lang w:val="en-US" w:eastAsia="zh-CN"/>
                      <w14:textFill>
                        <w14:solidFill>
                          <w14:schemeClr w14:val="tx1"/>
                        </w14:solidFill>
                      </w14:textFill>
                    </w:rPr>
                    <w:t>，</w:t>
                  </w:r>
                  <w:r>
                    <w:rPr>
                      <w:rFonts w:hint="eastAsia" w:ascii="Times New Roman" w:hAnsi="Times New Roman" w:eastAsia="宋体" w:cs="Times New Roman"/>
                      <w:i w:val="0"/>
                      <w:iCs w:val="0"/>
                      <w:caps w:val="0"/>
                      <w:color w:val="000000" w:themeColor="text1"/>
                      <w:spacing w:val="0"/>
                      <w:sz w:val="21"/>
                      <w:szCs w:val="21"/>
                      <w:shd w:val="clear" w:fill="FFFFFF"/>
                      <w:lang w:val="en-US" w:eastAsia="zh-CN"/>
                      <w14:textFill>
                        <w14:solidFill>
                          <w14:schemeClr w14:val="tx1"/>
                        </w14:solidFill>
                      </w14:textFill>
                    </w:rPr>
                    <w:t>其余杂质（Fe、Na、Ca、Mg、Si、S等）含量为586ppm。</w:t>
                  </w:r>
                </w:p>
              </w:tc>
              <w:tc>
                <w:tcPr>
                  <w:tcW w:w="2236" w:type="dxa"/>
                  <w:vAlign w:val="center"/>
                </w:tcPr>
                <w:p w14:paraId="3814E9A4">
                  <w:pPr>
                    <w:pStyle w:val="70"/>
                    <w:spacing w:line="240" w:lineRule="auto"/>
                    <w:jc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吸入粉尘或细小灰尘可能引起发热、浑身酸痛、咳嗽等症状。长期吸入灰尘可能损伤中枢神经系统和肾。</w:t>
                  </w:r>
                </w:p>
              </w:tc>
            </w:tr>
            <w:tr w14:paraId="7B275BC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79" w:type="dxa"/>
                  <w:vAlign w:val="center"/>
                </w:tcPr>
                <w:p w14:paraId="1EF916F0">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3</w:t>
                  </w:r>
                </w:p>
              </w:tc>
              <w:tc>
                <w:tcPr>
                  <w:tcW w:w="1320" w:type="dxa"/>
                  <w:vAlign w:val="center"/>
                </w:tcPr>
                <w:p w14:paraId="2C4A9416">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rPr>
                    <w:t>石墨</w:t>
                  </w:r>
                </w:p>
              </w:tc>
              <w:tc>
                <w:tcPr>
                  <w:tcW w:w="3825" w:type="dxa"/>
                  <w:vAlign w:val="center"/>
                </w:tcPr>
                <w:p w14:paraId="2637F694">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无味，黑色固体（粉末），不溶于水，相对密度为1.8。</w:t>
                  </w:r>
                </w:p>
              </w:tc>
              <w:tc>
                <w:tcPr>
                  <w:tcW w:w="2236" w:type="dxa"/>
                  <w:vAlign w:val="center"/>
                </w:tcPr>
                <w:p w14:paraId="44F0F2BA">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2BE3287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79" w:type="dxa"/>
                  <w:vAlign w:val="center"/>
                </w:tcPr>
                <w:p w14:paraId="5A8B9FC7">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4</w:t>
                  </w:r>
                </w:p>
              </w:tc>
              <w:tc>
                <w:tcPr>
                  <w:tcW w:w="1320" w:type="dxa"/>
                  <w:vAlign w:val="center"/>
                </w:tcPr>
                <w:p w14:paraId="3E964B4D">
                  <w:pPr>
                    <w:pStyle w:val="70"/>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聚偏氟乙烯（PVDF）</w:t>
                  </w:r>
                </w:p>
              </w:tc>
              <w:tc>
                <w:tcPr>
                  <w:tcW w:w="3825" w:type="dxa"/>
                  <w:vAlign w:val="center"/>
                </w:tcPr>
                <w:p w14:paraId="50749708">
                  <w:pPr>
                    <w:pStyle w:val="70"/>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白色粉末状结晶性聚合物，具有优良的耐化学腐蚀性、耐高温色变性和耐氧化性、耐磨性、柔韧性、很高的抗</w:t>
                  </w:r>
                  <w:r>
                    <w:rPr>
                      <w:rFonts w:hint="eastAsia" w:cs="Times New Roman"/>
                      <w:color w:val="auto"/>
                      <w:sz w:val="21"/>
                      <w:szCs w:val="21"/>
                      <w:lang w:val="en-US" w:eastAsia="zh-CN"/>
                    </w:rPr>
                    <w:t>胀</w:t>
                  </w:r>
                  <w:r>
                    <w:rPr>
                      <w:rFonts w:hint="default" w:ascii="Times New Roman" w:hAnsi="Times New Roman" w:eastAsia="宋体" w:cs="Times New Roman"/>
                      <w:color w:val="auto"/>
                      <w:sz w:val="21"/>
                      <w:szCs w:val="21"/>
                      <w:lang w:val="en-US" w:eastAsia="zh-CN"/>
                    </w:rPr>
                    <w:t>强度和耐冲击性强度。密度1.7-1.8g/c</w:t>
                  </w:r>
                  <w:r>
                    <w:rPr>
                      <w:rFonts w:hint="eastAsia" w:ascii="Times New Roman" w:hAnsi="Times New Roman" w:eastAsia="宋体" w:cs="Times New Roman"/>
                      <w:color w:val="auto"/>
                      <w:sz w:val="21"/>
                      <w:szCs w:val="21"/>
                      <w:lang w:val="en-US" w:eastAsia="zh-CN"/>
                    </w:rPr>
                    <w:t>m</w:t>
                  </w:r>
                  <w:r>
                    <w:rPr>
                      <w:rFonts w:hint="eastAsia" w:ascii="Times New Roman" w:hAnsi="Times New Roman" w:eastAsia="宋体" w:cs="Times New Roman"/>
                      <w:color w:val="auto"/>
                      <w:sz w:val="21"/>
                      <w:szCs w:val="21"/>
                      <w:vertAlign w:val="superscript"/>
                      <w:lang w:val="en-US" w:eastAsia="zh-CN"/>
                    </w:rPr>
                    <w:t>3</w:t>
                  </w:r>
                  <w:r>
                    <w:rPr>
                      <w:rFonts w:hint="eastAsia" w:ascii="Times New Roman" w:hAnsi="Times New Roman" w:eastAsia="宋体" w:cs="Times New Roman"/>
                      <w:color w:val="auto"/>
                      <w:sz w:val="21"/>
                      <w:szCs w:val="21"/>
                      <w:lang w:val="en-US" w:eastAsia="zh-CN"/>
                    </w:rPr>
                    <w:t>，不溶于水，分解温度为270℃，熔点为155-172℃</w:t>
                  </w:r>
                </w:p>
              </w:tc>
              <w:tc>
                <w:tcPr>
                  <w:tcW w:w="2236" w:type="dxa"/>
                  <w:vAlign w:val="center"/>
                </w:tcPr>
                <w:p w14:paraId="4B8AE666">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1E09407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79" w:type="dxa"/>
                  <w:vAlign w:val="center"/>
                </w:tcPr>
                <w:p w14:paraId="62E545CE">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5</w:t>
                  </w:r>
                </w:p>
              </w:tc>
              <w:tc>
                <w:tcPr>
                  <w:tcW w:w="1320" w:type="dxa"/>
                  <w:vAlign w:val="center"/>
                </w:tcPr>
                <w:p w14:paraId="76A778B4">
                  <w:pPr>
                    <w:pStyle w:val="70"/>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N-甲基吡咯烷酮（NMP）</w:t>
                  </w:r>
                </w:p>
              </w:tc>
              <w:tc>
                <w:tcPr>
                  <w:tcW w:w="3825" w:type="dxa"/>
                  <w:vAlign w:val="center"/>
                </w:tcPr>
                <w:p w14:paraId="5F2F3E9A">
                  <w:pPr>
                    <w:pStyle w:val="70"/>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CAS号872-50-4</w:t>
                  </w:r>
                  <w:r>
                    <w:rPr>
                      <w:rFonts w:hint="eastAsia" w:ascii="Times New Roman" w:hAnsi="Times New Roman" w:eastAsia="宋体" w:cs="Times New Roman"/>
                      <w:color w:val="auto"/>
                      <w:sz w:val="21"/>
                      <w:szCs w:val="21"/>
                      <w:lang w:val="en-US" w:eastAsia="zh-CN"/>
                    </w:rPr>
                    <w:t>，分子式C</w:t>
                  </w:r>
                  <w:r>
                    <w:rPr>
                      <w:rFonts w:hint="eastAsia" w:ascii="Times New Roman" w:hAnsi="Times New Roman" w:eastAsia="宋体" w:cs="Times New Roman"/>
                      <w:color w:val="auto"/>
                      <w:sz w:val="21"/>
                      <w:szCs w:val="21"/>
                      <w:vertAlign w:val="subscript"/>
                      <w:lang w:val="en-US" w:eastAsia="zh-CN"/>
                    </w:rPr>
                    <w:t>5</w:t>
                  </w:r>
                  <w:r>
                    <w:rPr>
                      <w:rFonts w:hint="eastAsia" w:ascii="Times New Roman" w:hAnsi="Times New Roman" w:eastAsia="宋体" w:cs="Times New Roman"/>
                      <w:color w:val="auto"/>
                      <w:sz w:val="21"/>
                      <w:szCs w:val="21"/>
                      <w:lang w:val="en-US" w:eastAsia="zh-CN"/>
                    </w:rPr>
                    <w:t>H</w:t>
                  </w:r>
                  <w:r>
                    <w:rPr>
                      <w:rFonts w:hint="eastAsia" w:ascii="Times New Roman" w:hAnsi="Times New Roman" w:eastAsia="宋体" w:cs="Times New Roman"/>
                      <w:color w:val="auto"/>
                      <w:sz w:val="21"/>
                      <w:szCs w:val="21"/>
                      <w:vertAlign w:val="subscript"/>
                      <w:lang w:val="en-US" w:eastAsia="zh-CN"/>
                    </w:rPr>
                    <w:t>9</w:t>
                  </w:r>
                  <w:r>
                    <w:rPr>
                      <w:rFonts w:hint="eastAsia" w:ascii="Times New Roman" w:hAnsi="Times New Roman" w:eastAsia="宋体" w:cs="Times New Roman"/>
                      <w:color w:val="auto"/>
                      <w:sz w:val="21"/>
                      <w:szCs w:val="21"/>
                      <w:lang w:val="en-US" w:eastAsia="zh-CN"/>
                    </w:rPr>
                    <w:t>NO，分子量99.13，</w:t>
                  </w:r>
                  <w:r>
                    <w:rPr>
                      <w:rFonts w:hint="default" w:ascii="Times New Roman" w:hAnsi="Times New Roman" w:eastAsia="宋体" w:cs="Times New Roman"/>
                      <w:color w:val="auto"/>
                      <w:sz w:val="21"/>
                      <w:szCs w:val="21"/>
                      <w:lang w:val="en-US" w:eastAsia="zh-CN"/>
                    </w:rPr>
                    <w:t>无色</w:t>
                  </w:r>
                  <w:r>
                    <w:rPr>
                      <w:rFonts w:hint="eastAsia" w:ascii="Times New Roman" w:hAnsi="Times New Roman" w:eastAsia="宋体" w:cs="Times New Roman"/>
                      <w:color w:val="auto"/>
                      <w:sz w:val="21"/>
                      <w:szCs w:val="21"/>
                      <w:lang w:val="en-US" w:eastAsia="zh-CN"/>
                    </w:rPr>
                    <w:t>或淡黄色透明液体，</w:t>
                  </w:r>
                  <w:r>
                    <w:rPr>
                      <w:rFonts w:hint="default" w:ascii="Times New Roman" w:hAnsi="Times New Roman" w:eastAsia="宋体" w:cs="Times New Roman"/>
                      <w:color w:val="auto"/>
                      <w:sz w:val="21"/>
                      <w:szCs w:val="21"/>
                      <w:lang w:val="en-US" w:eastAsia="zh-CN"/>
                    </w:rPr>
                    <w:t>相对密度</w:t>
                  </w:r>
                  <w:r>
                    <w:rPr>
                      <w:rFonts w:hint="eastAsia" w:cs="Times New Roman"/>
                      <w:color w:val="auto"/>
                      <w:sz w:val="21"/>
                      <w:szCs w:val="21"/>
                      <w:lang w:val="en-US" w:eastAsia="zh-CN"/>
                    </w:rPr>
                    <w:t>1.03g</w:t>
                  </w:r>
                  <w:r>
                    <w:rPr>
                      <w:rFonts w:hint="eastAsia" w:ascii="Times New Roman" w:hAnsi="Times New Roman" w:eastAsia="宋体" w:cs="Times New Roman"/>
                      <w:color w:val="auto"/>
                      <w:sz w:val="21"/>
                      <w:szCs w:val="21"/>
                      <w:lang w:val="en-US" w:eastAsia="zh-CN"/>
                    </w:rPr>
                    <w:t>/cm</w:t>
                  </w:r>
                  <w:r>
                    <w:rPr>
                      <w:rFonts w:hint="eastAsia" w:ascii="Times New Roman" w:hAnsi="Times New Roman" w:eastAsia="宋体" w:cs="Times New Roman"/>
                      <w:color w:val="auto"/>
                      <w:sz w:val="21"/>
                      <w:szCs w:val="21"/>
                      <w:vertAlign w:val="superscript"/>
                      <w:lang w:val="en-US" w:eastAsia="zh-CN"/>
                    </w:rPr>
                    <w:t>3</w:t>
                  </w:r>
                  <w:r>
                    <w:rPr>
                      <w:rFonts w:hint="eastAsia" w:ascii="Times New Roman" w:hAnsi="Times New Roman" w:eastAsia="宋体" w:cs="Times New Roman"/>
                      <w:color w:val="auto"/>
                      <w:sz w:val="21"/>
                      <w:szCs w:val="21"/>
                      <w:lang w:val="en-US" w:eastAsia="zh-CN"/>
                    </w:rPr>
                    <w:t>，熔点-24（-11°F），</w:t>
                  </w:r>
                  <w:r>
                    <w:rPr>
                      <w:rFonts w:hint="default" w:ascii="Times New Roman" w:hAnsi="Times New Roman" w:eastAsia="宋体" w:cs="Times New Roman"/>
                      <w:color w:val="auto"/>
                      <w:sz w:val="21"/>
                      <w:szCs w:val="21"/>
                      <w:lang w:val="en-US" w:eastAsia="zh-CN"/>
                    </w:rPr>
                    <w:t>稍有氨味，具有</w:t>
                  </w:r>
                  <w:r>
                    <w:rPr>
                      <w:rFonts w:hint="eastAsia" w:cs="Times New Roman"/>
                      <w:color w:val="auto"/>
                      <w:sz w:val="21"/>
                      <w:szCs w:val="21"/>
                      <w:lang w:val="en-US" w:eastAsia="zh-CN"/>
                    </w:rPr>
                    <w:t>黏度</w:t>
                  </w:r>
                  <w:r>
                    <w:rPr>
                      <w:rFonts w:hint="default" w:ascii="Times New Roman" w:hAnsi="Times New Roman" w:eastAsia="宋体" w:cs="Times New Roman"/>
                      <w:color w:val="auto"/>
                      <w:sz w:val="21"/>
                      <w:szCs w:val="21"/>
                      <w:lang w:val="en-US" w:eastAsia="zh-CN"/>
                    </w:rPr>
                    <w:t>低，能与水混溶，溶于乙醚，丙酮及各种有机溶剂无限混溶，化学性能稳定和热稳定性好，具有极性高，挥发性低等优点。对碳钢、铝不腐蚀，对铜稍有腐蚀性。其用作正极材料的浆料溶剂。</w:t>
                  </w:r>
                </w:p>
              </w:tc>
              <w:tc>
                <w:tcPr>
                  <w:tcW w:w="2236" w:type="dxa"/>
                  <w:vAlign w:val="center"/>
                </w:tcPr>
                <w:p w14:paraId="7448000D">
                  <w:pPr>
                    <w:pStyle w:val="70"/>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易燃液体；遇明火、高温、强氧化剂可燃。LD50口</w:t>
                  </w:r>
                  <w:r>
                    <w:rPr>
                      <w:rFonts w:hint="eastAsia" w:ascii="宋体" w:hAnsi="宋体" w:eastAsia="宋体" w:cs="宋体"/>
                      <w:color w:val="auto"/>
                      <w:sz w:val="21"/>
                      <w:szCs w:val="21"/>
                    </w:rPr>
                    <w:t>服</w:t>
                  </w:r>
                  <w:r>
                    <w:rPr>
                      <w:rFonts w:hint="eastAsia" w:ascii="宋体" w:hAnsi="宋体" w:cs="宋体"/>
                      <w:color w:val="auto"/>
                      <w:sz w:val="21"/>
                      <w:szCs w:val="21"/>
                      <w:lang w:eastAsia="zh-CN"/>
                    </w:rPr>
                    <w:t>（</w:t>
                  </w:r>
                  <w:r>
                    <w:rPr>
                      <w:rFonts w:hint="eastAsia" w:ascii="宋体" w:hAnsi="宋体" w:eastAsia="宋体" w:cs="宋体"/>
                      <w:color w:val="auto"/>
                      <w:sz w:val="21"/>
                      <w:szCs w:val="21"/>
                    </w:rPr>
                    <w:t>鼠</w:t>
                  </w:r>
                  <w:r>
                    <w:rPr>
                      <w:rFonts w:hint="eastAsia" w:ascii="宋体" w:hAnsi="宋体" w:cs="宋体"/>
                      <w:color w:val="auto"/>
                      <w:sz w:val="21"/>
                      <w:szCs w:val="21"/>
                      <w:lang w:eastAsia="zh-CN"/>
                    </w:rPr>
                    <w:t>）</w:t>
                  </w:r>
                  <w:r>
                    <w:rPr>
                      <w:rFonts w:hint="eastAsia" w:ascii="宋体" w:hAnsi="宋体" w:eastAsia="宋体" w:cs="宋体"/>
                      <w:color w:val="auto"/>
                      <w:sz w:val="21"/>
                      <w:szCs w:val="21"/>
                      <w:lang w:eastAsia="zh-CN"/>
                    </w:rPr>
                    <w:t>：</w:t>
                  </w:r>
                  <w:r>
                    <w:rPr>
                      <w:rFonts w:hint="default" w:ascii="Times New Roman" w:hAnsi="Times New Roman" w:cs="Times New Roman"/>
                      <w:color w:val="auto"/>
                      <w:sz w:val="21"/>
                      <w:szCs w:val="21"/>
                    </w:rPr>
                    <w:t>3914mg/kg</w:t>
                  </w:r>
                </w:p>
                <w:p w14:paraId="73679D9D">
                  <w:pPr>
                    <w:pStyle w:val="70"/>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LD50皮</w:t>
                  </w:r>
                  <w:r>
                    <w:rPr>
                      <w:rFonts w:hint="eastAsia" w:ascii="宋体" w:hAnsi="宋体" w:eastAsia="宋体" w:cs="宋体"/>
                      <w:color w:val="auto"/>
                      <w:sz w:val="21"/>
                      <w:szCs w:val="21"/>
                    </w:rPr>
                    <w:t>肤</w:t>
                  </w:r>
                  <w:r>
                    <w:rPr>
                      <w:rFonts w:hint="eastAsia" w:ascii="宋体" w:hAnsi="宋体" w:cs="宋体"/>
                      <w:color w:val="auto"/>
                      <w:sz w:val="21"/>
                      <w:szCs w:val="21"/>
                      <w:lang w:eastAsia="zh-CN"/>
                    </w:rPr>
                    <w:t>（</w:t>
                  </w:r>
                  <w:r>
                    <w:rPr>
                      <w:rFonts w:hint="eastAsia" w:ascii="宋体" w:hAnsi="宋体" w:eastAsia="宋体" w:cs="宋体"/>
                      <w:color w:val="auto"/>
                      <w:sz w:val="21"/>
                      <w:szCs w:val="21"/>
                    </w:rPr>
                    <w:t>兔</w:t>
                  </w:r>
                  <w:r>
                    <w:rPr>
                      <w:rFonts w:hint="eastAsia" w:ascii="宋体" w:hAnsi="宋体" w:cs="宋体"/>
                      <w:color w:val="auto"/>
                      <w:sz w:val="21"/>
                      <w:szCs w:val="21"/>
                      <w:lang w:eastAsia="zh-CN"/>
                    </w:rPr>
                    <w:t>）</w:t>
                  </w:r>
                  <w:r>
                    <w:rPr>
                      <w:rFonts w:hint="eastAsia" w:ascii="Times New Roman" w:hAnsi="Times New Roman" w:eastAsia="宋体" w:cs="Times New Roman"/>
                      <w:color w:val="auto"/>
                      <w:sz w:val="21"/>
                      <w:szCs w:val="21"/>
                      <w:lang w:eastAsia="zh-CN"/>
                    </w:rPr>
                    <w:t>：</w:t>
                  </w:r>
                  <w:r>
                    <w:rPr>
                      <w:rFonts w:hint="default" w:ascii="Times New Roman" w:hAnsi="Times New Roman" w:cs="Times New Roman"/>
                      <w:color w:val="auto"/>
                      <w:sz w:val="21"/>
                      <w:szCs w:val="21"/>
                    </w:rPr>
                    <w:t>8000mg/kg</w:t>
                  </w:r>
                </w:p>
              </w:tc>
            </w:tr>
            <w:tr w14:paraId="4BDDE4F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79" w:type="dxa"/>
                  <w:vAlign w:val="center"/>
                </w:tcPr>
                <w:p w14:paraId="31BE7BAC">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6</w:t>
                  </w:r>
                </w:p>
              </w:tc>
              <w:tc>
                <w:tcPr>
                  <w:tcW w:w="1320" w:type="dxa"/>
                  <w:vAlign w:val="center"/>
                </w:tcPr>
                <w:p w14:paraId="41F9FCB9">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rPr>
                    <w:t>碳黑</w:t>
                  </w:r>
                </w:p>
              </w:tc>
              <w:tc>
                <w:tcPr>
                  <w:tcW w:w="3825" w:type="dxa"/>
                  <w:vAlign w:val="center"/>
                </w:tcPr>
                <w:p w14:paraId="0AEA142B">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CAS号1333-86-4，黑色粉末状或颗粒状，密度为1.8-2.0g/cm</w:t>
                  </w:r>
                  <w:r>
                    <w:rPr>
                      <w:rFonts w:hint="eastAsia" w:ascii="Times New Roman" w:hAnsi="Times New Roman" w:eastAsia="宋体" w:cs="Times New Roman"/>
                      <w:color w:val="auto"/>
                      <w:sz w:val="21"/>
                      <w:szCs w:val="21"/>
                      <w:vertAlign w:val="superscript"/>
                      <w:lang w:val="en-US" w:eastAsia="zh-CN"/>
                    </w:rPr>
                    <w:t>3</w:t>
                  </w:r>
                  <w:r>
                    <w:rPr>
                      <w:rFonts w:hint="eastAsia" w:ascii="Times New Roman" w:hAnsi="Times New Roman" w:eastAsia="宋体" w:cs="Times New Roman"/>
                      <w:color w:val="auto"/>
                      <w:sz w:val="21"/>
                      <w:szCs w:val="21"/>
                      <w:lang w:val="en-US" w:eastAsia="zh-CN"/>
                    </w:rPr>
                    <w:t>，不溶于水，分解温度为400</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w:t>
                  </w:r>
                </w:p>
              </w:tc>
              <w:tc>
                <w:tcPr>
                  <w:tcW w:w="2236" w:type="dxa"/>
                  <w:vAlign w:val="center"/>
                </w:tcPr>
                <w:p w14:paraId="19342EF8">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72ABCF1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79" w:type="dxa"/>
                  <w:vAlign w:val="center"/>
                </w:tcPr>
                <w:p w14:paraId="32F7D6B5">
                  <w:pPr>
                    <w:pStyle w:val="70"/>
                    <w:spacing w:line="240" w:lineRule="auto"/>
                    <w:jc w:val="center"/>
                    <w:rPr>
                      <w:rFonts w:hint="default" w:cs="Times New Roman"/>
                      <w:color w:val="auto"/>
                      <w:sz w:val="21"/>
                      <w:szCs w:val="21"/>
                      <w:lang w:val="en-US" w:eastAsia="zh-CN"/>
                    </w:rPr>
                  </w:pPr>
                  <w:r>
                    <w:rPr>
                      <w:rFonts w:hint="eastAsia" w:cs="Times New Roman"/>
                      <w:color w:val="auto"/>
                      <w:sz w:val="21"/>
                      <w:szCs w:val="21"/>
                      <w:lang w:val="en-US" w:eastAsia="zh-CN"/>
                    </w:rPr>
                    <w:t>7</w:t>
                  </w:r>
                </w:p>
              </w:tc>
              <w:tc>
                <w:tcPr>
                  <w:tcW w:w="1320" w:type="dxa"/>
                  <w:vAlign w:val="center"/>
                </w:tcPr>
                <w:p w14:paraId="63609855">
                  <w:pPr>
                    <w:pStyle w:val="70"/>
                    <w:spacing w:line="240" w:lineRule="auto"/>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勃姆石</w:t>
                  </w:r>
                </w:p>
              </w:tc>
              <w:tc>
                <w:tcPr>
                  <w:tcW w:w="3825" w:type="dxa"/>
                  <w:vAlign w:val="center"/>
                </w:tcPr>
                <w:p w14:paraId="033D2805">
                  <w:pPr>
                    <w:pStyle w:val="70"/>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化学式为Al</w:t>
                  </w:r>
                  <w:r>
                    <w:rPr>
                      <w:rFonts w:hint="eastAsia" w:ascii="Times New Roman" w:hAnsi="Times New Roman" w:eastAsia="宋体" w:cs="Times New Roman"/>
                      <w:color w:val="auto"/>
                      <w:sz w:val="21"/>
                      <w:szCs w:val="21"/>
                      <w:vertAlign w:val="subscript"/>
                      <w:lang w:val="en-US" w:eastAsia="zh-CN"/>
                    </w:rPr>
                    <w:t>2</w:t>
                  </w:r>
                  <w:r>
                    <w:rPr>
                      <w:rFonts w:hint="eastAsia" w:ascii="Times New Roman" w:hAnsi="Times New Roman" w:eastAsia="宋体" w:cs="Times New Roman"/>
                      <w:color w:val="auto"/>
                      <w:sz w:val="21"/>
                      <w:szCs w:val="21"/>
                      <w:lang w:val="en-US" w:eastAsia="zh-CN"/>
                    </w:rPr>
                    <w:t>O</w:t>
                  </w:r>
                  <w:r>
                    <w:rPr>
                      <w:rFonts w:hint="eastAsia" w:ascii="Times New Roman" w:hAnsi="Times New Roman" w:eastAsia="宋体" w:cs="Times New Roman"/>
                      <w:color w:val="auto"/>
                      <w:sz w:val="21"/>
                      <w:szCs w:val="21"/>
                      <w:vertAlign w:val="subscript"/>
                      <w:lang w:val="en-US" w:eastAsia="zh-CN"/>
                    </w:rPr>
                    <w:t>3</w:t>
                  </w:r>
                  <w:r>
                    <w:rPr>
                      <w:rFonts w:hint="eastAsia" w:ascii="Times New Roman" w:hAnsi="Times New Roman" w:eastAsia="宋体" w:cs="Times New Roman"/>
                      <w:color w:val="auto"/>
                      <w:sz w:val="21"/>
                      <w:szCs w:val="21"/>
                      <w:lang w:val="en-US" w:eastAsia="zh-CN"/>
                    </w:rPr>
                    <w:t>·H</w:t>
                  </w:r>
                  <w:r>
                    <w:rPr>
                      <w:rFonts w:hint="eastAsia" w:ascii="Times New Roman" w:hAnsi="Times New Roman" w:eastAsia="宋体" w:cs="Times New Roman"/>
                      <w:color w:val="auto"/>
                      <w:sz w:val="21"/>
                      <w:szCs w:val="21"/>
                      <w:vertAlign w:val="subscript"/>
                      <w:lang w:val="en-US" w:eastAsia="zh-CN"/>
                    </w:rPr>
                    <w:t>2</w:t>
                  </w:r>
                  <w:r>
                    <w:rPr>
                      <w:rFonts w:hint="eastAsia" w:ascii="Times New Roman" w:hAnsi="Times New Roman" w:eastAsia="宋体" w:cs="Times New Roman"/>
                      <w:color w:val="auto"/>
                      <w:sz w:val="21"/>
                      <w:szCs w:val="21"/>
                      <w:lang w:val="en-US" w:eastAsia="zh-CN"/>
                    </w:rPr>
                    <w:t>O，结构式为AlO</w:t>
                  </w:r>
                  <w:r>
                    <w:rPr>
                      <w:rFonts w:hint="eastAsia" w:ascii="宋体" w:hAnsi="宋体" w:cs="宋体"/>
                      <w:color w:val="auto"/>
                      <w:sz w:val="21"/>
                      <w:szCs w:val="21"/>
                      <w:lang w:val="en-US" w:eastAsia="zh-CN"/>
                    </w:rPr>
                    <w:t>（</w:t>
                  </w:r>
                  <w:r>
                    <w:rPr>
                      <w:rFonts w:hint="eastAsia" w:ascii="Times New Roman" w:hAnsi="Times New Roman" w:eastAsia="宋体" w:cs="Times New Roman"/>
                      <w:color w:val="auto"/>
                      <w:sz w:val="21"/>
                      <w:szCs w:val="21"/>
                      <w:lang w:val="en-US" w:eastAsia="zh-CN"/>
                    </w:rPr>
                    <w:t>OH</w:t>
                  </w:r>
                  <w:r>
                    <w:rPr>
                      <w:rFonts w:hint="eastAsia" w:cs="Times New Roman"/>
                      <w:color w:val="auto"/>
                      <w:sz w:val="21"/>
                      <w:szCs w:val="21"/>
                      <w:lang w:val="en-US" w:eastAsia="zh-CN"/>
                    </w:rPr>
                    <w:t>）</w:t>
                  </w:r>
                  <w:r>
                    <w:rPr>
                      <w:rFonts w:hint="eastAsia" w:ascii="宋体" w:hAnsi="宋体" w:eastAsia="宋体" w:cs="宋体"/>
                      <w:color w:val="auto"/>
                      <w:sz w:val="21"/>
                      <w:szCs w:val="21"/>
                      <w:lang w:val="en-US" w:eastAsia="zh-CN"/>
                    </w:rPr>
                    <w:t>，晶体</w:t>
                  </w:r>
                  <w:r>
                    <w:rPr>
                      <w:rFonts w:hint="eastAsia" w:ascii="Times New Roman" w:hAnsi="Times New Roman" w:eastAsia="宋体" w:cs="Times New Roman"/>
                      <w:color w:val="auto"/>
                      <w:sz w:val="21"/>
                      <w:szCs w:val="21"/>
                      <w:lang w:val="en-US" w:eastAsia="zh-CN"/>
                    </w:rPr>
                    <w:t>属</w:t>
                  </w:r>
                  <w:r>
                    <w:rPr>
                      <w:rFonts w:hint="default" w:ascii="Times New Roman" w:hAnsi="Times New Roman" w:eastAsia="宋体" w:cs="Times New Roman"/>
                      <w:color w:val="auto"/>
                      <w:sz w:val="21"/>
                      <w:szCs w:val="21"/>
                      <w:lang w:val="en-US" w:eastAsia="zh-CN"/>
                    </w:rPr>
                    <w:fldChar w:fldCharType="begin"/>
                  </w:r>
                  <w:r>
                    <w:rPr>
                      <w:rFonts w:hint="default" w:ascii="Times New Roman" w:hAnsi="Times New Roman" w:eastAsia="宋体" w:cs="Times New Roman"/>
                      <w:color w:val="auto"/>
                      <w:sz w:val="21"/>
                      <w:szCs w:val="21"/>
                      <w:lang w:val="en-US" w:eastAsia="zh-CN"/>
                    </w:rPr>
                    <w:instrText xml:space="preserve"> HYPERLINK "https://baike.baidu.com/item/%E6%96%9C%E6%96%B9%E6%99%B6%E7%B3%BB/9647432?fromModule=lemma_inlink" \t "https://baike.baidu.com/item/%E5%81%8F%E6%B0%A2%E6%B0%A7%E5%8C%96%E9%93%9D/_blank" </w:instrText>
                  </w:r>
                  <w:r>
                    <w:rPr>
                      <w:rFonts w:hint="default" w:ascii="Times New Roman" w:hAnsi="Times New Roman" w:eastAsia="宋体" w:cs="Times New Roman"/>
                      <w:color w:val="auto"/>
                      <w:sz w:val="21"/>
                      <w:szCs w:val="21"/>
                      <w:lang w:val="en-US" w:eastAsia="zh-CN"/>
                    </w:rPr>
                    <w:fldChar w:fldCharType="separate"/>
                  </w:r>
                  <w:r>
                    <w:rPr>
                      <w:rFonts w:hint="default" w:ascii="Times New Roman" w:hAnsi="Times New Roman" w:eastAsia="宋体" w:cs="Times New Roman"/>
                      <w:color w:val="auto"/>
                      <w:sz w:val="21"/>
                      <w:szCs w:val="21"/>
                      <w:lang w:val="en-US" w:eastAsia="zh-CN"/>
                    </w:rPr>
                    <w:t>斜方晶系</w:t>
                  </w:r>
                  <w:r>
                    <w:rPr>
                      <w:rFonts w:hint="default" w:ascii="Times New Roman" w:hAnsi="Times New Roman" w:eastAsia="宋体" w:cs="Times New Roman"/>
                      <w:color w:val="auto"/>
                      <w:sz w:val="21"/>
                      <w:szCs w:val="21"/>
                      <w:lang w:val="en-US" w:eastAsia="zh-CN"/>
                    </w:rPr>
                    <w:fldChar w:fldCharType="end"/>
                  </w:r>
                  <w:r>
                    <w:rPr>
                      <w:rFonts w:hint="default" w:ascii="Times New Roman" w:hAnsi="Times New Roman" w:eastAsia="宋体" w:cs="Times New Roman"/>
                      <w:color w:val="auto"/>
                      <w:sz w:val="21"/>
                      <w:szCs w:val="21"/>
                      <w:lang w:val="en-US" w:eastAsia="zh-CN"/>
                    </w:rPr>
                    <w:t>，常见菱形体、针状或纤维状形态。其常含Fe</w:t>
                  </w:r>
                  <w:r>
                    <w:rPr>
                      <w:rFonts w:hint="eastAsia" w:ascii="Times New Roman" w:hAnsi="Times New Roman" w:eastAsia="宋体" w:cs="Times New Roman"/>
                      <w:color w:val="auto"/>
                      <w:sz w:val="21"/>
                      <w:szCs w:val="21"/>
                      <w:vertAlign w:val="subscript"/>
                      <w:lang w:val="en-US" w:eastAsia="zh-CN"/>
                    </w:rPr>
                    <w:t>2</w:t>
                  </w:r>
                  <w:r>
                    <w:rPr>
                      <w:rFonts w:hint="default" w:ascii="Times New Roman" w:hAnsi="Times New Roman" w:eastAsia="宋体" w:cs="Times New Roman"/>
                      <w:color w:val="auto"/>
                      <w:sz w:val="21"/>
                      <w:szCs w:val="21"/>
                      <w:lang w:val="en-US" w:eastAsia="zh-CN"/>
                    </w:rPr>
                    <w:t>O</w:t>
                  </w:r>
                  <w:r>
                    <w:rPr>
                      <w:rFonts w:hint="eastAsia" w:ascii="Times New Roman" w:hAnsi="Times New Roman" w:eastAsia="宋体" w:cs="Times New Roman"/>
                      <w:color w:val="auto"/>
                      <w:sz w:val="21"/>
                      <w:szCs w:val="21"/>
                      <w:vertAlign w:val="subscript"/>
                      <w:lang w:val="en-US" w:eastAsia="zh-CN"/>
                    </w:rPr>
                    <w:t>3</w:t>
                  </w:r>
                  <w:r>
                    <w:rPr>
                      <w:rFonts w:hint="default" w:ascii="Times New Roman" w:hAnsi="Times New Roman" w:eastAsia="宋体" w:cs="Times New Roman"/>
                      <w:color w:val="auto"/>
                      <w:sz w:val="21"/>
                      <w:szCs w:val="21"/>
                      <w:lang w:val="en-US" w:eastAsia="zh-CN"/>
                    </w:rPr>
                    <w:t>、TiO</w:t>
                  </w:r>
                  <w:r>
                    <w:rPr>
                      <w:rFonts w:hint="eastAsia" w:ascii="Times New Roman" w:hAnsi="Times New Roman" w:eastAsia="宋体" w:cs="Times New Roman"/>
                      <w:color w:val="auto"/>
                      <w:sz w:val="21"/>
                      <w:szCs w:val="21"/>
                      <w:vertAlign w:val="subscript"/>
                      <w:lang w:val="en-US" w:eastAsia="zh-CN"/>
                    </w:rPr>
                    <w:t>2</w:t>
                  </w:r>
                  <w:r>
                    <w:rPr>
                      <w:rFonts w:hint="default" w:ascii="Times New Roman" w:hAnsi="Times New Roman" w:eastAsia="宋体" w:cs="Times New Roman"/>
                      <w:color w:val="auto"/>
                      <w:sz w:val="21"/>
                      <w:szCs w:val="21"/>
                      <w:lang w:val="en-US" w:eastAsia="zh-CN"/>
                    </w:rPr>
                    <w:t>等类质同象成分，可溶于酸碱，主要赋存于沉积铝土矿中，与</w:t>
                  </w:r>
                  <w:r>
                    <w:rPr>
                      <w:rFonts w:hint="default" w:ascii="Times New Roman" w:hAnsi="Times New Roman" w:eastAsia="宋体" w:cs="Times New Roman"/>
                      <w:color w:val="auto"/>
                      <w:sz w:val="21"/>
                      <w:szCs w:val="21"/>
                      <w:lang w:val="en-US" w:eastAsia="zh-CN"/>
                    </w:rPr>
                    <w:fldChar w:fldCharType="begin"/>
                  </w:r>
                  <w:r>
                    <w:rPr>
                      <w:rFonts w:hint="default" w:ascii="Times New Roman" w:hAnsi="Times New Roman" w:eastAsia="宋体" w:cs="Times New Roman"/>
                      <w:color w:val="auto"/>
                      <w:sz w:val="21"/>
                      <w:szCs w:val="21"/>
                      <w:lang w:val="en-US" w:eastAsia="zh-CN"/>
                    </w:rPr>
                    <w:instrText xml:space="preserve"> HYPERLINK "https://baike.baidu.com/item/%E8%8F%B1%E9%93%81%E7%9F%BF/442347?fromModule=lemma_inlink" \t "https://baike.baidu.com/item/%E5%81%8F%E6%B0%A2%E6%B0%A7%E5%8C%96%E9%93%9D/_blank" </w:instrText>
                  </w:r>
                  <w:r>
                    <w:rPr>
                      <w:rFonts w:hint="default" w:ascii="Times New Roman" w:hAnsi="Times New Roman" w:eastAsia="宋体" w:cs="Times New Roman"/>
                      <w:color w:val="auto"/>
                      <w:sz w:val="21"/>
                      <w:szCs w:val="21"/>
                      <w:lang w:val="en-US" w:eastAsia="zh-CN"/>
                    </w:rPr>
                    <w:fldChar w:fldCharType="separate"/>
                  </w:r>
                  <w:r>
                    <w:rPr>
                      <w:rFonts w:hint="default" w:ascii="Times New Roman" w:hAnsi="Times New Roman" w:eastAsia="宋体" w:cs="Times New Roman"/>
                      <w:color w:val="auto"/>
                      <w:sz w:val="21"/>
                      <w:szCs w:val="21"/>
                      <w:lang w:val="en-US" w:eastAsia="zh-CN"/>
                    </w:rPr>
                    <w:t>菱铁矿</w:t>
                  </w:r>
                  <w:r>
                    <w:rPr>
                      <w:rFonts w:hint="default" w:ascii="Times New Roman" w:hAnsi="Times New Roman" w:eastAsia="宋体" w:cs="Times New Roman"/>
                      <w:color w:val="auto"/>
                      <w:sz w:val="21"/>
                      <w:szCs w:val="21"/>
                      <w:lang w:val="en-US" w:eastAsia="zh-CN"/>
                    </w:rPr>
                    <w:fldChar w:fldCharType="end"/>
                  </w:r>
                  <w:r>
                    <w:rPr>
                      <w:rFonts w:hint="default" w:ascii="Times New Roman" w:hAnsi="Times New Roman" w:eastAsia="宋体" w:cs="Times New Roman"/>
                      <w:color w:val="auto"/>
                      <w:sz w:val="21"/>
                      <w:szCs w:val="21"/>
                      <w:lang w:val="en-US" w:eastAsia="zh-CN"/>
                    </w:rPr>
                    <w:t>共生。</w:t>
                  </w:r>
                </w:p>
              </w:tc>
              <w:tc>
                <w:tcPr>
                  <w:tcW w:w="2236" w:type="dxa"/>
                  <w:vAlign w:val="center"/>
                </w:tcPr>
                <w:p w14:paraId="060D21EE">
                  <w:pPr>
                    <w:pStyle w:val="70"/>
                    <w:spacing w:line="240" w:lineRule="auto"/>
                    <w:jc w:val="center"/>
                    <w:rPr>
                      <w:rFonts w:hint="default" w:cs="Times New Roman"/>
                      <w:color w:val="auto"/>
                      <w:sz w:val="21"/>
                      <w:szCs w:val="21"/>
                      <w:lang w:val="en-US" w:eastAsia="zh-CN"/>
                    </w:rPr>
                  </w:pPr>
                  <w:r>
                    <w:rPr>
                      <w:rFonts w:hint="eastAsia" w:cs="Times New Roman"/>
                      <w:color w:val="auto"/>
                      <w:sz w:val="21"/>
                      <w:szCs w:val="21"/>
                      <w:lang w:val="en-US" w:eastAsia="zh-CN"/>
                    </w:rPr>
                    <w:t>/</w:t>
                  </w:r>
                </w:p>
              </w:tc>
            </w:tr>
            <w:tr w14:paraId="4FE710C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79" w:type="dxa"/>
                  <w:vAlign w:val="center"/>
                </w:tcPr>
                <w:p w14:paraId="767D82DB">
                  <w:pPr>
                    <w:pStyle w:val="70"/>
                    <w:spacing w:line="240" w:lineRule="auto"/>
                    <w:jc w:val="center"/>
                    <w:rPr>
                      <w:rFonts w:hint="default" w:cs="Times New Roman"/>
                      <w:color w:val="auto"/>
                      <w:sz w:val="21"/>
                      <w:szCs w:val="21"/>
                      <w:lang w:val="en-US" w:eastAsia="zh-CN"/>
                    </w:rPr>
                  </w:pPr>
                  <w:r>
                    <w:rPr>
                      <w:rFonts w:hint="eastAsia" w:cs="Times New Roman"/>
                      <w:color w:val="auto"/>
                      <w:sz w:val="21"/>
                      <w:szCs w:val="21"/>
                      <w:lang w:val="en-US" w:eastAsia="zh-CN"/>
                    </w:rPr>
                    <w:t>8</w:t>
                  </w:r>
                </w:p>
              </w:tc>
              <w:tc>
                <w:tcPr>
                  <w:tcW w:w="1320" w:type="dxa"/>
                  <w:vAlign w:val="center"/>
                </w:tcPr>
                <w:p w14:paraId="0993D0C4">
                  <w:pPr>
                    <w:pStyle w:val="70"/>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聚酰亚胺</w:t>
                  </w:r>
                </w:p>
              </w:tc>
              <w:tc>
                <w:tcPr>
                  <w:tcW w:w="3825" w:type="dxa"/>
                  <w:vAlign w:val="center"/>
                </w:tcPr>
                <w:p w14:paraId="498A1632">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是一类主链中含有酰亚胺环（-CO-NR-CO-）结构单元的高性能有机高分子材料，通常由芳香族二酐与二胺单体通过缩聚反应制得</w:t>
                  </w:r>
                  <w:r>
                    <w:rPr>
                      <w:rFonts w:hint="default" w:ascii="Times New Roman" w:hAnsi="Times New Roman" w:eastAsia="宋体" w:cs="Times New Roman"/>
                      <w:color w:val="auto"/>
                      <w:sz w:val="21"/>
                      <w:szCs w:val="21"/>
                      <w:lang w:val="en-US" w:eastAsia="zh-CN"/>
                    </w:rPr>
                    <w:t>。聚酰亚胺具有优异的热稳定性和化学稳定性，是目前耐热性能最突出的工程塑料之一，在较宽温度范围内仍能保持良好的力学性能和电绝缘性能，因此被广泛应用于高端材料领域。</w:t>
                  </w:r>
                  <w:r>
                    <w:rPr>
                      <w:rFonts w:hint="eastAsia" w:ascii="Times New Roman" w:hAnsi="Times New Roman" w:eastAsia="宋体" w:cs="Times New Roman"/>
                      <w:color w:val="auto"/>
                      <w:sz w:val="21"/>
                      <w:szCs w:val="21"/>
                      <w:lang w:val="en-US" w:eastAsia="zh-CN"/>
                    </w:rPr>
                    <w:t>其浆料包含9</w:t>
                  </w:r>
                  <w:r>
                    <w:rPr>
                      <w:rFonts w:hint="eastAsia" w:cs="Times New Roman"/>
                      <w:color w:val="auto"/>
                      <w:sz w:val="21"/>
                      <w:szCs w:val="21"/>
                      <w:lang w:val="en-US" w:eastAsia="zh-CN"/>
                    </w:rPr>
                    <w:t>2</w:t>
                  </w:r>
                  <w:r>
                    <w:rPr>
                      <w:rFonts w:hint="eastAsia" w:ascii="Times New Roman" w:hAnsi="Times New Roman" w:eastAsia="宋体" w:cs="Times New Roman"/>
                      <w:color w:val="auto"/>
                      <w:sz w:val="21"/>
                      <w:szCs w:val="21"/>
                      <w:lang w:val="en-US" w:eastAsia="zh-CN"/>
                    </w:rPr>
                    <w:t>%NMP，其余为聚酰亚胺。</w:t>
                  </w:r>
                </w:p>
              </w:tc>
              <w:tc>
                <w:tcPr>
                  <w:tcW w:w="2236" w:type="dxa"/>
                  <w:vAlign w:val="center"/>
                </w:tcPr>
                <w:p w14:paraId="7874C1CA">
                  <w:pPr>
                    <w:pStyle w:val="70"/>
                    <w:spacing w:line="240" w:lineRule="auto"/>
                    <w:jc w:val="center"/>
                    <w:rPr>
                      <w:rFonts w:hint="default" w:cs="Times New Roman"/>
                      <w:color w:val="auto"/>
                      <w:sz w:val="21"/>
                      <w:szCs w:val="21"/>
                      <w:lang w:val="en-US" w:eastAsia="zh-CN"/>
                    </w:rPr>
                  </w:pPr>
                  <w:r>
                    <w:rPr>
                      <w:rFonts w:hint="eastAsia" w:cs="Times New Roman"/>
                      <w:color w:val="auto"/>
                      <w:sz w:val="21"/>
                      <w:szCs w:val="21"/>
                      <w:lang w:val="en-US" w:eastAsia="zh-CN"/>
                    </w:rPr>
                    <w:t>/</w:t>
                  </w:r>
                </w:p>
              </w:tc>
            </w:tr>
            <w:tr w14:paraId="4F56BEE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03" w:hRule="atLeast"/>
              </w:trPr>
              <w:tc>
                <w:tcPr>
                  <w:tcW w:w="379" w:type="dxa"/>
                  <w:vAlign w:val="center"/>
                </w:tcPr>
                <w:p w14:paraId="49A33618">
                  <w:pPr>
                    <w:pStyle w:val="70"/>
                    <w:spacing w:line="240" w:lineRule="auto"/>
                    <w:jc w:val="center"/>
                    <w:rPr>
                      <w:rFonts w:hint="default" w:cs="Times New Roman"/>
                      <w:color w:val="auto"/>
                      <w:sz w:val="21"/>
                      <w:szCs w:val="21"/>
                      <w:lang w:val="en-US" w:eastAsia="zh-CN"/>
                    </w:rPr>
                  </w:pPr>
                  <w:r>
                    <w:rPr>
                      <w:rFonts w:hint="eastAsia" w:cs="Times New Roman"/>
                      <w:color w:val="auto"/>
                      <w:sz w:val="21"/>
                      <w:szCs w:val="21"/>
                      <w:lang w:val="en-US" w:eastAsia="zh-CN"/>
                    </w:rPr>
                    <w:t>9</w:t>
                  </w:r>
                </w:p>
              </w:tc>
              <w:tc>
                <w:tcPr>
                  <w:tcW w:w="1320" w:type="dxa"/>
                  <w:vAlign w:val="center"/>
                </w:tcPr>
                <w:p w14:paraId="63D95351">
                  <w:pPr>
                    <w:pStyle w:val="70"/>
                    <w:spacing w:line="240" w:lineRule="auto"/>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碳纳米管（CNT）</w:t>
                  </w:r>
                </w:p>
              </w:tc>
              <w:tc>
                <w:tcPr>
                  <w:tcW w:w="3825" w:type="dxa"/>
                  <w:vAlign w:val="center"/>
                </w:tcPr>
                <w:p w14:paraId="0E66E95C">
                  <w:pPr>
                    <w:pStyle w:val="70"/>
                    <w:spacing w:line="240" w:lineRule="auto"/>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在锂离子电池生产中，CNT因其优异的导电性、力学强度和独特的一维结构，被广泛应用于提升电极性能、增强电池能量密度和循环寿命。可替代或与炭黑（SP）复配，构建高效三维导电网络，降低电极内阻。</w:t>
                  </w:r>
                  <w:r>
                    <w:rPr>
                      <w:rFonts w:hint="eastAsia" w:ascii="Times New Roman" w:hAnsi="Times New Roman" w:eastAsia="宋体" w:cs="Times New Roman"/>
                      <w:color w:val="auto"/>
                      <w:sz w:val="21"/>
                      <w:szCs w:val="21"/>
                      <w:lang w:val="en-US" w:eastAsia="zh-CN"/>
                    </w:rPr>
                    <w:t>其浆料包含95%NMP，其余为碳纳米管。</w:t>
                  </w:r>
                </w:p>
              </w:tc>
              <w:tc>
                <w:tcPr>
                  <w:tcW w:w="2236" w:type="dxa"/>
                  <w:vAlign w:val="center"/>
                </w:tcPr>
                <w:p w14:paraId="4F4FB13E">
                  <w:pPr>
                    <w:pStyle w:val="70"/>
                    <w:spacing w:line="240" w:lineRule="auto"/>
                    <w:jc w:val="center"/>
                    <w:rPr>
                      <w:rFonts w:hint="eastAsia" w:cs="Times New Roman"/>
                      <w:color w:val="auto"/>
                      <w:sz w:val="21"/>
                      <w:szCs w:val="21"/>
                      <w:lang w:val="en-US" w:eastAsia="zh-CN"/>
                    </w:rPr>
                  </w:pPr>
                  <w:r>
                    <w:rPr>
                      <w:rFonts w:hint="eastAsia" w:cs="Times New Roman"/>
                      <w:color w:val="auto"/>
                      <w:sz w:val="21"/>
                      <w:szCs w:val="21"/>
                      <w:lang w:val="en-US" w:eastAsia="zh-CN"/>
                    </w:rPr>
                    <w:t>/</w:t>
                  </w:r>
                </w:p>
              </w:tc>
            </w:tr>
            <w:tr w14:paraId="1351187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79" w:type="dxa"/>
                  <w:vAlign w:val="center"/>
                </w:tcPr>
                <w:p w14:paraId="43B20D09">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10</w:t>
                  </w:r>
                </w:p>
              </w:tc>
              <w:tc>
                <w:tcPr>
                  <w:tcW w:w="1320" w:type="dxa"/>
                  <w:vAlign w:val="center"/>
                </w:tcPr>
                <w:p w14:paraId="4B1E910D">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丁苯橡胶（SBR）</w:t>
                  </w:r>
                </w:p>
              </w:tc>
              <w:tc>
                <w:tcPr>
                  <w:tcW w:w="3825" w:type="dxa"/>
                  <w:vAlign w:val="center"/>
                </w:tcPr>
                <w:p w14:paraId="22C985FE">
                  <w:pPr>
                    <w:pStyle w:val="70"/>
                    <w:spacing w:line="240" w:lineRule="auto"/>
                    <w:jc w:val="center"/>
                    <w:rPr>
                      <w:rFonts w:hint="eastAsia"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又称聚苯乙烯丁二烯共聚物</w:t>
                  </w:r>
                  <w:r>
                    <w:rPr>
                      <w:rFonts w:hint="eastAsia" w:ascii="宋体" w:hAnsi="宋体" w:eastAsia="宋体"/>
                      <w:color w:val="auto"/>
                      <w:sz w:val="21"/>
                      <w:szCs w:val="21"/>
                      <w:lang w:eastAsia="zh-CN"/>
                    </w:rPr>
                    <w:t>，</w:t>
                  </w:r>
                  <w:r>
                    <w:rPr>
                      <w:rFonts w:hint="eastAsia" w:ascii="宋体" w:hAnsi="宋体" w:eastAsia="宋体"/>
                      <w:color w:val="auto"/>
                      <w:sz w:val="21"/>
                      <w:szCs w:val="21"/>
                      <w:lang w:val="en-US" w:eastAsia="zh-CN"/>
                    </w:rPr>
                    <w:t>化学式为</w:t>
                  </w:r>
                  <w:r>
                    <w:rPr>
                      <w:rFonts w:hint="default" w:ascii="Times New Roman" w:hAnsi="Times New Roman" w:eastAsia="宋体" w:cs="Times New Roman"/>
                      <w:color w:val="auto"/>
                      <w:sz w:val="21"/>
                      <w:szCs w:val="21"/>
                      <w:lang w:val="en-US" w:eastAsia="zh-CN"/>
                    </w:rPr>
                    <w:t>C</w:t>
                  </w:r>
                  <w:r>
                    <w:rPr>
                      <w:rFonts w:hint="default" w:ascii="Times New Roman" w:hAnsi="Times New Roman" w:eastAsia="宋体" w:cs="Times New Roman"/>
                      <w:color w:val="auto"/>
                      <w:sz w:val="21"/>
                      <w:szCs w:val="21"/>
                      <w:vertAlign w:val="subscript"/>
                      <w:lang w:val="en-US" w:eastAsia="zh-CN"/>
                    </w:rPr>
                    <w:t>12</w:t>
                  </w:r>
                  <w:r>
                    <w:rPr>
                      <w:rFonts w:hint="default" w:ascii="Times New Roman" w:hAnsi="Times New Roman" w:eastAsia="宋体" w:cs="Times New Roman"/>
                      <w:color w:val="auto"/>
                      <w:sz w:val="21"/>
                      <w:szCs w:val="21"/>
                      <w:lang w:val="en-US" w:eastAsia="zh-CN"/>
                    </w:rPr>
                    <w:t>H</w:t>
                  </w:r>
                  <w:r>
                    <w:rPr>
                      <w:rFonts w:hint="default" w:ascii="Times New Roman" w:hAnsi="Times New Roman" w:eastAsia="宋体" w:cs="Times New Roman"/>
                      <w:color w:val="auto"/>
                      <w:sz w:val="21"/>
                      <w:szCs w:val="21"/>
                      <w:vertAlign w:val="subscript"/>
                      <w:lang w:val="en-US" w:eastAsia="zh-CN"/>
                    </w:rPr>
                    <w:t>14</w:t>
                  </w:r>
                  <w:r>
                    <w:rPr>
                      <w:rFonts w:hint="eastAsia" w:ascii="Times New Roman" w:hAnsi="Times New Roman" w:eastAsia="宋体" w:cs="Times New Roman"/>
                      <w:color w:val="auto"/>
                      <w:sz w:val="21"/>
                      <w:szCs w:val="21"/>
                      <w:vertAlign w:val="baseline"/>
                      <w:lang w:val="en-US" w:eastAsia="zh-CN"/>
                    </w:rPr>
                    <w:t>，CAS号9003-55-8，密度</w:t>
                  </w:r>
                  <w:r>
                    <w:rPr>
                      <w:rFonts w:hint="eastAsia" w:ascii="宋体" w:hAnsi="宋体" w:eastAsia="宋体" w:cs="Times New Roman"/>
                      <w:color w:val="auto"/>
                      <w:sz w:val="21"/>
                      <w:szCs w:val="21"/>
                      <w:lang w:val="en-US" w:eastAsia="zh-CN"/>
                    </w:rPr>
                    <w:t>为</w:t>
                  </w:r>
                  <w:r>
                    <w:rPr>
                      <w:rFonts w:hint="default" w:ascii="Times New Roman" w:hAnsi="Times New Roman" w:eastAsia="宋体" w:cs="Times New Roman"/>
                      <w:color w:val="auto"/>
                      <w:sz w:val="21"/>
                      <w:szCs w:val="21"/>
                      <w:lang w:val="en-US" w:eastAsia="zh-CN"/>
                    </w:rPr>
                    <w:t>1.04g/mL</w:t>
                  </w:r>
                  <w:r>
                    <w:rPr>
                      <w:rFonts w:hint="eastAsia" w:ascii="Times New Roman" w:hAnsi="Times New Roman" w:eastAsia="宋体" w:cs="Times New Roman"/>
                      <w:color w:val="auto"/>
                      <w:sz w:val="21"/>
                      <w:szCs w:val="21"/>
                      <w:lang w:val="en-US" w:eastAsia="zh-CN"/>
                    </w:rPr>
                    <w:t>，</w:t>
                  </w:r>
                  <w:r>
                    <w:rPr>
                      <w:rFonts w:hint="default" w:ascii="Times New Roman" w:hAnsi="Times New Roman" w:cs="Times New Roman"/>
                      <w:color w:val="auto"/>
                      <w:sz w:val="21"/>
                      <w:szCs w:val="21"/>
                    </w:rPr>
                    <w:t>热分解温度</w:t>
                  </w:r>
                  <w:r>
                    <w:rPr>
                      <w:rFonts w:hint="default" w:ascii="Times New Roman" w:hAnsi="Times New Roman" w:cs="Times New Roman"/>
                      <w:color w:val="auto"/>
                      <w:sz w:val="21"/>
                      <w:szCs w:val="21"/>
                      <w:lang w:val="en-US" w:eastAsia="zh-CN"/>
                    </w:rPr>
                    <w:t>18</w:t>
                  </w:r>
                  <w:r>
                    <w:rPr>
                      <w:rFonts w:hint="default" w:ascii="Times New Roman" w:hAnsi="Times New Roman" w:cs="Times New Roman"/>
                      <w:color w:val="auto"/>
                      <w:sz w:val="21"/>
                      <w:szCs w:val="21"/>
                    </w:rPr>
                    <w:t>0℃左右，有液体状胶乳和固体状橡胶两种。</w:t>
                  </w:r>
                </w:p>
              </w:tc>
              <w:tc>
                <w:tcPr>
                  <w:tcW w:w="2236" w:type="dxa"/>
                  <w:vAlign w:val="center"/>
                </w:tcPr>
                <w:p w14:paraId="20B23E0D">
                  <w:pPr>
                    <w:pStyle w:val="70"/>
                    <w:spacing w:line="240" w:lineRule="auto"/>
                    <w:jc w:val="center"/>
                    <w:rPr>
                      <w:rFonts w:hint="default" w:cs="Times New Roman"/>
                      <w:color w:val="auto"/>
                      <w:sz w:val="21"/>
                      <w:szCs w:val="21"/>
                      <w:lang w:val="en-US" w:eastAsia="zh-CN"/>
                    </w:rPr>
                  </w:pPr>
                  <w:r>
                    <w:rPr>
                      <w:rFonts w:hint="eastAsia" w:cs="Times New Roman"/>
                      <w:color w:val="auto"/>
                      <w:sz w:val="21"/>
                      <w:szCs w:val="21"/>
                      <w:lang w:val="en-US" w:eastAsia="zh-CN"/>
                    </w:rPr>
                    <w:t>/</w:t>
                  </w:r>
                </w:p>
              </w:tc>
            </w:tr>
            <w:tr w14:paraId="3539E97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79" w:type="dxa"/>
                  <w:vAlign w:val="center"/>
                </w:tcPr>
                <w:p w14:paraId="6367C4AE">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11</w:t>
                  </w:r>
                </w:p>
              </w:tc>
              <w:tc>
                <w:tcPr>
                  <w:tcW w:w="1320" w:type="dxa"/>
                  <w:vAlign w:val="center"/>
                </w:tcPr>
                <w:p w14:paraId="7D77A49D">
                  <w:pPr>
                    <w:pStyle w:val="70"/>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羧甲基纤维素钠（CMC）</w:t>
                  </w:r>
                </w:p>
              </w:tc>
              <w:tc>
                <w:tcPr>
                  <w:tcW w:w="3825" w:type="dxa"/>
                  <w:vAlign w:val="center"/>
                </w:tcPr>
                <w:p w14:paraId="52B3E725">
                  <w:pPr>
                    <w:pStyle w:val="70"/>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CMC属阴离子型纤维素醚，为白色粉末，</w:t>
                  </w:r>
                  <w:r>
                    <w:rPr>
                      <w:rFonts w:hint="eastAsia" w:ascii="Times New Roman" w:hAnsi="Times New Roman" w:eastAsia="宋体" w:cs="Times New Roman"/>
                      <w:color w:val="auto"/>
                      <w:sz w:val="21"/>
                      <w:szCs w:val="21"/>
                      <w:lang w:val="en-US" w:eastAsia="zh-CN"/>
                    </w:rPr>
                    <w:t>比重</w:t>
                  </w:r>
                  <w:r>
                    <w:rPr>
                      <w:rFonts w:hint="default" w:ascii="Times New Roman" w:hAnsi="Times New Roman" w:eastAsia="宋体" w:cs="Times New Roman"/>
                      <w:color w:val="auto"/>
                      <w:sz w:val="21"/>
                      <w:szCs w:val="21"/>
                      <w:lang w:val="en-US" w:eastAsia="zh-CN"/>
                    </w:rPr>
                    <w:t>0.</w:t>
                  </w:r>
                  <w:r>
                    <w:rPr>
                      <w:rFonts w:hint="eastAsia" w:ascii="Times New Roman" w:hAnsi="Times New Roman" w:eastAsia="宋体" w:cs="Times New Roman"/>
                      <w:color w:val="auto"/>
                      <w:sz w:val="21"/>
                      <w:szCs w:val="21"/>
                      <w:lang w:val="en-US" w:eastAsia="zh-CN"/>
                    </w:rPr>
                    <w:t>3</w:t>
                  </w:r>
                  <w:r>
                    <w:rPr>
                      <w:rFonts w:hint="default" w:ascii="Times New Roman" w:hAnsi="Times New Roman" w:eastAsia="宋体" w:cs="Times New Roman"/>
                      <w:color w:val="auto"/>
                      <w:sz w:val="21"/>
                      <w:szCs w:val="21"/>
                      <w:lang w:val="en-US" w:eastAsia="zh-CN"/>
                    </w:rPr>
                    <w:t>-0.</w:t>
                  </w:r>
                  <w:r>
                    <w:rPr>
                      <w:rFonts w:hint="eastAsia" w:ascii="Times New Roman" w:hAnsi="Times New Roman" w:eastAsia="宋体" w:cs="Times New Roman"/>
                      <w:color w:val="auto"/>
                      <w:sz w:val="21"/>
                      <w:szCs w:val="21"/>
                      <w:lang w:val="en-US" w:eastAsia="zh-CN"/>
                    </w:rPr>
                    <w:t>8</w:t>
                  </w:r>
                  <w:r>
                    <w:rPr>
                      <w:rFonts w:hint="default" w:ascii="Times New Roman" w:hAnsi="Times New Roman" w:eastAsia="宋体" w:cs="Times New Roman"/>
                      <w:color w:val="auto"/>
                      <w:sz w:val="21"/>
                      <w:szCs w:val="21"/>
                      <w:lang w:val="en-US" w:eastAsia="zh-CN"/>
                    </w:rPr>
                    <w:t>，几乎无臭、无味，</w:t>
                  </w:r>
                  <w:r>
                    <w:rPr>
                      <w:rFonts w:hint="eastAsia" w:cs="Times New Roman"/>
                      <w:color w:val="auto"/>
                      <w:sz w:val="21"/>
                      <w:szCs w:val="21"/>
                      <w:lang w:val="en-US" w:eastAsia="zh-CN"/>
                    </w:rPr>
                    <w:t>具有</w:t>
                  </w:r>
                  <w:r>
                    <w:rPr>
                      <w:rFonts w:hint="default" w:ascii="Times New Roman" w:hAnsi="Times New Roman" w:eastAsia="宋体" w:cs="Times New Roman"/>
                      <w:color w:val="auto"/>
                      <w:sz w:val="21"/>
                      <w:szCs w:val="21"/>
                      <w:lang w:val="en-US" w:eastAsia="zh-CN"/>
                    </w:rPr>
                    <w:t>吸湿性</w:t>
                  </w:r>
                  <w:r>
                    <w:rPr>
                      <w:rFonts w:hint="eastAsia" w:ascii="Times New Roman" w:hAnsi="Times New Roman" w:eastAsia="宋体" w:cs="Times New Roman"/>
                      <w:color w:val="auto"/>
                      <w:sz w:val="21"/>
                      <w:szCs w:val="21"/>
                      <w:lang w:val="en-US" w:eastAsia="zh-CN"/>
                    </w:rPr>
                    <w:t>，易溶于水，不</w:t>
                  </w:r>
                  <w:r>
                    <w:rPr>
                      <w:rFonts w:hint="eastAsia" w:cs="Times New Roman"/>
                      <w:color w:val="auto"/>
                      <w:sz w:val="21"/>
                      <w:szCs w:val="21"/>
                      <w:lang w:val="en-US" w:eastAsia="zh-CN"/>
                    </w:rPr>
                    <w:t>溶于</w:t>
                  </w:r>
                  <w:r>
                    <w:rPr>
                      <w:rFonts w:hint="eastAsia" w:ascii="Times New Roman" w:hAnsi="Times New Roman" w:eastAsia="宋体" w:cs="Times New Roman"/>
                      <w:color w:val="auto"/>
                      <w:sz w:val="21"/>
                      <w:szCs w:val="21"/>
                      <w:lang w:val="en-US" w:eastAsia="zh-CN"/>
                    </w:rPr>
                    <w:t>有机溶剂，</w:t>
                  </w:r>
                  <w:r>
                    <w:rPr>
                      <w:rFonts w:hint="default" w:ascii="Times New Roman" w:hAnsi="Times New Roman" w:eastAsia="宋体" w:cs="Times New Roman"/>
                      <w:color w:val="auto"/>
                      <w:sz w:val="21"/>
                      <w:szCs w:val="21"/>
                      <w:lang w:val="en-US" w:eastAsia="zh-CN"/>
                    </w:rPr>
                    <w:t>1%水溶液pH为6.5～</w:t>
                  </w:r>
                  <w:r>
                    <w:rPr>
                      <w:rFonts w:hint="eastAsia" w:ascii="Times New Roman" w:hAnsi="Times New Roman" w:eastAsia="宋体" w:cs="Times New Roman"/>
                      <w:color w:val="auto"/>
                      <w:sz w:val="21"/>
                      <w:szCs w:val="21"/>
                      <w:lang w:val="en-US" w:eastAsia="zh-CN"/>
                    </w:rPr>
                    <w:t>7.</w:t>
                  </w:r>
                  <w:r>
                    <w:rPr>
                      <w:rFonts w:hint="default" w:ascii="Times New Roman" w:hAnsi="Times New Roman" w:eastAsia="宋体" w:cs="Times New Roman"/>
                      <w:color w:val="auto"/>
                      <w:sz w:val="21"/>
                      <w:szCs w:val="21"/>
                      <w:lang w:val="en-US" w:eastAsia="zh-CN"/>
                    </w:rPr>
                    <w:t>5。</w:t>
                  </w:r>
                </w:p>
              </w:tc>
              <w:tc>
                <w:tcPr>
                  <w:tcW w:w="2236" w:type="dxa"/>
                  <w:vAlign w:val="center"/>
                </w:tcPr>
                <w:p w14:paraId="4484ABFF">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72D2E67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79" w:type="dxa"/>
                  <w:vAlign w:val="center"/>
                </w:tcPr>
                <w:p w14:paraId="30525EF2">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12</w:t>
                  </w:r>
                </w:p>
              </w:tc>
              <w:tc>
                <w:tcPr>
                  <w:tcW w:w="1320" w:type="dxa"/>
                  <w:vAlign w:val="center"/>
                </w:tcPr>
                <w:p w14:paraId="2AD8345A">
                  <w:pPr>
                    <w:pStyle w:val="70"/>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电解液</w:t>
                  </w:r>
                </w:p>
              </w:tc>
              <w:tc>
                <w:tcPr>
                  <w:tcW w:w="3825" w:type="dxa"/>
                  <w:vAlign w:val="center"/>
                </w:tcPr>
                <w:p w14:paraId="199569E7">
                  <w:pPr>
                    <w:pStyle w:val="70"/>
                    <w:spacing w:line="240" w:lineRule="auto"/>
                    <w:jc w:val="both"/>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液体，主要成分为</w:t>
                  </w:r>
                  <w:r>
                    <w:rPr>
                      <w:rFonts w:hint="eastAsia" w:ascii="Times New Roman" w:hAnsi="Times New Roman" w:eastAsia="宋体" w:cs="Times New Roman"/>
                      <w:color w:val="auto"/>
                      <w:sz w:val="21"/>
                      <w:szCs w:val="21"/>
                      <w:lang w:val="en-US" w:eastAsia="zh-CN"/>
                    </w:rPr>
                    <w:t>碳酸二甲酯（0-80%）、碳酸二乙酯（0-80%）、碳酸甲乙酯（0-80%）、丙酸乙酯（0-80%）、丙酸丙酯（0-80%）、碳酸乙烯酯（0-50%）、碳酸丙烯酯（0-50%）、六氟磷酸锂（0-30%）、其他添加剂（0-20%）</w:t>
                  </w:r>
                  <w:r>
                    <w:rPr>
                      <w:rFonts w:hint="default" w:ascii="Times New Roman" w:hAnsi="Times New Roman" w:eastAsia="宋体" w:cs="Times New Roman"/>
                      <w:color w:val="auto"/>
                      <w:sz w:val="21"/>
                      <w:szCs w:val="21"/>
                      <w:lang w:val="en-US" w:eastAsia="zh-CN"/>
                    </w:rPr>
                    <w:t>，闪点</w:t>
                  </w:r>
                  <w:r>
                    <w:rPr>
                      <w:rFonts w:hint="eastAsia" w:ascii="Times New Roman" w:hAnsi="Times New Roman" w:eastAsia="宋体" w:cs="Times New Roman"/>
                      <w:color w:val="auto"/>
                      <w:sz w:val="21"/>
                      <w:szCs w:val="21"/>
                      <w:lang w:val="en-US" w:eastAsia="zh-CN"/>
                    </w:rPr>
                    <w:t>21.6</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密度</w:t>
                  </w:r>
                  <w:r>
                    <w:rPr>
                      <w:rFonts w:hint="eastAsia" w:ascii="Times New Roman" w:hAnsi="Times New Roman" w:eastAsia="宋体" w:cs="Times New Roman"/>
                      <w:color w:val="auto"/>
                      <w:sz w:val="21"/>
                      <w:szCs w:val="21"/>
                      <w:lang w:val="en-US" w:eastAsia="zh-CN"/>
                    </w:rPr>
                    <w:t>1.2</w:t>
                  </w:r>
                  <w:r>
                    <w:rPr>
                      <w:rFonts w:hint="default" w:ascii="Times New Roman" w:hAnsi="Times New Roman" w:eastAsia="宋体" w:cs="Times New Roman"/>
                      <w:color w:val="auto"/>
                      <w:sz w:val="21"/>
                      <w:szCs w:val="21"/>
                      <w:lang w:val="en-US" w:eastAsia="zh-CN"/>
                    </w:rPr>
                    <w:t>g/c</w:t>
                  </w:r>
                  <w:r>
                    <w:rPr>
                      <w:rFonts w:hint="eastAsia" w:ascii="Times New Roman" w:hAnsi="Times New Roman" w:eastAsia="宋体" w:cs="Times New Roman"/>
                      <w:color w:val="auto"/>
                      <w:sz w:val="21"/>
                      <w:szCs w:val="21"/>
                      <w:lang w:val="en-US" w:eastAsia="zh-CN"/>
                    </w:rPr>
                    <w:t>m</w:t>
                  </w:r>
                  <w:r>
                    <w:rPr>
                      <w:rFonts w:hint="eastAsia" w:ascii="Times New Roman" w:hAnsi="Times New Roman" w:eastAsia="宋体" w:cs="Times New Roman"/>
                      <w:color w:val="auto"/>
                      <w:sz w:val="21"/>
                      <w:szCs w:val="21"/>
                      <w:vertAlign w:val="superscript"/>
                      <w:lang w:val="en-US" w:eastAsia="zh-CN"/>
                    </w:rPr>
                    <w:t>3</w:t>
                  </w:r>
                  <w:r>
                    <w:rPr>
                      <w:rFonts w:hint="eastAsia" w:ascii="Times New Roman" w:hAnsi="Times New Roman" w:eastAsia="宋体" w:cs="Times New Roman"/>
                      <w:color w:val="auto"/>
                      <w:sz w:val="21"/>
                      <w:szCs w:val="21"/>
                      <w:vertAlign w:val="baseline"/>
                      <w:lang w:val="en-US" w:eastAsia="zh-CN"/>
                    </w:rPr>
                    <w:t>。</w:t>
                  </w:r>
                </w:p>
              </w:tc>
              <w:tc>
                <w:tcPr>
                  <w:tcW w:w="2236" w:type="dxa"/>
                  <w:vAlign w:val="center"/>
                </w:tcPr>
                <w:p w14:paraId="57E83BC8">
                  <w:pPr>
                    <w:pStyle w:val="70"/>
                    <w:spacing w:line="240" w:lineRule="auto"/>
                    <w:jc w:val="both"/>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易燃，遇明火易发生燃烧或爆炸。吸入后，可能引起呼吸道刺激、导致恶心、呕吐、腹泻等。</w:t>
                  </w:r>
                </w:p>
              </w:tc>
            </w:tr>
            <w:tr w14:paraId="32E7B93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79" w:type="dxa"/>
                  <w:vMerge w:val="restart"/>
                  <w:vAlign w:val="center"/>
                </w:tcPr>
                <w:p w14:paraId="65F29DEC">
                  <w:pPr>
                    <w:pStyle w:val="70"/>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电解液主要成分</w:t>
                  </w:r>
                </w:p>
              </w:tc>
              <w:tc>
                <w:tcPr>
                  <w:tcW w:w="1320" w:type="dxa"/>
                  <w:vAlign w:val="center"/>
                </w:tcPr>
                <w:p w14:paraId="02474A5F">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碳酸二甲酯（DMC）</w:t>
                  </w:r>
                </w:p>
              </w:tc>
              <w:tc>
                <w:tcPr>
                  <w:tcW w:w="3825" w:type="dxa"/>
                  <w:vAlign w:val="center"/>
                </w:tcPr>
                <w:p w14:paraId="2F402F5F">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CAS号616-38-6，</w:t>
                  </w:r>
                  <w:r>
                    <w:rPr>
                      <w:rFonts w:hint="default" w:ascii="Times New Roman" w:hAnsi="Times New Roman" w:eastAsia="宋体" w:cs="Times New Roman"/>
                      <w:color w:val="auto"/>
                      <w:sz w:val="21"/>
                      <w:szCs w:val="21"/>
                      <w:lang w:val="en-US" w:eastAsia="zh-CN"/>
                    </w:rPr>
                    <w:t>化学</w:t>
                  </w:r>
                  <w:r>
                    <w:rPr>
                      <w:rFonts w:hint="eastAsia" w:cs="Times New Roman"/>
                      <w:color w:val="auto"/>
                      <w:sz w:val="21"/>
                      <w:szCs w:val="21"/>
                      <w:lang w:val="en-US" w:eastAsia="zh-CN"/>
                    </w:rPr>
                    <w:t>式为</w:t>
                  </w:r>
                  <w:r>
                    <w:rPr>
                      <w:rFonts w:hint="default" w:ascii="Times New Roman" w:hAnsi="Times New Roman" w:eastAsia="宋体" w:cs="Times New Roman"/>
                      <w:color w:val="auto"/>
                      <w:sz w:val="21"/>
                      <w:szCs w:val="21"/>
                      <w:lang w:val="en-US" w:eastAsia="zh-CN"/>
                    </w:rPr>
                    <w:t>C</w:t>
                  </w:r>
                  <w:r>
                    <w:rPr>
                      <w:rFonts w:hint="default" w:ascii="Times New Roman" w:hAnsi="Times New Roman" w:eastAsia="宋体" w:cs="Times New Roman"/>
                      <w:color w:val="auto"/>
                      <w:sz w:val="21"/>
                      <w:szCs w:val="21"/>
                      <w:vertAlign w:val="subscript"/>
                      <w:lang w:val="en-US" w:eastAsia="zh-CN"/>
                    </w:rPr>
                    <w:t>3</w:t>
                  </w:r>
                  <w:r>
                    <w:rPr>
                      <w:rFonts w:hint="eastAsia" w:cs="Times New Roman"/>
                      <w:color w:val="auto"/>
                      <w:sz w:val="21"/>
                      <w:szCs w:val="21"/>
                      <w:lang w:val="en-US" w:eastAsia="zh-CN"/>
                    </w:rPr>
                    <w:t>H</w:t>
                  </w:r>
                  <w:r>
                    <w:rPr>
                      <w:rFonts w:hint="default" w:ascii="Times New Roman" w:hAnsi="Times New Roman" w:eastAsia="宋体" w:cs="Times New Roman"/>
                      <w:color w:val="auto"/>
                      <w:sz w:val="21"/>
                      <w:szCs w:val="21"/>
                      <w:vertAlign w:val="subscript"/>
                      <w:lang w:val="en-US" w:eastAsia="zh-CN"/>
                    </w:rPr>
                    <w:t>6</w:t>
                  </w:r>
                  <w:r>
                    <w:rPr>
                      <w:rFonts w:hint="default" w:ascii="Times New Roman" w:hAnsi="Times New Roman" w:eastAsia="宋体" w:cs="Times New Roman"/>
                      <w:color w:val="auto"/>
                      <w:sz w:val="21"/>
                      <w:szCs w:val="21"/>
                      <w:lang w:val="en-US" w:eastAsia="zh-CN"/>
                    </w:rPr>
                    <w:t>O</w:t>
                  </w:r>
                  <w:r>
                    <w:rPr>
                      <w:rFonts w:hint="eastAsia" w:cs="Times New Roman"/>
                      <w:color w:val="auto"/>
                      <w:sz w:val="21"/>
                      <w:szCs w:val="21"/>
                      <w:vertAlign w:val="subscript"/>
                      <w:lang w:val="en-US" w:eastAsia="zh-CN"/>
                    </w:rPr>
                    <w:t>3</w:t>
                  </w:r>
                  <w:r>
                    <w:rPr>
                      <w:rFonts w:hint="default" w:ascii="Times New Roman" w:hAnsi="Times New Roman" w:eastAsia="宋体" w:cs="Times New Roman"/>
                      <w:color w:val="auto"/>
                      <w:sz w:val="21"/>
                      <w:szCs w:val="21"/>
                      <w:lang w:val="en-US" w:eastAsia="zh-CN"/>
                    </w:rPr>
                    <w:t>，分子量为90.08，常温下为透明液体，略带香味</w:t>
                  </w:r>
                  <w:r>
                    <w:rPr>
                      <w:rFonts w:hint="eastAsia" w:ascii="Times New Roman" w:hAnsi="Times New Roman" w:eastAsia="宋体" w:cs="Times New Roman"/>
                      <w:color w:val="auto"/>
                      <w:sz w:val="21"/>
                      <w:szCs w:val="21"/>
                      <w:lang w:val="en-US" w:eastAsia="zh-CN"/>
                    </w:rPr>
                    <w:t>，密度为1.07</w:t>
                  </w:r>
                  <w:r>
                    <w:rPr>
                      <w:rFonts w:hint="default" w:ascii="Times New Roman" w:hAnsi="Times New Roman" w:eastAsia="宋体" w:cs="Times New Roman"/>
                      <w:color w:val="auto"/>
                      <w:sz w:val="21"/>
                      <w:szCs w:val="21"/>
                      <w:lang w:val="en-US" w:eastAsia="zh-CN"/>
                    </w:rPr>
                    <w:t>g/c</w:t>
                  </w:r>
                  <w:r>
                    <w:rPr>
                      <w:rFonts w:hint="eastAsia" w:ascii="Times New Roman" w:hAnsi="Times New Roman" w:eastAsia="宋体" w:cs="Times New Roman"/>
                      <w:color w:val="auto"/>
                      <w:sz w:val="21"/>
                      <w:szCs w:val="21"/>
                      <w:lang w:val="en-US" w:eastAsia="zh-CN"/>
                    </w:rPr>
                    <w:t>m</w:t>
                  </w:r>
                  <w:r>
                    <w:rPr>
                      <w:rFonts w:hint="eastAsia" w:ascii="Times New Roman" w:hAnsi="Times New Roman" w:eastAsia="宋体" w:cs="Times New Roman"/>
                      <w:color w:val="auto"/>
                      <w:sz w:val="21"/>
                      <w:szCs w:val="21"/>
                      <w:vertAlign w:val="superscript"/>
                      <w:lang w:val="en-US" w:eastAsia="zh-CN"/>
                    </w:rPr>
                    <w:t>3</w:t>
                  </w:r>
                  <w:r>
                    <w:rPr>
                      <w:rFonts w:hint="default" w:ascii="Times New Roman" w:hAnsi="Times New Roman" w:eastAsia="宋体" w:cs="Times New Roman"/>
                      <w:color w:val="auto"/>
                      <w:sz w:val="21"/>
                      <w:szCs w:val="21"/>
                      <w:lang w:val="en-US" w:eastAsia="zh-CN"/>
                    </w:rPr>
                    <w:t>。难溶于水，但能与醇、酮、酯等任意比混溶。DMC是一种重要的有机合成中间体，DMC分子中含有羰基、甲基、甲氧基等基团，具有良好的反应性能，可代替剧毒的光气、硫酸二甲酯、氯甲烷等作为羰基化剂、甲基化剂和甲氧基化剂，在生产中</w:t>
                  </w:r>
                  <w:r>
                    <w:rPr>
                      <w:rFonts w:hint="eastAsia" w:ascii="宋体" w:hAnsi="宋体" w:eastAsia="宋体" w:cs="宋体"/>
                      <w:color w:val="auto"/>
                      <w:sz w:val="21"/>
                      <w:szCs w:val="21"/>
                      <w:lang w:val="en-US" w:eastAsia="zh-CN"/>
                    </w:rPr>
                    <w:t>具有使用安全、方便、污染少、容易运输等特点，被称为“</w:t>
                  </w:r>
                  <w:r>
                    <w:rPr>
                      <w:rFonts w:hint="default" w:ascii="Times New Roman" w:hAnsi="Times New Roman" w:eastAsia="宋体" w:cs="Times New Roman"/>
                      <w:color w:val="auto"/>
                      <w:sz w:val="21"/>
                      <w:szCs w:val="21"/>
                      <w:lang w:val="en-US" w:eastAsia="zh-CN"/>
                    </w:rPr>
                    <w:t>21世纪有机合成领域的新基块</w:t>
                  </w:r>
                  <w:r>
                    <w:rPr>
                      <w:rFonts w:hint="eastAsia" w:ascii="宋体" w:hAnsi="宋体" w:eastAsia="宋体" w:cs="宋体"/>
                      <w:color w:val="auto"/>
                      <w:sz w:val="21"/>
                      <w:szCs w:val="21"/>
                      <w:lang w:val="en-US" w:eastAsia="zh-CN"/>
                    </w:rPr>
                    <w:t>”。</w:t>
                  </w:r>
                </w:p>
              </w:tc>
              <w:tc>
                <w:tcPr>
                  <w:tcW w:w="2236" w:type="dxa"/>
                  <w:vAlign w:val="center"/>
                </w:tcPr>
                <w:p w14:paraId="59E5413B">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易燃，</w:t>
                  </w:r>
                  <w:r>
                    <w:rPr>
                      <w:rFonts w:ascii="Helvetica" w:hAnsi="Helvetica" w:eastAsia="Helvetica" w:cs="Helvetica"/>
                      <w:i w:val="0"/>
                      <w:iCs w:val="0"/>
                      <w:caps w:val="0"/>
                      <w:color w:val="auto"/>
                      <w:spacing w:val="0"/>
                      <w:sz w:val="21"/>
                      <w:szCs w:val="21"/>
                      <w:shd w:val="clear" w:fill="FFFFFF"/>
                    </w:rPr>
                    <w:t>吸入、口服或经皮肤吸收对身体有害。本品对皮肤有刺激性。</w:t>
                  </w:r>
                  <w:r>
                    <w:rPr>
                      <w:rFonts w:hint="eastAsia" w:ascii="Times New Roman" w:hAnsi="Times New Roman" w:eastAsia="宋体" w:cs="Times New Roman"/>
                      <w:color w:val="auto"/>
                      <w:sz w:val="21"/>
                      <w:szCs w:val="21"/>
                      <w:lang w:val="en-US" w:eastAsia="zh-CN"/>
                    </w:rPr>
                    <w:t>其蒸气或雾对眼睛、黏膜和上呼吸道有刺激性</w:t>
                  </w:r>
                  <w:r>
                    <w:rPr>
                      <w:rFonts w:ascii="Helvetica" w:hAnsi="Helvetica" w:eastAsia="Helvetica" w:cs="Helvetica"/>
                      <w:i w:val="0"/>
                      <w:iCs w:val="0"/>
                      <w:caps w:val="0"/>
                      <w:color w:val="auto"/>
                      <w:spacing w:val="0"/>
                      <w:sz w:val="21"/>
                      <w:szCs w:val="21"/>
                      <w:shd w:val="clear" w:fill="FFFFFF"/>
                    </w:rPr>
                    <w:t>。</w:t>
                  </w:r>
                </w:p>
              </w:tc>
            </w:tr>
            <w:tr w14:paraId="769C052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79" w:type="dxa"/>
                  <w:vMerge w:val="continue"/>
                  <w:vAlign w:val="center"/>
                </w:tcPr>
                <w:p w14:paraId="1DE54C99">
                  <w:pPr>
                    <w:pStyle w:val="70"/>
                    <w:spacing w:line="240" w:lineRule="auto"/>
                    <w:jc w:val="center"/>
                    <w:rPr>
                      <w:rFonts w:hint="default" w:ascii="Times New Roman" w:hAnsi="Times New Roman" w:eastAsia="宋体" w:cs="Times New Roman"/>
                      <w:color w:val="auto"/>
                      <w:sz w:val="21"/>
                      <w:szCs w:val="21"/>
                      <w:lang w:val="en-US" w:eastAsia="zh-CN"/>
                    </w:rPr>
                  </w:pPr>
                </w:p>
              </w:tc>
              <w:tc>
                <w:tcPr>
                  <w:tcW w:w="1320" w:type="dxa"/>
                  <w:vAlign w:val="center"/>
                </w:tcPr>
                <w:p w14:paraId="3988EFB2">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碳酸二乙酯（DEC）</w:t>
                  </w:r>
                </w:p>
              </w:tc>
              <w:tc>
                <w:tcPr>
                  <w:tcW w:w="3825" w:type="dxa"/>
                  <w:vAlign w:val="center"/>
                </w:tcPr>
                <w:p w14:paraId="2FD88206">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CAS号1</w:t>
                  </w:r>
                  <w:r>
                    <w:rPr>
                      <w:rFonts w:hint="default" w:ascii="Times New Roman" w:hAnsi="Times New Roman" w:eastAsia="宋体" w:cs="Times New Roman"/>
                      <w:color w:val="auto"/>
                      <w:sz w:val="21"/>
                      <w:szCs w:val="21"/>
                      <w:lang w:val="en-US" w:eastAsia="zh-CN"/>
                    </w:rPr>
                    <w:t>05-58-8，</w:t>
                  </w:r>
                  <w:r>
                    <w:rPr>
                      <w:rFonts w:hint="eastAsia" w:ascii="Times New Roman" w:hAnsi="Times New Roman" w:eastAsia="宋体" w:cs="Times New Roman"/>
                      <w:color w:val="auto"/>
                      <w:sz w:val="21"/>
                      <w:szCs w:val="21"/>
                      <w:lang w:val="en-US" w:eastAsia="zh-CN"/>
                    </w:rPr>
                    <w:t>密度为0.98</w:t>
                  </w:r>
                  <w:r>
                    <w:rPr>
                      <w:rFonts w:hint="default" w:ascii="Times New Roman" w:hAnsi="Times New Roman" w:eastAsia="宋体" w:cs="Times New Roman"/>
                      <w:color w:val="auto"/>
                      <w:sz w:val="21"/>
                      <w:szCs w:val="21"/>
                      <w:lang w:val="en-US" w:eastAsia="zh-CN"/>
                    </w:rPr>
                    <w:t>g/c</w:t>
                  </w:r>
                  <w:r>
                    <w:rPr>
                      <w:rFonts w:hint="eastAsia" w:ascii="Times New Roman" w:hAnsi="Times New Roman" w:eastAsia="宋体" w:cs="Times New Roman"/>
                      <w:color w:val="auto"/>
                      <w:sz w:val="21"/>
                      <w:szCs w:val="21"/>
                      <w:lang w:val="en-US" w:eastAsia="zh-CN"/>
                    </w:rPr>
                    <w:t>m</w:t>
                  </w:r>
                  <w:r>
                    <w:rPr>
                      <w:rFonts w:hint="eastAsia" w:ascii="Times New Roman" w:hAnsi="Times New Roman" w:eastAsia="宋体" w:cs="Times New Roman"/>
                      <w:color w:val="auto"/>
                      <w:sz w:val="21"/>
                      <w:szCs w:val="21"/>
                      <w:vertAlign w:val="superscript"/>
                      <w:lang w:val="en-US" w:eastAsia="zh-CN"/>
                    </w:rPr>
                    <w:t>3</w:t>
                  </w:r>
                  <w:r>
                    <w:rPr>
                      <w:rFonts w:hint="eastAsia" w:ascii="Times New Roman" w:hAnsi="Times New Roman" w:eastAsia="宋体" w:cs="Times New Roman"/>
                      <w:color w:val="auto"/>
                      <w:sz w:val="21"/>
                      <w:szCs w:val="21"/>
                      <w:lang w:val="en-US" w:eastAsia="zh-CN"/>
                    </w:rPr>
                    <w:t>，</w:t>
                  </w:r>
                  <w:r>
                    <w:rPr>
                      <w:rFonts w:hint="default" w:ascii="Times New Roman" w:hAnsi="Times New Roman" w:eastAsia="Helvetica" w:cs="Times New Roman"/>
                      <w:i w:val="0"/>
                      <w:iCs w:val="0"/>
                      <w:caps w:val="0"/>
                      <w:color w:val="auto"/>
                      <w:spacing w:val="0"/>
                      <w:sz w:val="21"/>
                      <w:szCs w:val="21"/>
                      <w:shd w:val="clear" w:fill="FFFFFF"/>
                    </w:rPr>
                    <w:t>是一种有机化合物，化学式为C</w:t>
                  </w:r>
                  <w:r>
                    <w:rPr>
                      <w:rFonts w:hint="default" w:ascii="Times New Roman" w:hAnsi="Times New Roman" w:eastAsia="Helvetica" w:cs="Times New Roman"/>
                      <w:i w:val="0"/>
                      <w:iCs w:val="0"/>
                      <w:caps w:val="0"/>
                      <w:color w:val="auto"/>
                      <w:spacing w:val="0"/>
                      <w:sz w:val="21"/>
                      <w:szCs w:val="21"/>
                      <w:shd w:val="clear" w:fill="FFFFFF"/>
                      <w:vertAlign w:val="subscript"/>
                    </w:rPr>
                    <w:t>5</w:t>
                  </w:r>
                  <w:r>
                    <w:rPr>
                      <w:rFonts w:hint="default" w:ascii="Times New Roman" w:hAnsi="Times New Roman" w:eastAsia="Helvetica" w:cs="Times New Roman"/>
                      <w:i w:val="0"/>
                      <w:iCs w:val="0"/>
                      <w:caps w:val="0"/>
                      <w:color w:val="auto"/>
                      <w:spacing w:val="0"/>
                      <w:sz w:val="21"/>
                      <w:szCs w:val="21"/>
                      <w:shd w:val="clear" w:fill="FFFFFF"/>
                    </w:rPr>
                    <w:t>H</w:t>
                  </w:r>
                  <w:r>
                    <w:rPr>
                      <w:rFonts w:hint="default" w:ascii="Times New Roman" w:hAnsi="Times New Roman" w:eastAsia="Helvetica" w:cs="Times New Roman"/>
                      <w:i w:val="0"/>
                      <w:iCs w:val="0"/>
                      <w:caps w:val="0"/>
                      <w:color w:val="auto"/>
                      <w:spacing w:val="0"/>
                      <w:sz w:val="21"/>
                      <w:szCs w:val="21"/>
                      <w:shd w:val="clear" w:fill="FFFFFF"/>
                      <w:vertAlign w:val="subscript"/>
                    </w:rPr>
                    <w:t>10</w:t>
                  </w:r>
                  <w:r>
                    <w:rPr>
                      <w:rFonts w:hint="default" w:ascii="Times New Roman" w:hAnsi="Times New Roman" w:eastAsia="Helvetica" w:cs="Times New Roman"/>
                      <w:i w:val="0"/>
                      <w:iCs w:val="0"/>
                      <w:caps w:val="0"/>
                      <w:color w:val="auto"/>
                      <w:spacing w:val="0"/>
                      <w:sz w:val="21"/>
                      <w:szCs w:val="21"/>
                      <w:shd w:val="clear" w:fill="FFFFFF"/>
                    </w:rPr>
                    <w:t>O</w:t>
                  </w:r>
                  <w:r>
                    <w:rPr>
                      <w:rFonts w:hint="default" w:ascii="Times New Roman" w:hAnsi="Times New Roman" w:eastAsia="Helvetica" w:cs="Times New Roman"/>
                      <w:i w:val="0"/>
                      <w:iCs w:val="0"/>
                      <w:caps w:val="0"/>
                      <w:color w:val="auto"/>
                      <w:spacing w:val="0"/>
                      <w:sz w:val="21"/>
                      <w:szCs w:val="21"/>
                      <w:shd w:val="clear" w:fill="FFFFFF"/>
                      <w:vertAlign w:val="subscript"/>
                    </w:rPr>
                    <w:t>3</w:t>
                  </w:r>
                  <w:r>
                    <w:rPr>
                      <w:rFonts w:hint="default" w:ascii="Times New Roman" w:hAnsi="Times New Roman" w:eastAsia="Helvetica" w:cs="Times New Roman"/>
                      <w:i w:val="0"/>
                      <w:iCs w:val="0"/>
                      <w:caps w:val="0"/>
                      <w:color w:val="auto"/>
                      <w:spacing w:val="0"/>
                      <w:sz w:val="21"/>
                      <w:szCs w:val="21"/>
                      <w:shd w:val="clear" w:fill="FFFFFF"/>
                    </w:rPr>
                    <w:t>，为无色液体，不溶于水，可混溶于醇类、酮类、酯类、芳烃等多数有机溶剂，主要用作有机</w:t>
                  </w:r>
                  <w:r>
                    <w:rPr>
                      <w:rFonts w:hint="default" w:ascii="Times New Roman" w:hAnsi="Times New Roman" w:eastAsia="宋体" w:cs="Times New Roman"/>
                      <w:color w:val="auto"/>
                      <w:sz w:val="21"/>
                      <w:szCs w:val="21"/>
                      <w:lang w:val="en-US" w:eastAsia="zh-CN"/>
                    </w:rPr>
                    <w:t>合成、药物合成中间体，也可用作树脂、油类、硝化纤维以及纤维素醚等的溶剂。</w:t>
                  </w:r>
                </w:p>
              </w:tc>
              <w:tc>
                <w:tcPr>
                  <w:tcW w:w="2236" w:type="dxa"/>
                  <w:vAlign w:val="center"/>
                </w:tcPr>
                <w:p w14:paraId="56D3E805">
                  <w:pPr>
                    <w:pStyle w:val="70"/>
                    <w:spacing w:line="240" w:lineRule="auto"/>
                    <w:jc w:val="center"/>
                    <w:rPr>
                      <w:rFonts w:hint="default" w:ascii="Times New Roman" w:hAnsi="Times New Roman" w:eastAsia="宋体" w:cs="Times New Roman"/>
                      <w:color w:val="auto"/>
                      <w:sz w:val="21"/>
                      <w:szCs w:val="21"/>
                      <w:lang w:val="en-US" w:eastAsia="zh-CN"/>
                    </w:rPr>
                  </w:pPr>
                  <w:r>
                    <w:rPr>
                      <w:rFonts w:ascii="Helvetica" w:hAnsi="Helvetica" w:eastAsia="Helvetica" w:cs="Helvetica"/>
                      <w:i w:val="0"/>
                      <w:iCs w:val="0"/>
                      <w:caps w:val="0"/>
                      <w:color w:val="auto"/>
                      <w:spacing w:val="0"/>
                      <w:sz w:val="21"/>
                      <w:szCs w:val="21"/>
                      <w:shd w:val="clear" w:fill="FFFFFF"/>
                    </w:rPr>
                    <w:t>易燃，遇高热、明火有引起燃烧的危险。其蒸气比空气重，能在较低处扩散到相当远的地方，遇火源会着火回燃。</w:t>
                  </w:r>
                </w:p>
              </w:tc>
            </w:tr>
            <w:tr w14:paraId="5FB5917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79" w:type="dxa"/>
                  <w:vMerge w:val="continue"/>
                  <w:vAlign w:val="center"/>
                </w:tcPr>
                <w:p w14:paraId="471B88BC">
                  <w:pPr>
                    <w:pStyle w:val="70"/>
                    <w:spacing w:line="240" w:lineRule="auto"/>
                    <w:jc w:val="center"/>
                    <w:rPr>
                      <w:rFonts w:hint="default" w:ascii="Times New Roman" w:hAnsi="Times New Roman" w:eastAsia="宋体" w:cs="Times New Roman"/>
                      <w:color w:val="auto"/>
                      <w:sz w:val="21"/>
                      <w:szCs w:val="21"/>
                      <w:lang w:val="en-US" w:eastAsia="zh-CN"/>
                    </w:rPr>
                  </w:pPr>
                </w:p>
              </w:tc>
              <w:tc>
                <w:tcPr>
                  <w:tcW w:w="1320" w:type="dxa"/>
                  <w:vAlign w:val="center"/>
                </w:tcPr>
                <w:p w14:paraId="4C891A84">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碳酸甲乙酯（EMC）</w:t>
                  </w:r>
                </w:p>
              </w:tc>
              <w:tc>
                <w:tcPr>
                  <w:tcW w:w="3825" w:type="dxa"/>
                  <w:vAlign w:val="center"/>
                </w:tcPr>
                <w:p w14:paraId="6402FC54">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CAS号623-53-0</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密度为1.01</w:t>
                  </w:r>
                  <w:r>
                    <w:rPr>
                      <w:rFonts w:hint="default" w:ascii="Times New Roman" w:hAnsi="Times New Roman" w:eastAsia="宋体" w:cs="Times New Roman"/>
                      <w:color w:val="auto"/>
                      <w:sz w:val="21"/>
                      <w:szCs w:val="21"/>
                      <w:lang w:val="en-US" w:eastAsia="zh-CN"/>
                    </w:rPr>
                    <w:t>g/c</w:t>
                  </w:r>
                  <w:r>
                    <w:rPr>
                      <w:rFonts w:hint="eastAsia" w:ascii="Times New Roman" w:hAnsi="Times New Roman" w:eastAsia="宋体" w:cs="Times New Roman"/>
                      <w:color w:val="auto"/>
                      <w:sz w:val="21"/>
                      <w:szCs w:val="21"/>
                      <w:lang w:val="en-US" w:eastAsia="zh-CN"/>
                    </w:rPr>
                    <w:t>m</w:t>
                  </w:r>
                  <w:r>
                    <w:rPr>
                      <w:rFonts w:hint="eastAsia" w:ascii="Times New Roman" w:hAnsi="Times New Roman" w:eastAsia="宋体" w:cs="Times New Roman"/>
                      <w:color w:val="auto"/>
                      <w:sz w:val="21"/>
                      <w:szCs w:val="21"/>
                      <w:vertAlign w:val="superscript"/>
                      <w:lang w:val="en-US" w:eastAsia="zh-CN"/>
                    </w:rPr>
                    <w:t>3</w:t>
                  </w:r>
                  <w:r>
                    <w:rPr>
                      <w:rFonts w:hint="eastAsia" w:ascii="Times New Roman" w:hAnsi="Times New Roman" w:eastAsia="宋体" w:cs="Times New Roman"/>
                      <w:color w:val="auto"/>
                      <w:sz w:val="21"/>
                      <w:szCs w:val="21"/>
                      <w:lang w:val="en-US" w:eastAsia="zh-CN"/>
                    </w:rPr>
                    <w:t>，</w:t>
                  </w:r>
                  <w:r>
                    <w:rPr>
                      <w:rFonts w:ascii="Helvetica" w:hAnsi="Helvetica" w:eastAsia="Helvetica" w:cs="Helvetica"/>
                      <w:i w:val="0"/>
                      <w:iCs w:val="0"/>
                      <w:caps w:val="0"/>
                      <w:color w:val="auto"/>
                      <w:spacing w:val="0"/>
                      <w:sz w:val="21"/>
                      <w:szCs w:val="21"/>
                      <w:shd w:val="clear" w:fill="FFFFFF"/>
                    </w:rPr>
                    <w:t>是一种有机化合物，分子式</w:t>
                  </w:r>
                  <w:r>
                    <w:rPr>
                      <w:rFonts w:hint="default" w:ascii="Times New Roman" w:hAnsi="Times New Roman" w:eastAsia="Helvetica" w:cs="Times New Roman"/>
                      <w:i w:val="0"/>
                      <w:iCs w:val="0"/>
                      <w:caps w:val="0"/>
                      <w:color w:val="auto"/>
                      <w:spacing w:val="0"/>
                      <w:sz w:val="21"/>
                      <w:szCs w:val="21"/>
                      <w:shd w:val="clear" w:fill="FFFFFF"/>
                    </w:rPr>
                    <w:t>为C</w:t>
                  </w:r>
                  <w:r>
                    <w:rPr>
                      <w:rFonts w:hint="default" w:ascii="Times New Roman" w:hAnsi="Times New Roman" w:eastAsia="Helvetica" w:cs="Times New Roman"/>
                      <w:i w:val="0"/>
                      <w:iCs w:val="0"/>
                      <w:caps w:val="0"/>
                      <w:color w:val="auto"/>
                      <w:spacing w:val="0"/>
                      <w:sz w:val="21"/>
                      <w:szCs w:val="21"/>
                      <w:shd w:val="clear" w:fill="FFFFFF"/>
                      <w:vertAlign w:val="subscript"/>
                    </w:rPr>
                    <w:t>4</w:t>
                  </w:r>
                  <w:r>
                    <w:rPr>
                      <w:rFonts w:hint="default" w:ascii="Times New Roman" w:hAnsi="Times New Roman" w:eastAsia="Helvetica" w:cs="Times New Roman"/>
                      <w:i w:val="0"/>
                      <w:iCs w:val="0"/>
                      <w:caps w:val="0"/>
                      <w:color w:val="auto"/>
                      <w:spacing w:val="0"/>
                      <w:sz w:val="21"/>
                      <w:szCs w:val="21"/>
                      <w:shd w:val="clear" w:fill="FFFFFF"/>
                    </w:rPr>
                    <w:t>H</w:t>
                  </w:r>
                  <w:r>
                    <w:rPr>
                      <w:rFonts w:hint="default" w:ascii="Times New Roman" w:hAnsi="Times New Roman" w:eastAsia="Helvetica" w:cs="Times New Roman"/>
                      <w:i w:val="0"/>
                      <w:iCs w:val="0"/>
                      <w:caps w:val="0"/>
                      <w:color w:val="auto"/>
                      <w:spacing w:val="0"/>
                      <w:sz w:val="21"/>
                      <w:szCs w:val="21"/>
                      <w:shd w:val="clear" w:fill="FFFFFF"/>
                      <w:vertAlign w:val="subscript"/>
                    </w:rPr>
                    <w:t>8</w:t>
                  </w:r>
                  <w:r>
                    <w:rPr>
                      <w:rFonts w:hint="default" w:ascii="Times New Roman" w:hAnsi="Times New Roman" w:eastAsia="Helvetica" w:cs="Times New Roman"/>
                      <w:i w:val="0"/>
                      <w:iCs w:val="0"/>
                      <w:caps w:val="0"/>
                      <w:color w:val="auto"/>
                      <w:spacing w:val="0"/>
                      <w:sz w:val="21"/>
                      <w:szCs w:val="21"/>
                      <w:shd w:val="clear" w:fill="FFFFFF"/>
                    </w:rPr>
                    <w:t>O</w:t>
                  </w:r>
                  <w:r>
                    <w:rPr>
                      <w:rFonts w:hint="default" w:ascii="Times New Roman" w:hAnsi="Times New Roman" w:eastAsia="Helvetica" w:cs="Times New Roman"/>
                      <w:i w:val="0"/>
                      <w:iCs w:val="0"/>
                      <w:caps w:val="0"/>
                      <w:color w:val="auto"/>
                      <w:spacing w:val="0"/>
                      <w:sz w:val="21"/>
                      <w:szCs w:val="21"/>
                      <w:shd w:val="clear" w:fill="FFFFFF"/>
                      <w:vertAlign w:val="subscript"/>
                    </w:rPr>
                    <w:t>3</w:t>
                  </w:r>
                  <w:r>
                    <w:rPr>
                      <w:rFonts w:hint="default" w:ascii="Times New Roman" w:hAnsi="Times New Roman" w:eastAsia="Helvetica" w:cs="Times New Roman"/>
                      <w:i w:val="0"/>
                      <w:iCs w:val="0"/>
                      <w:caps w:val="0"/>
                      <w:color w:val="auto"/>
                      <w:spacing w:val="0"/>
                      <w:sz w:val="21"/>
                      <w:szCs w:val="21"/>
                      <w:shd w:val="clear" w:fill="FFFFFF"/>
                    </w:rPr>
                    <w:t>，</w:t>
                  </w:r>
                  <w:r>
                    <w:rPr>
                      <w:rFonts w:hint="default" w:ascii="Helvetica" w:hAnsi="Helvetica" w:eastAsia="Helvetica" w:cs="Helvetica"/>
                      <w:i w:val="0"/>
                      <w:iCs w:val="0"/>
                      <w:caps w:val="0"/>
                      <w:color w:val="auto"/>
                      <w:spacing w:val="0"/>
                      <w:sz w:val="21"/>
                      <w:szCs w:val="21"/>
                      <w:shd w:val="clear" w:fill="FFFFFF"/>
                    </w:rPr>
                    <w:t>为无色透明液体，不溶于水，可用于有机合成，是一种优良的</w:t>
                  </w:r>
                  <w:r>
                    <w:rPr>
                      <w:rFonts w:hint="default" w:ascii="Helvetica" w:hAnsi="Helvetica" w:eastAsia="Helvetica" w:cs="Helvetica"/>
                      <w:i w:val="0"/>
                      <w:iCs w:val="0"/>
                      <w:caps w:val="0"/>
                      <w:color w:val="auto"/>
                      <w:spacing w:val="0"/>
                      <w:sz w:val="21"/>
                      <w:szCs w:val="21"/>
                      <w:shd w:val="clear" w:fill="FFFFFF"/>
                    </w:rPr>
                    <w:fldChar w:fldCharType="begin"/>
                  </w:r>
                  <w:r>
                    <w:rPr>
                      <w:rFonts w:hint="default" w:ascii="Helvetica" w:hAnsi="Helvetica" w:eastAsia="Helvetica" w:cs="Helvetica"/>
                      <w:i w:val="0"/>
                      <w:iCs w:val="0"/>
                      <w:caps w:val="0"/>
                      <w:color w:val="auto"/>
                      <w:spacing w:val="0"/>
                      <w:sz w:val="21"/>
                      <w:szCs w:val="21"/>
                      <w:shd w:val="clear" w:fill="FFFFFF"/>
                    </w:rPr>
                    <w:instrText xml:space="preserve"> HYPERLINK "https://baike.baidu.com/item/%E9%94%82%E7%A6%BB%E5%AD%90%E7%94%B5%E6%B1%A0/253491?fromModule=lemma_inlink" \t "https://baike.baidu.com/item/%E7%A2%B3%E9%85%B8%E7%94%B2%E4%B9%99%E9%85%AF/_blank" </w:instrText>
                  </w:r>
                  <w:r>
                    <w:rPr>
                      <w:rFonts w:hint="default" w:ascii="Helvetica" w:hAnsi="Helvetica" w:eastAsia="Helvetica" w:cs="Helvetica"/>
                      <w:i w:val="0"/>
                      <w:iCs w:val="0"/>
                      <w:caps w:val="0"/>
                      <w:color w:val="auto"/>
                      <w:spacing w:val="0"/>
                      <w:sz w:val="21"/>
                      <w:szCs w:val="21"/>
                      <w:shd w:val="clear" w:fill="FFFFFF"/>
                    </w:rPr>
                    <w:fldChar w:fldCharType="separate"/>
                  </w:r>
                  <w:r>
                    <w:rPr>
                      <w:rFonts w:hint="default" w:ascii="Helvetica" w:hAnsi="Helvetica" w:eastAsia="Helvetica" w:cs="Helvetica"/>
                      <w:i w:val="0"/>
                      <w:iCs w:val="0"/>
                      <w:caps w:val="0"/>
                      <w:color w:val="auto"/>
                      <w:spacing w:val="0"/>
                      <w:sz w:val="21"/>
                      <w:szCs w:val="21"/>
                      <w:shd w:val="clear" w:fill="FFFFFF"/>
                    </w:rPr>
                    <w:t>锂离子电池</w:t>
                  </w:r>
                  <w:r>
                    <w:rPr>
                      <w:rFonts w:hint="default" w:ascii="Helvetica" w:hAnsi="Helvetica" w:eastAsia="Helvetica" w:cs="Helvetica"/>
                      <w:i w:val="0"/>
                      <w:iCs w:val="0"/>
                      <w:caps w:val="0"/>
                      <w:color w:val="auto"/>
                      <w:spacing w:val="0"/>
                      <w:sz w:val="21"/>
                      <w:szCs w:val="21"/>
                      <w:shd w:val="clear" w:fill="FFFFFF"/>
                    </w:rPr>
                    <w:fldChar w:fldCharType="end"/>
                  </w:r>
                  <w:r>
                    <w:rPr>
                      <w:rFonts w:hint="default" w:ascii="Helvetica" w:hAnsi="Helvetica" w:eastAsia="Helvetica" w:cs="Helvetica"/>
                      <w:i w:val="0"/>
                      <w:iCs w:val="0"/>
                      <w:caps w:val="0"/>
                      <w:color w:val="auto"/>
                      <w:spacing w:val="0"/>
                      <w:sz w:val="21"/>
                      <w:szCs w:val="21"/>
                      <w:shd w:val="clear" w:fill="FFFFFF"/>
                    </w:rPr>
                    <w:t>电解液的溶剂。</w:t>
                  </w:r>
                </w:p>
              </w:tc>
              <w:tc>
                <w:tcPr>
                  <w:tcW w:w="2236" w:type="dxa"/>
                  <w:vAlign w:val="center"/>
                </w:tcPr>
                <w:p w14:paraId="34C9007C">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易燃，遇明火、高热能引起燃烧爆炸。微毒，为轻度刺激和麻醉。吸入后引起头疼、头昏、虚弱、恶心等，液体或高浓度蒸汽对眼有刺激性。</w:t>
                  </w:r>
                </w:p>
              </w:tc>
            </w:tr>
            <w:tr w14:paraId="4291BC6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79" w:type="dxa"/>
                  <w:vMerge w:val="continue"/>
                  <w:vAlign w:val="center"/>
                </w:tcPr>
                <w:p w14:paraId="29FDAB51">
                  <w:pPr>
                    <w:pStyle w:val="70"/>
                    <w:spacing w:line="240" w:lineRule="auto"/>
                    <w:jc w:val="center"/>
                    <w:rPr>
                      <w:rFonts w:hint="default" w:ascii="Times New Roman" w:hAnsi="Times New Roman" w:eastAsia="宋体" w:cs="Times New Roman"/>
                      <w:color w:val="auto"/>
                      <w:sz w:val="21"/>
                      <w:szCs w:val="21"/>
                      <w:lang w:val="en-US" w:eastAsia="zh-CN"/>
                    </w:rPr>
                  </w:pPr>
                </w:p>
              </w:tc>
              <w:tc>
                <w:tcPr>
                  <w:tcW w:w="1320" w:type="dxa"/>
                  <w:vAlign w:val="center"/>
                </w:tcPr>
                <w:p w14:paraId="5F449744">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丙酸乙酯（EP）</w:t>
                  </w:r>
                </w:p>
              </w:tc>
              <w:tc>
                <w:tcPr>
                  <w:tcW w:w="3825" w:type="dxa"/>
                  <w:vAlign w:val="center"/>
                </w:tcPr>
                <w:p w14:paraId="10F2B5EC">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CAS号105-37-7</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密度为0.89</w:t>
                  </w:r>
                  <w:r>
                    <w:rPr>
                      <w:rFonts w:hint="default" w:ascii="Times New Roman" w:hAnsi="Times New Roman" w:eastAsia="宋体" w:cs="Times New Roman"/>
                      <w:color w:val="auto"/>
                      <w:sz w:val="21"/>
                      <w:szCs w:val="21"/>
                      <w:lang w:val="en-US" w:eastAsia="zh-CN"/>
                    </w:rPr>
                    <w:t>g/c</w:t>
                  </w:r>
                  <w:r>
                    <w:rPr>
                      <w:rFonts w:hint="eastAsia" w:ascii="Times New Roman" w:hAnsi="Times New Roman" w:eastAsia="宋体" w:cs="Times New Roman"/>
                      <w:color w:val="auto"/>
                      <w:sz w:val="21"/>
                      <w:szCs w:val="21"/>
                      <w:lang w:val="en-US" w:eastAsia="zh-CN"/>
                    </w:rPr>
                    <w:t>m</w:t>
                  </w:r>
                  <w:r>
                    <w:rPr>
                      <w:rFonts w:hint="eastAsia" w:ascii="Times New Roman" w:hAnsi="Times New Roman" w:eastAsia="宋体" w:cs="Times New Roman"/>
                      <w:color w:val="auto"/>
                      <w:sz w:val="21"/>
                      <w:szCs w:val="21"/>
                      <w:vertAlign w:val="superscript"/>
                      <w:lang w:val="en-US" w:eastAsia="zh-CN"/>
                    </w:rPr>
                    <w:t>3</w:t>
                  </w:r>
                  <w:r>
                    <w:rPr>
                      <w:rFonts w:hint="eastAsia" w:ascii="Times New Roman" w:hAnsi="Times New Roman" w:eastAsia="宋体" w:cs="Times New Roman"/>
                      <w:color w:val="auto"/>
                      <w:sz w:val="21"/>
                      <w:szCs w:val="21"/>
                      <w:lang w:val="en-US" w:eastAsia="zh-CN"/>
                    </w:rPr>
                    <w:t>，化学式为CH</w:t>
                  </w:r>
                  <w:r>
                    <w:rPr>
                      <w:rFonts w:hint="default" w:ascii="Times New Roman" w:hAnsi="Times New Roman" w:eastAsia="宋体" w:cs="Times New Roman"/>
                      <w:color w:val="auto"/>
                      <w:sz w:val="21"/>
                      <w:szCs w:val="21"/>
                      <w:vertAlign w:val="subscript"/>
                      <w:lang w:val="en-US" w:eastAsia="zh-CN"/>
                    </w:rPr>
                    <w:t>3</w:t>
                  </w:r>
                  <w:r>
                    <w:rPr>
                      <w:rFonts w:hint="default" w:ascii="Times New Roman" w:hAnsi="Times New Roman" w:eastAsia="宋体" w:cs="Times New Roman"/>
                      <w:color w:val="auto"/>
                      <w:sz w:val="21"/>
                      <w:szCs w:val="21"/>
                      <w:lang w:val="en-US" w:eastAsia="zh-CN"/>
                    </w:rPr>
                    <w:t>CH</w:t>
                  </w:r>
                  <w:r>
                    <w:rPr>
                      <w:rFonts w:hint="default" w:ascii="Times New Roman" w:hAnsi="Times New Roman" w:eastAsia="宋体" w:cs="Times New Roman"/>
                      <w:color w:val="auto"/>
                      <w:sz w:val="21"/>
                      <w:szCs w:val="21"/>
                      <w:vertAlign w:val="subscript"/>
                      <w:lang w:val="en-US" w:eastAsia="zh-CN"/>
                    </w:rPr>
                    <w:t>2</w:t>
                  </w:r>
                  <w:r>
                    <w:rPr>
                      <w:rFonts w:hint="default" w:ascii="Times New Roman" w:hAnsi="Times New Roman" w:eastAsia="宋体" w:cs="Times New Roman"/>
                      <w:color w:val="auto"/>
                      <w:sz w:val="21"/>
                      <w:szCs w:val="21"/>
                      <w:lang w:val="en-US" w:eastAsia="zh-CN"/>
                    </w:rPr>
                    <w:t>COOCH</w:t>
                  </w:r>
                  <w:r>
                    <w:rPr>
                      <w:rFonts w:hint="default" w:ascii="Times New Roman" w:hAnsi="Times New Roman" w:eastAsia="宋体" w:cs="Times New Roman"/>
                      <w:color w:val="auto"/>
                      <w:sz w:val="21"/>
                      <w:szCs w:val="21"/>
                      <w:vertAlign w:val="subscript"/>
                      <w:lang w:val="en-US" w:eastAsia="zh-CN"/>
                    </w:rPr>
                    <w:t>2</w:t>
                  </w:r>
                  <w:r>
                    <w:rPr>
                      <w:rFonts w:hint="default" w:ascii="Times New Roman" w:hAnsi="Times New Roman" w:eastAsia="宋体" w:cs="Times New Roman"/>
                      <w:color w:val="auto"/>
                      <w:sz w:val="21"/>
                      <w:szCs w:val="21"/>
                      <w:lang w:val="en-US" w:eastAsia="zh-CN"/>
                    </w:rPr>
                    <w:t>CH</w:t>
                  </w:r>
                  <w:r>
                    <w:rPr>
                      <w:rFonts w:hint="default" w:ascii="Times New Roman" w:hAnsi="Times New Roman" w:eastAsia="宋体" w:cs="Times New Roman"/>
                      <w:color w:val="auto"/>
                      <w:sz w:val="21"/>
                      <w:szCs w:val="21"/>
                      <w:vertAlign w:val="subscript"/>
                      <w:lang w:val="en-US" w:eastAsia="zh-CN"/>
                    </w:rPr>
                    <w:t>3</w:t>
                  </w:r>
                  <w:r>
                    <w:rPr>
                      <w:rFonts w:hint="default" w:ascii="Times New Roman" w:hAnsi="Times New Roman" w:eastAsia="宋体" w:cs="Times New Roman"/>
                      <w:color w:val="auto"/>
                      <w:sz w:val="21"/>
                      <w:szCs w:val="21"/>
                      <w:lang w:val="en-US" w:eastAsia="zh-CN"/>
                    </w:rPr>
                    <w:t>，为无色液体，有菠萝香味，不溶于水，混溶</w:t>
                  </w:r>
                  <w:r>
                    <w:rPr>
                      <w:rFonts w:hint="default" w:ascii="Helvetica" w:hAnsi="Helvetica" w:eastAsia="Helvetica" w:cs="Helvetica"/>
                      <w:i w:val="0"/>
                      <w:iCs w:val="0"/>
                      <w:caps w:val="0"/>
                      <w:color w:val="auto"/>
                      <w:spacing w:val="0"/>
                      <w:sz w:val="21"/>
                      <w:szCs w:val="21"/>
                      <w:shd w:val="clear" w:fill="FFFFFF"/>
                    </w:rPr>
                    <w:t>于乙醇、乙醚、丙二醇等多数有机溶剂。</w:t>
                  </w:r>
                </w:p>
              </w:tc>
              <w:tc>
                <w:tcPr>
                  <w:tcW w:w="2236" w:type="dxa"/>
                  <w:vAlign w:val="center"/>
                </w:tcPr>
                <w:p w14:paraId="7180A21D">
                  <w:pPr>
                    <w:pStyle w:val="70"/>
                    <w:spacing w:line="240" w:lineRule="auto"/>
                    <w:jc w:val="center"/>
                    <w:rPr>
                      <w:rFonts w:hint="eastAsia" w:ascii="Times New Roman" w:hAnsi="Times New Roman" w:eastAsia="宋体" w:cs="Times New Roman"/>
                      <w:color w:val="auto"/>
                      <w:sz w:val="21"/>
                      <w:szCs w:val="21"/>
                      <w:lang w:val="en-US" w:eastAsia="zh-CN"/>
                    </w:rPr>
                  </w:pPr>
                  <w:r>
                    <w:rPr>
                      <w:rFonts w:ascii="Helvetica" w:hAnsi="Helvetica" w:eastAsia="Helvetica" w:cs="Helvetica"/>
                      <w:i w:val="0"/>
                      <w:iCs w:val="0"/>
                      <w:caps w:val="0"/>
                      <w:color w:val="auto"/>
                      <w:spacing w:val="0"/>
                      <w:sz w:val="21"/>
                      <w:szCs w:val="21"/>
                      <w:shd w:val="clear" w:fill="FFFFFF"/>
                    </w:rPr>
                    <w:t>易燃，其蒸气与空气可形成爆炸性混合物。遇明火、高热能引起燃烧爆炸。与氧化剂能发生强烈反应</w:t>
                  </w:r>
                  <w:r>
                    <w:rPr>
                      <w:rFonts w:hint="eastAsia" w:ascii="Helvetica" w:hAnsi="Helvetica" w:eastAsia="宋体" w:cs="Helvetica"/>
                      <w:i w:val="0"/>
                      <w:iCs w:val="0"/>
                      <w:caps w:val="0"/>
                      <w:color w:val="auto"/>
                      <w:spacing w:val="0"/>
                      <w:sz w:val="21"/>
                      <w:szCs w:val="21"/>
                      <w:shd w:val="clear" w:fill="FFFFFF"/>
                      <w:lang w:eastAsia="zh-CN"/>
                    </w:rPr>
                    <w:t>，</w:t>
                  </w:r>
                  <w:r>
                    <w:rPr>
                      <w:rFonts w:ascii="Helvetica" w:hAnsi="Helvetica" w:eastAsia="Helvetica" w:cs="Helvetica"/>
                      <w:i w:val="0"/>
                      <w:iCs w:val="0"/>
                      <w:caps w:val="0"/>
                      <w:color w:val="auto"/>
                      <w:spacing w:val="0"/>
                      <w:sz w:val="21"/>
                      <w:szCs w:val="21"/>
                      <w:shd w:val="clear" w:fill="FFFFFF"/>
                    </w:rPr>
                    <w:t>高浓度蒸气有刺激性，引起眼、鼻、咽喉刺痛，可有恶心、呕吐</w:t>
                  </w:r>
                  <w:r>
                    <w:rPr>
                      <w:rFonts w:hint="eastAsia" w:ascii="Helvetica" w:hAnsi="Helvetica" w:eastAsia="宋体" w:cs="Helvetica"/>
                      <w:i w:val="0"/>
                      <w:iCs w:val="0"/>
                      <w:caps w:val="0"/>
                      <w:color w:val="auto"/>
                      <w:spacing w:val="0"/>
                      <w:sz w:val="21"/>
                      <w:szCs w:val="21"/>
                      <w:shd w:val="clear" w:fill="FFFFFF"/>
                      <w:lang w:eastAsia="zh-CN"/>
                    </w:rPr>
                    <w:t>。</w:t>
                  </w:r>
                </w:p>
              </w:tc>
            </w:tr>
            <w:tr w14:paraId="112C26B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79" w:type="dxa"/>
                  <w:vMerge w:val="continue"/>
                  <w:vAlign w:val="center"/>
                </w:tcPr>
                <w:p w14:paraId="4DA2B5CB">
                  <w:pPr>
                    <w:pStyle w:val="70"/>
                    <w:spacing w:line="240" w:lineRule="auto"/>
                    <w:jc w:val="center"/>
                    <w:rPr>
                      <w:rFonts w:hint="default" w:ascii="Times New Roman" w:hAnsi="Times New Roman" w:eastAsia="宋体" w:cs="Times New Roman"/>
                      <w:color w:val="auto"/>
                      <w:sz w:val="21"/>
                      <w:szCs w:val="21"/>
                      <w:lang w:val="en-US" w:eastAsia="zh-CN"/>
                    </w:rPr>
                  </w:pPr>
                </w:p>
              </w:tc>
              <w:tc>
                <w:tcPr>
                  <w:tcW w:w="1320" w:type="dxa"/>
                  <w:vAlign w:val="center"/>
                </w:tcPr>
                <w:p w14:paraId="4439EA89">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丙酸丙酯（PP）</w:t>
                  </w:r>
                </w:p>
              </w:tc>
              <w:tc>
                <w:tcPr>
                  <w:tcW w:w="3825" w:type="dxa"/>
                  <w:vAlign w:val="center"/>
                </w:tcPr>
                <w:p w14:paraId="5FB8A5E0">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CAS号106-36-5</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密度为0.9±0.1</w:t>
                  </w:r>
                  <w:r>
                    <w:rPr>
                      <w:rFonts w:hint="default" w:ascii="Times New Roman" w:hAnsi="Times New Roman" w:eastAsia="宋体" w:cs="Times New Roman"/>
                      <w:color w:val="auto"/>
                      <w:sz w:val="21"/>
                      <w:szCs w:val="21"/>
                      <w:lang w:val="en-US" w:eastAsia="zh-CN"/>
                    </w:rPr>
                    <w:t>g/c</w:t>
                  </w:r>
                  <w:r>
                    <w:rPr>
                      <w:rFonts w:hint="eastAsia" w:ascii="Times New Roman" w:hAnsi="Times New Roman" w:eastAsia="宋体" w:cs="Times New Roman"/>
                      <w:color w:val="auto"/>
                      <w:sz w:val="21"/>
                      <w:szCs w:val="21"/>
                      <w:lang w:val="en-US" w:eastAsia="zh-CN"/>
                    </w:rPr>
                    <w:t>m</w:t>
                  </w:r>
                  <w:r>
                    <w:rPr>
                      <w:rFonts w:hint="eastAsia" w:ascii="Times New Roman" w:hAnsi="Times New Roman" w:eastAsia="宋体" w:cs="Times New Roman"/>
                      <w:color w:val="auto"/>
                      <w:sz w:val="21"/>
                      <w:szCs w:val="21"/>
                      <w:vertAlign w:val="superscript"/>
                      <w:lang w:val="en-US" w:eastAsia="zh-CN"/>
                    </w:rPr>
                    <w:t>3</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丙酸丙酯是一种</w:t>
                  </w:r>
                  <w:r>
                    <w:rPr>
                      <w:rFonts w:hint="eastAsia" w:ascii="Times New Roman" w:hAnsi="Times New Roman" w:eastAsia="宋体" w:cs="Times New Roman"/>
                      <w:color w:val="auto"/>
                      <w:sz w:val="21"/>
                      <w:szCs w:val="21"/>
                      <w:lang w:val="en-US" w:eastAsia="zh-CN"/>
                    </w:rPr>
                    <w:t>无色</w:t>
                  </w:r>
                  <w:r>
                    <w:rPr>
                      <w:rFonts w:hint="default" w:ascii="Times New Roman" w:hAnsi="Times New Roman" w:eastAsia="宋体" w:cs="Times New Roman"/>
                      <w:color w:val="auto"/>
                      <w:sz w:val="21"/>
                      <w:szCs w:val="21"/>
                      <w:lang w:val="en-US" w:eastAsia="zh-CN"/>
                    </w:rPr>
                    <w:t>透明液体，具有特殊的水果香气</w:t>
                  </w:r>
                  <w:r>
                    <w:rPr>
                      <w:rFonts w:hint="eastAsia" w:ascii="Times New Roman" w:hAnsi="Times New Roman" w:eastAsia="宋体" w:cs="Times New Roman"/>
                      <w:color w:val="auto"/>
                      <w:sz w:val="21"/>
                      <w:szCs w:val="21"/>
                      <w:lang w:val="en-US" w:eastAsia="zh-CN"/>
                    </w:rPr>
                    <w:t>，化学</w:t>
                  </w:r>
                  <w:r>
                    <w:rPr>
                      <w:rFonts w:hint="default" w:ascii="Times New Roman" w:hAnsi="Times New Roman" w:eastAsia="宋体" w:cs="Times New Roman"/>
                      <w:color w:val="auto"/>
                      <w:sz w:val="21"/>
                      <w:szCs w:val="21"/>
                      <w:lang w:val="en-US" w:eastAsia="zh-CN"/>
                    </w:rPr>
                    <w:t>分子式为C</w:t>
                  </w:r>
                  <w:r>
                    <w:rPr>
                      <w:rFonts w:hint="default" w:ascii="Times New Roman" w:hAnsi="Times New Roman" w:eastAsia="宋体" w:cs="Times New Roman"/>
                      <w:color w:val="auto"/>
                      <w:sz w:val="21"/>
                      <w:szCs w:val="21"/>
                      <w:vertAlign w:val="subscript"/>
                      <w:lang w:val="en-US" w:eastAsia="zh-CN"/>
                    </w:rPr>
                    <w:t>6</w:t>
                  </w:r>
                  <w:r>
                    <w:rPr>
                      <w:rFonts w:hint="default" w:ascii="Times New Roman" w:hAnsi="Times New Roman" w:eastAsia="宋体" w:cs="Times New Roman"/>
                      <w:color w:val="auto"/>
                      <w:sz w:val="21"/>
                      <w:szCs w:val="21"/>
                      <w:lang w:val="en-US" w:eastAsia="zh-CN"/>
                    </w:rPr>
                    <w:t>H</w:t>
                  </w:r>
                  <w:r>
                    <w:rPr>
                      <w:rFonts w:hint="default" w:ascii="Times New Roman" w:hAnsi="Times New Roman" w:eastAsia="宋体" w:cs="Times New Roman"/>
                      <w:color w:val="auto"/>
                      <w:sz w:val="21"/>
                      <w:szCs w:val="21"/>
                      <w:vertAlign w:val="subscript"/>
                      <w:lang w:val="en-US" w:eastAsia="zh-CN"/>
                    </w:rPr>
                    <w:t>12</w:t>
                  </w:r>
                  <w:r>
                    <w:rPr>
                      <w:rFonts w:hint="default" w:ascii="Times New Roman" w:hAnsi="Times New Roman" w:eastAsia="宋体" w:cs="Times New Roman"/>
                      <w:color w:val="auto"/>
                      <w:sz w:val="21"/>
                      <w:szCs w:val="21"/>
                      <w:lang w:val="en-US" w:eastAsia="zh-CN"/>
                    </w:rPr>
                    <w:t>O</w:t>
                  </w:r>
                  <w:r>
                    <w:rPr>
                      <w:rFonts w:hint="default" w:ascii="Times New Roman" w:hAnsi="Times New Roman" w:eastAsia="宋体" w:cs="Times New Roman"/>
                      <w:color w:val="auto"/>
                      <w:sz w:val="21"/>
                      <w:szCs w:val="21"/>
                      <w:vertAlign w:val="subscript"/>
                      <w:lang w:val="en-US" w:eastAsia="zh-CN"/>
                    </w:rPr>
                    <w:t>2</w:t>
                  </w:r>
                  <w:r>
                    <w:rPr>
                      <w:rFonts w:hint="default" w:ascii="Times New Roman" w:hAnsi="Times New Roman" w:eastAsia="宋体" w:cs="Times New Roman"/>
                      <w:color w:val="auto"/>
                      <w:sz w:val="21"/>
                      <w:szCs w:val="21"/>
                      <w:lang w:val="en-US" w:eastAsia="zh-CN"/>
                    </w:rPr>
                    <w:t>，相对分子质量约为116.16。这种化合物具有良好的溶解性能，能与多种有机溶剂混溶。</w:t>
                  </w:r>
                </w:p>
              </w:tc>
              <w:tc>
                <w:tcPr>
                  <w:tcW w:w="2236" w:type="dxa"/>
                  <w:vAlign w:val="center"/>
                </w:tcPr>
                <w:p w14:paraId="68FEE1B7">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易燃，遇明火、高热易燃烧爆炸。</w:t>
                  </w:r>
                </w:p>
              </w:tc>
            </w:tr>
            <w:tr w14:paraId="0FF28E3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79" w:type="dxa"/>
                  <w:vMerge w:val="continue"/>
                  <w:vAlign w:val="center"/>
                </w:tcPr>
                <w:p w14:paraId="6C3E331A">
                  <w:pPr>
                    <w:pStyle w:val="70"/>
                    <w:spacing w:line="240" w:lineRule="auto"/>
                    <w:jc w:val="center"/>
                    <w:rPr>
                      <w:rFonts w:hint="default" w:ascii="Times New Roman" w:hAnsi="Times New Roman" w:eastAsia="宋体" w:cs="Times New Roman"/>
                      <w:color w:val="auto"/>
                      <w:sz w:val="21"/>
                      <w:szCs w:val="21"/>
                      <w:lang w:val="en-US" w:eastAsia="zh-CN"/>
                    </w:rPr>
                  </w:pPr>
                </w:p>
              </w:tc>
              <w:tc>
                <w:tcPr>
                  <w:tcW w:w="1320" w:type="dxa"/>
                  <w:vAlign w:val="center"/>
                </w:tcPr>
                <w:p w14:paraId="79F114D4">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碳酸乙烯酯（EC）</w:t>
                  </w:r>
                </w:p>
              </w:tc>
              <w:tc>
                <w:tcPr>
                  <w:tcW w:w="3825" w:type="dxa"/>
                  <w:vAlign w:val="center"/>
                </w:tcPr>
                <w:p w14:paraId="3B65F5FC">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又称碳酸亚乙酯、</w:t>
                  </w:r>
                  <w:r>
                    <w:rPr>
                      <w:rFonts w:hint="default" w:ascii="Times New Roman" w:hAnsi="Times New Roman" w:eastAsia="宋体" w:cs="Times New Roman"/>
                      <w:color w:val="auto"/>
                      <w:sz w:val="21"/>
                      <w:szCs w:val="21"/>
                      <w:lang w:val="en-US" w:eastAsia="zh-CN"/>
                    </w:rPr>
                    <w:fldChar w:fldCharType="begin"/>
                  </w:r>
                  <w:r>
                    <w:rPr>
                      <w:rFonts w:hint="default" w:ascii="Times New Roman" w:hAnsi="Times New Roman" w:eastAsia="宋体" w:cs="Times New Roman"/>
                      <w:color w:val="auto"/>
                      <w:sz w:val="21"/>
                      <w:szCs w:val="21"/>
                      <w:lang w:val="en-US" w:eastAsia="zh-CN"/>
                    </w:rPr>
                    <w:instrText xml:space="preserve"> HYPERLINK "https://baike.baidu.com/item/%E4%B9%99%E4%BA%8C%E9%86%87%E7%A2%B3%E9%85%B8%E9%85%AF/4304783?fromModule=lemma_inlink" \t "https://baike.baidu.com/item/%E7%A2%B3%E9%85%B8%E4%B9%99%E7%83%AF%E9%85%AF/_blank" </w:instrText>
                  </w:r>
                  <w:r>
                    <w:rPr>
                      <w:rFonts w:hint="default" w:ascii="Times New Roman" w:hAnsi="Times New Roman" w:eastAsia="宋体" w:cs="Times New Roman"/>
                      <w:color w:val="auto"/>
                      <w:sz w:val="21"/>
                      <w:szCs w:val="21"/>
                      <w:lang w:val="en-US" w:eastAsia="zh-CN"/>
                    </w:rPr>
                    <w:fldChar w:fldCharType="separate"/>
                  </w:r>
                  <w:r>
                    <w:rPr>
                      <w:rFonts w:hint="default" w:ascii="Times New Roman" w:hAnsi="Times New Roman" w:eastAsia="宋体" w:cs="Times New Roman"/>
                      <w:color w:val="auto"/>
                      <w:sz w:val="21"/>
                      <w:szCs w:val="21"/>
                      <w:lang w:val="en-US" w:eastAsia="zh-CN"/>
                    </w:rPr>
                    <w:t>乙二醇碳酸酯</w:t>
                  </w:r>
                  <w:r>
                    <w:rPr>
                      <w:rFonts w:hint="default" w:ascii="Times New Roman" w:hAnsi="Times New Roman" w:eastAsia="宋体" w:cs="Times New Roman"/>
                      <w:color w:val="auto"/>
                      <w:sz w:val="21"/>
                      <w:szCs w:val="21"/>
                      <w:lang w:val="en-US" w:eastAsia="zh-CN"/>
                    </w:rPr>
                    <w:fldChar w:fldCharType="end"/>
                  </w:r>
                  <w:r>
                    <w:rPr>
                      <w:rFonts w:hint="default" w:ascii="Times New Roman" w:hAnsi="Times New Roman" w:eastAsia="宋体" w:cs="Times New Roman"/>
                      <w:color w:val="auto"/>
                      <w:sz w:val="21"/>
                      <w:szCs w:val="21"/>
                      <w:lang w:val="en-US" w:eastAsia="zh-CN"/>
                    </w:rPr>
                    <w:t>，化学式C</w:t>
                  </w:r>
                  <w:r>
                    <w:rPr>
                      <w:rFonts w:hint="default" w:ascii="Times New Roman" w:hAnsi="Times New Roman" w:eastAsia="宋体" w:cs="Times New Roman"/>
                      <w:color w:val="auto"/>
                      <w:sz w:val="21"/>
                      <w:szCs w:val="21"/>
                      <w:vertAlign w:val="subscript"/>
                      <w:lang w:val="en-US" w:eastAsia="zh-CN"/>
                    </w:rPr>
                    <w:t>3</w:t>
                  </w:r>
                  <w:r>
                    <w:rPr>
                      <w:rFonts w:hint="default" w:ascii="Times New Roman" w:hAnsi="Times New Roman" w:eastAsia="宋体" w:cs="Times New Roman"/>
                      <w:color w:val="auto"/>
                      <w:sz w:val="21"/>
                      <w:szCs w:val="21"/>
                      <w:lang w:val="en-US" w:eastAsia="zh-CN"/>
                    </w:rPr>
                    <w:t>H</w:t>
                  </w:r>
                  <w:r>
                    <w:rPr>
                      <w:rFonts w:hint="default" w:ascii="Times New Roman" w:hAnsi="Times New Roman" w:eastAsia="宋体" w:cs="Times New Roman"/>
                      <w:color w:val="auto"/>
                      <w:sz w:val="21"/>
                      <w:szCs w:val="21"/>
                      <w:vertAlign w:val="subscript"/>
                      <w:lang w:val="en-US" w:eastAsia="zh-CN"/>
                    </w:rPr>
                    <w:t>4</w:t>
                  </w:r>
                  <w:r>
                    <w:rPr>
                      <w:rFonts w:hint="default" w:ascii="Times New Roman" w:hAnsi="Times New Roman" w:eastAsia="宋体" w:cs="Times New Roman"/>
                      <w:color w:val="auto"/>
                      <w:sz w:val="21"/>
                      <w:szCs w:val="21"/>
                      <w:lang w:val="en-US" w:eastAsia="zh-CN"/>
                    </w:rPr>
                    <w:t>O</w:t>
                  </w:r>
                  <w:r>
                    <w:rPr>
                      <w:rFonts w:hint="default" w:ascii="Times New Roman" w:hAnsi="Times New Roman" w:eastAsia="宋体" w:cs="Times New Roman"/>
                      <w:color w:val="auto"/>
                      <w:sz w:val="21"/>
                      <w:szCs w:val="21"/>
                      <w:vertAlign w:val="subscript"/>
                      <w:lang w:val="en-US" w:eastAsia="zh-CN"/>
                    </w:rPr>
                    <w:t>3</w:t>
                  </w:r>
                  <w:r>
                    <w:rPr>
                      <w:rFonts w:hint="default" w:ascii="Times New Roman" w:hAnsi="Times New Roman" w:eastAsia="宋体" w:cs="Times New Roman"/>
                      <w:color w:val="auto"/>
                      <w:sz w:val="21"/>
                      <w:szCs w:val="21"/>
                      <w:lang w:val="en-US" w:eastAsia="zh-CN"/>
                    </w:rPr>
                    <w:t>，CAS号96-49-1，</w:t>
                  </w:r>
                  <w:r>
                    <w:rPr>
                      <w:rFonts w:hint="eastAsia" w:cs="Times New Roman"/>
                      <w:color w:val="auto"/>
                      <w:sz w:val="21"/>
                      <w:szCs w:val="21"/>
                      <w:lang w:val="en-US" w:eastAsia="zh-CN"/>
                    </w:rPr>
                    <w:t>密度为1.3±0.1</w:t>
                  </w:r>
                  <w:r>
                    <w:rPr>
                      <w:rFonts w:hint="default" w:ascii="Times New Roman" w:hAnsi="Times New Roman" w:eastAsia="宋体" w:cs="Times New Roman"/>
                      <w:color w:val="auto"/>
                      <w:sz w:val="21"/>
                      <w:szCs w:val="21"/>
                      <w:lang w:val="en-US" w:eastAsia="zh-CN"/>
                    </w:rPr>
                    <w:t>g/c</w:t>
                  </w:r>
                  <w:r>
                    <w:rPr>
                      <w:rFonts w:hint="eastAsia" w:ascii="Times New Roman" w:hAnsi="Times New Roman" w:eastAsia="宋体" w:cs="Times New Roman"/>
                      <w:color w:val="auto"/>
                      <w:sz w:val="21"/>
                      <w:szCs w:val="21"/>
                      <w:lang w:val="en-US" w:eastAsia="zh-CN"/>
                    </w:rPr>
                    <w:t>m</w:t>
                  </w:r>
                  <w:r>
                    <w:rPr>
                      <w:rFonts w:hint="eastAsia" w:ascii="Times New Roman" w:hAnsi="Times New Roman" w:eastAsia="宋体" w:cs="Times New Roman"/>
                      <w:color w:val="auto"/>
                      <w:sz w:val="21"/>
                      <w:szCs w:val="21"/>
                      <w:vertAlign w:val="superscript"/>
                      <w:lang w:val="en-US" w:eastAsia="zh-CN"/>
                    </w:rPr>
                    <w:t>3</w:t>
                  </w:r>
                  <w:r>
                    <w:rPr>
                      <w:rFonts w:hint="eastAsia"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是一种性能优良的有机溶剂，可溶解多种聚合物；另可作为有机中间体，可替代环氧乙烷用于二氧基化反应，并是酯交换法生产</w:t>
                  </w:r>
                  <w:r>
                    <w:rPr>
                      <w:rFonts w:hint="default" w:ascii="Times New Roman" w:hAnsi="Times New Roman" w:eastAsia="宋体" w:cs="Times New Roman"/>
                      <w:color w:val="auto"/>
                      <w:sz w:val="21"/>
                      <w:szCs w:val="21"/>
                      <w:lang w:val="en-US" w:eastAsia="zh-CN"/>
                    </w:rPr>
                    <w:fldChar w:fldCharType="begin"/>
                  </w:r>
                  <w:r>
                    <w:rPr>
                      <w:rFonts w:hint="default" w:ascii="Times New Roman" w:hAnsi="Times New Roman" w:eastAsia="宋体" w:cs="Times New Roman"/>
                      <w:color w:val="auto"/>
                      <w:sz w:val="21"/>
                      <w:szCs w:val="21"/>
                      <w:lang w:val="en-US" w:eastAsia="zh-CN"/>
                    </w:rPr>
                    <w:instrText xml:space="preserve"> HYPERLINK "https://baike.baidu.com/item/%E7%A2%B3%E9%85%B8%E4%BA%8C%E7%94%B2%E9%85%AF/245187?fromModule=lemma_inlink" \t "https://baike.baidu.com/item/%E7%A2%B3%E9%85%B8%E4%B9%99%E7%83%AF%E9%85%AF/_blank" </w:instrText>
                  </w:r>
                  <w:r>
                    <w:rPr>
                      <w:rFonts w:hint="default" w:ascii="Times New Roman" w:hAnsi="Times New Roman" w:eastAsia="宋体" w:cs="Times New Roman"/>
                      <w:color w:val="auto"/>
                      <w:sz w:val="21"/>
                      <w:szCs w:val="21"/>
                      <w:lang w:val="en-US" w:eastAsia="zh-CN"/>
                    </w:rPr>
                    <w:fldChar w:fldCharType="separate"/>
                  </w:r>
                  <w:r>
                    <w:rPr>
                      <w:rFonts w:hint="default" w:ascii="Times New Roman" w:hAnsi="Times New Roman" w:eastAsia="宋体" w:cs="Times New Roman"/>
                      <w:color w:val="auto"/>
                      <w:sz w:val="21"/>
                      <w:szCs w:val="21"/>
                      <w:lang w:val="en-US" w:eastAsia="zh-CN"/>
                    </w:rPr>
                    <w:t>碳酸二甲酯</w:t>
                  </w:r>
                  <w:r>
                    <w:rPr>
                      <w:rFonts w:hint="default" w:ascii="Times New Roman" w:hAnsi="Times New Roman" w:eastAsia="宋体" w:cs="Times New Roman"/>
                      <w:color w:val="auto"/>
                      <w:sz w:val="21"/>
                      <w:szCs w:val="21"/>
                      <w:lang w:val="en-US" w:eastAsia="zh-CN"/>
                    </w:rPr>
                    <w:fldChar w:fldCharType="end"/>
                  </w:r>
                  <w:r>
                    <w:rPr>
                      <w:rFonts w:hint="default" w:ascii="Times New Roman" w:hAnsi="Times New Roman" w:eastAsia="宋体" w:cs="Times New Roman"/>
                      <w:color w:val="auto"/>
                      <w:sz w:val="21"/>
                      <w:szCs w:val="21"/>
                      <w:lang w:val="en-US" w:eastAsia="zh-CN"/>
                    </w:rPr>
                    <w:t>的主要原料；还可用作合成呋喃唑酮的原料、水玻璃系浆料、纤维整理剂等。该化合物广泛应用于</w:t>
                  </w:r>
                  <w:r>
                    <w:rPr>
                      <w:rFonts w:hint="default" w:ascii="Times New Roman" w:hAnsi="Times New Roman" w:eastAsia="宋体" w:cs="Times New Roman"/>
                      <w:color w:val="auto"/>
                      <w:sz w:val="21"/>
                      <w:szCs w:val="21"/>
                      <w:lang w:val="en-US" w:eastAsia="zh-CN"/>
                    </w:rPr>
                    <w:fldChar w:fldCharType="begin"/>
                  </w:r>
                  <w:r>
                    <w:rPr>
                      <w:rFonts w:hint="default" w:ascii="Times New Roman" w:hAnsi="Times New Roman" w:eastAsia="宋体" w:cs="Times New Roman"/>
                      <w:color w:val="auto"/>
                      <w:sz w:val="21"/>
                      <w:szCs w:val="21"/>
                      <w:lang w:val="en-US" w:eastAsia="zh-CN"/>
                    </w:rPr>
                    <w:instrText xml:space="preserve"> HYPERLINK "https://baike.baidu.com/item/%E9%94%82%E7%94%B5%E6%B1%A0%E7%94%B5%E8%A7%A3%E6%B6%B2/5067671?fromModule=lemma_inlink" \t "https://baike.baidu.com/item/%E7%A2%B3%E9%85%B8%E4%B9%99%E7%83%AF%E9%85%AF/_blank" </w:instrText>
                  </w:r>
                  <w:r>
                    <w:rPr>
                      <w:rFonts w:hint="default" w:ascii="Times New Roman" w:hAnsi="Times New Roman" w:eastAsia="宋体" w:cs="Times New Roman"/>
                      <w:color w:val="auto"/>
                      <w:sz w:val="21"/>
                      <w:szCs w:val="21"/>
                      <w:lang w:val="en-US" w:eastAsia="zh-CN"/>
                    </w:rPr>
                    <w:fldChar w:fldCharType="separate"/>
                  </w:r>
                  <w:r>
                    <w:rPr>
                      <w:rFonts w:hint="default" w:ascii="Times New Roman" w:hAnsi="Times New Roman" w:eastAsia="宋体" w:cs="Times New Roman"/>
                      <w:color w:val="auto"/>
                      <w:sz w:val="21"/>
                      <w:szCs w:val="21"/>
                      <w:lang w:val="en-US" w:eastAsia="zh-CN"/>
                    </w:rPr>
                    <w:t>锂电池电解液</w:t>
                  </w:r>
                  <w:r>
                    <w:rPr>
                      <w:rFonts w:hint="default" w:ascii="Times New Roman" w:hAnsi="Times New Roman" w:eastAsia="宋体" w:cs="Times New Roman"/>
                      <w:color w:val="auto"/>
                      <w:sz w:val="21"/>
                      <w:szCs w:val="21"/>
                      <w:lang w:val="en-US" w:eastAsia="zh-CN"/>
                    </w:rPr>
                    <w:fldChar w:fldCharType="end"/>
                  </w:r>
                  <w:r>
                    <w:rPr>
                      <w:rFonts w:hint="default" w:ascii="Times New Roman" w:hAnsi="Times New Roman" w:eastAsia="宋体" w:cs="Times New Roman"/>
                      <w:color w:val="auto"/>
                      <w:sz w:val="21"/>
                      <w:szCs w:val="21"/>
                      <w:lang w:val="en-US" w:eastAsia="zh-CN"/>
                    </w:rPr>
                    <w:t>中</w:t>
                  </w:r>
                  <w:r>
                    <w:rPr>
                      <w:rFonts w:hint="eastAsia" w:cs="Times New Roman"/>
                      <w:color w:val="auto"/>
                      <w:sz w:val="21"/>
                      <w:szCs w:val="21"/>
                      <w:lang w:val="en-US" w:eastAsia="zh-CN"/>
                    </w:rPr>
                    <w:t>。</w:t>
                  </w:r>
                </w:p>
              </w:tc>
              <w:tc>
                <w:tcPr>
                  <w:tcW w:w="2236" w:type="dxa"/>
                  <w:vAlign w:val="center"/>
                </w:tcPr>
                <w:p w14:paraId="50FFE630">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可燃，毒性相对较小，但长期或大量接触仍可能对人体造成伤害。</w:t>
                  </w:r>
                </w:p>
              </w:tc>
            </w:tr>
            <w:tr w14:paraId="6C5A5E6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79" w:type="dxa"/>
                  <w:vMerge w:val="continue"/>
                  <w:vAlign w:val="center"/>
                </w:tcPr>
                <w:p w14:paraId="6057C92E">
                  <w:pPr>
                    <w:pStyle w:val="70"/>
                    <w:spacing w:line="240" w:lineRule="auto"/>
                    <w:jc w:val="center"/>
                    <w:rPr>
                      <w:rFonts w:hint="default" w:ascii="Times New Roman" w:hAnsi="Times New Roman" w:eastAsia="宋体" w:cs="Times New Roman"/>
                      <w:color w:val="auto"/>
                      <w:sz w:val="21"/>
                      <w:szCs w:val="21"/>
                      <w:lang w:val="en-US" w:eastAsia="zh-CN"/>
                    </w:rPr>
                  </w:pPr>
                </w:p>
              </w:tc>
              <w:tc>
                <w:tcPr>
                  <w:tcW w:w="1320" w:type="dxa"/>
                  <w:vAlign w:val="center"/>
                </w:tcPr>
                <w:p w14:paraId="26A5F747">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碳酸丙烯酯（PC）</w:t>
                  </w:r>
                </w:p>
              </w:tc>
              <w:tc>
                <w:tcPr>
                  <w:tcW w:w="3825" w:type="dxa"/>
                  <w:vAlign w:val="center"/>
                </w:tcPr>
                <w:p w14:paraId="6C231E73">
                  <w:pPr>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CAS号</w:t>
                  </w:r>
                  <w:r>
                    <w:rPr>
                      <w:rFonts w:hint="eastAsia" w:cs="Times New Roman"/>
                      <w:color w:val="auto"/>
                      <w:sz w:val="21"/>
                      <w:szCs w:val="21"/>
                      <w:lang w:val="en-US" w:eastAsia="zh-CN"/>
                    </w:rPr>
                    <w:t>108-32-7，</w:t>
                  </w:r>
                  <w:r>
                    <w:rPr>
                      <w:rFonts w:hint="eastAsia" w:ascii="Times New Roman" w:hAnsi="Times New Roman" w:eastAsia="宋体" w:cs="Times New Roman"/>
                      <w:color w:val="auto"/>
                      <w:sz w:val="21"/>
                      <w:szCs w:val="21"/>
                      <w:lang w:val="en-US" w:eastAsia="zh-CN"/>
                    </w:rPr>
                    <w:t>密度为</w:t>
                  </w:r>
                  <w:r>
                    <w:rPr>
                      <w:rFonts w:hint="eastAsia" w:cs="Times New Roman"/>
                      <w:color w:val="auto"/>
                      <w:sz w:val="21"/>
                      <w:szCs w:val="21"/>
                      <w:lang w:val="en-US" w:eastAsia="zh-CN"/>
                    </w:rPr>
                    <w:t>1.189</w:t>
                  </w:r>
                  <w:r>
                    <w:rPr>
                      <w:rFonts w:hint="default" w:ascii="Times New Roman" w:hAnsi="Times New Roman" w:eastAsia="宋体" w:cs="Times New Roman"/>
                      <w:color w:val="auto"/>
                      <w:sz w:val="21"/>
                      <w:szCs w:val="21"/>
                      <w:lang w:val="en-US" w:eastAsia="zh-CN"/>
                    </w:rPr>
                    <w:t>g/c</w:t>
                  </w:r>
                  <w:r>
                    <w:rPr>
                      <w:rFonts w:hint="eastAsia" w:ascii="Times New Roman" w:hAnsi="Times New Roman" w:eastAsia="宋体" w:cs="Times New Roman"/>
                      <w:color w:val="auto"/>
                      <w:sz w:val="21"/>
                      <w:szCs w:val="21"/>
                      <w:lang w:val="en-US" w:eastAsia="zh-CN"/>
                    </w:rPr>
                    <w:t>m</w:t>
                  </w:r>
                  <w:r>
                    <w:rPr>
                      <w:rFonts w:hint="eastAsia" w:ascii="Times New Roman" w:hAnsi="Times New Roman" w:eastAsia="宋体" w:cs="Times New Roman"/>
                      <w:color w:val="auto"/>
                      <w:sz w:val="21"/>
                      <w:szCs w:val="21"/>
                      <w:vertAlign w:val="superscript"/>
                      <w:lang w:val="en-US" w:eastAsia="zh-CN"/>
                    </w:rPr>
                    <w:t>3</w:t>
                  </w:r>
                  <w:r>
                    <w:rPr>
                      <w:rFonts w:hint="eastAsia" w:ascii="Times New Roman" w:hAnsi="Times New Roman" w:eastAsia="宋体" w:cs="Times New Roman"/>
                      <w:color w:val="auto"/>
                      <w:sz w:val="21"/>
                      <w:szCs w:val="21"/>
                      <w:lang w:val="en-US" w:eastAsia="zh-CN"/>
                    </w:rPr>
                    <w:t>，</w:t>
                  </w:r>
                  <w:r>
                    <w:rPr>
                      <w:rFonts w:hint="eastAsia" w:cs="Times New Roman"/>
                      <w:color w:val="auto"/>
                      <w:sz w:val="21"/>
                      <w:szCs w:val="21"/>
                      <w:lang w:val="en-US" w:eastAsia="zh-CN"/>
                    </w:rPr>
                    <w:t>化学式为C</w:t>
                  </w:r>
                  <w:r>
                    <w:rPr>
                      <w:rFonts w:hint="eastAsia" w:cs="Times New Roman"/>
                      <w:color w:val="auto"/>
                      <w:sz w:val="21"/>
                      <w:szCs w:val="21"/>
                      <w:vertAlign w:val="subscript"/>
                      <w:lang w:val="en-US" w:eastAsia="zh-CN"/>
                    </w:rPr>
                    <w:t>4</w:t>
                  </w:r>
                  <w:r>
                    <w:rPr>
                      <w:rFonts w:hint="eastAsia" w:cs="Times New Roman"/>
                      <w:color w:val="auto"/>
                      <w:sz w:val="21"/>
                      <w:szCs w:val="21"/>
                      <w:lang w:val="en-US" w:eastAsia="zh-CN"/>
                    </w:rPr>
                    <w:t>H</w:t>
                  </w:r>
                  <w:r>
                    <w:rPr>
                      <w:rFonts w:hint="eastAsia" w:cs="Times New Roman"/>
                      <w:color w:val="auto"/>
                      <w:sz w:val="21"/>
                      <w:szCs w:val="21"/>
                      <w:vertAlign w:val="subscript"/>
                      <w:lang w:val="en-US" w:eastAsia="zh-CN"/>
                    </w:rPr>
                    <w:t>6</w:t>
                  </w:r>
                  <w:r>
                    <w:rPr>
                      <w:rFonts w:hint="eastAsia" w:cs="Times New Roman"/>
                      <w:color w:val="auto"/>
                      <w:sz w:val="21"/>
                      <w:szCs w:val="21"/>
                      <w:lang w:val="en-US" w:eastAsia="zh-CN"/>
                    </w:rPr>
                    <w:t>O</w:t>
                  </w:r>
                  <w:r>
                    <w:rPr>
                      <w:rFonts w:hint="eastAsia" w:cs="Times New Roman"/>
                      <w:color w:val="auto"/>
                      <w:sz w:val="21"/>
                      <w:szCs w:val="21"/>
                      <w:vertAlign w:val="subscript"/>
                      <w:lang w:val="en-US" w:eastAsia="zh-CN"/>
                    </w:rPr>
                    <w:t>3</w:t>
                  </w:r>
                  <w:r>
                    <w:rPr>
                      <w:rFonts w:hint="eastAsia" w:cs="Times New Roman"/>
                      <w:color w:val="auto"/>
                      <w:sz w:val="21"/>
                      <w:szCs w:val="21"/>
                      <w:lang w:val="en-US" w:eastAsia="zh-CN"/>
                    </w:rPr>
                    <w:t>，</w:t>
                  </w:r>
                  <w:r>
                    <w:rPr>
                      <w:rFonts w:ascii="Helvetica" w:hAnsi="Helvetica" w:eastAsia="Helvetica" w:cs="Helvetica"/>
                      <w:i w:val="0"/>
                      <w:iCs w:val="0"/>
                      <w:caps w:val="0"/>
                      <w:color w:val="auto"/>
                      <w:spacing w:val="0"/>
                      <w:sz w:val="21"/>
                      <w:szCs w:val="21"/>
                      <w:shd w:val="clear" w:fill="FFFFFF"/>
                    </w:rPr>
                    <w:t>无色无臭的易燃液体</w:t>
                  </w:r>
                  <w:r>
                    <w:rPr>
                      <w:rFonts w:hint="eastAsia" w:ascii="Helvetica" w:hAnsi="Helvetica" w:eastAsia="宋体" w:cs="Helvetica"/>
                      <w:i w:val="0"/>
                      <w:iCs w:val="0"/>
                      <w:caps w:val="0"/>
                      <w:color w:val="auto"/>
                      <w:spacing w:val="0"/>
                      <w:sz w:val="21"/>
                      <w:szCs w:val="21"/>
                      <w:shd w:val="clear" w:fill="FFFFFF"/>
                      <w:lang w:eastAsia="zh-CN"/>
                    </w:rPr>
                    <w:t>，</w:t>
                  </w:r>
                  <w:r>
                    <w:rPr>
                      <w:rFonts w:ascii="Helvetica" w:hAnsi="Helvetica" w:eastAsia="Helvetica" w:cs="Helvetica"/>
                      <w:i w:val="0"/>
                      <w:iCs w:val="0"/>
                      <w:caps w:val="0"/>
                      <w:color w:val="auto"/>
                      <w:spacing w:val="0"/>
                      <w:sz w:val="21"/>
                      <w:szCs w:val="21"/>
                      <w:shd w:val="clear" w:fill="FFFFFF"/>
                    </w:rPr>
                    <w:t>与乙醚、丙酮、苯、氯仿、醋酸乙烯等互溶，溶于水和四氯化碳</w:t>
                  </w:r>
                  <w:r>
                    <w:rPr>
                      <w:rFonts w:hint="eastAsia" w:ascii="Helvetica" w:hAnsi="Helvetica" w:eastAsia="宋体" w:cs="Helvetica"/>
                      <w:i w:val="0"/>
                      <w:iCs w:val="0"/>
                      <w:caps w:val="0"/>
                      <w:color w:val="auto"/>
                      <w:spacing w:val="0"/>
                      <w:sz w:val="21"/>
                      <w:szCs w:val="21"/>
                      <w:shd w:val="clear" w:fill="FFFFFF"/>
                      <w:lang w:eastAsia="zh-CN"/>
                    </w:rPr>
                    <w:t>，</w:t>
                  </w:r>
                  <w:r>
                    <w:rPr>
                      <w:rFonts w:ascii="Helvetica" w:hAnsi="Helvetica" w:eastAsia="Helvetica" w:cs="Helvetica"/>
                      <w:i w:val="0"/>
                      <w:iCs w:val="0"/>
                      <w:caps w:val="0"/>
                      <w:color w:val="auto"/>
                      <w:spacing w:val="0"/>
                      <w:sz w:val="21"/>
                      <w:szCs w:val="21"/>
                      <w:shd w:val="clear" w:fill="FFFFFF"/>
                    </w:rPr>
                    <w:t>对二氧化碳的吸收能力很强，性质稳定。</w:t>
                  </w:r>
                </w:p>
              </w:tc>
              <w:tc>
                <w:tcPr>
                  <w:tcW w:w="2236" w:type="dxa"/>
                  <w:vAlign w:val="center"/>
                </w:tcPr>
                <w:p w14:paraId="0B75432E">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ascii="Helvetica" w:hAnsi="Helvetica" w:eastAsia="宋体" w:cs="Helvetica"/>
                      <w:i w:val="0"/>
                      <w:iCs w:val="0"/>
                      <w:caps w:val="0"/>
                      <w:color w:val="auto"/>
                      <w:spacing w:val="0"/>
                      <w:sz w:val="21"/>
                      <w:szCs w:val="21"/>
                      <w:shd w:val="clear" w:fill="FFFFFF"/>
                      <w:lang w:val="en-US" w:eastAsia="zh-CN"/>
                    </w:rPr>
                    <w:t>易燃，</w:t>
                  </w:r>
                  <w:r>
                    <w:rPr>
                      <w:rFonts w:ascii="Helvetica" w:hAnsi="Helvetica" w:eastAsia="Helvetica" w:cs="Helvetica"/>
                      <w:i w:val="0"/>
                      <w:iCs w:val="0"/>
                      <w:caps w:val="0"/>
                      <w:color w:val="auto"/>
                      <w:spacing w:val="0"/>
                      <w:sz w:val="21"/>
                      <w:szCs w:val="21"/>
                      <w:shd w:val="clear" w:fill="FFFFFF"/>
                    </w:rPr>
                    <w:t>吸入、摄入或经皮肤吸收后对身体可能有害，对眼睛、皮肤可能有刺激作用。</w:t>
                  </w:r>
                </w:p>
              </w:tc>
            </w:tr>
            <w:tr w14:paraId="5EA6A4A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79" w:type="dxa"/>
                  <w:vMerge w:val="continue"/>
                  <w:vAlign w:val="center"/>
                </w:tcPr>
                <w:p w14:paraId="586D64D0">
                  <w:pPr>
                    <w:pStyle w:val="70"/>
                    <w:spacing w:line="240" w:lineRule="auto"/>
                    <w:jc w:val="center"/>
                    <w:rPr>
                      <w:rFonts w:hint="default" w:ascii="Times New Roman" w:hAnsi="Times New Roman" w:eastAsia="宋体" w:cs="Times New Roman"/>
                      <w:color w:val="auto"/>
                      <w:sz w:val="21"/>
                      <w:szCs w:val="21"/>
                      <w:lang w:val="en-US" w:eastAsia="zh-CN"/>
                    </w:rPr>
                  </w:pPr>
                </w:p>
              </w:tc>
              <w:tc>
                <w:tcPr>
                  <w:tcW w:w="1320" w:type="dxa"/>
                  <w:vAlign w:val="center"/>
                </w:tcPr>
                <w:p w14:paraId="1B1C9D16">
                  <w:pPr>
                    <w:pStyle w:val="70"/>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六氟磷酸锂（LiPF6）</w:t>
                  </w:r>
                </w:p>
              </w:tc>
              <w:tc>
                <w:tcPr>
                  <w:tcW w:w="3825" w:type="dxa"/>
                  <w:vAlign w:val="center"/>
                </w:tcPr>
                <w:p w14:paraId="0DEC0E2D">
                  <w:pPr>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CAS号</w:t>
                  </w:r>
                  <w:r>
                    <w:rPr>
                      <w:rFonts w:hint="eastAsia" w:cs="Times New Roman"/>
                      <w:color w:val="auto"/>
                      <w:sz w:val="21"/>
                      <w:szCs w:val="21"/>
                      <w:lang w:val="en-US" w:eastAsia="zh-CN"/>
                    </w:rPr>
                    <w:t>21324-40-3</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密度为</w:t>
                  </w:r>
                  <w:r>
                    <w:rPr>
                      <w:rFonts w:hint="eastAsia" w:cs="Times New Roman"/>
                      <w:color w:val="auto"/>
                      <w:sz w:val="21"/>
                      <w:szCs w:val="21"/>
                      <w:lang w:val="en-US" w:eastAsia="zh-CN"/>
                    </w:rPr>
                    <w:t>1.5</w:t>
                  </w:r>
                  <w:r>
                    <w:rPr>
                      <w:rFonts w:hint="default" w:ascii="Times New Roman" w:hAnsi="Times New Roman" w:eastAsia="宋体" w:cs="Times New Roman"/>
                      <w:color w:val="auto"/>
                      <w:sz w:val="21"/>
                      <w:szCs w:val="21"/>
                      <w:lang w:val="en-US" w:eastAsia="zh-CN"/>
                    </w:rPr>
                    <w:t>g/c</w:t>
                  </w:r>
                  <w:r>
                    <w:rPr>
                      <w:rFonts w:hint="eastAsia" w:ascii="Times New Roman" w:hAnsi="Times New Roman" w:eastAsia="宋体" w:cs="Times New Roman"/>
                      <w:color w:val="auto"/>
                      <w:sz w:val="21"/>
                      <w:szCs w:val="21"/>
                      <w:lang w:val="en-US" w:eastAsia="zh-CN"/>
                    </w:rPr>
                    <w:t>m</w:t>
                  </w:r>
                  <w:r>
                    <w:rPr>
                      <w:rFonts w:hint="eastAsia" w:ascii="Times New Roman" w:hAnsi="Times New Roman" w:eastAsia="宋体" w:cs="Times New Roman"/>
                      <w:color w:val="auto"/>
                      <w:sz w:val="21"/>
                      <w:szCs w:val="21"/>
                      <w:vertAlign w:val="superscript"/>
                      <w:lang w:val="en-US" w:eastAsia="zh-CN"/>
                    </w:rPr>
                    <w:t>3</w:t>
                  </w:r>
                  <w:r>
                    <w:rPr>
                      <w:rFonts w:hint="eastAsia" w:ascii="Times New Roman" w:hAnsi="Times New Roman" w:eastAsia="宋体" w:cs="Times New Roman"/>
                      <w:color w:val="auto"/>
                      <w:sz w:val="21"/>
                      <w:szCs w:val="21"/>
                      <w:lang w:val="en-US" w:eastAsia="zh-CN"/>
                    </w:rPr>
                    <w:t>，</w:t>
                  </w:r>
                  <w:r>
                    <w:rPr>
                      <w:rFonts w:ascii="Helvetica" w:hAnsi="Helvetica" w:eastAsia="Helvetica" w:cs="Helvetica"/>
                      <w:i w:val="0"/>
                      <w:iCs w:val="0"/>
                      <w:caps w:val="0"/>
                      <w:color w:val="auto"/>
                      <w:spacing w:val="0"/>
                      <w:sz w:val="21"/>
                      <w:szCs w:val="21"/>
                      <w:shd w:val="clear" w:fill="FFFFFF"/>
                    </w:rPr>
                    <w:t>为白色结晶性粉末，易溶于水、溶于低浓度甲醇、乙醇、丙酮、碳酸酯类等有机溶剂，主要用作锂离子电池电解质材料。</w:t>
                  </w:r>
                </w:p>
              </w:tc>
              <w:tc>
                <w:tcPr>
                  <w:tcW w:w="2236" w:type="dxa"/>
                  <w:vAlign w:val="center"/>
                </w:tcPr>
                <w:p w14:paraId="115FDAED">
                  <w:pPr>
                    <w:pStyle w:val="70"/>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腐蚀性液体，其蒸气与空气形成爆炸性混合物，遇明火、高热能引起燃烧爆炸。</w:t>
                  </w:r>
                </w:p>
              </w:tc>
            </w:tr>
          </w:tbl>
          <w:p w14:paraId="438A72AB">
            <w:pPr>
              <w:pStyle w:val="66"/>
              <w:keepNext w:val="0"/>
              <w:keepLines w:val="0"/>
              <w:pageBreakBefore w:val="0"/>
              <w:widowControl w:val="0"/>
              <w:kinsoku/>
              <w:wordWrap/>
              <w:overflowPunct/>
              <w:topLinePunct w:val="0"/>
              <w:autoSpaceDE w:val="0"/>
              <w:autoSpaceDN w:val="0"/>
              <w:bidi w:val="0"/>
              <w:spacing w:line="240" w:lineRule="auto"/>
              <w:ind w:firstLine="482"/>
              <w:textAlignment w:val="auto"/>
              <w:rPr>
                <w:rFonts w:hint="default" w:ascii="Times New Roman" w:hAnsi="Times New Roman" w:eastAsia="宋体" w:cs="Times New Roman"/>
                <w:b w:val="0"/>
                <w:bCs w:val="0"/>
                <w:color w:val="auto"/>
                <w:sz w:val="21"/>
                <w:szCs w:val="21"/>
                <w:lang w:val="en-US" w:eastAsia="zh-CN"/>
              </w:rPr>
            </w:pPr>
            <w:r>
              <w:rPr>
                <w:rFonts w:hint="eastAsia" w:cs="Times New Roman"/>
                <w:b w:val="0"/>
                <w:bCs w:val="0"/>
                <w:color w:val="auto"/>
                <w:sz w:val="21"/>
                <w:szCs w:val="21"/>
                <w:lang w:val="en-US" w:eastAsia="zh-CN"/>
              </w:rPr>
              <w:t>注：本项目所用原辅材料均不涉及</w:t>
            </w:r>
            <w:r>
              <w:rPr>
                <w:rFonts w:hint="eastAsia" w:ascii="Times New Roman" w:hAnsi="Times New Roman" w:eastAsia="宋体" w:cs="Times New Roman"/>
                <w:b w:val="0"/>
                <w:bCs w:val="0"/>
                <w:color w:val="auto"/>
                <w:sz w:val="21"/>
                <w:szCs w:val="21"/>
                <w:lang w:val="en-US" w:eastAsia="zh-CN"/>
              </w:rPr>
              <w:t>《优先控制化学品名录（第一批）》（环保部公告2017年第83号）、《优先控制化学品名录（第二批）》（生态环境部公告2020年第47号）、《优先控制化学品名录（第三批）》（生态环境部公告2025年第43号）、关于发布《有毒有害水污染物名录（第一批）》的公告（环境部等公告2019年第28号）、《关于发布〈有毒有害水污染物名录（第二批）〉的公告》（生态环境部公告2025年第15号）、《有毒有害大气污染物名录》（公告2019年第4号）所列物质。</w:t>
            </w:r>
          </w:p>
          <w:p w14:paraId="476A4B7E">
            <w:pPr>
              <w:pStyle w:val="66"/>
              <w:keepNext w:val="0"/>
              <w:keepLines w:val="0"/>
              <w:pageBreakBefore w:val="0"/>
              <w:widowControl w:val="0"/>
              <w:kinsoku/>
              <w:wordWrap/>
              <w:overflowPunct/>
              <w:topLinePunct w:val="0"/>
              <w:autoSpaceDE w:val="0"/>
              <w:autoSpaceDN w:val="0"/>
              <w:bidi w:val="0"/>
              <w:spacing w:line="360" w:lineRule="auto"/>
              <w:ind w:firstLine="482"/>
              <w:textAlignment w:val="auto"/>
              <w:rPr>
                <w:rFonts w:hint="eastAsia" w:ascii="Times New Roman" w:hAnsi="Times New Roman" w:eastAsia="宋体" w:cs="Times New Roman"/>
                <w:b/>
                <w:bCs/>
                <w:color w:val="auto"/>
                <w:lang w:val="en-US" w:eastAsia="zh-CN"/>
              </w:rPr>
            </w:pPr>
            <w:r>
              <w:rPr>
                <w:rFonts w:hint="eastAsia" w:ascii="Times New Roman" w:hAnsi="Times New Roman" w:eastAsia="宋体" w:cs="Times New Roman"/>
                <w:b/>
                <w:bCs/>
                <w:color w:val="auto"/>
                <w:lang w:val="en-US" w:eastAsia="zh-CN"/>
              </w:rPr>
              <w:t>7、劳动定员及工作制度</w:t>
            </w:r>
          </w:p>
          <w:p w14:paraId="7859F800">
            <w:pPr>
              <w:pStyle w:val="66"/>
              <w:keepNext w:val="0"/>
              <w:keepLines w:val="0"/>
              <w:pageBreakBefore w:val="0"/>
              <w:widowControl w:val="0"/>
              <w:kinsoku/>
              <w:wordWrap/>
              <w:overflowPunct/>
              <w:topLinePunct w:val="0"/>
              <w:autoSpaceDE w:val="0"/>
              <w:autoSpaceDN w:val="0"/>
              <w:bidi w:val="0"/>
              <w:spacing w:line="360" w:lineRule="auto"/>
              <w:ind w:firstLine="482"/>
              <w:textAlignment w:val="auto"/>
              <w:rPr>
                <w:rFonts w:hint="default" w:ascii="Times New Roman" w:hAnsi="Times New Roman" w:eastAsia="宋体" w:cs="Times New Roman"/>
                <w:b w:val="0"/>
                <w:bCs w:val="0"/>
                <w:color w:val="auto"/>
                <w:lang w:val="en-US" w:eastAsia="zh-CN"/>
              </w:rPr>
            </w:pPr>
            <w:r>
              <w:rPr>
                <w:rFonts w:hint="eastAsia" w:ascii="Times New Roman" w:hAnsi="Times New Roman" w:eastAsia="宋体" w:cs="Times New Roman"/>
                <w:color w:val="auto"/>
                <w:sz w:val="24"/>
                <w:highlight w:val="none"/>
                <w:lang w:val="en-US" w:eastAsia="zh-CN"/>
              </w:rPr>
              <w:t>劳动定员和工作制度：本项目劳动定员160人，全年工作时间300天，实行</w:t>
            </w:r>
            <w:r>
              <w:rPr>
                <w:rFonts w:hint="eastAsia" w:cs="Times New Roman"/>
                <w:color w:val="auto"/>
                <w:sz w:val="24"/>
                <w:highlight w:val="none"/>
                <w:lang w:val="en-US" w:eastAsia="zh-CN"/>
              </w:rPr>
              <w:t>2</w:t>
            </w:r>
            <w:r>
              <w:rPr>
                <w:rFonts w:hint="eastAsia" w:ascii="Times New Roman" w:hAnsi="Times New Roman" w:eastAsia="宋体" w:cs="Times New Roman"/>
                <w:color w:val="auto"/>
                <w:sz w:val="24"/>
                <w:highlight w:val="none"/>
                <w:lang w:val="en-US" w:eastAsia="zh-CN"/>
              </w:rPr>
              <w:t>班制，每班</w:t>
            </w:r>
            <w:r>
              <w:rPr>
                <w:rFonts w:hint="eastAsia" w:cs="Times New Roman"/>
                <w:color w:val="auto"/>
                <w:sz w:val="24"/>
                <w:highlight w:val="none"/>
                <w:lang w:val="en-US" w:eastAsia="zh-CN"/>
              </w:rPr>
              <w:t>10</w:t>
            </w:r>
            <w:r>
              <w:rPr>
                <w:rFonts w:hint="eastAsia" w:ascii="Times New Roman" w:hAnsi="Times New Roman" w:eastAsia="宋体" w:cs="Times New Roman"/>
                <w:color w:val="auto"/>
                <w:sz w:val="24"/>
                <w:highlight w:val="none"/>
                <w:lang w:val="en-US" w:eastAsia="zh-CN"/>
              </w:rPr>
              <w:t>小</w:t>
            </w:r>
            <w:r>
              <w:rPr>
                <w:rFonts w:hint="eastAsia" w:ascii="Times New Roman" w:hAnsi="Times New Roman" w:eastAsia="宋体" w:cs="Times New Roman"/>
                <w:b w:val="0"/>
                <w:bCs w:val="0"/>
                <w:color w:val="auto"/>
                <w:lang w:val="en-US" w:eastAsia="zh-CN"/>
              </w:rPr>
              <w:t>时，不提供食宿。</w:t>
            </w:r>
          </w:p>
          <w:p w14:paraId="4737EB2C">
            <w:pPr>
              <w:pStyle w:val="66"/>
              <w:keepNext w:val="0"/>
              <w:keepLines w:val="0"/>
              <w:pageBreakBefore w:val="0"/>
              <w:widowControl w:val="0"/>
              <w:kinsoku/>
              <w:wordWrap/>
              <w:overflowPunct/>
              <w:topLinePunct w:val="0"/>
              <w:autoSpaceDE w:val="0"/>
              <w:autoSpaceDN w:val="0"/>
              <w:bidi w:val="0"/>
              <w:spacing w:line="360" w:lineRule="auto"/>
              <w:ind w:firstLine="482"/>
              <w:textAlignment w:val="auto"/>
              <w:rPr>
                <w:rFonts w:hint="default" w:ascii="Times New Roman" w:hAnsi="Times New Roman" w:eastAsia="宋体" w:cs="Times New Roman"/>
                <w:b/>
                <w:bCs/>
                <w:color w:val="auto"/>
                <w:lang w:val="en-US" w:eastAsia="zh-CN"/>
              </w:rPr>
            </w:pPr>
            <w:r>
              <w:rPr>
                <w:rFonts w:hint="eastAsia" w:ascii="Times New Roman" w:hAnsi="Times New Roman" w:eastAsia="宋体" w:cs="Times New Roman"/>
                <w:b/>
                <w:bCs/>
                <w:color w:val="auto"/>
                <w:lang w:val="en-US" w:eastAsia="zh-CN"/>
              </w:rPr>
              <w:t>8、公用工程及辅助设施</w:t>
            </w:r>
          </w:p>
          <w:p w14:paraId="3BA66082">
            <w:pPr>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（1）供电</w:t>
            </w:r>
          </w:p>
          <w:p w14:paraId="194EDD20">
            <w:pPr>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ascii="Times New Roman" w:hAnsi="Times New Roman" w:eastAsia="宋体" w:cs="Times New Roman"/>
                <w:b w:val="0"/>
                <w:bCs w:val="0"/>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本项目位</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于</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四川巴中经济开发区</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核心区，供电</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由市政电网提供</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p>
          <w:p w14:paraId="5AE5AC6E">
            <w:pPr>
              <w:pStyle w:val="66"/>
              <w:keepNext w:val="0"/>
              <w:keepLines w:val="0"/>
              <w:pageBreakBefore w:val="0"/>
              <w:widowControl w:val="0"/>
              <w:kinsoku/>
              <w:wordWrap/>
              <w:overflowPunct/>
              <w:topLinePunct w:val="0"/>
              <w:autoSpaceDE w:val="0"/>
              <w:autoSpaceDN w:val="0"/>
              <w:bidi w:val="0"/>
              <w:spacing w:line="360" w:lineRule="auto"/>
              <w:ind w:firstLine="482"/>
              <w:textAlignment w:val="auto"/>
              <w:rPr>
                <w:rFonts w:hint="default" w:ascii="Times New Roman" w:hAnsi="Times New Roman" w:eastAsia="宋体" w:cs="Times New Roman"/>
                <w:b w:val="0"/>
                <w:bCs w:val="0"/>
                <w:color w:val="000000" w:themeColor="text1"/>
                <w:lang w:val="en-US" w:eastAsia="zh-CN"/>
                <w14:textFill>
                  <w14:solidFill>
                    <w14:schemeClr w14:val="tx1"/>
                  </w14:solidFill>
                </w14:textFill>
              </w:rPr>
            </w:pPr>
            <w:r>
              <w:rPr>
                <w:rFonts w:hint="eastAsia" w:ascii="Times New Roman" w:hAnsi="Times New Roman" w:eastAsia="宋体" w:cs="Times New Roman"/>
                <w:b w:val="0"/>
                <w:bCs w:val="0"/>
                <w:color w:val="000000" w:themeColor="text1"/>
                <w:lang w:val="en-US" w:eastAsia="zh-CN"/>
                <w14:textFill>
                  <w14:solidFill>
                    <w14:schemeClr w14:val="tx1"/>
                  </w14:solidFill>
                </w14:textFill>
              </w:rPr>
              <w:t>（2）供气</w:t>
            </w:r>
          </w:p>
          <w:p w14:paraId="43F56840">
            <w:pPr>
              <w:pStyle w:val="66"/>
              <w:keepNext w:val="0"/>
              <w:keepLines w:val="0"/>
              <w:pageBreakBefore w:val="0"/>
              <w:widowControl w:val="0"/>
              <w:kinsoku/>
              <w:wordWrap/>
              <w:overflowPunct/>
              <w:topLinePunct w:val="0"/>
              <w:autoSpaceDE w:val="0"/>
              <w:autoSpaceDN w:val="0"/>
              <w:bidi w:val="0"/>
              <w:spacing w:line="360" w:lineRule="auto"/>
              <w:ind w:firstLine="482"/>
              <w:textAlignment w:val="auto"/>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本项目压缩空气、氮气由厂区自建空压制氮站提供，空压站内设置2台（1用1备）排气量为41m</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³</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/min的无油螺杆空压机，排气压力0.85MPa。配套设置2台处理量为51m</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³/</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min的零气耗鼓风热再生吸附式干燥机。站房内设置1台10m</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³</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的压缩空气储气罐</w:t>
            </w:r>
            <w:r>
              <w:rPr>
                <w:rFonts w:hint="eastAsia" w:cs="Times New Roman"/>
                <w:color w:val="000000" w:themeColor="text1"/>
                <w:sz w:val="24"/>
                <w:highlight w:val="none"/>
                <w:lang w:val="en-US" w:eastAsia="zh-CN"/>
                <w14:textFill>
                  <w14:solidFill>
                    <w14:schemeClr w14:val="tx1"/>
                  </w14:solidFill>
                </w14:textFill>
              </w:rPr>
              <w:t>、1台2m</w:t>
            </w:r>
            <w:r>
              <w:rPr>
                <w:rFonts w:hint="eastAsia" w:cs="Times New Roman"/>
                <w:color w:val="000000" w:themeColor="text1"/>
                <w:sz w:val="24"/>
                <w:highlight w:val="none"/>
                <w:vertAlign w:val="superscript"/>
                <w:lang w:val="en-US" w:eastAsia="zh-CN"/>
                <w14:textFill>
                  <w14:solidFill>
                    <w14:schemeClr w14:val="tx1"/>
                  </w14:solidFill>
                </w14:textFill>
              </w:rPr>
              <w:t>3</w:t>
            </w:r>
            <w:r>
              <w:rPr>
                <w:rFonts w:hint="eastAsia" w:cs="Times New Roman"/>
                <w:color w:val="000000" w:themeColor="text1"/>
                <w:sz w:val="24"/>
                <w:highlight w:val="none"/>
                <w:lang w:val="en-US" w:eastAsia="zh-CN"/>
                <w14:textFill>
                  <w14:solidFill>
                    <w14:schemeClr w14:val="tx1"/>
                  </w14:solidFill>
                </w14:textFill>
              </w:rPr>
              <w:t>的氮气储气罐、4台2m</w:t>
            </w:r>
            <w:r>
              <w:rPr>
                <w:rFonts w:hint="eastAsia" w:cs="Times New Roman"/>
                <w:color w:val="000000" w:themeColor="text1"/>
                <w:sz w:val="24"/>
                <w:highlight w:val="none"/>
                <w:vertAlign w:val="superscript"/>
                <w:lang w:val="en-US" w:eastAsia="zh-CN"/>
                <w14:textFill>
                  <w14:solidFill>
                    <w14:schemeClr w14:val="tx1"/>
                  </w14:solidFill>
                </w14:textFill>
              </w:rPr>
              <w:t>3</w:t>
            </w:r>
            <w:r>
              <w:rPr>
                <w:rFonts w:hint="eastAsia" w:cs="Times New Roman"/>
                <w:color w:val="000000" w:themeColor="text1"/>
                <w:sz w:val="24"/>
                <w:highlight w:val="none"/>
                <w:lang w:val="en-US" w:eastAsia="zh-CN"/>
                <w14:textFill>
                  <w14:solidFill>
                    <w14:schemeClr w14:val="tx1"/>
                  </w14:solidFill>
                </w14:textFill>
              </w:rPr>
              <w:t>的缓冲罐</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w:t>
            </w:r>
          </w:p>
          <w:p w14:paraId="57E09676">
            <w:pPr>
              <w:pStyle w:val="66"/>
              <w:keepNext w:val="0"/>
              <w:keepLines w:val="0"/>
              <w:pageBreakBefore w:val="0"/>
              <w:widowControl w:val="0"/>
              <w:kinsoku/>
              <w:wordWrap/>
              <w:overflowPunct/>
              <w:topLinePunct w:val="0"/>
              <w:autoSpaceDE w:val="0"/>
              <w:autoSpaceDN w:val="0"/>
              <w:bidi w:val="0"/>
              <w:spacing w:line="360" w:lineRule="auto"/>
              <w:ind w:firstLine="482"/>
              <w:textAlignment w:val="auto"/>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制氮站内设置PSA吸附式</w:t>
            </w:r>
            <w:r>
              <w:rPr>
                <w:rFonts w:hint="eastAsia" w:ascii="Times New Roman" w:hAnsi="Times New Roman" w:eastAsia="宋体" w:cs="Times New Roman"/>
                <w:color w:val="auto"/>
                <w:sz w:val="24"/>
                <w:highlight w:val="none"/>
                <w:lang w:val="en-US" w:eastAsia="zh-CN"/>
              </w:rPr>
              <w:t>制氮机2台（1用1备），单台产气量200m</w:t>
            </w:r>
            <w:r>
              <w:rPr>
                <w:rFonts w:hint="default" w:ascii="Times New Roman" w:hAnsi="Times New Roman" w:eastAsia="宋体" w:cs="Times New Roman"/>
                <w:color w:val="auto"/>
                <w:sz w:val="24"/>
                <w:highlight w:val="none"/>
                <w:lang w:val="en-US" w:eastAsia="zh-CN"/>
              </w:rPr>
              <w:t>³</w:t>
            </w:r>
            <w:r>
              <w:rPr>
                <w:rFonts w:hint="eastAsia" w:ascii="Times New Roman" w:hAnsi="Times New Roman" w:eastAsia="宋体" w:cs="Times New Roman"/>
                <w:color w:val="auto"/>
                <w:sz w:val="24"/>
                <w:highlight w:val="none"/>
                <w:lang w:val="en-US" w:eastAsia="zh-CN"/>
              </w:rPr>
              <w:t>/h。提供纯度为99.99%的氮气。</w:t>
            </w:r>
          </w:p>
          <w:p w14:paraId="0538955B">
            <w:pPr>
              <w:pStyle w:val="66"/>
              <w:keepNext w:val="0"/>
              <w:keepLines w:val="0"/>
              <w:pageBreakBefore w:val="0"/>
              <w:widowControl w:val="0"/>
              <w:kinsoku/>
              <w:wordWrap/>
              <w:overflowPunct/>
              <w:topLinePunct w:val="0"/>
              <w:autoSpaceDE w:val="0"/>
              <w:autoSpaceDN w:val="0"/>
              <w:bidi w:val="0"/>
              <w:spacing w:line="360" w:lineRule="auto"/>
              <w:ind w:left="0" w:leftChars="0" w:firstLine="0" w:firstLineChars="0"/>
              <w:textAlignment w:val="auto"/>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object>
                <v:shape id="_x0000_i1025" o:spt="75" type="#_x0000_t75" style="height:125.8pt;width:386.25pt;" o:ole="t" filled="f" o:preferrelative="t" stroked="f" coordsize="21600,21600">
                  <v:path/>
                  <v:fill on="f" focussize="0,0"/>
                  <v:stroke on="f"/>
                  <v:imagedata r:id="rId14" o:title=""/>
                  <o:lock v:ext="edit" aspectratio="f"/>
                  <w10:wrap type="none"/>
                  <w10:anchorlock/>
                </v:shape>
                <o:OLEObject Type="Embed" ProgID="Visio.Drawing.15" ShapeID="_x0000_i1025" DrawAspect="Content" ObjectID="_1468075725" r:id="rId13">
                  <o:LockedField>false</o:LockedField>
                </o:OLEObject>
              </w:object>
            </w:r>
          </w:p>
          <w:p w14:paraId="53698394">
            <w:pPr>
              <w:spacing w:line="360" w:lineRule="auto"/>
              <w:jc w:val="center"/>
              <w:outlineLvl w:val="9"/>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图2-</w:t>
            </w:r>
            <w:r>
              <w:rPr>
                <w:rFonts w:hint="eastAsia" w:cs="Times New Roman"/>
                <w:b/>
                <w:bCs/>
                <w:color w:val="000000" w:themeColor="text1"/>
                <w:sz w:val="21"/>
                <w:szCs w:val="21"/>
                <w:highlight w:val="none"/>
                <w:lang w:val="en-US" w:eastAsia="zh-CN"/>
                <w14:textFill>
                  <w14:solidFill>
                    <w14:schemeClr w14:val="tx1"/>
                  </w14:solidFill>
                </w14:textFill>
              </w:rPr>
              <w:t xml:space="preserve">1 </w:t>
            </w:r>
            <w:r>
              <w:rPr>
                <w:rFonts w:hint="eastAsia" w:ascii="Times New Roman" w:hAnsi="Times New Roman" w:cs="Times New Roman"/>
                <w:b/>
                <w:bCs/>
                <w:color w:val="000000" w:themeColor="text1"/>
                <w:sz w:val="21"/>
                <w:szCs w:val="21"/>
                <w:highlight w:val="none"/>
                <w:lang w:val="en-US" w:eastAsia="zh-CN"/>
                <w14:textFill>
                  <w14:solidFill>
                    <w14:schemeClr w14:val="tx1"/>
                  </w14:solidFill>
                </w14:textFill>
              </w:rPr>
              <w:t>项目</w:t>
            </w:r>
            <w:r>
              <w:rPr>
                <w:rFonts w:hint="eastAsia" w:cs="Times New Roman"/>
                <w:b/>
                <w:bCs/>
                <w:color w:val="000000" w:themeColor="text1"/>
                <w:sz w:val="21"/>
                <w:szCs w:val="21"/>
                <w:highlight w:val="none"/>
                <w:lang w:val="en-US" w:eastAsia="zh-CN"/>
                <w14:textFill>
                  <w14:solidFill>
                    <w14:schemeClr w14:val="tx1"/>
                  </w14:solidFill>
                </w14:textFill>
              </w:rPr>
              <w:t>空压制氮</w:t>
            </w:r>
            <w:r>
              <w:rPr>
                <w:rFonts w:hint="eastAsia" w:ascii="Times New Roman" w:hAnsi="Times New Roman" w:cs="Times New Roman"/>
                <w:b/>
                <w:bCs/>
                <w:color w:val="000000" w:themeColor="text1"/>
                <w:sz w:val="21"/>
                <w:szCs w:val="21"/>
                <w:highlight w:val="none"/>
                <w:lang w:val="en-US" w:eastAsia="zh-CN"/>
                <w14:textFill>
                  <w14:solidFill>
                    <w14:schemeClr w14:val="tx1"/>
                  </w14:solidFill>
                </w14:textFill>
              </w:rPr>
              <w:t>工艺流程</w:t>
            </w:r>
            <w:r>
              <w:rPr>
                <w:rFonts w:hint="eastAsia" w:cs="Times New Roman"/>
                <w:b/>
                <w:bCs/>
                <w:color w:val="000000" w:themeColor="text1"/>
                <w:sz w:val="21"/>
                <w:szCs w:val="21"/>
                <w:highlight w:val="none"/>
                <w:lang w:val="en-US" w:eastAsia="zh-CN"/>
                <w14:textFill>
                  <w14:solidFill>
                    <w14:schemeClr w14:val="tx1"/>
                  </w14:solidFill>
                </w14:textFill>
              </w:rPr>
              <w:t>图</w:t>
            </w:r>
          </w:p>
          <w:p w14:paraId="16FDAB53">
            <w:pPr>
              <w:pStyle w:val="66"/>
              <w:keepNext w:val="0"/>
              <w:keepLines w:val="0"/>
              <w:pageBreakBefore w:val="0"/>
              <w:widowControl w:val="0"/>
              <w:kinsoku/>
              <w:wordWrap/>
              <w:overflowPunct/>
              <w:topLinePunct w:val="0"/>
              <w:autoSpaceDE w:val="0"/>
              <w:autoSpaceDN w:val="0"/>
              <w:bidi w:val="0"/>
              <w:spacing w:line="360" w:lineRule="auto"/>
              <w:ind w:firstLine="482"/>
              <w:textAlignment w:val="auto"/>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压缩氮气</w:t>
            </w:r>
            <w:r>
              <w:rPr>
                <w:rFonts w:hint="eastAsia" w:cs="Times New Roman"/>
                <w:color w:val="000000" w:themeColor="text1"/>
                <w:sz w:val="24"/>
                <w:highlight w:val="none"/>
                <w:lang w:val="en-US" w:eastAsia="zh-CN"/>
                <w14:textFill>
                  <w14:solidFill>
                    <w14:schemeClr w14:val="tx1"/>
                  </w14:solidFill>
                </w14:textFill>
              </w:rPr>
              <w:t>属于《危险化学品目录》（2015版）（2026调整版）中的危险化学品，</w:t>
            </w:r>
            <w:r>
              <w:rPr>
                <w:rFonts w:ascii="宋体" w:hAnsi="宋体" w:eastAsia="宋体" w:cs="宋体"/>
                <w:color w:val="000000" w:themeColor="text1"/>
                <w:sz w:val="24"/>
                <w:szCs w:val="24"/>
                <w14:textFill>
                  <w14:solidFill>
                    <w14:schemeClr w14:val="tx1"/>
                  </w14:solidFill>
                </w14:textFill>
              </w:rPr>
              <w:t>本项目配套制氮装置自产压缩氮气仅</w:t>
            </w:r>
            <w:r>
              <w:rPr>
                <w:rFonts w:hint="eastAsia" w:ascii="宋体" w:hAnsi="宋体" w:eastAsia="宋体" w:cs="宋体"/>
                <w:color w:val="000000" w:themeColor="text1"/>
                <w:sz w:val="24"/>
                <w:szCs w:val="24"/>
                <w:lang w:val="en-US" w:eastAsia="zh-CN"/>
                <w14:textFill>
                  <w14:solidFill>
                    <w14:schemeClr w14:val="tx1"/>
                  </w14:solidFill>
                </w14:textFill>
              </w:rPr>
              <w:t>自用，不对外销售、不对外供气，根据</w:t>
            </w:r>
            <w:r>
              <w:rPr>
                <w:rFonts w:ascii="宋体" w:hAnsi="宋体" w:eastAsia="宋体" w:cs="宋体"/>
                <w:color w:val="000000" w:themeColor="text1"/>
                <w:sz w:val="24"/>
                <w:szCs w:val="24"/>
                <w14:textFill>
                  <w14:solidFill>
                    <w14:schemeClr w14:val="tx1"/>
                  </w14:solidFill>
                </w14:textFill>
              </w:rPr>
              <w:t>《四川省化工生产建设项目入园指引(试行)》</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本项目无需入驻化工园区。</w:t>
            </w:r>
          </w:p>
          <w:p w14:paraId="733972DF">
            <w:pPr>
              <w:pStyle w:val="66"/>
              <w:keepNext w:val="0"/>
              <w:keepLines w:val="0"/>
              <w:pageBreakBefore w:val="0"/>
              <w:widowControl w:val="0"/>
              <w:kinsoku/>
              <w:wordWrap/>
              <w:overflowPunct/>
              <w:topLinePunct w:val="0"/>
              <w:autoSpaceDE w:val="0"/>
              <w:autoSpaceDN w:val="0"/>
              <w:bidi w:val="0"/>
              <w:spacing w:line="360" w:lineRule="auto"/>
              <w:ind w:firstLine="482"/>
              <w:textAlignment w:val="auto"/>
              <w:rPr>
                <w:rFonts w:hint="eastAsia" w:ascii="Times New Roman" w:hAnsi="Times New Roman" w:eastAsia="宋体" w:cs="Times New Roman"/>
                <w:b w:val="0"/>
                <w:bCs w:val="0"/>
                <w:color w:val="auto"/>
                <w:lang w:val="en-US" w:eastAsia="zh-CN"/>
              </w:rPr>
            </w:pPr>
            <w:r>
              <w:rPr>
                <w:rFonts w:hint="default" w:ascii="Times New Roman" w:hAnsi="Times New Roman" w:cs="Times New Roman"/>
                <w:color w:val="auto"/>
                <w:lang w:eastAsia="zh-CN"/>
              </w:rPr>
              <w:t>（</w:t>
            </w:r>
            <w:r>
              <w:rPr>
                <w:rFonts w:hint="default" w:ascii="Times New Roman" w:hAnsi="Times New Roman" w:cs="Times New Roman"/>
                <w:color w:val="auto"/>
                <w:lang w:val="en-US" w:eastAsia="zh-CN"/>
              </w:rPr>
              <w:t>3）供水</w:t>
            </w:r>
          </w:p>
          <w:p w14:paraId="7E0A5267">
            <w:pPr>
              <w:pStyle w:val="66"/>
              <w:keepNext w:val="0"/>
              <w:keepLines w:val="0"/>
              <w:pageBreakBefore w:val="0"/>
              <w:widowControl w:val="0"/>
              <w:kinsoku/>
              <w:wordWrap/>
              <w:overflowPunct/>
              <w:topLinePunct w:val="0"/>
              <w:autoSpaceDE w:val="0"/>
              <w:autoSpaceDN w:val="0"/>
              <w:bidi w:val="0"/>
              <w:spacing w:line="360" w:lineRule="auto"/>
              <w:ind w:firstLine="482"/>
              <w:textAlignment w:val="auto"/>
              <w:rPr>
                <w:rFonts w:hint="eastAsia"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b w:val="0"/>
                <w:bCs w:val="0"/>
                <w:color w:val="auto"/>
                <w:lang w:val="en-US" w:eastAsia="zh-CN"/>
              </w:rPr>
              <w:t>本项目供水主要来源于</w:t>
            </w:r>
            <w:r>
              <w:rPr>
                <w:rFonts w:hint="default" w:ascii="Times New Roman" w:hAnsi="Times New Roman" w:cs="Times New Roman"/>
                <w:color w:val="auto"/>
                <w:lang w:val="en-US" w:eastAsia="zh-CN"/>
              </w:rPr>
              <w:t>市政</w:t>
            </w:r>
            <w:r>
              <w:rPr>
                <w:rFonts w:hint="eastAsia" w:ascii="Times New Roman" w:hAnsi="Times New Roman" w:cs="Times New Roman"/>
                <w:color w:val="auto"/>
                <w:lang w:val="en-US" w:eastAsia="zh-CN"/>
              </w:rPr>
              <w:t>供水管网，项</w:t>
            </w:r>
            <w:r>
              <w:rPr>
                <w:rFonts w:hint="default" w:ascii="Times New Roman" w:hAnsi="Times New Roman" w:cs="Times New Roman"/>
                <w:color w:val="auto"/>
              </w:rPr>
              <w:t>目用水为生产用水、生活用水</w:t>
            </w:r>
            <w:r>
              <w:rPr>
                <w:rFonts w:hint="default" w:ascii="Times New Roman" w:hAnsi="Times New Roman" w:cs="Times New Roman"/>
                <w:color w:val="000000" w:themeColor="text1"/>
                <w14:textFill>
                  <w14:solidFill>
                    <w14:schemeClr w14:val="tx1"/>
                  </w14:solidFill>
                </w14:textFill>
              </w:rPr>
              <w:t>。其中生产用水主要为</w:t>
            </w:r>
            <w:r>
              <w:rPr>
                <w:rFonts w:hint="eastAsia" w:cs="Times New Roman"/>
                <w:color w:val="000000" w:themeColor="text1"/>
                <w:lang w:val="en-US" w:eastAsia="zh-CN"/>
                <w14:textFill>
                  <w14:solidFill>
                    <w14:schemeClr w14:val="tx1"/>
                  </w14:solidFill>
                </w14:textFill>
              </w:rPr>
              <w:t>设备清洗用水、负极匀浆用水、纯水制备用水、冷却循环用水</w:t>
            </w:r>
            <w:r>
              <w:rPr>
                <w:rFonts w:hint="default" w:ascii="Times New Roman" w:hAnsi="Times New Roman" w:cs="Times New Roman"/>
                <w:color w:val="000000" w:themeColor="text1"/>
                <w:lang w:val="en-US" w:eastAsia="zh-CN"/>
                <w14:textFill>
                  <w14:solidFill>
                    <w14:schemeClr w14:val="tx1"/>
                  </w14:solidFill>
                </w14:textFill>
              </w:rPr>
              <w:t>等</w:t>
            </w:r>
            <w:r>
              <w:rPr>
                <w:rFonts w:hint="default" w:ascii="Times New Roman" w:hAnsi="Times New Roman" w:cs="Times New Roman"/>
                <w:color w:val="000000" w:themeColor="text1"/>
                <w14:textFill>
                  <w14:solidFill>
                    <w14:schemeClr w14:val="tx1"/>
                  </w14:solidFill>
                </w14:textFill>
              </w:rPr>
              <w:t>；生活用水</w:t>
            </w:r>
            <w:r>
              <w:rPr>
                <w:rFonts w:hint="eastAsia" w:cs="Times New Roman"/>
                <w:color w:val="000000" w:themeColor="text1"/>
                <w:lang w:eastAsia="zh-CN"/>
                <w14:textFill>
                  <w14:solidFill>
                    <w14:schemeClr w14:val="tx1"/>
                  </w14:solidFill>
                </w14:textFill>
              </w:rPr>
              <w:t>主要</w:t>
            </w:r>
            <w:r>
              <w:rPr>
                <w:rFonts w:hint="eastAsia" w:ascii="Times New Roman" w:hAnsi="Times New Roman" w:cs="Times New Roman"/>
                <w:color w:val="000000" w:themeColor="text1"/>
                <w:lang w:val="en-US" w:eastAsia="zh-CN"/>
                <w14:textFill>
                  <w14:solidFill>
                    <w14:schemeClr w14:val="tx1"/>
                  </w14:solidFill>
                </w14:textFill>
              </w:rPr>
              <w:t>为</w:t>
            </w:r>
            <w:r>
              <w:rPr>
                <w:rFonts w:hint="default" w:ascii="Times New Roman" w:hAnsi="Times New Roman" w:cs="Times New Roman"/>
                <w:color w:val="000000" w:themeColor="text1"/>
                <w:lang w:val="en-US" w:eastAsia="zh-CN"/>
                <w14:textFill>
                  <w14:solidFill>
                    <w14:schemeClr w14:val="tx1"/>
                  </w14:solidFill>
                </w14:textFill>
              </w:rPr>
              <w:t>员工</w:t>
            </w:r>
            <w:r>
              <w:rPr>
                <w:rFonts w:hint="default" w:ascii="Times New Roman" w:hAnsi="Times New Roman" w:cs="Times New Roman"/>
                <w:color w:val="000000" w:themeColor="text1"/>
                <w14:textFill>
                  <w14:solidFill>
                    <w14:schemeClr w14:val="tx1"/>
                  </w14:solidFill>
                </w14:textFill>
              </w:rPr>
              <w:t>办公用水。项目</w:t>
            </w:r>
            <w:r>
              <w:rPr>
                <w:rFonts w:hint="eastAsia" w:ascii="Times New Roman" w:hAnsi="Times New Roman" w:cs="Times New Roman"/>
                <w:color w:val="000000" w:themeColor="text1"/>
                <w:lang w:val="en-US" w:eastAsia="zh-CN"/>
                <w14:textFill>
                  <w14:solidFill>
                    <w14:schemeClr w14:val="tx1"/>
                  </w14:solidFill>
                </w14:textFill>
              </w:rPr>
              <w:t>车间</w:t>
            </w:r>
            <w:r>
              <w:rPr>
                <w:rFonts w:hint="default" w:ascii="Times New Roman" w:hAnsi="Times New Roman" w:cs="Times New Roman"/>
                <w:color w:val="000000" w:themeColor="text1"/>
                <w14:textFill>
                  <w14:solidFill>
                    <w14:schemeClr w14:val="tx1"/>
                  </w14:solidFill>
                </w14:textFill>
              </w:rPr>
              <w:t>地面不</w:t>
            </w:r>
            <w:r>
              <w:rPr>
                <w:rFonts w:hint="default" w:ascii="Times New Roman" w:hAnsi="Times New Roman" w:eastAsia="宋体" w:cs="Times New Roman"/>
                <w:color w:val="000000" w:themeColor="text1"/>
                <w14:textFill>
                  <w14:solidFill>
                    <w14:schemeClr w14:val="tx1"/>
                  </w14:solidFill>
                </w14:textFill>
              </w:rPr>
              <w:t>清洗，采取吸尘器进行吸尘清洁</w:t>
            </w:r>
            <w:r>
              <w:rPr>
                <w:rFonts w:hint="eastAsia" w:ascii="Times New Roman" w:hAnsi="Times New Roman" w:eastAsia="宋体" w:cs="Times New Roman"/>
                <w:color w:val="000000" w:themeColor="text1"/>
                <w:lang w:val="en-US" w:eastAsia="zh-CN"/>
                <w14:textFill>
                  <w14:solidFill>
                    <w14:schemeClr w14:val="tx1"/>
                  </w14:solidFill>
                </w14:textFill>
              </w:rPr>
              <w:t>或扫帚清扫等方式</w:t>
            </w:r>
            <w:r>
              <w:rPr>
                <w:rFonts w:hint="default" w:ascii="Times New Roman" w:hAnsi="Times New Roman" w:eastAsia="宋体" w:cs="Times New Roman"/>
                <w:color w:val="000000" w:themeColor="text1"/>
                <w14:textFill>
                  <w14:solidFill>
                    <w14:schemeClr w14:val="tx1"/>
                  </w14:solidFill>
                </w14:textFill>
              </w:rPr>
              <w:t>，无需地面清洁用水</w:t>
            </w:r>
            <w:r>
              <w:rPr>
                <w:rFonts w:hint="eastAsia" w:ascii="Times New Roman" w:hAnsi="Times New Roman" w:eastAsia="宋体" w:cs="Times New Roman"/>
                <w:color w:val="000000" w:themeColor="text1"/>
                <w:lang w:eastAsia="zh-CN"/>
                <w14:textFill>
                  <w14:solidFill>
                    <w14:schemeClr w14:val="tx1"/>
                  </w14:solidFill>
                </w14:textFill>
              </w:rPr>
              <w:t>。</w:t>
            </w:r>
          </w:p>
          <w:p w14:paraId="05D7474B">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ascii="Times New Roman" w:hAnsi="Times New Roman"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①</w:t>
            </w:r>
            <w:r>
              <w:rPr>
                <w:rFonts w:hint="eastAsia" w:ascii="Times New Roman" w:hAnsi="Times New Roman" w:cs="Times New Roman"/>
                <w:color w:val="000000" w:themeColor="text1"/>
                <w:sz w:val="24"/>
                <w:szCs w:val="24"/>
                <w:lang w:val="en-US" w:eastAsia="zh-CN"/>
                <w14:textFill>
                  <w14:solidFill>
                    <w14:schemeClr w14:val="tx1"/>
                  </w14:solidFill>
                </w14:textFill>
              </w:rPr>
              <w:t>生活</w:t>
            </w:r>
            <w:r>
              <w:rPr>
                <w:rFonts w:hint="eastAsia" w:cs="Times New Roman"/>
                <w:color w:val="000000" w:themeColor="text1"/>
                <w:sz w:val="24"/>
                <w:szCs w:val="24"/>
                <w:lang w:val="en-US" w:eastAsia="zh-CN"/>
                <w14:textFill>
                  <w14:solidFill>
                    <w14:schemeClr w14:val="tx1"/>
                  </w14:solidFill>
                </w14:textFill>
              </w:rPr>
              <w:t>用水</w:t>
            </w:r>
          </w:p>
          <w:p w14:paraId="075E2778">
            <w:pPr>
              <w:autoSpaceDE w:val="0"/>
              <w:autoSpaceDN w:val="0"/>
              <w:spacing w:line="360" w:lineRule="auto"/>
              <w:ind w:firstLine="480" w:firstLineChars="200"/>
              <w:rPr>
                <w:rFonts w:hint="default" w:ascii="Times New Roman" w:hAnsi="Times New Roman" w:eastAsia="瀹嬩綋"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本项目不设置食堂及宿舍，生活用水主要为办公用水，本项目工作人员为</w:t>
            </w:r>
            <w:r>
              <w:rPr>
                <w:rFonts w:hint="eastAsia" w:cs="Times New Roman"/>
                <w:b w:val="0"/>
                <w:bCs w:val="0"/>
                <w:color w:val="auto"/>
                <w:sz w:val="24"/>
                <w:szCs w:val="24"/>
                <w:lang w:val="en-US" w:eastAsia="zh-CN"/>
              </w:rPr>
              <w:t>160</w:t>
            </w:r>
            <w:r>
              <w:rPr>
                <w:rFonts w:hint="eastAsia" w:ascii="Times New Roman" w:hAnsi="Times New Roman" w:eastAsia="宋体" w:cs="Times New Roman"/>
                <w:b w:val="0"/>
                <w:bCs w:val="0"/>
                <w:color w:val="auto"/>
                <w:sz w:val="24"/>
                <w:szCs w:val="24"/>
                <w:lang w:val="en-US" w:eastAsia="zh-CN"/>
              </w:rPr>
              <w:t>人，根据《四川省用水定额》（2021年），生活用水按60L/人•d计，项目生活用水平均用水量</w:t>
            </w:r>
            <w:r>
              <w:rPr>
                <w:rFonts w:hint="eastAsia" w:ascii="Times New Roman" w:hAnsi="Times New Roman"/>
                <w:color w:val="auto"/>
                <w:sz w:val="24"/>
                <w:highlight w:val="none"/>
                <w:lang w:val="en-US" w:eastAsia="zh-CN"/>
              </w:rPr>
              <w:t>为</w:t>
            </w:r>
            <w:r>
              <w:rPr>
                <w:rFonts w:hint="eastAsia" w:cs="Times New Roman"/>
                <w:b w:val="0"/>
                <w:bCs w:val="0"/>
                <w:color w:val="auto"/>
                <w:sz w:val="24"/>
                <w:szCs w:val="24"/>
                <w:lang w:val="en-US" w:eastAsia="zh-CN"/>
              </w:rPr>
              <w:t>9.6</w:t>
            </w:r>
            <w:r>
              <w:rPr>
                <w:rFonts w:hint="eastAsia" w:ascii="Times New Roman" w:hAnsi="Times New Roman" w:eastAsia="宋体" w:cs="Times New Roman"/>
                <w:b w:val="0"/>
                <w:bCs w:val="0"/>
                <w:color w:val="auto"/>
                <w:sz w:val="24"/>
                <w:szCs w:val="24"/>
                <w:lang w:val="en-US" w:eastAsia="zh-CN"/>
              </w:rPr>
              <w:t>m</w:t>
            </w:r>
            <w:r>
              <w:rPr>
                <w:rFonts w:hint="eastAsia" w:ascii="Times New Roman" w:hAnsi="Times New Roman" w:eastAsia="宋体" w:cs="Times New Roman"/>
                <w:b w:val="0"/>
                <w:bCs w:val="0"/>
                <w:color w:val="auto"/>
                <w:sz w:val="24"/>
                <w:szCs w:val="24"/>
                <w:vertAlign w:val="superscript"/>
                <w:lang w:val="en-US" w:eastAsia="zh-CN"/>
              </w:rPr>
              <w:t>3</w:t>
            </w:r>
            <w:r>
              <w:rPr>
                <w:rFonts w:hint="eastAsia" w:ascii="Times New Roman" w:hAnsi="Times New Roman" w:eastAsia="宋体" w:cs="Times New Roman"/>
                <w:b w:val="0"/>
                <w:bCs w:val="0"/>
                <w:color w:val="auto"/>
                <w:sz w:val="24"/>
                <w:szCs w:val="24"/>
                <w:lang w:val="en-US" w:eastAsia="zh-CN"/>
              </w:rPr>
              <w:t>/d</w:t>
            </w:r>
            <w:r>
              <w:rPr>
                <w:rFonts w:hint="eastAsia" w:cs="Times New Roman"/>
                <w:b w:val="0"/>
                <w:bCs w:val="0"/>
                <w:color w:val="auto"/>
                <w:sz w:val="24"/>
                <w:szCs w:val="24"/>
                <w:lang w:val="en-US" w:eastAsia="zh-CN"/>
              </w:rPr>
              <w:t>（2880</w:t>
            </w:r>
            <w:r>
              <w:rPr>
                <w:rFonts w:hint="eastAsia" w:ascii="Times New Roman" w:hAnsi="Times New Roman" w:eastAsia="宋体" w:cs="Times New Roman"/>
                <w:b w:val="0"/>
                <w:bCs w:val="0"/>
                <w:color w:val="auto"/>
                <w:sz w:val="24"/>
                <w:szCs w:val="24"/>
                <w:lang w:val="en-US" w:eastAsia="zh-CN"/>
              </w:rPr>
              <w:t>m</w:t>
            </w:r>
            <w:r>
              <w:rPr>
                <w:rFonts w:hint="eastAsia" w:ascii="Times New Roman" w:hAnsi="Times New Roman" w:eastAsia="宋体" w:cs="Times New Roman"/>
                <w:b w:val="0"/>
                <w:bCs w:val="0"/>
                <w:color w:val="auto"/>
                <w:sz w:val="24"/>
                <w:szCs w:val="24"/>
                <w:vertAlign w:val="superscript"/>
                <w:lang w:val="en-US" w:eastAsia="zh-CN"/>
              </w:rPr>
              <w:t>3</w:t>
            </w:r>
            <w:r>
              <w:rPr>
                <w:rFonts w:hint="eastAsia" w:ascii="Times New Roman" w:hAnsi="Times New Roman" w:eastAsia="宋体" w:cs="Times New Roman"/>
                <w:b w:val="0"/>
                <w:bCs w:val="0"/>
                <w:color w:val="auto"/>
                <w:sz w:val="24"/>
                <w:szCs w:val="24"/>
                <w:lang w:val="en-US" w:eastAsia="zh-CN"/>
              </w:rPr>
              <w:t>/a</w:t>
            </w:r>
            <w:r>
              <w:rPr>
                <w:rFonts w:hint="eastAsia" w:cs="Times New Roman"/>
                <w:b w:val="0"/>
                <w:bCs w:val="0"/>
                <w:color w:val="auto"/>
                <w:sz w:val="24"/>
                <w:szCs w:val="24"/>
                <w:lang w:val="en-US" w:eastAsia="zh-CN"/>
              </w:rPr>
              <w:t>），产污系数按80%计，则生活污水排放量为7.68</w:t>
            </w:r>
            <w:r>
              <w:rPr>
                <w:rFonts w:hint="eastAsia" w:ascii="Times New Roman" w:hAnsi="Times New Roman" w:eastAsia="宋体" w:cs="Times New Roman"/>
                <w:b w:val="0"/>
                <w:bCs w:val="0"/>
                <w:color w:val="auto"/>
                <w:sz w:val="24"/>
                <w:szCs w:val="24"/>
                <w:lang w:val="en-US" w:eastAsia="zh-CN"/>
              </w:rPr>
              <w:t>m</w:t>
            </w:r>
            <w:r>
              <w:rPr>
                <w:rFonts w:hint="eastAsia" w:ascii="Times New Roman" w:hAnsi="Times New Roman" w:eastAsia="宋体" w:cs="Times New Roman"/>
                <w:b w:val="0"/>
                <w:bCs w:val="0"/>
                <w:color w:val="auto"/>
                <w:sz w:val="24"/>
                <w:szCs w:val="24"/>
                <w:vertAlign w:val="superscript"/>
                <w:lang w:val="en-US" w:eastAsia="zh-CN"/>
              </w:rPr>
              <w:t>3</w:t>
            </w:r>
            <w:r>
              <w:rPr>
                <w:rFonts w:hint="eastAsia" w:ascii="Times New Roman" w:hAnsi="Times New Roman" w:eastAsia="宋体" w:cs="Times New Roman"/>
                <w:b w:val="0"/>
                <w:bCs w:val="0"/>
                <w:color w:val="auto"/>
                <w:sz w:val="24"/>
                <w:szCs w:val="24"/>
                <w:lang w:val="en-US" w:eastAsia="zh-CN"/>
              </w:rPr>
              <w:t>/d</w:t>
            </w:r>
            <w:r>
              <w:rPr>
                <w:rFonts w:hint="eastAsia" w:cs="Times New Roman"/>
                <w:b w:val="0"/>
                <w:bCs w:val="0"/>
                <w:color w:val="auto"/>
                <w:sz w:val="24"/>
                <w:szCs w:val="24"/>
                <w:lang w:val="en-US" w:eastAsia="zh-CN"/>
              </w:rPr>
              <w:t>（2304</w:t>
            </w:r>
            <w:r>
              <w:rPr>
                <w:rFonts w:hint="eastAsia" w:ascii="Times New Roman" w:hAnsi="Times New Roman" w:eastAsia="宋体" w:cs="Times New Roman"/>
                <w:b w:val="0"/>
                <w:bCs w:val="0"/>
                <w:color w:val="auto"/>
                <w:sz w:val="24"/>
                <w:szCs w:val="24"/>
                <w:lang w:val="en-US" w:eastAsia="zh-CN"/>
              </w:rPr>
              <w:t>m</w:t>
            </w:r>
            <w:r>
              <w:rPr>
                <w:rFonts w:hint="eastAsia" w:ascii="Times New Roman" w:hAnsi="Times New Roman" w:eastAsia="宋体" w:cs="Times New Roman"/>
                <w:b w:val="0"/>
                <w:bCs w:val="0"/>
                <w:color w:val="auto"/>
                <w:sz w:val="24"/>
                <w:szCs w:val="24"/>
                <w:vertAlign w:val="superscript"/>
                <w:lang w:val="en-US" w:eastAsia="zh-CN"/>
              </w:rPr>
              <w:t>3</w:t>
            </w:r>
            <w:r>
              <w:rPr>
                <w:rFonts w:hint="eastAsia" w:ascii="Times New Roman" w:hAnsi="Times New Roman" w:eastAsia="宋体" w:cs="Times New Roman"/>
                <w:b w:val="0"/>
                <w:bCs w:val="0"/>
                <w:color w:val="auto"/>
                <w:sz w:val="24"/>
                <w:szCs w:val="24"/>
                <w:lang w:val="en-US" w:eastAsia="zh-CN"/>
              </w:rPr>
              <w:t>/a</w:t>
            </w:r>
            <w:r>
              <w:rPr>
                <w:rFonts w:hint="eastAsia" w:cs="Times New Roman"/>
                <w:b w:val="0"/>
                <w:bCs w:val="0"/>
                <w:color w:val="auto"/>
                <w:sz w:val="24"/>
                <w:szCs w:val="24"/>
                <w:lang w:val="en-US" w:eastAsia="zh-CN"/>
              </w:rPr>
              <w:t>）</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经</w:t>
            </w:r>
            <w:r>
              <w:rPr>
                <w:rFonts w:hint="default" w:ascii="Times New Roman" w:hAnsi="Times New Roman" w:cs="Times New Roman"/>
                <w:color w:val="auto"/>
                <w:sz w:val="24"/>
                <w:szCs w:val="24"/>
                <w:lang w:val="en-US" w:eastAsia="zh-CN"/>
              </w:rPr>
              <w:t>厂区预处理池</w:t>
            </w:r>
            <w:r>
              <w:rPr>
                <w:rFonts w:hint="default" w:ascii="Times New Roman" w:hAnsi="Times New Roman" w:cs="Times New Roman"/>
                <w:color w:val="auto"/>
                <w:sz w:val="24"/>
                <w:szCs w:val="24"/>
              </w:rPr>
              <w:t>处理后</w:t>
            </w:r>
            <w:r>
              <w:rPr>
                <w:rFonts w:hint="default" w:ascii="Times New Roman" w:hAnsi="Times New Roman" w:cs="Times New Roman"/>
                <w:color w:val="auto"/>
                <w:sz w:val="24"/>
                <w:szCs w:val="24"/>
                <w:lang w:eastAsia="zh-CN"/>
              </w:rPr>
              <w:t>，</w:t>
            </w:r>
            <w:r>
              <w:rPr>
                <w:rFonts w:hint="default" w:ascii="Times New Roman" w:hAnsi="Times New Roman" w:eastAsia="瀹嬩綋" w:cs="Times New Roman"/>
                <w:color w:val="auto"/>
                <w:spacing w:val="-6"/>
                <w:sz w:val="24"/>
                <w:szCs w:val="24"/>
              </w:rPr>
              <w:t>排入园区市政污水管网，</w:t>
            </w:r>
            <w:r>
              <w:rPr>
                <w:rFonts w:hint="eastAsia" w:ascii="Times New Roman" w:hAnsi="Times New Roman" w:eastAsia="瀹嬩綋" w:cs="Times New Roman"/>
                <w:color w:val="auto"/>
                <w:spacing w:val="-6"/>
                <w:sz w:val="24"/>
                <w:szCs w:val="24"/>
                <w:lang w:val="en-US" w:eastAsia="zh-CN"/>
              </w:rPr>
              <w:t>进入巴中经开区污水处理厂处理。</w:t>
            </w:r>
          </w:p>
          <w:p w14:paraId="423CB216">
            <w:pPr>
              <w:pStyle w:val="66"/>
              <w:keepNext w:val="0"/>
              <w:keepLines w:val="0"/>
              <w:pageBreakBefore w:val="0"/>
              <w:widowControl w:val="0"/>
              <w:kinsoku/>
              <w:wordWrap/>
              <w:overflowPunct/>
              <w:topLinePunct w:val="0"/>
              <w:autoSpaceDE w:val="0"/>
              <w:autoSpaceDN w:val="0"/>
              <w:bidi w:val="0"/>
              <w:spacing w:line="360" w:lineRule="auto"/>
              <w:ind w:firstLine="482"/>
              <w:textAlignment w:val="auto"/>
              <w:rPr>
                <w:rFonts w:hint="eastAsia" w:cs="Times New Roman"/>
                <w:color w:val="auto"/>
                <w:lang w:val="en-US" w:eastAsia="zh-CN"/>
              </w:rPr>
            </w:pPr>
            <w:r>
              <w:rPr>
                <w:rFonts w:hint="eastAsia" w:cs="Times New Roman"/>
                <w:color w:val="auto"/>
                <w:lang w:val="en-US" w:eastAsia="zh-CN"/>
              </w:rPr>
              <w:t>②负极匀浆用水</w:t>
            </w:r>
          </w:p>
          <w:p w14:paraId="2DDB419C">
            <w:pPr>
              <w:pStyle w:val="66"/>
              <w:keepNext w:val="0"/>
              <w:keepLines w:val="0"/>
              <w:pageBreakBefore w:val="0"/>
              <w:widowControl w:val="0"/>
              <w:kinsoku/>
              <w:wordWrap/>
              <w:overflowPunct/>
              <w:topLinePunct w:val="0"/>
              <w:autoSpaceDE w:val="0"/>
              <w:autoSpaceDN w:val="0"/>
              <w:bidi w:val="0"/>
              <w:spacing w:line="360" w:lineRule="auto"/>
              <w:ind w:firstLine="482"/>
              <w:textAlignment w:val="auto"/>
              <w:rPr>
                <w:rFonts w:hint="eastAsia" w:cs="Times New Roman"/>
                <w:color w:val="auto"/>
                <w:lang w:val="en-US" w:eastAsia="zh-CN"/>
              </w:rPr>
            </w:pPr>
            <w:r>
              <w:rPr>
                <w:rFonts w:hint="eastAsia" w:cs="Times New Roman"/>
                <w:color w:val="auto"/>
                <w:lang w:val="en-US" w:eastAsia="zh-CN"/>
              </w:rPr>
              <w:t>根据建设单位提供资料，本项目负极制浆所需纯水约3</w:t>
            </w:r>
            <w:r>
              <w:rPr>
                <w:rFonts w:hint="eastAsia" w:ascii="Times New Roman" w:hAnsi="Times New Roman" w:eastAsia="宋体" w:cs="Times New Roman"/>
                <w:color w:val="auto"/>
                <w:lang w:val="en-US" w:eastAsia="zh-CN"/>
              </w:rPr>
              <w:t>m</w:t>
            </w:r>
            <w:r>
              <w:rPr>
                <w:rFonts w:hint="eastAsia" w:ascii="Times New Roman" w:hAnsi="Times New Roman" w:eastAsia="宋体" w:cs="Times New Roman"/>
                <w:color w:val="auto"/>
                <w:vertAlign w:val="superscript"/>
                <w:lang w:val="en-US" w:eastAsia="zh-CN"/>
              </w:rPr>
              <w:t>3</w:t>
            </w:r>
            <w:r>
              <w:rPr>
                <w:rFonts w:hint="eastAsia" w:cs="Times New Roman"/>
                <w:color w:val="auto"/>
                <w:lang w:val="en-US" w:eastAsia="zh-CN"/>
              </w:rPr>
              <w:t>/d（900</w:t>
            </w:r>
            <w:r>
              <w:rPr>
                <w:rFonts w:hint="eastAsia" w:ascii="Times New Roman" w:hAnsi="Times New Roman" w:eastAsia="宋体" w:cs="Times New Roman"/>
                <w:color w:val="auto"/>
                <w:lang w:val="en-US" w:eastAsia="zh-CN"/>
              </w:rPr>
              <w:t>m</w:t>
            </w:r>
            <w:r>
              <w:rPr>
                <w:rFonts w:hint="eastAsia" w:ascii="Times New Roman" w:hAnsi="Times New Roman" w:eastAsia="宋体" w:cs="Times New Roman"/>
                <w:color w:val="auto"/>
                <w:vertAlign w:val="superscript"/>
                <w:lang w:val="en-US" w:eastAsia="zh-CN"/>
              </w:rPr>
              <w:t>3</w:t>
            </w:r>
            <w:r>
              <w:rPr>
                <w:rFonts w:hint="eastAsia" w:cs="Times New Roman"/>
                <w:color w:val="auto"/>
                <w:lang w:val="en-US" w:eastAsia="zh-CN"/>
              </w:rPr>
              <w:t>/a）。</w:t>
            </w:r>
          </w:p>
          <w:p w14:paraId="143C6CE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Times New Roman"/>
                <w:color w:val="auto"/>
                <w:sz w:val="24"/>
                <w:szCs w:val="24"/>
                <w:lang w:val="en-US" w:eastAsia="zh-CN"/>
              </w:rPr>
            </w:pPr>
            <w:r>
              <w:rPr>
                <w:rFonts w:hint="eastAsia" w:cs="Times New Roman"/>
                <w:color w:val="auto"/>
                <w:sz w:val="24"/>
                <w:szCs w:val="24"/>
                <w:lang w:val="en-US" w:eastAsia="zh-CN"/>
              </w:rPr>
              <w:t>③设备清洗用水</w:t>
            </w:r>
          </w:p>
          <w:p w14:paraId="01B534C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color w:val="auto"/>
                <w:sz w:val="24"/>
                <w:szCs w:val="24"/>
                <w:lang w:val="en-US" w:eastAsia="zh-CN"/>
              </w:rPr>
              <w:t>根</w:t>
            </w:r>
            <w:r>
              <w:rPr>
                <w:rFonts w:hint="eastAsia" w:ascii="Times New Roman" w:hAnsi="Times New Roman" w:cs="Times New Roman"/>
                <w:color w:val="000000" w:themeColor="text1"/>
                <w:sz w:val="24"/>
                <w:szCs w:val="24"/>
                <w:lang w:val="en-US" w:eastAsia="zh-CN"/>
                <w14:textFill>
                  <w14:solidFill>
                    <w14:schemeClr w14:val="tx1"/>
                  </w14:solidFill>
                </w14:textFill>
              </w:rPr>
              <w:t>据建设单位提供资料，</w:t>
            </w:r>
            <w:r>
              <w:rPr>
                <w:rFonts w:hint="eastAsia" w:cs="Times New Roman"/>
                <w:color w:val="000000" w:themeColor="text1"/>
                <w:sz w:val="24"/>
                <w:szCs w:val="24"/>
                <w:lang w:val="en-US" w:eastAsia="zh-CN"/>
                <w14:textFill>
                  <w14:solidFill>
                    <w14:schemeClr w14:val="tx1"/>
                  </w14:solidFill>
                </w14:textFill>
              </w:rPr>
              <w:t>本项目正负极匀浆系统及涂布机定期清洗，每月清洗2次，单次清洗用水量约4</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m</w:t>
            </w:r>
            <w:r>
              <w:rPr>
                <w:rFonts w:hint="eastAsia" w:ascii="Times New Roman" w:hAnsi="Times New Roman" w:eastAsia="宋体" w:cs="Times New Roman"/>
                <w:color w:val="000000" w:themeColor="text1"/>
                <w:sz w:val="24"/>
                <w:szCs w:val="24"/>
                <w:vertAlign w:val="superscript"/>
                <w:lang w:val="en-US" w:eastAsia="zh-CN"/>
                <w14:textFill>
                  <w14:solidFill>
                    <w14:schemeClr w14:val="tx1"/>
                  </w14:solidFill>
                </w14:textFill>
              </w:rPr>
              <w:t>3</w:t>
            </w:r>
            <w:r>
              <w:rPr>
                <w:rFonts w:hint="eastAsia" w:cs="Times New Roman"/>
                <w:color w:val="000000" w:themeColor="text1"/>
                <w:sz w:val="24"/>
                <w:szCs w:val="24"/>
                <w:lang w:val="en-US" w:eastAsia="zh-CN"/>
                <w14:textFill>
                  <w14:solidFill>
                    <w14:schemeClr w14:val="tx1"/>
                  </w14:solidFill>
                </w14:textFill>
              </w:rPr>
              <w:t>（约0.32</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m</w:t>
            </w:r>
            <w:r>
              <w:rPr>
                <w:rFonts w:hint="eastAsia" w:ascii="Times New Roman" w:hAnsi="Times New Roman" w:eastAsia="宋体" w:cs="Times New Roman"/>
                <w:color w:val="000000" w:themeColor="text1"/>
                <w:sz w:val="24"/>
                <w:szCs w:val="24"/>
                <w:vertAlign w:val="superscript"/>
                <w:lang w:val="en-US" w:eastAsia="zh-CN"/>
                <w14:textFill>
                  <w14:solidFill>
                    <w14:schemeClr w14:val="tx1"/>
                  </w14:solidFill>
                </w14:textFill>
              </w:rPr>
              <w:t>3</w:t>
            </w:r>
            <w:r>
              <w:rPr>
                <w:rFonts w:hint="eastAsia" w:cs="Times New Roman"/>
                <w:color w:val="000000" w:themeColor="text1"/>
                <w:sz w:val="24"/>
                <w:szCs w:val="24"/>
                <w:lang w:val="en-US" w:eastAsia="zh-CN"/>
                <w14:textFill>
                  <w14:solidFill>
                    <w14:schemeClr w14:val="tx1"/>
                  </w14:solidFill>
                </w14:textFill>
              </w:rPr>
              <w:t>/d，96</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m</w:t>
            </w:r>
            <w:r>
              <w:rPr>
                <w:rFonts w:hint="eastAsia" w:ascii="Times New Roman" w:hAnsi="Times New Roman" w:eastAsia="宋体" w:cs="Times New Roman"/>
                <w:color w:val="000000" w:themeColor="text1"/>
                <w:sz w:val="24"/>
                <w:szCs w:val="24"/>
                <w:vertAlign w:val="superscript"/>
                <w:lang w:val="en-US" w:eastAsia="zh-CN"/>
                <w14:textFill>
                  <w14:solidFill>
                    <w14:schemeClr w14:val="tx1"/>
                  </w14:solidFill>
                </w14:textFill>
              </w:rPr>
              <w:t>3</w:t>
            </w:r>
            <w:r>
              <w:rPr>
                <w:rFonts w:hint="eastAsia" w:cs="Times New Roman"/>
                <w:color w:val="000000" w:themeColor="text1"/>
                <w:sz w:val="24"/>
                <w:szCs w:val="24"/>
                <w:lang w:val="en-US" w:eastAsia="zh-CN"/>
                <w14:textFill>
                  <w14:solidFill>
                    <w14:schemeClr w14:val="tx1"/>
                  </w14:solidFill>
                </w14:textFill>
              </w:rPr>
              <w:t>/a）。</w:t>
            </w:r>
          </w:p>
          <w:p w14:paraId="1871A631">
            <w:pPr>
              <w:pStyle w:val="66"/>
              <w:keepNext w:val="0"/>
              <w:keepLines w:val="0"/>
              <w:pageBreakBefore w:val="0"/>
              <w:widowControl w:val="0"/>
              <w:kinsoku/>
              <w:wordWrap/>
              <w:overflowPunct/>
              <w:topLinePunct w:val="0"/>
              <w:autoSpaceDE w:val="0"/>
              <w:autoSpaceDN w:val="0"/>
              <w:bidi w:val="0"/>
              <w:spacing w:line="360" w:lineRule="auto"/>
              <w:ind w:firstLine="482"/>
              <w:textAlignment w:val="auto"/>
              <w:rPr>
                <w:rFonts w:hint="default" w:ascii="Times New Roman" w:hAnsi="Times New Roman" w:eastAsia="宋体"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④</w:t>
            </w:r>
            <w:r>
              <w:rPr>
                <w:rFonts w:hint="default" w:ascii="Times New Roman" w:hAnsi="Times New Roman" w:eastAsia="宋体" w:cs="Times New Roman"/>
                <w:color w:val="000000" w:themeColor="text1"/>
                <w:lang w:val="en-US" w:eastAsia="zh-CN"/>
                <w14:textFill>
                  <w14:solidFill>
                    <w14:schemeClr w14:val="tx1"/>
                  </w14:solidFill>
                </w14:textFill>
              </w:rPr>
              <w:t>冷却</w:t>
            </w:r>
            <w:r>
              <w:rPr>
                <w:rFonts w:hint="eastAsia" w:cs="Times New Roman"/>
                <w:color w:val="000000" w:themeColor="text1"/>
                <w:lang w:val="en-US" w:eastAsia="zh-CN"/>
                <w14:textFill>
                  <w14:solidFill>
                    <w14:schemeClr w14:val="tx1"/>
                  </w14:solidFill>
                </w14:textFill>
              </w:rPr>
              <w:t>循环</w:t>
            </w:r>
            <w:r>
              <w:rPr>
                <w:rFonts w:hint="default" w:ascii="Times New Roman" w:hAnsi="Times New Roman" w:eastAsia="宋体" w:cs="Times New Roman"/>
                <w:color w:val="000000" w:themeColor="text1"/>
                <w14:textFill>
                  <w14:solidFill>
                    <w14:schemeClr w14:val="tx1"/>
                  </w14:solidFill>
                </w14:textFill>
              </w:rPr>
              <w:t>用水</w:t>
            </w:r>
          </w:p>
          <w:p w14:paraId="371B17D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cs="Times New Roman"/>
                <w:color w:val="FF0000"/>
                <w:lang w:val="en-US" w:eastAsia="zh-CN"/>
              </w:rPr>
            </w:pPr>
            <w:r>
              <w:rPr>
                <w:rFonts w:hint="eastAsia" w:ascii="Times New Roman" w:hAnsi="Times New Roman" w:cs="Times New Roman"/>
                <w:color w:val="000000" w:themeColor="text1"/>
                <w:sz w:val="24"/>
                <w:szCs w:val="24"/>
                <w:lang w:val="en-US" w:eastAsia="zh-CN"/>
                <w14:textFill>
                  <w14:solidFill>
                    <w14:schemeClr w14:val="tx1"/>
                  </w14:solidFill>
                </w14:textFill>
              </w:rPr>
              <w:t>根据建设单位</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提供资料，项目设置</w:t>
            </w:r>
            <w:r>
              <w:rPr>
                <w:rFonts w:hint="eastAsia" w:cs="Times New Roman"/>
                <w:color w:val="000000" w:themeColor="text1"/>
                <w:sz w:val="24"/>
                <w:szCs w:val="24"/>
                <w:lang w:val="en-US" w:eastAsia="zh-CN"/>
                <w14:textFill>
                  <w14:solidFill>
                    <w14:schemeClr w14:val="tx1"/>
                  </w14:solidFill>
                </w14:textFill>
              </w:rPr>
              <w:t>4</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台闭式冷却塔，</w:t>
            </w:r>
            <w:r>
              <w:rPr>
                <w:rFonts w:hint="eastAsia" w:ascii="Times New Roman" w:hAnsi="Times New Roman" w:eastAsia="宋体" w:cs="Times New Roman"/>
                <w:color w:val="000000" w:themeColor="text1"/>
                <w:sz w:val="24"/>
                <w:szCs w:val="24"/>
                <w14:textFill>
                  <w14:solidFill>
                    <w14:schemeClr w14:val="tx1"/>
                  </w14:solidFill>
                </w14:textFill>
              </w:rPr>
              <w:t>冷却水量505m</w:t>
            </w:r>
            <w:r>
              <w:rPr>
                <w:rFonts w:hint="eastAsia" w:ascii="Times New Roman" w:hAnsi="Times New Roman" w:eastAsia="宋体" w:cs="Times New Roman"/>
                <w:color w:val="000000" w:themeColor="text1"/>
                <w:sz w:val="24"/>
                <w:szCs w:val="24"/>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4"/>
                <w:szCs w:val="24"/>
                <w14:textFill>
                  <w14:solidFill>
                    <w14:schemeClr w14:val="tx1"/>
                  </w14:solidFill>
                </w14:textFill>
              </w:rPr>
              <w:t>/h</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eastAsia" w:ascii="Times New Roman" w:hAnsi="Times New Roman" w:cs="Times New Roman"/>
                <w:color w:val="000000" w:themeColor="text1"/>
                <w:sz w:val="24"/>
                <w:szCs w:val="24"/>
                <w:lang w:val="en-US" w:eastAsia="zh-CN"/>
                <w14:textFill>
                  <w14:solidFill>
                    <w14:schemeClr w14:val="tx1"/>
                  </w14:solidFill>
                </w14:textFill>
              </w:rPr>
              <w:t>冷却塔主要给电芯车间冷水机房冷水机组配套，工艺设备、除湿机等大部分设备由冷水机组提供7-12</w:t>
            </w:r>
            <w:r>
              <w:rPr>
                <w:rFonts w:hint="default" w:ascii="Times New Roman" w:hAnsi="Times New Roman" w:cs="Times New Roman"/>
                <w:color w:val="000000" w:themeColor="text1"/>
                <w:sz w:val="24"/>
                <w:szCs w:val="24"/>
                <w:lang w:val="en-US" w:eastAsia="zh-CN"/>
                <w14:textFill>
                  <w14:solidFill>
                    <w14:schemeClr w14:val="tx1"/>
                  </w14:solidFill>
                </w14:textFill>
              </w:rPr>
              <w:t>℃冷</w:t>
            </w:r>
            <w:r>
              <w:rPr>
                <w:rFonts w:hint="eastAsia" w:ascii="Times New Roman" w:hAnsi="Times New Roman" w:cs="Times New Roman"/>
                <w:color w:val="000000" w:themeColor="text1"/>
                <w:sz w:val="24"/>
                <w:szCs w:val="24"/>
                <w:lang w:val="en-US" w:eastAsia="zh-CN"/>
                <w14:textFill>
                  <w14:solidFill>
                    <w14:schemeClr w14:val="tx1"/>
                  </w14:solidFill>
                </w14:textFill>
              </w:rPr>
              <w:t>冻水</w:t>
            </w:r>
            <w:r>
              <w:rPr>
                <w:rFonts w:hint="eastAsia" w:ascii="宋体" w:hAnsi="宋体" w:cs="宋体"/>
                <w:color w:val="000000" w:themeColor="text1"/>
                <w:sz w:val="24"/>
                <w:szCs w:val="24"/>
                <w:lang w:eastAsia="zh-CN"/>
                <w14:textFill>
                  <w14:solidFill>
                    <w14:schemeClr w14:val="tx1"/>
                  </w14:solidFill>
                </w14:textFill>
              </w:rPr>
              <w:t>，</w:t>
            </w:r>
            <w:r>
              <w:rPr>
                <w:rFonts w:hint="eastAsia" w:ascii="宋体" w:hAnsi="宋体" w:cs="宋体"/>
                <w:color w:val="000000" w:themeColor="text1"/>
                <w:sz w:val="24"/>
                <w:szCs w:val="24"/>
                <w:lang w:val="en-US" w:eastAsia="zh-CN"/>
                <w14:textFill>
                  <w14:solidFill>
                    <w14:schemeClr w14:val="tx1"/>
                  </w14:solidFill>
                </w14:textFill>
              </w:rPr>
              <w:t>根据</w:t>
            </w:r>
            <w:r>
              <w:rPr>
                <w:rFonts w:hint="eastAsia" w:ascii="宋体" w:hAnsi="宋体" w:cs="宋体"/>
                <w:color w:val="000000" w:themeColor="text1"/>
                <w:sz w:val="24"/>
                <w:szCs w:val="24"/>
                <w:lang w:eastAsia="zh-CN"/>
                <w14:textFill>
                  <w14:solidFill>
                    <w14:schemeClr w14:val="tx1"/>
                  </w14:solidFill>
                </w14:textFill>
              </w:rPr>
              <w:t>《</w:t>
            </w:r>
            <w:r>
              <w:rPr>
                <w:rFonts w:hint="eastAsia" w:ascii="宋体" w:hAnsi="宋体" w:cs="宋体"/>
                <w:color w:val="000000" w:themeColor="text1"/>
                <w:sz w:val="24"/>
                <w:szCs w:val="24"/>
                <w:lang w:val="en-US" w:eastAsia="zh-CN"/>
                <w14:textFill>
                  <w14:solidFill>
                    <w14:schemeClr w14:val="tx1"/>
                  </w14:solidFill>
                </w14:textFill>
              </w:rPr>
              <w:t>化学工业循环冷却水系统设计规范</w:t>
            </w:r>
            <w:r>
              <w:rPr>
                <w:rFonts w:hint="eastAsia" w:ascii="宋体" w:hAnsi="宋体" w:cs="宋体"/>
                <w:color w:val="000000" w:themeColor="text1"/>
                <w:sz w:val="24"/>
                <w:szCs w:val="24"/>
                <w:lang w:eastAsia="zh-CN"/>
                <w14:textFill>
                  <w14:solidFill>
                    <w14:schemeClr w14:val="tx1"/>
                  </w14:solidFill>
                </w14:textFill>
              </w:rPr>
              <w:t>》（</w:t>
            </w:r>
            <w:r>
              <w:rPr>
                <w:rFonts w:hint="default" w:ascii="Times New Roman" w:hAnsi="Times New Roman" w:cs="Times New Roman"/>
                <w:color w:val="000000" w:themeColor="text1"/>
                <w:sz w:val="24"/>
                <w:szCs w:val="24"/>
                <w:lang w:val="en-US" w:eastAsia="zh-CN"/>
                <w14:textFill>
                  <w14:solidFill>
                    <w14:schemeClr w14:val="tx1"/>
                  </w14:solidFill>
                </w14:textFill>
              </w:rPr>
              <w:t>GB 50648-2011</w:t>
            </w:r>
            <w:r>
              <w:rPr>
                <w:rFonts w:hint="eastAsia" w:ascii="宋体" w:hAnsi="宋体" w:cs="宋体"/>
                <w:color w:val="000000" w:themeColor="text1"/>
                <w:sz w:val="24"/>
                <w:szCs w:val="24"/>
                <w:lang w:eastAsia="zh-CN"/>
                <w14:textFill>
                  <w14:solidFill>
                    <w14:schemeClr w14:val="tx1"/>
                  </w14:solidFill>
                </w14:textFill>
              </w:rPr>
              <w:t>），</w:t>
            </w:r>
            <w:r>
              <w:rPr>
                <w:rFonts w:hint="eastAsia" w:ascii="宋体" w:hAnsi="宋体" w:cs="宋体"/>
                <w:color w:val="000000" w:themeColor="text1"/>
                <w:sz w:val="24"/>
                <w:szCs w:val="24"/>
                <w:lang w:val="en-US" w:eastAsia="zh-CN"/>
                <w14:textFill>
                  <w14:solidFill>
                    <w14:schemeClr w14:val="tx1"/>
                  </w14:solidFill>
                </w14:textFill>
              </w:rPr>
              <w:t>间冷闭式循环冷却水系统补水量为循环冷却水量的</w:t>
            </w:r>
            <w:r>
              <w:rPr>
                <w:rFonts w:hint="default" w:ascii="Times New Roman" w:hAnsi="Times New Roman" w:cs="Times New Roman"/>
                <w:color w:val="000000" w:themeColor="text1"/>
                <w:sz w:val="24"/>
                <w:szCs w:val="24"/>
                <w:lang w:val="en-US" w:eastAsia="zh-CN"/>
                <w14:textFill>
                  <w14:solidFill>
                    <w14:schemeClr w14:val="tx1"/>
                  </w14:solidFill>
                </w14:textFill>
              </w:rPr>
              <w:t>1‰</w:t>
            </w:r>
            <w:r>
              <w:rPr>
                <w:rFonts w:hint="eastAsia" w:ascii="宋体" w:hAnsi="宋体" w:cs="宋体"/>
                <w:color w:val="000000" w:themeColor="text1"/>
                <w:sz w:val="24"/>
                <w:szCs w:val="24"/>
                <w:lang w:val="en-US" w:eastAsia="zh-CN"/>
                <w14:textFill>
                  <w14:solidFill>
                    <w14:schemeClr w14:val="tx1"/>
                  </w14:solidFill>
                </w14:textFill>
              </w:rPr>
              <w:t>，则补水量为</w:t>
            </w:r>
            <w:r>
              <w:rPr>
                <w:rFonts w:hint="default" w:ascii="Times New Roman" w:hAnsi="Times New Roman" w:cs="Times New Roman"/>
                <w:color w:val="000000" w:themeColor="text1"/>
                <w:sz w:val="24"/>
                <w:szCs w:val="24"/>
                <w:lang w:val="en-US" w:eastAsia="zh-CN"/>
                <w14:textFill>
                  <w14:solidFill>
                    <w14:schemeClr w14:val="tx1"/>
                  </w14:solidFill>
                </w14:textFill>
              </w:rPr>
              <w:t>10.1m</w:t>
            </w:r>
            <w:r>
              <w:rPr>
                <w:rFonts w:hint="default" w:ascii="Times New Roman" w:hAnsi="Times New Roman" w:cs="Times New Roman"/>
                <w:color w:val="000000" w:themeColor="text1"/>
                <w:sz w:val="24"/>
                <w:szCs w:val="24"/>
                <w:vertAlign w:val="superscript"/>
                <w:lang w:val="en-US" w:eastAsia="zh-CN"/>
                <w14:textFill>
                  <w14:solidFill>
                    <w14:schemeClr w14:val="tx1"/>
                  </w14:solidFill>
                </w14:textFill>
              </w:rPr>
              <w:t>3</w:t>
            </w:r>
            <w:r>
              <w:rPr>
                <w:rFonts w:hint="default" w:ascii="Times New Roman" w:hAnsi="Times New Roman" w:cs="Times New Roman"/>
                <w:color w:val="000000" w:themeColor="text1"/>
                <w:sz w:val="24"/>
                <w:szCs w:val="24"/>
                <w:lang w:val="en-US" w:eastAsia="zh-CN"/>
                <w14:textFill>
                  <w14:solidFill>
                    <w14:schemeClr w14:val="tx1"/>
                  </w14:solidFill>
                </w14:textFill>
              </w:rPr>
              <w:t>/d</w:t>
            </w:r>
            <w:r>
              <w:rPr>
                <w:rFonts w:hint="eastAsia" w:cs="Times New Roman"/>
                <w:color w:val="000000" w:themeColor="text1"/>
                <w:sz w:val="24"/>
                <w:szCs w:val="24"/>
                <w:lang w:val="en-US" w:eastAsia="zh-CN"/>
                <w14:textFill>
                  <w14:solidFill>
                    <w14:schemeClr w14:val="tx1"/>
                  </w14:solidFill>
                </w14:textFill>
              </w:rPr>
              <w:t>。</w:t>
            </w:r>
          </w:p>
          <w:p w14:paraId="081550AD">
            <w:pPr>
              <w:pStyle w:val="66"/>
              <w:keepNext w:val="0"/>
              <w:keepLines w:val="0"/>
              <w:pageBreakBefore w:val="0"/>
              <w:widowControl w:val="0"/>
              <w:kinsoku/>
              <w:wordWrap/>
              <w:overflowPunct/>
              <w:topLinePunct w:val="0"/>
              <w:autoSpaceDE w:val="0"/>
              <w:autoSpaceDN w:val="0"/>
              <w:bidi w:val="0"/>
              <w:spacing w:line="360" w:lineRule="auto"/>
              <w:ind w:firstLine="482"/>
              <w:textAlignment w:val="auto"/>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⑤纯水制备用水</w:t>
            </w:r>
          </w:p>
          <w:p w14:paraId="7AA7DE70">
            <w:pPr>
              <w:pStyle w:val="66"/>
              <w:keepNext w:val="0"/>
              <w:keepLines w:val="0"/>
              <w:pageBreakBefore w:val="0"/>
              <w:widowControl w:val="0"/>
              <w:kinsoku/>
              <w:wordWrap/>
              <w:overflowPunct/>
              <w:topLinePunct w:val="0"/>
              <w:autoSpaceDE w:val="0"/>
              <w:autoSpaceDN w:val="0"/>
              <w:bidi w:val="0"/>
              <w:spacing w:line="360" w:lineRule="auto"/>
              <w:ind w:firstLine="482"/>
              <w:textAlignment w:val="auto"/>
              <w:rPr>
                <w:rFonts w:hint="eastAsia" w:cs="Times New Roman"/>
                <w:color w:val="000000" w:themeColor="text1"/>
                <w:sz w:val="24"/>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本项目生产过程中单日所需最大纯水用水量为4m</w:t>
            </w:r>
            <w:r>
              <w:rPr>
                <w:rFonts w:hint="eastAsia" w:cs="Times New Roman"/>
                <w:color w:val="000000" w:themeColor="text1"/>
                <w:vertAlign w:val="superscript"/>
                <w:lang w:val="en-US" w:eastAsia="zh-CN"/>
                <w14:textFill>
                  <w14:solidFill>
                    <w14:schemeClr w14:val="tx1"/>
                  </w14:solidFill>
                </w14:textFill>
              </w:rPr>
              <w:t>3</w:t>
            </w:r>
            <w:r>
              <w:rPr>
                <w:rFonts w:hint="eastAsia" w:cs="Times New Roman"/>
                <w:color w:val="000000" w:themeColor="text1"/>
                <w:lang w:val="en-US" w:eastAsia="zh-CN"/>
                <w14:textFill>
                  <w14:solidFill>
                    <w14:schemeClr w14:val="tx1"/>
                  </w14:solidFill>
                </w14:textFill>
              </w:rPr>
              <w:t>，根据建设单位提供资料，项目拟设1套纯水制备系统，采用</w:t>
            </w:r>
            <w:r>
              <w:rPr>
                <w:rFonts w:hint="eastAsia" w:cs="Times New Roman"/>
                <w:color w:val="000000" w:themeColor="text1"/>
                <w:sz w:val="24"/>
                <w:lang w:val="en-US" w:eastAsia="zh-CN"/>
                <w14:textFill>
                  <w14:solidFill>
                    <w14:schemeClr w14:val="tx1"/>
                  </w14:solidFill>
                </w14:textFill>
              </w:rPr>
              <w:t>“</w:t>
            </w:r>
            <w:r>
              <w:rPr>
                <w:rFonts w:hint="default" w:ascii="Times New Roman" w:hAnsi="Times New Roman" w:eastAsia="宋体" w:cs="Times New Roman"/>
                <w:color w:val="000000" w:themeColor="text1"/>
                <w:sz w:val="24"/>
                <w:lang w:val="en-US" w:eastAsia="zh-CN"/>
                <w14:textFill>
                  <w14:solidFill>
                    <w14:schemeClr w14:val="tx1"/>
                  </w14:solidFill>
                </w14:textFill>
              </w:rPr>
              <w:t>物理过滤（多介质过滤+活性炭过滤+精密过滤）+一级RO反渗透+二级RO反渗透+EDI系统</w:t>
            </w:r>
            <w:r>
              <w:rPr>
                <w:rFonts w:hint="eastAsia" w:cs="Times New Roman"/>
                <w:color w:val="000000" w:themeColor="text1"/>
                <w:sz w:val="24"/>
                <w:lang w:val="en-US" w:eastAsia="zh-CN"/>
                <w14:textFill>
                  <w14:solidFill>
                    <w14:schemeClr w14:val="tx1"/>
                  </w14:solidFill>
                </w14:textFill>
              </w:rPr>
              <w:t>”</w:t>
            </w:r>
            <w:r>
              <w:rPr>
                <w:rFonts w:hint="default" w:ascii="Times New Roman" w:hAnsi="Times New Roman" w:eastAsia="宋体" w:cs="Times New Roman"/>
                <w:color w:val="000000" w:themeColor="text1"/>
                <w:sz w:val="24"/>
                <w:lang w:val="en-US" w:eastAsia="zh-CN"/>
                <w14:textFill>
                  <w14:solidFill>
                    <w14:schemeClr w14:val="tx1"/>
                  </w14:solidFill>
                </w14:textFill>
              </w:rPr>
              <w:t>制备工艺，</w:t>
            </w:r>
            <w:r>
              <w:rPr>
                <w:rFonts w:hint="eastAsia" w:cs="Times New Roman"/>
                <w:color w:val="000000" w:themeColor="text1"/>
                <w:sz w:val="24"/>
                <w:lang w:val="en-US" w:eastAsia="zh-CN"/>
                <w14:textFill>
                  <w14:solidFill>
                    <w14:schemeClr w14:val="tx1"/>
                  </w14:solidFill>
                </w14:textFill>
              </w:rPr>
              <w:t>纯水总体制备效率为60%，则纯水制备所需新鲜用水量约为4</w:t>
            </w:r>
            <w:r>
              <w:rPr>
                <w:rFonts w:hint="eastAsia" w:cs="Times New Roman"/>
                <w:color w:val="000000" w:themeColor="text1"/>
                <w:lang w:val="en-US" w:eastAsia="zh-CN"/>
                <w14:textFill>
                  <w14:solidFill>
                    <w14:schemeClr w14:val="tx1"/>
                  </w14:solidFill>
                </w14:textFill>
              </w:rPr>
              <w:t>m</w:t>
            </w:r>
            <w:r>
              <w:rPr>
                <w:rFonts w:hint="eastAsia" w:cs="Times New Roman"/>
                <w:color w:val="000000" w:themeColor="text1"/>
                <w:vertAlign w:val="superscript"/>
                <w:lang w:val="en-US" w:eastAsia="zh-CN"/>
                <w14:textFill>
                  <w14:solidFill>
                    <w14:schemeClr w14:val="tx1"/>
                  </w14:solidFill>
                </w14:textFill>
              </w:rPr>
              <w:t>3</w:t>
            </w:r>
            <w:r>
              <w:rPr>
                <w:rFonts w:hint="eastAsia" w:cs="Times New Roman"/>
                <w:color w:val="000000" w:themeColor="text1"/>
                <w:sz w:val="24"/>
                <w:lang w:val="en-US" w:eastAsia="zh-CN"/>
                <w14:textFill>
                  <w14:solidFill>
                    <w14:schemeClr w14:val="tx1"/>
                  </w14:solidFill>
                </w14:textFill>
              </w:rPr>
              <w:t>/60%≈6.7m</w:t>
            </w:r>
            <w:r>
              <w:rPr>
                <w:rFonts w:hint="eastAsia" w:cs="Times New Roman"/>
                <w:color w:val="000000" w:themeColor="text1"/>
                <w:sz w:val="24"/>
                <w:vertAlign w:val="superscript"/>
                <w:lang w:val="en-US" w:eastAsia="zh-CN"/>
                <w14:textFill>
                  <w14:solidFill>
                    <w14:schemeClr w14:val="tx1"/>
                  </w14:solidFill>
                </w14:textFill>
              </w:rPr>
              <w:t>3</w:t>
            </w:r>
            <w:r>
              <w:rPr>
                <w:rFonts w:hint="eastAsia" w:cs="Times New Roman"/>
                <w:color w:val="000000" w:themeColor="text1"/>
                <w:sz w:val="24"/>
                <w:lang w:val="en-US" w:eastAsia="zh-CN"/>
                <w14:textFill>
                  <w14:solidFill>
                    <w14:schemeClr w14:val="tx1"/>
                  </w14:solidFill>
                </w14:textFill>
              </w:rPr>
              <w:t>/d（2010m</w:t>
            </w:r>
            <w:r>
              <w:rPr>
                <w:rFonts w:hint="eastAsia" w:cs="Times New Roman"/>
                <w:color w:val="000000" w:themeColor="text1"/>
                <w:sz w:val="24"/>
                <w:vertAlign w:val="superscript"/>
                <w:lang w:val="en-US" w:eastAsia="zh-CN"/>
                <w14:textFill>
                  <w14:solidFill>
                    <w14:schemeClr w14:val="tx1"/>
                  </w14:solidFill>
                </w14:textFill>
              </w:rPr>
              <w:t>3</w:t>
            </w:r>
            <w:r>
              <w:rPr>
                <w:rFonts w:hint="eastAsia" w:cs="Times New Roman"/>
                <w:color w:val="000000" w:themeColor="text1"/>
                <w:sz w:val="24"/>
                <w:lang w:val="en-US" w:eastAsia="zh-CN"/>
                <w14:textFill>
                  <w14:solidFill>
                    <w14:schemeClr w14:val="tx1"/>
                  </w14:solidFill>
                </w14:textFill>
              </w:rPr>
              <w:t>/a）。</w:t>
            </w:r>
          </w:p>
          <w:p w14:paraId="63A55E1B">
            <w:pPr>
              <w:pStyle w:val="66"/>
              <w:keepNext w:val="0"/>
              <w:keepLines w:val="0"/>
              <w:pageBreakBefore w:val="0"/>
              <w:widowControl w:val="0"/>
              <w:kinsoku/>
              <w:wordWrap/>
              <w:overflowPunct/>
              <w:topLinePunct w:val="0"/>
              <w:autoSpaceDE w:val="0"/>
              <w:autoSpaceDN w:val="0"/>
              <w:bidi w:val="0"/>
              <w:spacing w:line="360" w:lineRule="auto"/>
              <w:ind w:firstLine="482"/>
              <w:textAlignment w:val="auto"/>
              <w:rPr>
                <w:rFonts w:hint="eastAsia" w:cs="Times New Roman"/>
                <w:color w:val="000000" w:themeColor="text1"/>
                <w:sz w:val="24"/>
                <w:lang w:val="en-US" w:eastAsia="zh-CN"/>
                <w14:textFill>
                  <w14:solidFill>
                    <w14:schemeClr w14:val="tx1"/>
                  </w14:solidFill>
                </w14:textFill>
              </w:rPr>
            </w:pPr>
            <w:r>
              <w:rPr>
                <w:rFonts w:hint="eastAsia" w:cs="Times New Roman"/>
                <w:color w:val="000000" w:themeColor="text1"/>
                <w:sz w:val="24"/>
                <w:lang w:val="en-US" w:eastAsia="zh-CN"/>
                <w14:textFill>
                  <w14:solidFill>
                    <w14:schemeClr w14:val="tx1"/>
                  </w14:solidFill>
                </w14:textFill>
              </w:rPr>
              <w:t>⑥纯水制备系统反冲洗水</w:t>
            </w:r>
          </w:p>
          <w:p w14:paraId="0E20441C">
            <w:pPr>
              <w:pStyle w:val="66"/>
              <w:keepNext w:val="0"/>
              <w:keepLines w:val="0"/>
              <w:pageBreakBefore w:val="0"/>
              <w:widowControl w:val="0"/>
              <w:kinsoku/>
              <w:wordWrap/>
              <w:overflowPunct/>
              <w:topLinePunct w:val="0"/>
              <w:autoSpaceDE w:val="0"/>
              <w:autoSpaceDN w:val="0"/>
              <w:bidi w:val="0"/>
              <w:spacing w:line="360" w:lineRule="auto"/>
              <w:ind w:firstLine="482"/>
              <w:textAlignment w:val="auto"/>
              <w:rPr>
                <w:rFonts w:hint="default" w:eastAsia="宋体" w:cs="Times New Roman"/>
                <w:color w:val="000000" w:themeColor="text1"/>
                <w:sz w:val="24"/>
                <w:lang w:val="en-US" w:eastAsia="zh-CN"/>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纯水制备系统需定期清洗以保证所制备纯水的水质，使膜及其他组件不结垢堵塞</w:t>
            </w:r>
            <w:r>
              <w:rPr>
                <w:rFonts w:hint="eastAsia" w:ascii="宋体" w:hAnsi="宋体" w:eastAsia="宋体"/>
                <w:color w:val="000000" w:themeColor="text1"/>
                <w:sz w:val="24"/>
                <w:szCs w:val="24"/>
                <w:lang w:eastAsia="zh-CN"/>
                <w14:textFill>
                  <w14:solidFill>
                    <w14:schemeClr w14:val="tx1"/>
                  </w14:solidFill>
                </w14:textFill>
              </w:rPr>
              <w:t>，</w:t>
            </w:r>
            <w:r>
              <w:rPr>
                <w:rFonts w:hint="eastAsia" w:ascii="宋体" w:hAnsi="宋体" w:eastAsia="宋体"/>
                <w:color w:val="000000" w:themeColor="text1"/>
                <w:sz w:val="24"/>
                <w:szCs w:val="24"/>
                <w14:textFill>
                  <w14:solidFill>
                    <w14:schemeClr w14:val="tx1"/>
                  </w14:solidFill>
                </w14:textFill>
              </w:rPr>
              <w:t>反冲洗纯水用量为</w:t>
            </w:r>
            <w:r>
              <w:rPr>
                <w:rFonts w:hint="eastAsia" w:cs="Times New Roman"/>
                <w:color w:val="000000" w:themeColor="text1"/>
                <w:sz w:val="24"/>
                <w:lang w:val="en-US" w:eastAsia="zh-CN"/>
                <w14:textFill>
                  <w14:solidFill>
                    <w14:schemeClr w14:val="tx1"/>
                  </w14:solidFill>
                </w14:textFill>
              </w:rPr>
              <w:t>1m</w:t>
            </w:r>
            <w:r>
              <w:rPr>
                <w:rFonts w:hint="eastAsia" w:cs="Times New Roman"/>
                <w:color w:val="000000" w:themeColor="text1"/>
                <w:sz w:val="24"/>
                <w:vertAlign w:val="superscript"/>
                <w:lang w:val="en-US" w:eastAsia="zh-CN"/>
                <w14:textFill>
                  <w14:solidFill>
                    <w14:schemeClr w14:val="tx1"/>
                  </w14:solidFill>
                </w14:textFill>
              </w:rPr>
              <w:t>3</w:t>
            </w:r>
            <w:r>
              <w:rPr>
                <w:rFonts w:hint="eastAsia" w:cs="Times New Roman"/>
                <w:color w:val="000000" w:themeColor="text1"/>
                <w:sz w:val="24"/>
                <w:lang w:val="en-US" w:eastAsia="zh-CN"/>
                <w14:textFill>
                  <w14:solidFill>
                    <w14:schemeClr w14:val="tx1"/>
                  </w14:solidFill>
                </w14:textFill>
              </w:rPr>
              <w:t>/d（300m</w:t>
            </w:r>
            <w:r>
              <w:rPr>
                <w:rFonts w:hint="eastAsia" w:cs="Times New Roman"/>
                <w:color w:val="000000" w:themeColor="text1"/>
                <w:sz w:val="24"/>
                <w:vertAlign w:val="superscript"/>
                <w:lang w:val="en-US" w:eastAsia="zh-CN"/>
                <w14:textFill>
                  <w14:solidFill>
                    <w14:schemeClr w14:val="tx1"/>
                  </w14:solidFill>
                </w14:textFill>
              </w:rPr>
              <w:t>3</w:t>
            </w:r>
            <w:r>
              <w:rPr>
                <w:rFonts w:hint="eastAsia" w:cs="Times New Roman"/>
                <w:color w:val="000000" w:themeColor="text1"/>
                <w:sz w:val="24"/>
                <w:lang w:val="en-US" w:eastAsia="zh-CN"/>
                <w14:textFill>
                  <w14:solidFill>
                    <w14:schemeClr w14:val="tx1"/>
                  </w14:solidFill>
                </w14:textFill>
              </w:rPr>
              <w:t>/a）</w:t>
            </w:r>
            <w:r>
              <w:rPr>
                <w:rFonts w:hint="eastAsia" w:ascii="宋体" w:hAnsi="宋体" w:eastAsia="宋体"/>
                <w:color w:val="000000" w:themeColor="text1"/>
                <w:sz w:val="24"/>
                <w:szCs w:val="24"/>
                <w:lang w:val="en-US" w:eastAsia="zh-CN"/>
                <w14:textFill>
                  <w14:solidFill>
                    <w14:schemeClr w14:val="tx1"/>
                  </w14:solidFill>
                </w14:textFill>
              </w:rPr>
              <w:t>。</w:t>
            </w:r>
          </w:p>
          <w:p w14:paraId="7D6A1F0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lang w:eastAsia="zh-CN"/>
              </w:rPr>
              <w:t>（</w:t>
            </w:r>
            <w:r>
              <w:rPr>
                <w:rFonts w:hint="default" w:ascii="Times New Roman" w:hAnsi="Times New Roman" w:cs="Times New Roman"/>
                <w:color w:val="auto"/>
                <w:sz w:val="24"/>
                <w:lang w:val="en-US" w:eastAsia="zh-CN"/>
              </w:rPr>
              <w:t>4</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排水工程</w:t>
            </w:r>
          </w:p>
          <w:p w14:paraId="4E1024B1">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default" w:ascii="Times New Roman" w:hAnsi="Times New Roman" w:cs="Times New Roman"/>
                <w:color w:val="auto"/>
                <w:sz w:val="24"/>
              </w:rPr>
            </w:pPr>
            <w:r>
              <w:rPr>
                <w:rFonts w:hint="default" w:ascii="Times New Roman" w:hAnsi="Times New Roman" w:eastAsia="宋体" w:cs="Times New Roman"/>
                <w:color w:val="auto"/>
                <w:sz w:val="24"/>
              </w:rPr>
              <w:t>本项目排水实行</w:t>
            </w:r>
            <w:r>
              <w:rPr>
                <w:rFonts w:hint="eastAsia" w:cs="Times New Roman"/>
                <w:color w:val="auto"/>
                <w:sz w:val="24"/>
                <w:lang w:eastAsia="zh-CN"/>
              </w:rPr>
              <w:t>“</w:t>
            </w:r>
            <w:r>
              <w:rPr>
                <w:rFonts w:hint="default" w:ascii="Times New Roman" w:hAnsi="Times New Roman" w:eastAsia="宋体" w:cs="Times New Roman"/>
                <w:color w:val="auto"/>
                <w:sz w:val="24"/>
              </w:rPr>
              <w:t>雨污分流、清污分流</w:t>
            </w:r>
            <w:r>
              <w:rPr>
                <w:rFonts w:hint="eastAsia" w:cs="Times New Roman"/>
                <w:color w:val="auto"/>
                <w:sz w:val="24"/>
                <w:lang w:eastAsia="zh-CN"/>
              </w:rPr>
              <w:t>”，</w:t>
            </w:r>
            <w:r>
              <w:rPr>
                <w:rFonts w:hint="default" w:ascii="Times New Roman" w:hAnsi="Times New Roman" w:eastAsia="宋体" w:cs="Times New Roman"/>
                <w:color w:val="auto"/>
                <w:sz w:val="24"/>
              </w:rPr>
              <w:t>项目</w:t>
            </w:r>
            <w:r>
              <w:rPr>
                <w:rFonts w:hint="eastAsia" w:cs="Times New Roman"/>
                <w:color w:val="auto"/>
                <w:sz w:val="24"/>
                <w:lang w:val="en-US" w:eastAsia="zh-CN"/>
              </w:rPr>
              <w:t>生活污水、纯水制备浓水经厂区预处理池处理，设备清洗废水</w:t>
            </w:r>
            <w:r>
              <w:rPr>
                <w:rFonts w:hint="default" w:ascii="Times New Roman" w:hAnsi="Times New Roman" w:eastAsia="宋体" w:cs="Times New Roman"/>
                <w:color w:val="auto"/>
                <w:sz w:val="24"/>
              </w:rPr>
              <w:t>经</w:t>
            </w:r>
            <w:r>
              <w:rPr>
                <w:rFonts w:hint="default" w:ascii="Times New Roman" w:hAnsi="Times New Roman" w:eastAsia="瀹嬩綋" w:cs="Times New Roman"/>
                <w:color w:val="auto"/>
                <w:spacing w:val="-6"/>
                <w:sz w:val="24"/>
                <w:lang w:val="en-US" w:eastAsia="zh-CN"/>
              </w:rPr>
              <w:t>厂区废水处理站处理</w:t>
            </w:r>
            <w:r>
              <w:rPr>
                <w:rFonts w:hint="eastAsia" w:eastAsia="瀹嬩綋" w:cs="Times New Roman"/>
                <w:color w:val="auto"/>
                <w:spacing w:val="-6"/>
                <w:sz w:val="24"/>
                <w:lang w:val="en-US" w:eastAsia="zh-CN"/>
              </w:rPr>
              <w:t>，处理后的废水一同</w:t>
            </w:r>
            <w:r>
              <w:rPr>
                <w:rFonts w:hint="default" w:ascii="Times New Roman" w:hAnsi="Times New Roman" w:eastAsia="瀹嬩綋" w:cs="Times New Roman"/>
                <w:color w:val="auto"/>
                <w:spacing w:val="-6"/>
                <w:sz w:val="24"/>
                <w:lang w:val="en-US" w:eastAsia="zh-CN"/>
              </w:rPr>
              <w:t>经</w:t>
            </w:r>
            <w:r>
              <w:rPr>
                <w:rFonts w:hint="default" w:ascii="Times New Roman" w:hAnsi="Times New Roman" w:eastAsia="瀹嬩綋" w:cs="Times New Roman"/>
                <w:color w:val="auto"/>
                <w:spacing w:val="-6"/>
                <w:sz w:val="24"/>
              </w:rPr>
              <w:t>厂区总排放口排入园区市政污水管网，</w:t>
            </w:r>
            <w:r>
              <w:rPr>
                <w:rFonts w:hint="default" w:ascii="Times New Roman" w:hAnsi="Times New Roman" w:eastAsia="瀹嬩綋" w:cs="Times New Roman"/>
                <w:color w:val="auto"/>
                <w:spacing w:val="-6"/>
                <w:sz w:val="24"/>
                <w:lang w:eastAsia="zh-CN"/>
              </w:rPr>
              <w:t>最终进入园区污水处理厂处理达标后排入巴河</w:t>
            </w:r>
            <w:r>
              <w:rPr>
                <w:rFonts w:hint="eastAsia" w:eastAsia="瀹嬩綋" w:cs="Times New Roman"/>
                <w:color w:val="auto"/>
                <w:spacing w:val="-6"/>
                <w:sz w:val="24"/>
                <w:lang w:eastAsia="zh-CN"/>
              </w:rPr>
              <w:t>，</w:t>
            </w:r>
            <w:r>
              <w:rPr>
                <w:rFonts w:hint="default" w:ascii="Times New Roman" w:hAnsi="Times New Roman" w:cs="Times New Roman"/>
                <w:color w:val="auto"/>
                <w:sz w:val="24"/>
              </w:rPr>
              <w:t>本项目给排水情况见下表所示。</w:t>
            </w:r>
          </w:p>
          <w:p w14:paraId="53709DCF">
            <w:pPr>
              <w:pStyle w:val="68"/>
              <w:rPr>
                <w:rFonts w:hint="default" w:ascii="Times New Roman" w:hAnsi="Times New Roman" w:eastAsia="宋体" w:cs="Times New Roman"/>
                <w:b/>
                <w:bCs/>
                <w:color w:val="auto"/>
              </w:rPr>
            </w:pPr>
            <w:r>
              <w:rPr>
                <w:rFonts w:hint="default" w:ascii="Times New Roman" w:hAnsi="Times New Roman" w:eastAsia="宋体" w:cs="Times New Roman"/>
                <w:b/>
                <w:bCs/>
                <w:color w:val="auto"/>
              </w:rPr>
              <w:t>表2-</w:t>
            </w:r>
            <w:r>
              <w:rPr>
                <w:rFonts w:hint="eastAsia" w:ascii="Times New Roman" w:hAnsi="Times New Roman" w:eastAsia="宋体" w:cs="Times New Roman"/>
                <w:b/>
                <w:bCs/>
                <w:color w:val="auto"/>
                <w:lang w:val="en-US" w:eastAsia="zh-CN"/>
              </w:rPr>
              <w:t>6</w:t>
            </w:r>
            <w:r>
              <w:rPr>
                <w:rFonts w:hint="default" w:ascii="Times New Roman" w:hAnsi="Times New Roman" w:eastAsia="宋体" w:cs="Times New Roman"/>
                <w:b/>
                <w:bCs/>
                <w:color w:val="auto"/>
              </w:rPr>
              <w:t xml:space="preserve"> 本项目给排水情况</w:t>
            </w:r>
            <w:r>
              <w:rPr>
                <w:rFonts w:hint="eastAsia" w:eastAsia="宋体" w:cs="Times New Roman"/>
                <w:b/>
                <w:bCs/>
                <w:color w:val="auto"/>
                <w:lang w:val="en-US" w:eastAsia="zh-CN"/>
              </w:rPr>
              <w:t>一览</w:t>
            </w:r>
            <w:r>
              <w:rPr>
                <w:rFonts w:hint="default" w:ascii="Times New Roman" w:hAnsi="Times New Roman" w:eastAsia="宋体" w:cs="Times New Roman"/>
                <w:b/>
                <w:bCs/>
                <w:color w:val="auto"/>
              </w:rPr>
              <w:t xml:space="preserve">表   </w:t>
            </w:r>
          </w:p>
          <w:tbl>
            <w:tblPr>
              <w:tblStyle w:val="42"/>
              <w:tblW w:w="7757" w:type="dxa"/>
              <w:tblInd w:w="5"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69"/>
              <w:gridCol w:w="969"/>
              <w:gridCol w:w="969"/>
              <w:gridCol w:w="970"/>
              <w:gridCol w:w="970"/>
              <w:gridCol w:w="970"/>
              <w:gridCol w:w="970"/>
              <w:gridCol w:w="970"/>
            </w:tblGrid>
            <w:tr w14:paraId="6E821D4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01" w:hRule="atLeast"/>
              </w:trPr>
              <w:tc>
                <w:tcPr>
                  <w:tcW w:w="1938" w:type="dxa"/>
                  <w:gridSpan w:val="2"/>
                  <w:vAlign w:val="center"/>
                </w:tcPr>
                <w:p w14:paraId="3F77A5B0">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b/>
                      <w:bCs/>
                      <w:color w:val="auto"/>
                      <w:kern w:val="0"/>
                      <w:sz w:val="21"/>
                      <w:szCs w:val="21"/>
                    </w:rPr>
                  </w:pPr>
                  <w:r>
                    <w:rPr>
                      <w:rFonts w:hint="eastAsia" w:ascii="Times New Roman" w:hAnsi="Times New Roman" w:cs="Times New Roman"/>
                      <w:b/>
                      <w:bCs/>
                      <w:color w:val="auto"/>
                      <w:kern w:val="0"/>
                      <w:sz w:val="21"/>
                      <w:szCs w:val="21"/>
                      <w:lang w:val="en-US" w:eastAsia="zh-CN"/>
                    </w:rPr>
                    <w:t>用水类别</w:t>
                  </w:r>
                </w:p>
              </w:tc>
              <w:tc>
                <w:tcPr>
                  <w:tcW w:w="969" w:type="dxa"/>
                  <w:vAlign w:val="center"/>
                </w:tcPr>
                <w:p w14:paraId="1F0087D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b/>
                      <w:bCs/>
                      <w:color w:val="auto"/>
                      <w:kern w:val="0"/>
                      <w:sz w:val="21"/>
                      <w:szCs w:val="21"/>
                      <w:lang w:val="en-US" w:eastAsia="zh-CN"/>
                    </w:rPr>
                  </w:pPr>
                  <w:r>
                    <w:rPr>
                      <w:rFonts w:hint="eastAsia" w:ascii="Times New Roman" w:hAnsi="Times New Roman" w:cs="Times New Roman"/>
                      <w:b/>
                      <w:bCs/>
                      <w:color w:val="auto"/>
                      <w:kern w:val="0"/>
                      <w:sz w:val="21"/>
                      <w:szCs w:val="21"/>
                      <w:lang w:val="en-US" w:eastAsia="zh-CN"/>
                    </w:rPr>
                    <w:t>最大日用水量（m</w:t>
                  </w:r>
                  <w:r>
                    <w:rPr>
                      <w:rFonts w:hint="eastAsia" w:ascii="Times New Roman" w:hAnsi="Times New Roman" w:cs="Times New Roman"/>
                      <w:b/>
                      <w:bCs/>
                      <w:color w:val="auto"/>
                      <w:kern w:val="0"/>
                      <w:sz w:val="21"/>
                      <w:szCs w:val="21"/>
                      <w:vertAlign w:val="superscript"/>
                      <w:lang w:val="en-US" w:eastAsia="zh-CN"/>
                    </w:rPr>
                    <w:t>3</w:t>
                  </w:r>
                  <w:r>
                    <w:rPr>
                      <w:rFonts w:hint="eastAsia" w:ascii="Times New Roman" w:hAnsi="Times New Roman" w:cs="Times New Roman"/>
                      <w:b/>
                      <w:bCs/>
                      <w:color w:val="auto"/>
                      <w:kern w:val="0"/>
                      <w:sz w:val="21"/>
                      <w:szCs w:val="21"/>
                      <w:lang w:val="en-US" w:eastAsia="zh-CN"/>
                    </w:rPr>
                    <w:t>/d）</w:t>
                  </w:r>
                </w:p>
              </w:tc>
              <w:tc>
                <w:tcPr>
                  <w:tcW w:w="970" w:type="dxa"/>
                  <w:vAlign w:val="center"/>
                </w:tcPr>
                <w:p w14:paraId="1939511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b/>
                      <w:bCs/>
                      <w:color w:val="auto"/>
                      <w:kern w:val="0"/>
                      <w:sz w:val="21"/>
                      <w:szCs w:val="21"/>
                      <w:lang w:val="en-US" w:eastAsia="zh-CN"/>
                    </w:rPr>
                  </w:pPr>
                  <w:r>
                    <w:rPr>
                      <w:rFonts w:hint="eastAsia" w:ascii="Times New Roman" w:hAnsi="Times New Roman" w:cs="Times New Roman"/>
                      <w:b/>
                      <w:bCs/>
                      <w:color w:val="auto"/>
                      <w:kern w:val="0"/>
                      <w:sz w:val="21"/>
                      <w:szCs w:val="21"/>
                      <w:lang w:val="en-US" w:eastAsia="zh-CN"/>
                    </w:rPr>
                    <w:t>年用水量（m</w:t>
                  </w:r>
                  <w:r>
                    <w:rPr>
                      <w:rFonts w:hint="eastAsia" w:ascii="Times New Roman" w:hAnsi="Times New Roman" w:cs="Times New Roman"/>
                      <w:b/>
                      <w:bCs/>
                      <w:color w:val="auto"/>
                      <w:kern w:val="0"/>
                      <w:sz w:val="21"/>
                      <w:szCs w:val="21"/>
                      <w:vertAlign w:val="superscript"/>
                      <w:lang w:val="en-US" w:eastAsia="zh-CN"/>
                    </w:rPr>
                    <w:t>3</w:t>
                  </w:r>
                  <w:r>
                    <w:rPr>
                      <w:rFonts w:hint="eastAsia" w:ascii="Times New Roman" w:hAnsi="Times New Roman" w:cs="Times New Roman"/>
                      <w:b/>
                      <w:bCs/>
                      <w:color w:val="auto"/>
                      <w:kern w:val="0"/>
                      <w:sz w:val="21"/>
                      <w:szCs w:val="21"/>
                      <w:lang w:val="en-US" w:eastAsia="zh-CN"/>
                    </w:rPr>
                    <w:t>/a）</w:t>
                  </w:r>
                </w:p>
              </w:tc>
              <w:tc>
                <w:tcPr>
                  <w:tcW w:w="970" w:type="dxa"/>
                  <w:vAlign w:val="center"/>
                </w:tcPr>
                <w:p w14:paraId="7060B26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b/>
                      <w:bCs/>
                      <w:color w:val="auto"/>
                      <w:kern w:val="0"/>
                      <w:sz w:val="21"/>
                      <w:szCs w:val="21"/>
                      <w:lang w:val="en-US" w:eastAsia="zh-CN"/>
                    </w:rPr>
                  </w:pPr>
                  <w:r>
                    <w:rPr>
                      <w:rFonts w:hint="eastAsia" w:ascii="Times New Roman" w:hAnsi="Times New Roman" w:cs="Times New Roman"/>
                      <w:b/>
                      <w:bCs/>
                      <w:color w:val="auto"/>
                      <w:kern w:val="0"/>
                      <w:sz w:val="21"/>
                      <w:szCs w:val="21"/>
                      <w:lang w:val="en-US" w:eastAsia="zh-CN"/>
                    </w:rPr>
                    <w:t>产污系数</w:t>
                  </w:r>
                </w:p>
              </w:tc>
              <w:tc>
                <w:tcPr>
                  <w:tcW w:w="970" w:type="dxa"/>
                  <w:vAlign w:val="center"/>
                </w:tcPr>
                <w:p w14:paraId="33EDCB4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b/>
                      <w:bCs/>
                      <w:color w:val="auto"/>
                      <w:kern w:val="0"/>
                      <w:sz w:val="21"/>
                      <w:szCs w:val="21"/>
                      <w:lang w:val="en-US" w:eastAsia="zh-CN"/>
                    </w:rPr>
                  </w:pPr>
                  <w:r>
                    <w:rPr>
                      <w:rFonts w:hint="eastAsia" w:ascii="Times New Roman" w:hAnsi="Times New Roman" w:cs="Times New Roman"/>
                      <w:b/>
                      <w:bCs/>
                      <w:color w:val="auto"/>
                      <w:kern w:val="0"/>
                      <w:sz w:val="21"/>
                      <w:szCs w:val="21"/>
                      <w:lang w:val="en-US" w:eastAsia="zh-CN"/>
                    </w:rPr>
                    <w:t>最大日排水量（m</w:t>
                  </w:r>
                  <w:r>
                    <w:rPr>
                      <w:rFonts w:hint="eastAsia" w:ascii="Times New Roman" w:hAnsi="Times New Roman" w:cs="Times New Roman"/>
                      <w:b/>
                      <w:bCs/>
                      <w:color w:val="auto"/>
                      <w:kern w:val="0"/>
                      <w:sz w:val="21"/>
                      <w:szCs w:val="21"/>
                      <w:vertAlign w:val="superscript"/>
                      <w:lang w:val="en-US" w:eastAsia="zh-CN"/>
                    </w:rPr>
                    <w:t>3</w:t>
                  </w:r>
                  <w:r>
                    <w:rPr>
                      <w:rFonts w:hint="eastAsia" w:ascii="Times New Roman" w:hAnsi="Times New Roman" w:cs="Times New Roman"/>
                      <w:b/>
                      <w:bCs/>
                      <w:color w:val="auto"/>
                      <w:kern w:val="0"/>
                      <w:sz w:val="21"/>
                      <w:szCs w:val="21"/>
                      <w:lang w:val="en-US" w:eastAsia="zh-CN"/>
                    </w:rPr>
                    <w:t>/d）</w:t>
                  </w:r>
                </w:p>
              </w:tc>
              <w:tc>
                <w:tcPr>
                  <w:tcW w:w="970" w:type="dxa"/>
                  <w:vAlign w:val="center"/>
                </w:tcPr>
                <w:p w14:paraId="024624F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b/>
                      <w:bCs/>
                      <w:color w:val="auto"/>
                      <w:kern w:val="0"/>
                      <w:sz w:val="21"/>
                      <w:szCs w:val="21"/>
                      <w:lang w:val="en-US" w:eastAsia="zh-CN"/>
                    </w:rPr>
                  </w:pPr>
                  <w:r>
                    <w:rPr>
                      <w:rFonts w:hint="eastAsia" w:ascii="Times New Roman" w:hAnsi="Times New Roman" w:cs="Times New Roman"/>
                      <w:b/>
                      <w:bCs/>
                      <w:color w:val="auto"/>
                      <w:kern w:val="0"/>
                      <w:sz w:val="21"/>
                      <w:szCs w:val="21"/>
                      <w:lang w:val="en-US" w:eastAsia="zh-CN"/>
                    </w:rPr>
                    <w:t>年排水量（m</w:t>
                  </w:r>
                  <w:r>
                    <w:rPr>
                      <w:rFonts w:hint="eastAsia" w:ascii="Times New Roman" w:hAnsi="Times New Roman" w:cs="Times New Roman"/>
                      <w:b/>
                      <w:bCs/>
                      <w:color w:val="auto"/>
                      <w:kern w:val="0"/>
                      <w:sz w:val="21"/>
                      <w:szCs w:val="21"/>
                      <w:vertAlign w:val="superscript"/>
                      <w:lang w:val="en-US" w:eastAsia="zh-CN"/>
                    </w:rPr>
                    <w:t>3</w:t>
                  </w:r>
                  <w:r>
                    <w:rPr>
                      <w:rFonts w:hint="eastAsia" w:ascii="Times New Roman" w:hAnsi="Times New Roman" w:cs="Times New Roman"/>
                      <w:b/>
                      <w:bCs/>
                      <w:color w:val="auto"/>
                      <w:kern w:val="0"/>
                      <w:sz w:val="21"/>
                      <w:szCs w:val="21"/>
                      <w:lang w:val="en-US" w:eastAsia="zh-CN"/>
                    </w:rPr>
                    <w:t>/a）</w:t>
                  </w:r>
                </w:p>
              </w:tc>
              <w:tc>
                <w:tcPr>
                  <w:tcW w:w="970" w:type="dxa"/>
                  <w:vAlign w:val="center"/>
                </w:tcPr>
                <w:p w14:paraId="33F5E4B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b/>
                      <w:bCs/>
                      <w:color w:val="auto"/>
                      <w:kern w:val="0"/>
                      <w:sz w:val="21"/>
                      <w:szCs w:val="21"/>
                      <w:lang w:val="en-US" w:eastAsia="zh-CN"/>
                    </w:rPr>
                  </w:pPr>
                  <w:r>
                    <w:rPr>
                      <w:rFonts w:hint="eastAsia" w:ascii="Times New Roman" w:hAnsi="Times New Roman" w:cs="Times New Roman"/>
                      <w:b/>
                      <w:bCs/>
                      <w:color w:val="auto"/>
                      <w:kern w:val="0"/>
                      <w:sz w:val="21"/>
                      <w:szCs w:val="21"/>
                      <w:lang w:val="en-US" w:eastAsia="zh-CN"/>
                    </w:rPr>
                    <w:t>去向</w:t>
                  </w:r>
                </w:p>
              </w:tc>
            </w:tr>
            <w:tr w14:paraId="32D6882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969" w:type="dxa"/>
                  <w:vAlign w:val="center"/>
                </w:tcPr>
                <w:p w14:paraId="3EF9D2F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auto"/>
                      <w:kern w:val="0"/>
                      <w:sz w:val="21"/>
                      <w:szCs w:val="21"/>
                      <w:lang w:val="en-US" w:eastAsia="zh-CN"/>
                    </w:rPr>
                  </w:pPr>
                  <w:r>
                    <w:rPr>
                      <w:rFonts w:hint="eastAsia" w:ascii="Times New Roman" w:hAnsi="Times New Roman" w:cs="Times New Roman"/>
                      <w:color w:val="auto"/>
                      <w:kern w:val="0"/>
                      <w:sz w:val="21"/>
                      <w:szCs w:val="21"/>
                      <w:lang w:val="en-US" w:eastAsia="zh-CN"/>
                    </w:rPr>
                    <w:t>员工办公生活用水</w:t>
                  </w:r>
                </w:p>
              </w:tc>
              <w:tc>
                <w:tcPr>
                  <w:tcW w:w="969" w:type="dxa"/>
                  <w:vAlign w:val="center"/>
                </w:tcPr>
                <w:p w14:paraId="3C55BAC0">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auto"/>
                      <w:kern w:val="0"/>
                      <w:sz w:val="21"/>
                      <w:szCs w:val="21"/>
                      <w:lang w:val="en-US" w:eastAsia="zh-CN"/>
                    </w:rPr>
                  </w:pPr>
                  <w:r>
                    <w:rPr>
                      <w:rFonts w:hint="eastAsia" w:cs="Times New Roman"/>
                      <w:color w:val="auto"/>
                      <w:kern w:val="0"/>
                      <w:sz w:val="21"/>
                      <w:szCs w:val="21"/>
                      <w:lang w:val="en-US" w:eastAsia="zh-CN"/>
                    </w:rPr>
                    <w:t>新鲜水</w:t>
                  </w:r>
                </w:p>
              </w:tc>
              <w:tc>
                <w:tcPr>
                  <w:tcW w:w="969" w:type="dxa"/>
                  <w:vAlign w:val="center"/>
                </w:tcPr>
                <w:p w14:paraId="1FED6CB8">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auto"/>
                      <w:kern w:val="0"/>
                      <w:sz w:val="21"/>
                      <w:szCs w:val="21"/>
                      <w:lang w:val="en-US" w:eastAsia="zh-CN"/>
                    </w:rPr>
                  </w:pPr>
                  <w:r>
                    <w:rPr>
                      <w:rFonts w:hint="eastAsia" w:cs="Times New Roman"/>
                      <w:color w:val="auto"/>
                      <w:kern w:val="0"/>
                      <w:sz w:val="21"/>
                      <w:szCs w:val="21"/>
                      <w:lang w:val="en-US" w:eastAsia="zh-CN"/>
                    </w:rPr>
                    <w:t>9.6</w:t>
                  </w:r>
                </w:p>
              </w:tc>
              <w:tc>
                <w:tcPr>
                  <w:tcW w:w="970" w:type="dxa"/>
                  <w:vAlign w:val="center"/>
                </w:tcPr>
                <w:p w14:paraId="7C15682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auto"/>
                      <w:kern w:val="0"/>
                      <w:sz w:val="21"/>
                      <w:szCs w:val="21"/>
                      <w:lang w:val="en-US" w:eastAsia="zh-CN"/>
                    </w:rPr>
                  </w:pPr>
                  <w:r>
                    <w:rPr>
                      <w:rFonts w:hint="eastAsia" w:cs="Times New Roman"/>
                      <w:color w:val="auto"/>
                      <w:kern w:val="0"/>
                      <w:sz w:val="21"/>
                      <w:szCs w:val="21"/>
                      <w:lang w:val="en-US" w:eastAsia="zh-CN"/>
                    </w:rPr>
                    <w:t>2880</w:t>
                  </w:r>
                </w:p>
              </w:tc>
              <w:tc>
                <w:tcPr>
                  <w:tcW w:w="970" w:type="dxa"/>
                  <w:vAlign w:val="center"/>
                </w:tcPr>
                <w:p w14:paraId="7C162C9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auto"/>
                      <w:kern w:val="0"/>
                      <w:sz w:val="21"/>
                      <w:szCs w:val="21"/>
                      <w:lang w:val="en-US" w:eastAsia="zh-CN"/>
                    </w:rPr>
                  </w:pPr>
                  <w:r>
                    <w:rPr>
                      <w:rFonts w:hint="eastAsia" w:cs="Times New Roman"/>
                      <w:color w:val="auto"/>
                      <w:kern w:val="0"/>
                      <w:sz w:val="21"/>
                      <w:szCs w:val="21"/>
                      <w:lang w:val="en-US" w:eastAsia="zh-CN"/>
                    </w:rPr>
                    <w:t>0.8</w:t>
                  </w:r>
                </w:p>
              </w:tc>
              <w:tc>
                <w:tcPr>
                  <w:tcW w:w="970" w:type="dxa"/>
                  <w:vAlign w:val="center"/>
                </w:tcPr>
                <w:p w14:paraId="6BFB61E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auto"/>
                      <w:kern w:val="0"/>
                      <w:sz w:val="21"/>
                      <w:szCs w:val="21"/>
                      <w:lang w:val="en-US" w:eastAsia="zh-CN"/>
                    </w:rPr>
                  </w:pPr>
                  <w:r>
                    <w:rPr>
                      <w:rFonts w:hint="eastAsia" w:cs="Times New Roman"/>
                      <w:color w:val="auto"/>
                      <w:kern w:val="0"/>
                      <w:sz w:val="21"/>
                      <w:szCs w:val="21"/>
                      <w:lang w:val="en-US" w:eastAsia="zh-CN"/>
                    </w:rPr>
                    <w:t>7.68</w:t>
                  </w:r>
                </w:p>
              </w:tc>
              <w:tc>
                <w:tcPr>
                  <w:tcW w:w="970" w:type="dxa"/>
                  <w:vAlign w:val="center"/>
                </w:tcPr>
                <w:p w14:paraId="540DC2F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auto"/>
                      <w:kern w:val="0"/>
                      <w:sz w:val="21"/>
                      <w:szCs w:val="21"/>
                      <w:lang w:val="en-US" w:eastAsia="zh-CN"/>
                    </w:rPr>
                  </w:pPr>
                  <w:r>
                    <w:rPr>
                      <w:rFonts w:hint="eastAsia" w:cs="Times New Roman"/>
                      <w:color w:val="auto"/>
                      <w:kern w:val="0"/>
                      <w:sz w:val="21"/>
                      <w:szCs w:val="21"/>
                      <w:lang w:val="en-US" w:eastAsia="zh-CN"/>
                    </w:rPr>
                    <w:t>2304</w:t>
                  </w:r>
                </w:p>
              </w:tc>
              <w:tc>
                <w:tcPr>
                  <w:tcW w:w="970" w:type="dxa"/>
                  <w:vAlign w:val="center"/>
                </w:tcPr>
                <w:p w14:paraId="7A76420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auto"/>
                      <w:kern w:val="0"/>
                      <w:sz w:val="21"/>
                      <w:szCs w:val="21"/>
                      <w:lang w:val="en-US" w:eastAsia="zh-CN"/>
                    </w:rPr>
                  </w:pPr>
                  <w:r>
                    <w:rPr>
                      <w:rFonts w:hint="eastAsia" w:cs="Times New Roman"/>
                      <w:color w:val="auto"/>
                      <w:kern w:val="0"/>
                      <w:sz w:val="21"/>
                      <w:szCs w:val="21"/>
                      <w:lang w:val="en-US" w:eastAsia="zh-CN"/>
                    </w:rPr>
                    <w:t>厂区预处理池</w:t>
                  </w:r>
                </w:p>
              </w:tc>
            </w:tr>
            <w:tr w14:paraId="47B1CE4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969" w:type="dxa"/>
                  <w:vAlign w:val="center"/>
                </w:tcPr>
                <w:p w14:paraId="749FFFE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负极匀浆用水</w:t>
                  </w:r>
                </w:p>
              </w:tc>
              <w:tc>
                <w:tcPr>
                  <w:tcW w:w="969" w:type="dxa"/>
                  <w:vAlign w:val="center"/>
                </w:tcPr>
                <w:p w14:paraId="4844F6B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纯水（不计入新鲜水）</w:t>
                  </w:r>
                </w:p>
              </w:tc>
              <w:tc>
                <w:tcPr>
                  <w:tcW w:w="969" w:type="dxa"/>
                  <w:vAlign w:val="center"/>
                </w:tcPr>
                <w:p w14:paraId="019C7BE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3</w:t>
                  </w:r>
                </w:p>
              </w:tc>
              <w:tc>
                <w:tcPr>
                  <w:tcW w:w="970" w:type="dxa"/>
                  <w:vAlign w:val="center"/>
                </w:tcPr>
                <w:p w14:paraId="76E970E0">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900</w:t>
                  </w:r>
                </w:p>
              </w:tc>
              <w:tc>
                <w:tcPr>
                  <w:tcW w:w="970" w:type="dxa"/>
                  <w:vAlign w:val="center"/>
                </w:tcPr>
                <w:p w14:paraId="11108DC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w:t>
                  </w:r>
                </w:p>
              </w:tc>
              <w:tc>
                <w:tcPr>
                  <w:tcW w:w="970" w:type="dxa"/>
                  <w:vAlign w:val="center"/>
                </w:tcPr>
                <w:p w14:paraId="1C9A0E5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w:t>
                  </w:r>
                </w:p>
              </w:tc>
              <w:tc>
                <w:tcPr>
                  <w:tcW w:w="970" w:type="dxa"/>
                  <w:vAlign w:val="center"/>
                </w:tcPr>
                <w:p w14:paraId="5D25B70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w:t>
                  </w:r>
                </w:p>
              </w:tc>
              <w:tc>
                <w:tcPr>
                  <w:tcW w:w="970" w:type="dxa"/>
                  <w:vAlign w:val="center"/>
                </w:tcPr>
                <w:p w14:paraId="0FBDB1C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进入负极极片</w:t>
                  </w:r>
                </w:p>
              </w:tc>
            </w:tr>
            <w:tr w14:paraId="46AB29B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969" w:type="dxa"/>
                  <w:vAlign w:val="center"/>
                </w:tcPr>
                <w:p w14:paraId="12B2E3A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设备清洗用水</w:t>
                  </w:r>
                </w:p>
              </w:tc>
              <w:tc>
                <w:tcPr>
                  <w:tcW w:w="969" w:type="dxa"/>
                  <w:vAlign w:val="center"/>
                </w:tcPr>
                <w:p w14:paraId="68EBD9E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新鲜水</w:t>
                  </w:r>
                </w:p>
              </w:tc>
              <w:tc>
                <w:tcPr>
                  <w:tcW w:w="969" w:type="dxa"/>
                  <w:vAlign w:val="center"/>
                </w:tcPr>
                <w:p w14:paraId="0CF3555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4</w:t>
                  </w:r>
                </w:p>
              </w:tc>
              <w:tc>
                <w:tcPr>
                  <w:tcW w:w="970" w:type="dxa"/>
                  <w:vAlign w:val="center"/>
                </w:tcPr>
                <w:p w14:paraId="14CA5EB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96</w:t>
                  </w:r>
                </w:p>
              </w:tc>
              <w:tc>
                <w:tcPr>
                  <w:tcW w:w="970" w:type="dxa"/>
                  <w:vAlign w:val="center"/>
                </w:tcPr>
                <w:p w14:paraId="066B179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0.8</w:t>
                  </w:r>
                </w:p>
              </w:tc>
              <w:tc>
                <w:tcPr>
                  <w:tcW w:w="970" w:type="dxa"/>
                  <w:vAlign w:val="center"/>
                </w:tcPr>
                <w:p w14:paraId="49FFAAB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3.2</w:t>
                  </w:r>
                </w:p>
              </w:tc>
              <w:tc>
                <w:tcPr>
                  <w:tcW w:w="970" w:type="dxa"/>
                  <w:vAlign w:val="center"/>
                </w:tcPr>
                <w:p w14:paraId="79BF313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76.8</w:t>
                  </w:r>
                </w:p>
              </w:tc>
              <w:tc>
                <w:tcPr>
                  <w:tcW w:w="970" w:type="dxa"/>
                  <w:vAlign w:val="center"/>
                </w:tcPr>
                <w:p w14:paraId="1EF2DE00">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进入厂区污水处理站处理+预处理池</w:t>
                  </w:r>
                </w:p>
              </w:tc>
            </w:tr>
            <w:tr w14:paraId="79F1DFB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969" w:type="dxa"/>
                  <w:vAlign w:val="center"/>
                </w:tcPr>
                <w:p w14:paraId="485BEB8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冷却循环用水</w:t>
                  </w:r>
                </w:p>
              </w:tc>
              <w:tc>
                <w:tcPr>
                  <w:tcW w:w="969" w:type="dxa"/>
                  <w:vAlign w:val="center"/>
                </w:tcPr>
                <w:p w14:paraId="581CCD8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新鲜水</w:t>
                  </w:r>
                </w:p>
              </w:tc>
              <w:tc>
                <w:tcPr>
                  <w:tcW w:w="969" w:type="dxa"/>
                  <w:vAlign w:val="center"/>
                </w:tcPr>
                <w:p w14:paraId="450224C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10.1</w:t>
                  </w:r>
                </w:p>
              </w:tc>
              <w:tc>
                <w:tcPr>
                  <w:tcW w:w="970" w:type="dxa"/>
                  <w:vAlign w:val="center"/>
                </w:tcPr>
                <w:p w14:paraId="0A48486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3030</w:t>
                  </w:r>
                </w:p>
              </w:tc>
              <w:tc>
                <w:tcPr>
                  <w:tcW w:w="970" w:type="dxa"/>
                  <w:vAlign w:val="center"/>
                </w:tcPr>
                <w:p w14:paraId="129D492C">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w:t>
                  </w:r>
                </w:p>
              </w:tc>
              <w:tc>
                <w:tcPr>
                  <w:tcW w:w="970" w:type="dxa"/>
                  <w:vAlign w:val="center"/>
                </w:tcPr>
                <w:p w14:paraId="0E671A1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w:t>
                  </w:r>
                </w:p>
              </w:tc>
              <w:tc>
                <w:tcPr>
                  <w:tcW w:w="970" w:type="dxa"/>
                  <w:vAlign w:val="center"/>
                </w:tcPr>
                <w:p w14:paraId="4C047F4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w:t>
                  </w:r>
                </w:p>
              </w:tc>
              <w:tc>
                <w:tcPr>
                  <w:tcW w:w="970" w:type="dxa"/>
                  <w:vAlign w:val="center"/>
                </w:tcPr>
                <w:p w14:paraId="616D0F5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循环使用，不外排</w:t>
                  </w:r>
                </w:p>
              </w:tc>
            </w:tr>
            <w:tr w14:paraId="138D549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69" w:type="dxa"/>
                  <w:vAlign w:val="center"/>
                </w:tcPr>
                <w:p w14:paraId="1C84EBC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纯水制备用水</w:t>
                  </w:r>
                </w:p>
              </w:tc>
              <w:tc>
                <w:tcPr>
                  <w:tcW w:w="969" w:type="dxa"/>
                  <w:vAlign w:val="center"/>
                </w:tcPr>
                <w:p w14:paraId="1BD8A55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新鲜水</w:t>
                  </w:r>
                </w:p>
              </w:tc>
              <w:tc>
                <w:tcPr>
                  <w:tcW w:w="969" w:type="dxa"/>
                  <w:vAlign w:val="center"/>
                </w:tcPr>
                <w:p w14:paraId="5055080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6.7</w:t>
                  </w:r>
                </w:p>
              </w:tc>
              <w:tc>
                <w:tcPr>
                  <w:tcW w:w="970" w:type="dxa"/>
                  <w:vAlign w:val="center"/>
                </w:tcPr>
                <w:p w14:paraId="3F579F4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2010</w:t>
                  </w:r>
                </w:p>
              </w:tc>
              <w:tc>
                <w:tcPr>
                  <w:tcW w:w="970" w:type="dxa"/>
                  <w:vAlign w:val="center"/>
                </w:tcPr>
                <w:p w14:paraId="3BC7C39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纯水制备效率60%</w:t>
                  </w:r>
                </w:p>
              </w:tc>
              <w:tc>
                <w:tcPr>
                  <w:tcW w:w="970" w:type="dxa"/>
                  <w:vAlign w:val="center"/>
                </w:tcPr>
                <w:p w14:paraId="50F8B27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2.7</w:t>
                  </w:r>
                </w:p>
              </w:tc>
              <w:tc>
                <w:tcPr>
                  <w:tcW w:w="970" w:type="dxa"/>
                  <w:vAlign w:val="center"/>
                </w:tcPr>
                <w:p w14:paraId="530D036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810</w:t>
                  </w:r>
                </w:p>
              </w:tc>
              <w:tc>
                <w:tcPr>
                  <w:tcW w:w="970" w:type="dxa"/>
                  <w:vAlign w:val="center"/>
                </w:tcPr>
                <w:p w14:paraId="0C838D3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厂区预处理池</w:t>
                  </w:r>
                </w:p>
              </w:tc>
            </w:tr>
            <w:tr w14:paraId="503409A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969" w:type="dxa"/>
                  <w:vAlign w:val="center"/>
                </w:tcPr>
                <w:p w14:paraId="0732A96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纯水制备系统反冲洗用水</w:t>
                  </w:r>
                </w:p>
              </w:tc>
              <w:tc>
                <w:tcPr>
                  <w:tcW w:w="969" w:type="dxa"/>
                  <w:vAlign w:val="center"/>
                </w:tcPr>
                <w:p w14:paraId="6871BCB0">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纯水（不计入新鲜水）</w:t>
                  </w:r>
                </w:p>
              </w:tc>
              <w:tc>
                <w:tcPr>
                  <w:tcW w:w="969" w:type="dxa"/>
                  <w:vAlign w:val="center"/>
                </w:tcPr>
                <w:p w14:paraId="7E96965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1</w:t>
                  </w:r>
                </w:p>
              </w:tc>
              <w:tc>
                <w:tcPr>
                  <w:tcW w:w="970" w:type="dxa"/>
                  <w:vAlign w:val="center"/>
                </w:tcPr>
                <w:p w14:paraId="0D9CFDE0">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300</w:t>
                  </w:r>
                </w:p>
              </w:tc>
              <w:tc>
                <w:tcPr>
                  <w:tcW w:w="970" w:type="dxa"/>
                  <w:vAlign w:val="center"/>
                </w:tcPr>
                <w:p w14:paraId="2391A6D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0.8</w:t>
                  </w:r>
                </w:p>
              </w:tc>
              <w:tc>
                <w:tcPr>
                  <w:tcW w:w="970" w:type="dxa"/>
                  <w:vAlign w:val="center"/>
                </w:tcPr>
                <w:p w14:paraId="3B4B285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0.8</w:t>
                  </w:r>
                </w:p>
              </w:tc>
              <w:tc>
                <w:tcPr>
                  <w:tcW w:w="970" w:type="dxa"/>
                  <w:vAlign w:val="center"/>
                </w:tcPr>
                <w:p w14:paraId="7E0B41A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240</w:t>
                  </w:r>
                </w:p>
              </w:tc>
              <w:tc>
                <w:tcPr>
                  <w:tcW w:w="970" w:type="dxa"/>
                  <w:vAlign w:val="center"/>
                </w:tcPr>
                <w:p w14:paraId="15CC6EB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厂区预处理池</w:t>
                  </w:r>
                </w:p>
              </w:tc>
            </w:tr>
            <w:tr w14:paraId="411984F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969" w:type="dxa"/>
                  <w:vAlign w:val="center"/>
                </w:tcPr>
                <w:p w14:paraId="0CF80E30">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空压机</w:t>
                  </w:r>
                </w:p>
              </w:tc>
              <w:tc>
                <w:tcPr>
                  <w:tcW w:w="969" w:type="dxa"/>
                  <w:vAlign w:val="center"/>
                </w:tcPr>
                <w:p w14:paraId="1CF1674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水分来源于空气</w:t>
                  </w:r>
                </w:p>
              </w:tc>
              <w:tc>
                <w:tcPr>
                  <w:tcW w:w="969" w:type="dxa"/>
                  <w:vAlign w:val="center"/>
                </w:tcPr>
                <w:p w14:paraId="6DC4618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w:t>
                  </w:r>
                </w:p>
              </w:tc>
              <w:tc>
                <w:tcPr>
                  <w:tcW w:w="970" w:type="dxa"/>
                  <w:vAlign w:val="center"/>
                </w:tcPr>
                <w:p w14:paraId="06808030">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w:t>
                  </w:r>
                </w:p>
              </w:tc>
              <w:tc>
                <w:tcPr>
                  <w:tcW w:w="970" w:type="dxa"/>
                  <w:vAlign w:val="center"/>
                </w:tcPr>
                <w:p w14:paraId="573BD75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w:t>
                  </w:r>
                </w:p>
              </w:tc>
              <w:tc>
                <w:tcPr>
                  <w:tcW w:w="970" w:type="dxa"/>
                  <w:vAlign w:val="center"/>
                </w:tcPr>
                <w:p w14:paraId="24FF0CD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0.5</w:t>
                  </w:r>
                </w:p>
              </w:tc>
              <w:tc>
                <w:tcPr>
                  <w:tcW w:w="970" w:type="dxa"/>
                  <w:vAlign w:val="center"/>
                </w:tcPr>
                <w:p w14:paraId="0118E4D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150</w:t>
                  </w:r>
                </w:p>
              </w:tc>
              <w:tc>
                <w:tcPr>
                  <w:tcW w:w="970" w:type="dxa"/>
                  <w:vAlign w:val="center"/>
                </w:tcPr>
                <w:p w14:paraId="199C3FF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厂区预处理池</w:t>
                  </w:r>
                </w:p>
              </w:tc>
            </w:tr>
            <w:tr w14:paraId="0C5906C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1938" w:type="dxa"/>
                  <w:gridSpan w:val="2"/>
                  <w:vAlign w:val="center"/>
                </w:tcPr>
                <w:p w14:paraId="053D6DA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合计</w:t>
                  </w:r>
                </w:p>
              </w:tc>
              <w:tc>
                <w:tcPr>
                  <w:tcW w:w="969" w:type="dxa"/>
                  <w:vAlign w:val="center"/>
                </w:tcPr>
                <w:p w14:paraId="7FDB756C">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30.4</w:t>
                  </w:r>
                </w:p>
              </w:tc>
              <w:tc>
                <w:tcPr>
                  <w:tcW w:w="970" w:type="dxa"/>
                  <w:vAlign w:val="center"/>
                </w:tcPr>
                <w:p w14:paraId="69F1181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8016</w:t>
                  </w:r>
                </w:p>
              </w:tc>
              <w:tc>
                <w:tcPr>
                  <w:tcW w:w="970" w:type="dxa"/>
                  <w:vAlign w:val="center"/>
                </w:tcPr>
                <w:p w14:paraId="4DAE180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w:t>
                  </w:r>
                </w:p>
              </w:tc>
              <w:tc>
                <w:tcPr>
                  <w:tcW w:w="970" w:type="dxa"/>
                  <w:vAlign w:val="center"/>
                </w:tcPr>
                <w:p w14:paraId="51C78E8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14.88</w:t>
                  </w:r>
                </w:p>
              </w:tc>
              <w:tc>
                <w:tcPr>
                  <w:tcW w:w="970" w:type="dxa"/>
                  <w:vAlign w:val="center"/>
                </w:tcPr>
                <w:p w14:paraId="054BFF4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3580.8</w:t>
                  </w:r>
                </w:p>
              </w:tc>
              <w:tc>
                <w:tcPr>
                  <w:tcW w:w="970" w:type="dxa"/>
                  <w:vAlign w:val="center"/>
                </w:tcPr>
                <w:p w14:paraId="1047974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w:t>
                  </w:r>
                </w:p>
              </w:tc>
            </w:tr>
          </w:tbl>
          <w:p w14:paraId="4E1E3E08">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cs="Times New Roman"/>
                <w:color w:val="auto"/>
                <w:lang w:val="en-US" w:eastAsia="zh-CN"/>
              </w:rPr>
            </w:pPr>
            <w:r>
              <w:rPr>
                <w:rFonts w:hint="eastAsia" w:cs="Times New Roman"/>
                <w:color w:val="auto"/>
                <w:lang w:val="en-US" w:eastAsia="zh-CN"/>
              </w:rPr>
              <w:t>本项目水平衡详见下表。</w:t>
            </w:r>
          </w:p>
          <w:p w14:paraId="155BE76A">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cs="Times New Roman"/>
                <w:color w:val="auto"/>
                <w:lang w:val="en-US" w:eastAsia="zh-CN"/>
              </w:rPr>
            </w:pPr>
          </w:p>
          <w:p w14:paraId="28323B21">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cs="Times New Roman"/>
                <w:color w:val="auto"/>
                <w:lang w:val="en-US" w:eastAsia="zh-CN"/>
              </w:rPr>
            </w:pPr>
          </w:p>
          <w:p w14:paraId="652966DB">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cs="Times New Roman"/>
                <w:color w:val="auto"/>
                <w:lang w:val="en-US" w:eastAsia="zh-CN"/>
              </w:rPr>
            </w:pPr>
          </w:p>
          <w:p w14:paraId="7B8B09CF">
            <w:pPr>
              <w:pStyle w:val="66"/>
              <w:keepNext w:val="0"/>
              <w:keepLines w:val="0"/>
              <w:pageBreakBefore w:val="0"/>
              <w:widowControl w:val="0"/>
              <w:kinsoku/>
              <w:wordWrap/>
              <w:overflowPunct/>
              <w:topLinePunct w:val="0"/>
              <w:autoSpaceDE w:val="0"/>
              <w:autoSpaceDN w:val="0"/>
              <w:bidi w:val="0"/>
              <w:spacing w:line="360" w:lineRule="auto"/>
              <w:ind w:left="0" w:leftChars="0" w:firstLine="0" w:firstLineChars="0"/>
              <w:textAlignment w:val="auto"/>
              <w:rPr>
                <w:rFonts w:hint="eastAsia" w:cs="Times New Roman"/>
                <w:color w:val="auto"/>
                <w:lang w:val="en-US" w:eastAsia="zh-CN"/>
              </w:rPr>
            </w:pPr>
            <w:r>
              <w:rPr>
                <w:rFonts w:hint="eastAsia" w:cs="Times New Roman"/>
                <w:color w:val="auto"/>
                <w:lang w:val="en-US" w:eastAsia="zh-CN"/>
              </w:rPr>
              <w:object>
                <v:shape id="_x0000_i1026" o:spt="75" type="#_x0000_t75" style="height:229.8pt;width:386.4pt;" o:ole="t" filled="f" o:preferrelative="t" stroked="f" coordsize="21600,21600">
                  <v:path/>
                  <v:fill on="f" focussize="0,0"/>
                  <v:stroke on="f"/>
                  <v:imagedata r:id="rId16" o:title=""/>
                  <o:lock v:ext="edit" aspectratio="f"/>
                  <w10:wrap type="none"/>
                  <w10:anchorlock/>
                </v:shape>
                <o:OLEObject Type="Embed" ProgID="Visio.Drawing.15" ShapeID="_x0000_i1026" DrawAspect="Content" ObjectID="_1468075726" r:id="rId15">
                  <o:LockedField>false</o:LockedField>
                </o:OLEObject>
              </w:object>
            </w:r>
          </w:p>
          <w:p w14:paraId="221BD91B">
            <w:pPr>
              <w:pStyle w:val="66"/>
              <w:keepNext w:val="0"/>
              <w:keepLines w:val="0"/>
              <w:pageBreakBefore w:val="0"/>
              <w:widowControl w:val="0"/>
              <w:kinsoku/>
              <w:wordWrap/>
              <w:overflowPunct/>
              <w:topLinePunct w:val="0"/>
              <w:autoSpaceDE w:val="0"/>
              <w:autoSpaceDN w:val="0"/>
              <w:bidi w:val="0"/>
              <w:spacing w:line="240" w:lineRule="auto"/>
              <w:ind w:firstLine="422" w:firstLineChars="200"/>
              <w:jc w:val="center"/>
              <w:textAlignment w:val="auto"/>
              <w:rPr>
                <w:rFonts w:hint="default" w:cs="Times New Roman"/>
                <w:b/>
                <w:bCs/>
                <w:color w:val="auto"/>
                <w:sz w:val="21"/>
                <w:szCs w:val="21"/>
                <w:lang w:val="en-US" w:eastAsia="zh-CN"/>
              </w:rPr>
            </w:pPr>
            <w:r>
              <w:rPr>
                <w:rFonts w:hint="eastAsia" w:cs="Times New Roman"/>
                <w:b/>
                <w:bCs/>
                <w:color w:val="auto"/>
                <w:sz w:val="21"/>
                <w:szCs w:val="21"/>
                <w:lang w:val="en-US" w:eastAsia="zh-CN"/>
              </w:rPr>
              <w:t>附图2-1 本项目日最大给排水平衡图（单位m</w:t>
            </w:r>
            <w:r>
              <w:rPr>
                <w:rFonts w:hint="eastAsia" w:cs="Times New Roman"/>
                <w:b/>
                <w:bCs/>
                <w:color w:val="auto"/>
                <w:sz w:val="21"/>
                <w:szCs w:val="21"/>
                <w:vertAlign w:val="superscript"/>
                <w:lang w:val="en-US" w:eastAsia="zh-CN"/>
              </w:rPr>
              <w:t>3</w:t>
            </w:r>
            <w:r>
              <w:rPr>
                <w:rFonts w:hint="eastAsia" w:cs="Times New Roman"/>
                <w:b/>
                <w:bCs/>
                <w:color w:val="auto"/>
                <w:sz w:val="21"/>
                <w:szCs w:val="21"/>
                <w:lang w:val="en-US" w:eastAsia="zh-CN"/>
              </w:rPr>
              <w:t>/d）</w:t>
            </w:r>
          </w:p>
          <w:p w14:paraId="43707FAF">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default" w:ascii="Times New Roman" w:hAnsi="Times New Roman" w:cs="Times New Roman"/>
                <w:color w:val="auto"/>
              </w:rPr>
            </w:pPr>
            <w:r>
              <w:rPr>
                <w:rFonts w:hint="default" w:ascii="Times New Roman" w:hAnsi="Times New Roman" w:cs="Times New Roman"/>
                <w:color w:val="auto"/>
                <w:lang w:eastAsia="zh-CN"/>
              </w:rPr>
              <w:t>（</w:t>
            </w:r>
            <w:r>
              <w:rPr>
                <w:rFonts w:hint="default" w:ascii="Times New Roman" w:hAnsi="Times New Roman" w:cs="Times New Roman"/>
                <w:color w:val="auto"/>
                <w:lang w:val="en-US" w:eastAsia="zh-CN"/>
              </w:rPr>
              <w:t>5）</w:t>
            </w:r>
            <w:r>
              <w:rPr>
                <w:rFonts w:hint="default" w:ascii="Times New Roman" w:hAnsi="Times New Roman" w:cs="Times New Roman"/>
                <w:color w:val="auto"/>
              </w:rPr>
              <w:t>空调系统</w:t>
            </w:r>
          </w:p>
          <w:p w14:paraId="428CA853">
            <w:pPr>
              <w:widowControl/>
              <w:spacing w:line="360" w:lineRule="auto"/>
              <w:ind w:firstLine="528"/>
              <w:jc w:val="both"/>
              <w:rPr>
                <w:rFonts w:hint="eastAsia" w:ascii="Times New Roman" w:hAnsi="Times New Roman" w:eastAsia="宋体" w:cs="Times New Roman"/>
                <w:bCs/>
                <w:color w:val="auto"/>
                <w:kern w:val="0"/>
                <w:sz w:val="24"/>
                <w:szCs w:val="24"/>
                <w:lang w:val="de-DE" w:eastAsia="zh-CN" w:bidi="ar-SA"/>
              </w:rPr>
            </w:pPr>
            <w:r>
              <w:rPr>
                <w:rFonts w:hint="eastAsia" w:ascii="Times New Roman" w:hAnsi="Times New Roman" w:eastAsia="宋体" w:cs="Times New Roman"/>
                <w:bCs/>
                <w:color w:val="auto"/>
                <w:kern w:val="0"/>
                <w:sz w:val="24"/>
                <w:szCs w:val="24"/>
                <w:lang w:val="de-DE" w:eastAsia="zh-CN" w:bidi="ar-SA"/>
              </w:rPr>
              <w:t>电芯车间设置洁净除湿空调系统，满足电池生产过程中的温湿度和洁净度需求。相对湿度要求≤</w:t>
            </w:r>
            <w:r>
              <w:rPr>
                <w:rFonts w:hint="eastAsia" w:ascii="Times New Roman" w:hAnsi="Times New Roman" w:eastAsia="宋体" w:cs="Times New Roman"/>
                <w:bCs/>
                <w:color w:val="auto"/>
                <w:kern w:val="0"/>
                <w:sz w:val="24"/>
                <w:szCs w:val="24"/>
                <w:lang w:val="en-US" w:eastAsia="zh-CN" w:bidi="ar-SA"/>
              </w:rPr>
              <w:t>3</w:t>
            </w:r>
            <w:r>
              <w:rPr>
                <w:rFonts w:hint="eastAsia" w:ascii="Times New Roman" w:hAnsi="Times New Roman" w:eastAsia="宋体" w:cs="Times New Roman"/>
                <w:bCs/>
                <w:color w:val="auto"/>
                <w:kern w:val="0"/>
                <w:sz w:val="24"/>
                <w:szCs w:val="24"/>
                <w:lang w:val="de-DE" w:eastAsia="zh-CN" w:bidi="ar-SA"/>
              </w:rPr>
              <w:t>0%时，设置单转轮除湿机；</w:t>
            </w:r>
            <w:r>
              <w:rPr>
                <w:rFonts w:hint="eastAsia" w:ascii="Times New Roman" w:hAnsi="Times New Roman" w:eastAsia="宋体" w:cs="Times New Roman"/>
                <w:bCs/>
                <w:color w:val="auto"/>
                <w:kern w:val="0"/>
                <w:sz w:val="24"/>
                <w:szCs w:val="24"/>
                <w:lang w:val="en-US" w:eastAsia="zh-CN" w:bidi="ar-SA"/>
              </w:rPr>
              <w:t>露点要求</w:t>
            </w:r>
            <w:r>
              <w:rPr>
                <w:rFonts w:hint="eastAsia" w:ascii="Times New Roman" w:hAnsi="Times New Roman" w:eastAsia="宋体" w:cs="Times New Roman"/>
                <w:bCs/>
                <w:color w:val="auto"/>
                <w:kern w:val="0"/>
                <w:sz w:val="24"/>
                <w:szCs w:val="24"/>
                <w:lang w:val="de-DE" w:eastAsia="zh-CN" w:bidi="ar-SA"/>
              </w:rPr>
              <w:t>≤</w:t>
            </w:r>
            <w:r>
              <w:rPr>
                <w:rFonts w:hint="eastAsia" w:ascii="Times New Roman" w:hAnsi="Times New Roman" w:eastAsia="宋体" w:cs="Times New Roman"/>
                <w:bCs/>
                <w:color w:val="auto"/>
                <w:kern w:val="0"/>
                <w:sz w:val="24"/>
                <w:szCs w:val="24"/>
                <w:lang w:val="en-US" w:eastAsia="zh-CN" w:bidi="ar-SA"/>
              </w:rPr>
              <w:t>-35℃</w:t>
            </w:r>
            <w:r>
              <w:rPr>
                <w:rFonts w:hint="eastAsia" w:ascii="Times New Roman" w:hAnsi="Times New Roman" w:eastAsia="宋体" w:cs="Times New Roman"/>
                <w:bCs/>
                <w:color w:val="auto"/>
                <w:kern w:val="0"/>
                <w:sz w:val="24"/>
                <w:szCs w:val="24"/>
                <w:lang w:val="de-DE" w:eastAsia="zh-CN" w:bidi="ar-SA"/>
              </w:rPr>
              <w:t>时，设置双转轮湿度除湿机。当车间需求为</w:t>
            </w:r>
            <w:r>
              <w:rPr>
                <w:rFonts w:hint="eastAsia" w:ascii="Times New Roman" w:hAnsi="Times New Roman" w:eastAsia="宋体" w:cs="Times New Roman"/>
                <w:bCs/>
                <w:color w:val="auto"/>
                <w:kern w:val="0"/>
                <w:sz w:val="24"/>
                <w:szCs w:val="24"/>
                <w:lang w:val="en-US" w:eastAsia="zh-CN" w:bidi="ar-SA"/>
              </w:rPr>
              <w:t>10</w:t>
            </w:r>
            <w:r>
              <w:rPr>
                <w:rFonts w:hint="eastAsia" w:ascii="Times New Roman" w:hAnsi="Times New Roman" w:eastAsia="宋体" w:cs="Times New Roman"/>
                <w:bCs/>
                <w:color w:val="auto"/>
                <w:kern w:val="0"/>
                <w:sz w:val="24"/>
                <w:szCs w:val="24"/>
                <w:lang w:val="de-DE" w:eastAsia="zh-CN" w:bidi="ar-SA"/>
              </w:rPr>
              <w:t>万级洁净度时，整体换气次数需达到15次，过滤器配置为G4+F8+H1</w:t>
            </w:r>
            <w:r>
              <w:rPr>
                <w:rFonts w:hint="eastAsia" w:ascii="Times New Roman" w:hAnsi="Times New Roman" w:eastAsia="宋体" w:cs="Times New Roman"/>
                <w:bCs/>
                <w:color w:val="auto"/>
                <w:kern w:val="0"/>
                <w:sz w:val="24"/>
                <w:szCs w:val="24"/>
                <w:lang w:val="en-US" w:eastAsia="zh-CN" w:bidi="ar-SA"/>
              </w:rPr>
              <w:t>1</w:t>
            </w:r>
            <w:r>
              <w:rPr>
                <w:rFonts w:hint="eastAsia" w:ascii="Times New Roman" w:hAnsi="Times New Roman" w:eastAsia="宋体" w:cs="Times New Roman"/>
                <w:bCs/>
                <w:color w:val="auto"/>
                <w:kern w:val="0"/>
                <w:sz w:val="24"/>
                <w:szCs w:val="24"/>
                <w:lang w:val="de-DE" w:eastAsia="zh-CN" w:bidi="ar-SA"/>
              </w:rPr>
              <w:t>；当车间需求为</w:t>
            </w:r>
            <w:r>
              <w:rPr>
                <w:rFonts w:hint="eastAsia" w:ascii="Times New Roman" w:hAnsi="Times New Roman" w:eastAsia="宋体" w:cs="Times New Roman"/>
                <w:bCs/>
                <w:color w:val="auto"/>
                <w:kern w:val="0"/>
                <w:sz w:val="24"/>
                <w:szCs w:val="24"/>
                <w:lang w:val="en-US" w:eastAsia="zh-CN" w:bidi="ar-SA"/>
              </w:rPr>
              <w:t>30</w:t>
            </w:r>
            <w:r>
              <w:rPr>
                <w:rFonts w:hint="eastAsia" w:ascii="Times New Roman" w:hAnsi="Times New Roman" w:eastAsia="宋体" w:cs="Times New Roman"/>
                <w:bCs/>
                <w:color w:val="auto"/>
                <w:kern w:val="0"/>
                <w:sz w:val="24"/>
                <w:szCs w:val="24"/>
                <w:lang w:val="de-DE" w:eastAsia="zh-CN" w:bidi="ar-SA"/>
              </w:rPr>
              <w:t>万级洁净度时，整体换气次数需达到1</w:t>
            </w:r>
            <w:r>
              <w:rPr>
                <w:rFonts w:hint="eastAsia" w:ascii="Times New Roman" w:hAnsi="Times New Roman" w:eastAsia="宋体" w:cs="Times New Roman"/>
                <w:bCs/>
                <w:color w:val="auto"/>
                <w:kern w:val="0"/>
                <w:sz w:val="24"/>
                <w:szCs w:val="24"/>
                <w:lang w:val="en-US" w:eastAsia="zh-CN" w:bidi="ar-SA"/>
              </w:rPr>
              <w:t>2</w:t>
            </w:r>
            <w:r>
              <w:rPr>
                <w:rFonts w:hint="eastAsia" w:ascii="Times New Roman" w:hAnsi="Times New Roman" w:eastAsia="宋体" w:cs="Times New Roman"/>
                <w:bCs/>
                <w:color w:val="auto"/>
                <w:kern w:val="0"/>
                <w:sz w:val="24"/>
                <w:szCs w:val="24"/>
                <w:lang w:val="de-DE" w:eastAsia="zh-CN" w:bidi="ar-SA"/>
              </w:rPr>
              <w:t>次，过滤器配置为G4+F8+H1</w:t>
            </w:r>
            <w:r>
              <w:rPr>
                <w:rFonts w:hint="eastAsia" w:ascii="Times New Roman" w:hAnsi="Times New Roman" w:eastAsia="宋体" w:cs="Times New Roman"/>
                <w:bCs/>
                <w:color w:val="auto"/>
                <w:kern w:val="0"/>
                <w:sz w:val="24"/>
                <w:szCs w:val="24"/>
                <w:lang w:val="en-US" w:eastAsia="zh-CN" w:bidi="ar-SA"/>
              </w:rPr>
              <w:t>1</w:t>
            </w:r>
            <w:r>
              <w:rPr>
                <w:rFonts w:hint="eastAsia" w:ascii="Times New Roman" w:hAnsi="Times New Roman" w:eastAsia="宋体" w:cs="Times New Roman"/>
                <w:bCs/>
                <w:color w:val="auto"/>
                <w:kern w:val="0"/>
                <w:sz w:val="24"/>
                <w:szCs w:val="24"/>
                <w:lang w:val="de-DE" w:eastAsia="zh-CN" w:bidi="ar-SA"/>
              </w:rPr>
              <w:t>。局部小环境洁净度等级要求高于车间整体时，采用另设BFU单元机组来保证。</w:t>
            </w:r>
          </w:p>
          <w:p w14:paraId="3AE927E0">
            <w:pPr>
              <w:pStyle w:val="66"/>
              <w:keepNext w:val="0"/>
              <w:keepLines w:val="0"/>
              <w:pageBreakBefore w:val="0"/>
              <w:widowControl w:val="0"/>
              <w:kinsoku/>
              <w:wordWrap/>
              <w:overflowPunct/>
              <w:topLinePunct w:val="0"/>
              <w:autoSpaceDE w:val="0"/>
              <w:autoSpaceDN w:val="0"/>
              <w:bidi w:val="0"/>
              <w:spacing w:line="360" w:lineRule="auto"/>
              <w:ind w:firstLine="480" w:firstLineChars="200"/>
              <w:jc w:val="both"/>
              <w:textAlignment w:val="auto"/>
              <w:rPr>
                <w:rFonts w:hint="eastAsia" w:ascii="宋体" w:hAnsi="宋体"/>
                <w:color w:val="auto"/>
                <w:spacing w:val="2"/>
                <w:szCs w:val="26"/>
                <w:lang w:val="en-US" w:eastAsia="zh-CN"/>
              </w:rPr>
            </w:pPr>
            <w:r>
              <w:rPr>
                <w:rFonts w:hint="eastAsia" w:ascii="Times New Roman" w:hAnsi="Times New Roman" w:eastAsia="宋体" w:cs="Times New Roman"/>
                <w:bCs/>
                <w:color w:val="auto"/>
                <w:kern w:val="0"/>
                <w:sz w:val="24"/>
                <w:szCs w:val="24"/>
                <w:lang w:val="de-DE" w:eastAsia="zh-CN" w:bidi="ar-SA"/>
              </w:rPr>
              <w:t>原材料库、</w:t>
            </w:r>
            <w:r>
              <w:rPr>
                <w:rFonts w:hint="eastAsia" w:ascii="宋体" w:hAnsi="宋体"/>
                <w:color w:val="auto"/>
                <w:spacing w:val="2"/>
                <w:szCs w:val="26"/>
              </w:rPr>
              <w:t>化成间</w:t>
            </w:r>
            <w:r>
              <w:rPr>
                <w:rFonts w:hint="eastAsia" w:ascii="Times New Roman" w:hAnsi="Times New Roman" w:eastAsia="宋体" w:cs="Times New Roman"/>
                <w:bCs/>
                <w:color w:val="auto"/>
                <w:kern w:val="0"/>
                <w:sz w:val="24"/>
                <w:szCs w:val="24"/>
                <w:lang w:val="en-US" w:eastAsia="zh-CN" w:bidi="ar-SA"/>
              </w:rPr>
              <w:t>、</w:t>
            </w:r>
            <w:r>
              <w:rPr>
                <w:rFonts w:hint="eastAsia" w:ascii="宋体" w:hAnsi="宋体"/>
                <w:color w:val="auto"/>
                <w:spacing w:val="2"/>
                <w:szCs w:val="26"/>
              </w:rPr>
              <w:t>常温静置、集</w:t>
            </w:r>
            <w:r>
              <w:rPr>
                <w:rFonts w:hint="eastAsia" w:ascii="宋体" w:hAnsi="宋体"/>
                <w:color w:val="auto"/>
                <w:spacing w:val="2"/>
                <w:szCs w:val="26"/>
                <w:lang w:val="en-US" w:eastAsia="zh-CN"/>
              </w:rPr>
              <w:t>成</w:t>
            </w:r>
            <w:r>
              <w:rPr>
                <w:rFonts w:hint="eastAsia" w:ascii="宋体" w:hAnsi="宋体"/>
                <w:color w:val="auto"/>
                <w:spacing w:val="2"/>
                <w:szCs w:val="26"/>
              </w:rPr>
              <w:t>车间</w:t>
            </w:r>
            <w:r>
              <w:rPr>
                <w:rFonts w:hint="eastAsia" w:ascii="Times New Roman" w:hAnsi="Times New Roman" w:eastAsia="宋体" w:cs="Times New Roman"/>
                <w:bCs/>
                <w:color w:val="auto"/>
                <w:kern w:val="0"/>
                <w:sz w:val="24"/>
                <w:szCs w:val="24"/>
                <w:lang w:val="de-DE" w:eastAsia="zh-CN" w:bidi="ar-SA"/>
              </w:rPr>
              <w:t>设置组合式空调系统或吊装式空调机组，保证原料、成品电芯及工艺生产的温湿度</w:t>
            </w:r>
            <w:r>
              <w:rPr>
                <w:rFonts w:hint="eastAsia" w:cs="Times New Roman"/>
                <w:bCs/>
                <w:color w:val="auto"/>
                <w:kern w:val="0"/>
                <w:sz w:val="24"/>
                <w:szCs w:val="24"/>
                <w:lang w:val="de-DE" w:eastAsia="zh-CN" w:bidi="ar-SA"/>
              </w:rPr>
              <w:t>要求</w:t>
            </w:r>
            <w:r>
              <w:rPr>
                <w:rFonts w:hint="eastAsia" w:ascii="Times New Roman" w:hAnsi="Times New Roman" w:eastAsia="宋体" w:cs="Times New Roman"/>
                <w:bCs/>
                <w:color w:val="auto"/>
                <w:kern w:val="0"/>
                <w:sz w:val="24"/>
                <w:szCs w:val="24"/>
                <w:lang w:val="de-DE" w:eastAsia="zh-CN" w:bidi="ar-SA"/>
              </w:rPr>
              <w:t>，</w:t>
            </w:r>
            <w:r>
              <w:rPr>
                <w:rFonts w:hint="eastAsia" w:ascii="宋体" w:hAnsi="宋体"/>
                <w:color w:val="auto"/>
                <w:spacing w:val="2"/>
                <w:szCs w:val="26"/>
                <w:lang w:val="de-DE"/>
              </w:rPr>
              <w:t>其他生产辅房等设置</w:t>
            </w:r>
            <w:r>
              <w:rPr>
                <w:rFonts w:hint="eastAsia" w:ascii="宋体" w:hAnsi="宋体"/>
                <w:color w:val="auto"/>
                <w:spacing w:val="2"/>
                <w:szCs w:val="26"/>
              </w:rPr>
              <w:t>多联机系统</w:t>
            </w:r>
            <w:r>
              <w:rPr>
                <w:rFonts w:hint="eastAsia" w:ascii="宋体" w:hAnsi="宋体"/>
                <w:color w:val="auto"/>
                <w:spacing w:val="2"/>
                <w:szCs w:val="26"/>
                <w:lang w:val="de-DE" w:eastAsia="zh-CN"/>
              </w:rPr>
              <w:t>，</w:t>
            </w:r>
            <w:r>
              <w:rPr>
                <w:rFonts w:hint="eastAsia" w:ascii="宋体" w:hAnsi="宋体"/>
                <w:color w:val="auto"/>
                <w:spacing w:val="2"/>
                <w:szCs w:val="26"/>
                <w:lang w:val="de-DE"/>
              </w:rPr>
              <w:t>风机盘管+新风系统，采用顶部送风，回风采用顶部回风。</w:t>
            </w:r>
            <w:r>
              <w:rPr>
                <w:rFonts w:hint="eastAsia" w:ascii="宋体" w:hAnsi="宋体"/>
                <w:color w:val="auto"/>
                <w:spacing w:val="2"/>
                <w:szCs w:val="26"/>
                <w:lang w:val="en-US" w:eastAsia="zh-CN"/>
              </w:rPr>
              <w:t>本项目厂区洁净区设置见下表。</w:t>
            </w:r>
          </w:p>
          <w:p w14:paraId="79F83E0A">
            <w:pPr>
              <w:pStyle w:val="68"/>
              <w:rPr>
                <w:rFonts w:hint="default" w:ascii="Times New Roman" w:hAnsi="Times New Roman" w:eastAsia="宋体" w:cs="Times New Roman"/>
                <w:b/>
                <w:bCs/>
                <w:color w:val="auto"/>
                <w:lang w:val="en-US" w:eastAsia="zh-CN"/>
              </w:rPr>
            </w:pPr>
            <w:r>
              <w:rPr>
                <w:rFonts w:hint="default" w:ascii="Times New Roman" w:hAnsi="Times New Roman" w:eastAsia="宋体" w:cs="Times New Roman"/>
                <w:b/>
                <w:bCs/>
                <w:color w:val="auto"/>
              </w:rPr>
              <w:t>表2-</w:t>
            </w:r>
            <w:r>
              <w:rPr>
                <w:rFonts w:hint="eastAsia" w:ascii="Times New Roman" w:hAnsi="Times New Roman" w:eastAsia="宋体" w:cs="Times New Roman"/>
                <w:b/>
                <w:bCs/>
                <w:color w:val="auto"/>
                <w:lang w:val="en-US" w:eastAsia="zh-CN"/>
              </w:rPr>
              <w:t>7</w:t>
            </w:r>
            <w:r>
              <w:rPr>
                <w:rFonts w:hint="default" w:ascii="Times New Roman" w:hAnsi="Times New Roman" w:eastAsia="宋体" w:cs="Times New Roman"/>
                <w:b/>
                <w:bCs/>
                <w:color w:val="auto"/>
              </w:rPr>
              <w:t xml:space="preserve"> </w:t>
            </w:r>
            <w:r>
              <w:rPr>
                <w:rFonts w:hint="eastAsia" w:ascii="Times New Roman" w:hAnsi="Times New Roman" w:eastAsia="宋体" w:cs="Times New Roman"/>
                <w:b/>
                <w:bCs/>
                <w:color w:val="auto"/>
                <w:lang w:val="en-US" w:eastAsia="zh-CN"/>
              </w:rPr>
              <w:t>厂房洁净区设置情况一览表</w:t>
            </w:r>
          </w:p>
          <w:tbl>
            <w:tblPr>
              <w:tblStyle w:val="42"/>
              <w:tblW w:w="7760" w:type="dxa"/>
              <w:tblInd w:w="5"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372"/>
              <w:gridCol w:w="1186"/>
              <w:gridCol w:w="1378"/>
              <w:gridCol w:w="2824"/>
            </w:tblGrid>
            <w:tr w14:paraId="2A07B72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372" w:type="dxa"/>
                  <w:vAlign w:val="center"/>
                </w:tcPr>
                <w:p w14:paraId="119D42DE">
                  <w:pPr>
                    <w:pStyle w:val="70"/>
                    <w:jc w:val="center"/>
                    <w:rPr>
                      <w:rFonts w:hint="default"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房间名称</w:t>
                  </w:r>
                </w:p>
              </w:tc>
              <w:tc>
                <w:tcPr>
                  <w:tcW w:w="1186" w:type="dxa"/>
                  <w:vAlign w:val="center"/>
                </w:tcPr>
                <w:p w14:paraId="1384B5B1">
                  <w:pPr>
                    <w:pStyle w:val="70"/>
                    <w:jc w:val="center"/>
                    <w:rPr>
                      <w:rFonts w:hint="default"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洁净度</w:t>
                  </w:r>
                </w:p>
              </w:tc>
              <w:tc>
                <w:tcPr>
                  <w:tcW w:w="1378" w:type="dxa"/>
                  <w:vAlign w:val="center"/>
                </w:tcPr>
                <w:p w14:paraId="5FA25A31">
                  <w:pPr>
                    <w:pStyle w:val="70"/>
                    <w:jc w:val="center"/>
                    <w:rPr>
                      <w:rFonts w:hint="default"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净化方式</w:t>
                  </w:r>
                </w:p>
              </w:tc>
              <w:tc>
                <w:tcPr>
                  <w:tcW w:w="2824" w:type="dxa"/>
                  <w:vAlign w:val="center"/>
                </w:tcPr>
                <w:p w14:paraId="3AB78159">
                  <w:pPr>
                    <w:pStyle w:val="70"/>
                    <w:jc w:val="center"/>
                    <w:rPr>
                      <w:rFonts w:hint="default"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备注</w:t>
                  </w:r>
                </w:p>
              </w:tc>
            </w:tr>
            <w:tr w14:paraId="50859D1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372" w:type="dxa"/>
                  <w:vAlign w:val="center"/>
                </w:tcPr>
                <w:p w14:paraId="2DE24784">
                  <w:pPr>
                    <w:pStyle w:val="7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正极合浆间、负极合浆间、化成间、常温静置间、高温静置间、二次封装间、定容间</w:t>
                  </w:r>
                </w:p>
              </w:tc>
              <w:tc>
                <w:tcPr>
                  <w:tcW w:w="1186" w:type="dxa"/>
                  <w:vAlign w:val="center"/>
                </w:tcPr>
                <w:p w14:paraId="24ECDB38">
                  <w:pPr>
                    <w:pStyle w:val="7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30万级</w:t>
                  </w:r>
                </w:p>
              </w:tc>
              <w:tc>
                <w:tcPr>
                  <w:tcW w:w="1378" w:type="dxa"/>
                  <w:vMerge w:val="restart"/>
                  <w:vAlign w:val="center"/>
                </w:tcPr>
                <w:p w14:paraId="2F1AF27F">
                  <w:pPr>
                    <w:pStyle w:val="7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bCs/>
                      <w:color w:val="auto"/>
                      <w:kern w:val="0"/>
                      <w:sz w:val="21"/>
                      <w:szCs w:val="21"/>
                      <w:lang w:val="de-DE" w:eastAsia="zh-CN" w:bidi="ar-SA"/>
                    </w:rPr>
                    <w:t>G4+F8+H1</w:t>
                  </w:r>
                  <w:r>
                    <w:rPr>
                      <w:rFonts w:hint="eastAsia" w:ascii="Times New Roman" w:hAnsi="Times New Roman" w:eastAsia="宋体" w:cs="Times New Roman"/>
                      <w:bCs/>
                      <w:color w:val="auto"/>
                      <w:kern w:val="0"/>
                      <w:sz w:val="21"/>
                      <w:szCs w:val="21"/>
                      <w:lang w:val="en-US" w:eastAsia="zh-CN" w:bidi="ar-SA"/>
                    </w:rPr>
                    <w:t>1</w:t>
                  </w:r>
                </w:p>
              </w:tc>
              <w:tc>
                <w:tcPr>
                  <w:tcW w:w="2824" w:type="dxa"/>
                  <w:vMerge w:val="restart"/>
                  <w:vAlign w:val="center"/>
                </w:tcPr>
                <w:p w14:paraId="5596DF77">
                  <w:pPr>
                    <w:pStyle w:val="7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初效过滤器（G4）：粒径范围≥5μm，过滤效率60%~80%；</w:t>
                  </w:r>
                </w:p>
                <w:p w14:paraId="7FEAE74B">
                  <w:pPr>
                    <w:pStyle w:val="7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中效过滤器（F</w:t>
                  </w:r>
                  <w:r>
                    <w:rPr>
                      <w:rFonts w:hint="eastAsia" w:cs="Times New Roman"/>
                      <w:color w:val="auto"/>
                      <w:sz w:val="21"/>
                      <w:szCs w:val="21"/>
                      <w:lang w:val="en-US" w:eastAsia="zh-CN"/>
                    </w:rPr>
                    <w:t>8</w:t>
                  </w:r>
                  <w:r>
                    <w:rPr>
                      <w:rFonts w:hint="default" w:ascii="Times New Roman" w:hAnsi="Times New Roman" w:eastAsia="宋体" w:cs="Times New Roman"/>
                      <w:color w:val="auto"/>
                      <w:sz w:val="21"/>
                      <w:szCs w:val="21"/>
                    </w:rPr>
                    <w:t>）：粒径范围1~5μm，过滤效率60~80%；</w:t>
                  </w:r>
                </w:p>
                <w:p w14:paraId="3FFA7133">
                  <w:pPr>
                    <w:pStyle w:val="7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高效过滤器（</w:t>
                  </w:r>
                  <w:r>
                    <w:rPr>
                      <w:rFonts w:hint="default" w:ascii="Times New Roman" w:hAnsi="Times New Roman" w:eastAsia="宋体" w:cs="Times New Roman"/>
                      <w:color w:val="auto"/>
                      <w:sz w:val="21"/>
                      <w:szCs w:val="21"/>
                      <w:lang w:eastAsia="zh-CN"/>
                    </w:rPr>
                    <w:t>H1</w:t>
                  </w:r>
                  <w:r>
                    <w:rPr>
                      <w:rFonts w:hint="eastAsia" w:cs="Times New Roman"/>
                      <w:color w:val="auto"/>
                      <w:sz w:val="21"/>
                      <w:szCs w:val="21"/>
                      <w:lang w:val="en-US" w:eastAsia="zh-CN"/>
                    </w:rPr>
                    <w:t>1</w:t>
                  </w:r>
                  <w:r>
                    <w:rPr>
                      <w:rFonts w:hint="default" w:ascii="Times New Roman" w:hAnsi="Times New Roman" w:eastAsia="宋体" w:cs="Times New Roman"/>
                      <w:color w:val="auto"/>
                      <w:sz w:val="21"/>
                      <w:szCs w:val="21"/>
                    </w:rPr>
                    <w:t>）粒径范围≥0.3μm，过滤效率≥99.95%</w:t>
                  </w:r>
                </w:p>
              </w:tc>
            </w:tr>
            <w:tr w14:paraId="7D667E2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72" w:type="dxa"/>
                  <w:shd w:val="clear" w:color="auto" w:fill="auto"/>
                  <w:vAlign w:val="center"/>
                </w:tcPr>
                <w:p w14:paraId="44560682">
                  <w:pPr>
                    <w:pStyle w:val="7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注液间、</w:t>
                  </w:r>
                  <w:r>
                    <w:rPr>
                      <w:rFonts w:hint="default" w:ascii="Times New Roman" w:hAnsi="Times New Roman" w:cs="Times New Roman"/>
                      <w:color w:val="auto"/>
                      <w:sz w:val="21"/>
                      <w:szCs w:val="21"/>
                      <w:lang w:val="en-US" w:eastAsia="zh-CN"/>
                    </w:rPr>
                    <w:t>辊</w:t>
                  </w:r>
                  <w:r>
                    <w:rPr>
                      <w:rFonts w:hint="eastAsia" w:cs="Times New Roman"/>
                      <w:color w:val="000000" w:themeColor="text1"/>
                      <w:sz w:val="21"/>
                      <w:szCs w:val="21"/>
                      <w:lang w:val="en-US" w:eastAsia="zh-CN"/>
                      <w14:textFill>
                        <w14:solidFill>
                          <w14:schemeClr w14:val="tx1"/>
                        </w14:solidFill>
                      </w14:textFill>
                    </w:rPr>
                    <w:t>分间、纯水间、清洗间、涂布烘干间、匀浆间、投料间、干燥间、切叠装配间等</w:t>
                  </w:r>
                </w:p>
              </w:tc>
              <w:tc>
                <w:tcPr>
                  <w:tcW w:w="1186" w:type="dxa"/>
                  <w:vAlign w:val="center"/>
                </w:tcPr>
                <w:p w14:paraId="77C684F9">
                  <w:pPr>
                    <w:pStyle w:val="7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10万级</w:t>
                  </w:r>
                </w:p>
              </w:tc>
              <w:tc>
                <w:tcPr>
                  <w:tcW w:w="1378" w:type="dxa"/>
                  <w:vMerge w:val="continue"/>
                  <w:vAlign w:val="center"/>
                </w:tcPr>
                <w:p w14:paraId="4E076441">
                  <w:pPr>
                    <w:pStyle w:val="70"/>
                    <w:jc w:val="center"/>
                    <w:rPr>
                      <w:rFonts w:hint="default" w:ascii="Times New Roman" w:hAnsi="Times New Roman" w:eastAsia="宋体" w:cs="Times New Roman"/>
                      <w:color w:val="auto"/>
                      <w:sz w:val="21"/>
                      <w:szCs w:val="21"/>
                      <w:lang w:val="en-US" w:eastAsia="zh-CN"/>
                    </w:rPr>
                  </w:pPr>
                </w:p>
              </w:tc>
              <w:tc>
                <w:tcPr>
                  <w:tcW w:w="2824" w:type="dxa"/>
                  <w:vMerge w:val="continue"/>
                  <w:vAlign w:val="center"/>
                </w:tcPr>
                <w:p w14:paraId="265B7A4F">
                  <w:pPr>
                    <w:pStyle w:val="70"/>
                    <w:jc w:val="center"/>
                    <w:rPr>
                      <w:rFonts w:hint="default" w:ascii="Times New Roman" w:hAnsi="Times New Roman" w:eastAsia="宋体" w:cs="Times New Roman"/>
                      <w:color w:val="auto"/>
                      <w:sz w:val="21"/>
                      <w:szCs w:val="21"/>
                      <w:lang w:val="en-US" w:eastAsia="zh-CN"/>
                    </w:rPr>
                  </w:pPr>
                </w:p>
              </w:tc>
            </w:tr>
          </w:tbl>
          <w:p w14:paraId="66D55C19">
            <w:pPr>
              <w:keepNext w:val="0"/>
              <w:keepLines w:val="0"/>
              <w:pageBreakBefore w:val="0"/>
              <w:widowControl w:val="0"/>
              <w:numPr>
                <w:ilvl w:val="0"/>
                <w:numId w:val="0"/>
              </w:numPr>
              <w:tabs>
                <w:tab w:val="left" w:pos="2955"/>
              </w:tabs>
              <w:kinsoku/>
              <w:wordWrap/>
              <w:overflowPunct/>
              <w:topLinePunct w:val="0"/>
              <w:autoSpaceDE w:val="0"/>
              <w:autoSpaceDN w:val="0"/>
              <w:bidi w:val="0"/>
              <w:adjustRightInd w:val="0"/>
              <w:snapToGrid w:val="0"/>
              <w:spacing w:line="360" w:lineRule="auto"/>
              <w:ind w:firstLine="480" w:firstLineChars="200"/>
              <w:jc w:val="center"/>
              <w:textAlignment w:val="auto"/>
              <w:rPr>
                <w:rFonts w:hint="eastAsia" w:ascii="Times New Roman" w:hAnsi="Times New Roman" w:eastAsia="宋体" w:cs="Times New Roman"/>
                <w:color w:val="auto"/>
                <w:kern w:val="0"/>
                <w:sz w:val="24"/>
                <w:szCs w:val="24"/>
                <w:highlight w:val="none"/>
                <w:lang w:val="en-US" w:eastAsia="zh-CN" w:bidi="zh-HK"/>
              </w:rPr>
            </w:pPr>
            <w:r>
              <w:rPr>
                <w:rFonts w:hint="eastAsia" w:ascii="Times New Roman" w:hAnsi="Times New Roman" w:eastAsia="宋体" w:cs="Times New Roman"/>
                <w:color w:val="auto"/>
                <w:kern w:val="0"/>
                <w:sz w:val="24"/>
                <w:szCs w:val="24"/>
                <w:highlight w:val="none"/>
                <w:lang w:val="en-US" w:eastAsia="zh-CN" w:bidi="zh-HK"/>
              </w:rPr>
              <w:object>
                <v:shape id="_x0000_i1027" o:spt="75" type="#_x0000_t75" style="height:86.35pt;width:290.65pt;" o:ole="t" filled="f" o:preferrelative="t" stroked="f" coordsize="21600,21600">
                  <v:path/>
                  <v:fill on="f" focussize="0,0"/>
                  <v:stroke on="f"/>
                  <v:imagedata r:id="rId18" o:title=""/>
                  <o:lock v:ext="edit" aspectratio="f"/>
                  <w10:wrap type="none"/>
                  <w10:anchorlock/>
                </v:shape>
                <o:OLEObject Type="Embed" ProgID="Visio.Drawing.15" ShapeID="_x0000_i1027" DrawAspect="Content" ObjectID="_1468075727" r:id="rId17">
                  <o:LockedField>false</o:LockedField>
                </o:OLEObject>
              </w:object>
            </w:r>
          </w:p>
          <w:p w14:paraId="18E2263F">
            <w:pPr>
              <w:spacing w:line="360" w:lineRule="auto"/>
              <w:jc w:val="center"/>
              <w:outlineLvl w:val="9"/>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图2-</w:t>
            </w:r>
            <w:r>
              <w:rPr>
                <w:rFonts w:hint="eastAsia" w:cs="Times New Roman"/>
                <w:b/>
                <w:bCs/>
                <w:color w:val="auto"/>
                <w:sz w:val="21"/>
                <w:szCs w:val="21"/>
                <w:highlight w:val="none"/>
                <w:lang w:val="en-US" w:eastAsia="zh-CN"/>
              </w:rPr>
              <w:t>2</w:t>
            </w:r>
            <w:r>
              <w:rPr>
                <w:rFonts w:hint="eastAsia" w:ascii="Times New Roman" w:hAnsi="Times New Roman" w:cs="Times New Roman"/>
                <w:b/>
                <w:bCs/>
                <w:color w:val="auto"/>
                <w:sz w:val="21"/>
                <w:szCs w:val="21"/>
                <w:highlight w:val="none"/>
                <w:lang w:val="en-US" w:eastAsia="zh-CN"/>
              </w:rPr>
              <w:t xml:space="preserve"> 本项目空气净化系统工艺流程</w:t>
            </w:r>
          </w:p>
          <w:p w14:paraId="37AA11A0">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default" w:ascii="Times New Roman" w:hAnsi="Times New Roman" w:cs="Times New Roman"/>
                <w:color w:val="auto"/>
              </w:rPr>
            </w:pPr>
            <w:r>
              <w:rPr>
                <w:rFonts w:hint="default" w:ascii="Times New Roman" w:hAnsi="Times New Roman" w:cs="Times New Roman"/>
                <w:color w:val="auto"/>
                <w:lang w:eastAsia="zh-CN"/>
              </w:rPr>
              <w:t>（</w:t>
            </w:r>
            <w:r>
              <w:rPr>
                <w:rFonts w:hint="eastAsia" w:cs="Times New Roman"/>
                <w:color w:val="auto"/>
                <w:lang w:val="en-US" w:eastAsia="zh-CN"/>
              </w:rPr>
              <w:t>6</w:t>
            </w:r>
            <w:r>
              <w:rPr>
                <w:rFonts w:hint="default" w:ascii="Times New Roman" w:hAnsi="Times New Roman" w:cs="Times New Roman"/>
                <w:color w:val="auto"/>
                <w:lang w:val="en-US" w:eastAsia="zh-CN"/>
              </w:rPr>
              <w:t>）</w:t>
            </w:r>
            <w:r>
              <w:rPr>
                <w:rFonts w:hint="eastAsia" w:cs="Times New Roman"/>
                <w:color w:val="auto"/>
                <w:lang w:val="en-US" w:eastAsia="zh-CN"/>
              </w:rPr>
              <w:t>纯水制备</w:t>
            </w:r>
            <w:r>
              <w:rPr>
                <w:rFonts w:hint="default" w:ascii="Times New Roman" w:hAnsi="Times New Roman" w:cs="Times New Roman"/>
                <w:color w:val="auto"/>
              </w:rPr>
              <w:t>系统</w:t>
            </w:r>
          </w:p>
          <w:p w14:paraId="69315F5F">
            <w:pPr>
              <w:spacing w:line="360" w:lineRule="auto"/>
              <w:ind w:firstLine="480" w:firstLineChars="200"/>
              <w:jc w:val="left"/>
              <w:outlineLvl w:val="9"/>
              <w:rPr>
                <w:rFonts w:hint="default" w:ascii="Times New Roman" w:hAnsi="Times New Roman" w:cs="Times New Roman"/>
                <w:color w:val="auto"/>
                <w:sz w:val="24"/>
                <w:lang w:val="en-US" w:eastAsia="zh-CN"/>
              </w:rPr>
            </w:pPr>
            <w:r>
              <w:rPr>
                <w:rFonts w:hint="default" w:ascii="Times New Roman" w:hAnsi="Times New Roman" w:cs="Times New Roman"/>
                <w:color w:val="auto"/>
                <w:sz w:val="24"/>
                <w:lang w:val="en-US" w:eastAsia="zh-CN"/>
              </w:rPr>
              <w:t>项目生产车间内建设1套纯水制备系统。</w:t>
            </w:r>
            <w:r>
              <w:rPr>
                <w:rFonts w:hint="default" w:ascii="Times New Roman" w:hAnsi="Times New Roman" w:eastAsia="宋体" w:cs="Times New Roman"/>
                <w:color w:val="auto"/>
                <w:sz w:val="24"/>
                <w:lang w:val="en-US" w:eastAsia="zh-CN"/>
              </w:rPr>
              <w:t>根据建设单位提供资料，项目纯水机采用</w:t>
            </w:r>
            <w:r>
              <w:rPr>
                <w:rFonts w:hint="eastAsia" w:cs="Times New Roman"/>
                <w:color w:val="auto"/>
                <w:sz w:val="24"/>
                <w:lang w:val="en-US" w:eastAsia="zh-CN"/>
              </w:rPr>
              <w:t>“</w:t>
            </w:r>
            <w:r>
              <w:rPr>
                <w:rFonts w:hint="default" w:ascii="Times New Roman" w:hAnsi="Times New Roman" w:eastAsia="宋体" w:cs="Times New Roman"/>
                <w:color w:val="auto"/>
                <w:sz w:val="24"/>
                <w:lang w:val="en-US" w:eastAsia="zh-CN"/>
              </w:rPr>
              <w:t>物理过滤（多介质过滤+活性炭过滤+精密过滤）+一级RO反渗透+二级RO反渗透+EDI系统</w:t>
            </w:r>
            <w:r>
              <w:rPr>
                <w:rFonts w:hint="eastAsia" w:cs="Times New Roman"/>
                <w:color w:val="auto"/>
                <w:sz w:val="24"/>
                <w:lang w:val="en-US" w:eastAsia="zh-CN"/>
              </w:rPr>
              <w:t>”</w:t>
            </w:r>
            <w:r>
              <w:rPr>
                <w:rFonts w:hint="default" w:ascii="Times New Roman" w:hAnsi="Times New Roman" w:eastAsia="宋体" w:cs="Times New Roman"/>
                <w:color w:val="auto"/>
                <w:sz w:val="24"/>
                <w:lang w:val="en-US" w:eastAsia="zh-CN"/>
              </w:rPr>
              <w:t>制备工艺，</w:t>
            </w:r>
            <w:r>
              <w:rPr>
                <w:rFonts w:hint="default" w:ascii="Times New Roman" w:hAnsi="Times New Roman" w:cs="Times New Roman"/>
                <w:bCs/>
                <w:color w:val="auto"/>
                <w:sz w:val="24"/>
                <w:lang w:val="en-US" w:eastAsia="zh-CN"/>
              </w:rPr>
              <w:t>纯水</w:t>
            </w:r>
            <w:r>
              <w:rPr>
                <w:rFonts w:hint="default" w:ascii="Times New Roman" w:hAnsi="Times New Roman" w:eastAsia="宋体" w:cs="Times New Roman"/>
                <w:color w:val="auto"/>
                <w:sz w:val="24"/>
                <w:lang w:val="en-US" w:eastAsia="zh-CN"/>
              </w:rPr>
              <w:t>总体制备效率约为60%。整个系统设置有</w:t>
            </w:r>
            <w:r>
              <w:rPr>
                <w:rFonts w:hint="default" w:ascii="Times New Roman" w:hAnsi="Times New Roman" w:cs="Times New Roman"/>
                <w:color w:val="auto"/>
                <w:sz w:val="24"/>
                <w:lang w:val="en-US" w:eastAsia="zh-CN"/>
              </w:rPr>
              <w:t>水质监测单元、流量监测单元、系统自动/手动控制、系统控制电脑箱等，可全自动连续生产。</w:t>
            </w:r>
          </w:p>
          <w:p w14:paraId="3CD34B95">
            <w:pPr>
              <w:pStyle w:val="66"/>
              <w:spacing w:line="360" w:lineRule="auto"/>
              <w:ind w:left="0" w:leftChars="0" w:firstLine="0" w:firstLineChars="0"/>
              <w:rPr>
                <w:rFonts w:hint="eastAsia" w:ascii="Times New Roman" w:hAnsi="Times New Roman" w:eastAsia="宋体" w:cs="Times New Roman"/>
                <w:b/>
                <w:bCs/>
                <w:color w:val="auto"/>
                <w:lang w:val="en-US" w:eastAsia="zh-CN"/>
              </w:rPr>
            </w:pPr>
            <w:r>
              <w:rPr>
                <w:rFonts w:hint="default" w:ascii="Times New Roman" w:hAnsi="Times New Roman" w:cs="Times New Roman"/>
                <w:b/>
                <w:bCs/>
                <w:color w:val="auto"/>
              </w:rPr>
              <w:object>
                <v:shape id="_x0000_i1028" o:spt="75" type="#_x0000_t75" style="height:162.15pt;width:385pt;" o:ole="t" filled="f" o:preferrelative="t" stroked="f" coordsize="21600,21600">
                  <v:path/>
                  <v:fill on="f" focussize="0,0"/>
                  <v:stroke on="f"/>
                  <v:imagedata r:id="rId20" cropleft="9018f" croptop="8578f" cropright="16489f" cropbottom="35843f" o:title=""/>
                  <o:lock v:ext="edit" aspectratio="t"/>
                  <w10:wrap type="none"/>
                  <w10:anchorlock/>
                </v:shape>
                <o:OLEObject Type="Embed" ProgID="Visio.Drawing.11" ShapeID="_x0000_i1028" DrawAspect="Content" ObjectID="_1468075728" r:id="rId19">
                  <o:LockedField>false</o:LockedField>
                </o:OLEObject>
              </w:object>
            </w:r>
          </w:p>
          <w:p w14:paraId="4C5F4906">
            <w:pPr>
              <w:spacing w:line="360" w:lineRule="auto"/>
              <w:jc w:val="center"/>
              <w:outlineLvl w:val="9"/>
              <w:rPr>
                <w:rFonts w:hint="default" w:ascii="Times New Roman" w:hAnsi="Times New Roman" w:cs="Times New Roman"/>
                <w:b/>
                <w:bCs/>
                <w:color w:val="auto"/>
                <w:sz w:val="21"/>
                <w:szCs w:val="21"/>
                <w:highlight w:val="none"/>
                <w:lang w:val="en-US" w:eastAsia="zh-CN"/>
              </w:rPr>
            </w:pPr>
            <w:r>
              <w:rPr>
                <w:rFonts w:hint="eastAsia" w:ascii="Times New Roman" w:hAnsi="Times New Roman" w:cs="Times New Roman"/>
                <w:b/>
                <w:bCs/>
                <w:color w:val="auto"/>
                <w:sz w:val="21"/>
                <w:szCs w:val="21"/>
                <w:highlight w:val="none"/>
                <w:lang w:val="en-US" w:eastAsia="zh-CN"/>
              </w:rPr>
              <w:t>图2-</w:t>
            </w:r>
            <w:r>
              <w:rPr>
                <w:rFonts w:hint="eastAsia" w:cs="Times New Roman"/>
                <w:b/>
                <w:bCs/>
                <w:color w:val="auto"/>
                <w:sz w:val="21"/>
                <w:szCs w:val="21"/>
                <w:highlight w:val="none"/>
                <w:lang w:val="en-US" w:eastAsia="zh-CN"/>
              </w:rPr>
              <w:t>3</w:t>
            </w:r>
            <w:r>
              <w:rPr>
                <w:rFonts w:hint="eastAsia" w:ascii="Times New Roman" w:hAnsi="Times New Roman" w:cs="Times New Roman"/>
                <w:b/>
                <w:bCs/>
                <w:color w:val="auto"/>
                <w:sz w:val="21"/>
                <w:szCs w:val="21"/>
                <w:highlight w:val="none"/>
                <w:lang w:val="en-US" w:eastAsia="zh-CN"/>
              </w:rPr>
              <w:t xml:space="preserve"> 纯水制备系统工艺流程图</w:t>
            </w:r>
          </w:p>
          <w:p w14:paraId="3F8B35FA">
            <w:pPr>
              <w:spacing w:line="360" w:lineRule="auto"/>
              <w:ind w:firstLine="480" w:firstLineChars="200"/>
              <w:outlineLvl w:val="9"/>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超</w:t>
            </w:r>
            <w:r>
              <w:rPr>
                <w:rFonts w:hint="default" w:ascii="Times New Roman" w:hAnsi="Times New Roman" w:cs="Times New Roman"/>
                <w:color w:val="auto"/>
                <w:sz w:val="24"/>
                <w:highlight w:val="none"/>
              </w:rPr>
              <w:t>纯水制备系统可分为预处理部分、反渗透脱盐</w:t>
            </w:r>
            <w:r>
              <w:rPr>
                <w:rFonts w:hint="default" w:ascii="Times New Roman" w:hAnsi="Times New Roman" w:cs="Times New Roman"/>
                <w:color w:val="auto"/>
                <w:sz w:val="24"/>
                <w:highlight w:val="none"/>
                <w:lang w:val="en-US" w:eastAsia="zh-CN"/>
              </w:rPr>
              <w:t>和深度脱盐三</w:t>
            </w:r>
            <w:r>
              <w:rPr>
                <w:rFonts w:hint="default" w:ascii="Times New Roman" w:hAnsi="Times New Roman" w:cs="Times New Roman"/>
                <w:color w:val="auto"/>
                <w:sz w:val="24"/>
                <w:highlight w:val="none"/>
              </w:rPr>
              <w:t>部分。其中：预处理部分包括多</w:t>
            </w:r>
            <w:r>
              <w:rPr>
                <w:rFonts w:hint="default" w:ascii="Times New Roman" w:hAnsi="Times New Roman" w:cs="Times New Roman"/>
                <w:color w:val="auto"/>
                <w:sz w:val="24"/>
                <w:highlight w:val="none"/>
                <w:lang w:val="en-US" w:eastAsia="zh-CN"/>
              </w:rPr>
              <w:t>介质</w:t>
            </w:r>
            <w:r>
              <w:rPr>
                <w:rFonts w:hint="default" w:ascii="Times New Roman" w:hAnsi="Times New Roman" w:cs="Times New Roman"/>
                <w:color w:val="auto"/>
                <w:sz w:val="24"/>
                <w:highlight w:val="none"/>
              </w:rPr>
              <w:t>过滤器、</w:t>
            </w:r>
            <w:r>
              <w:rPr>
                <w:rFonts w:hint="default" w:ascii="Times New Roman" w:hAnsi="Times New Roman" w:cs="Times New Roman"/>
                <w:color w:val="auto"/>
                <w:sz w:val="24"/>
                <w:highlight w:val="none"/>
                <w:lang w:val="en-US" w:eastAsia="zh-CN"/>
              </w:rPr>
              <w:t>活性炭过滤器和</w:t>
            </w:r>
            <w:r>
              <w:rPr>
                <w:rFonts w:hint="default" w:ascii="Times New Roman" w:hAnsi="Times New Roman" w:cs="Times New Roman"/>
                <w:color w:val="auto"/>
                <w:sz w:val="24"/>
                <w:highlight w:val="none"/>
                <w:lang w:eastAsia="zh-CN"/>
              </w:rPr>
              <w:t>多介质过滤器</w:t>
            </w:r>
            <w:r>
              <w:rPr>
                <w:rFonts w:hint="default" w:ascii="Times New Roman" w:hAnsi="Times New Roman" w:cs="Times New Roman"/>
                <w:color w:val="auto"/>
                <w:sz w:val="24"/>
                <w:highlight w:val="none"/>
              </w:rPr>
              <w:t>，主要去除易污染反渗透膜的物质；反渗透除盐部分主要为两级RO反渗透装置，属于物理脱盐法，无外来污染</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深度脱盐采用EDI工艺，将电渗析和离子交换技术相结合，达到深度除盐的目的</w:t>
            </w:r>
            <w:r>
              <w:rPr>
                <w:rFonts w:hint="default" w:ascii="Times New Roman" w:hAnsi="Times New Roman" w:cs="Times New Roman"/>
                <w:color w:val="auto"/>
                <w:sz w:val="24"/>
                <w:highlight w:val="none"/>
              </w:rPr>
              <w:t>。</w:t>
            </w:r>
          </w:p>
          <w:p w14:paraId="7180F080">
            <w:pPr>
              <w:spacing w:line="360" w:lineRule="auto"/>
              <w:ind w:firstLine="480" w:firstLineChars="200"/>
              <w:outlineLvl w:val="9"/>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rPr>
              <w:t>①</w:t>
            </w:r>
            <w:r>
              <w:rPr>
                <w:rFonts w:hint="default" w:ascii="Times New Roman" w:hAnsi="Times New Roman" w:eastAsia="宋体" w:cs="Times New Roman"/>
                <w:color w:val="auto"/>
                <w:sz w:val="24"/>
                <w:szCs w:val="24"/>
              </w:rPr>
              <w:t>石英砂</w:t>
            </w:r>
            <w:r>
              <w:rPr>
                <w:rFonts w:hint="default" w:ascii="Times New Roman" w:hAnsi="Times New Roman" w:cs="Times New Roman"/>
                <w:color w:val="auto"/>
                <w:sz w:val="24"/>
                <w:highlight w:val="none"/>
                <w:lang w:eastAsia="zh-CN"/>
              </w:rPr>
              <w:t>过滤器</w:t>
            </w:r>
          </w:p>
          <w:p w14:paraId="137F8C2C">
            <w:pPr>
              <w:spacing w:line="360" w:lineRule="auto"/>
              <w:ind w:firstLine="480" w:firstLineChars="200"/>
              <w:jc w:val="both"/>
              <w:outlineLvl w:val="9"/>
              <w:rPr>
                <w:rFonts w:hint="default" w:ascii="Times New Roman" w:hAnsi="Times New Roman" w:cs="Times New Roman"/>
                <w:color w:val="auto"/>
                <w:sz w:val="24"/>
                <w:highlight w:val="none"/>
              </w:rPr>
            </w:pPr>
            <w:r>
              <w:rPr>
                <w:rFonts w:hint="default" w:ascii="Times New Roman" w:hAnsi="Times New Roman" w:eastAsia="宋体" w:cs="Times New Roman"/>
                <w:color w:val="auto"/>
                <w:sz w:val="24"/>
                <w:szCs w:val="24"/>
              </w:rPr>
              <w:t>石英砂过滤器是利用精制石英砂作为主要过滤介质，在一定的压力下，通过滤料层的截留、沉降和吸附作用，将水中浊度较高的悬浮物、胶质颗粒、泥沙、铁锈等杂质有效去除，从而达到降低水浊度、净化水质目的的一种高效压力式过滤设备。该设备处理流量大、出水水质稳定、反洗彻底</w:t>
            </w:r>
            <w:r>
              <w:rPr>
                <w:rFonts w:hint="default" w:ascii="Times New Roman" w:hAnsi="Times New Roman" w:cs="Times New Roman"/>
                <w:color w:val="auto"/>
                <w:sz w:val="24"/>
                <w:highlight w:val="none"/>
              </w:rPr>
              <w:t>。在长期的过滤和频繁的反冲洗过程中，水流的冲刷以及滤料颗粒之间的相互碰撞，会导致石英砂破碎、磨损，变成细粉。当细粉含量过多时，会堵塞滤层孔隙，导致过滤阻力增大、出水水质变差，此时必须更换。</w:t>
            </w:r>
          </w:p>
          <w:p w14:paraId="3EBC6D54">
            <w:pPr>
              <w:spacing w:line="360" w:lineRule="auto"/>
              <w:ind w:firstLine="480" w:firstLineChars="200"/>
              <w:jc w:val="both"/>
              <w:outlineLvl w:val="9"/>
              <w:rPr>
                <w:rFonts w:hint="default" w:ascii="Times New Roman" w:hAnsi="Times New Roman" w:cs="Times New Roman"/>
                <w:color w:val="auto"/>
                <w:sz w:val="24"/>
                <w:lang w:val="en-US" w:eastAsia="zh-CN"/>
              </w:rPr>
            </w:pPr>
            <w:r>
              <w:rPr>
                <w:rFonts w:hint="default" w:ascii="Times New Roman" w:hAnsi="Times New Roman" w:cs="Times New Roman"/>
                <w:color w:val="auto"/>
                <w:sz w:val="24"/>
                <w:lang w:val="en-US" w:eastAsia="zh-CN"/>
              </w:rPr>
              <w:t>②活性炭过滤器</w:t>
            </w:r>
          </w:p>
          <w:p w14:paraId="541A8A73">
            <w:pPr>
              <w:spacing w:line="360" w:lineRule="auto"/>
              <w:ind w:firstLine="480" w:firstLineChars="200"/>
              <w:jc w:val="both"/>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lang w:val="en-US" w:eastAsia="zh-CN"/>
              </w:rPr>
              <w:t>活性炭过滤器</w:t>
            </w:r>
            <w:r>
              <w:rPr>
                <w:rFonts w:hint="default" w:ascii="Times New Roman" w:hAnsi="Times New Roman" w:cs="Times New Roman"/>
                <w:color w:val="auto"/>
                <w:sz w:val="24"/>
                <w:highlight w:val="none"/>
              </w:rPr>
              <w:t>设计滤速为</w:t>
            </w:r>
            <w:r>
              <w:rPr>
                <w:rFonts w:hint="default" w:ascii="Times New Roman" w:hAnsi="Times New Roman" w:cs="Times New Roman"/>
                <w:color w:val="auto"/>
                <w:sz w:val="24"/>
                <w:highlight w:val="none"/>
                <w:lang w:val="en-US" w:eastAsia="zh-CN"/>
              </w:rPr>
              <w:t>15~20</w:t>
            </w:r>
            <w:r>
              <w:rPr>
                <w:rFonts w:hint="default" w:ascii="Times New Roman" w:hAnsi="Times New Roman" w:cs="Times New Roman"/>
                <w:color w:val="auto"/>
                <w:sz w:val="24"/>
                <w:highlight w:val="none"/>
              </w:rPr>
              <w:t>m/h，内部装填活性炭滤料，利用活性炭的吸附特性将水中的有机污染物、微生物及溶解氧等吸附于炭的表面，增加微生物降解有机污染物</w:t>
            </w:r>
            <w:r>
              <w:rPr>
                <w:rFonts w:hint="default" w:ascii="Times New Roman" w:hAnsi="Times New Roman" w:cs="Times New Roman"/>
                <w:color w:val="auto"/>
                <w:sz w:val="24"/>
                <w:highlight w:val="none"/>
                <w:lang w:eastAsia="zh-CN"/>
              </w:rPr>
              <w:t>的概率</w:t>
            </w:r>
            <w:r>
              <w:rPr>
                <w:rFonts w:hint="default" w:ascii="Times New Roman" w:hAnsi="Times New Roman" w:cs="Times New Roman"/>
                <w:color w:val="auto"/>
                <w:sz w:val="24"/>
                <w:highlight w:val="none"/>
              </w:rPr>
              <w:t>，延长有机物的停留时间，强化生物降解作用，将炭表面吸附的有机物去除；还可去除水中的异臭异味、色度、重金属、合成洗涤剂以及脱氯等；此外活性炭的选择吸附性，不但可吸附电解质离子，还可使高锰酸钾耗氧量得到很好的控制和降低。该设备具有吸附、生物降解和过滤处理的综合作用，处理效果稳定，而且效率高、耐冲击负荷、占地小、操作管理简便易行且运转费用低等优点。</w:t>
            </w:r>
          </w:p>
          <w:p w14:paraId="725E2F5B">
            <w:pPr>
              <w:spacing w:line="360" w:lineRule="auto"/>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当过滤器的前后压差增大时，需更换过滤器中活性炭。</w:t>
            </w:r>
          </w:p>
          <w:p w14:paraId="1A689105">
            <w:pPr>
              <w:spacing w:line="360" w:lineRule="auto"/>
              <w:ind w:firstLine="480" w:firstLineChars="200"/>
              <w:outlineLvl w:val="9"/>
              <w:rPr>
                <w:rFonts w:hint="default" w:ascii="Times New Roman" w:hAnsi="Times New Roman" w:cs="Times New Roman"/>
                <w:color w:val="auto"/>
                <w:sz w:val="24"/>
                <w:lang w:val="en-US" w:eastAsia="zh-CN"/>
              </w:rPr>
            </w:pPr>
            <w:r>
              <w:rPr>
                <w:rFonts w:hint="default" w:ascii="Times New Roman" w:hAnsi="Times New Roman" w:cs="Times New Roman"/>
                <w:color w:val="auto"/>
                <w:sz w:val="24"/>
                <w:highlight w:val="none"/>
                <w:lang w:val="en-US" w:eastAsia="zh-CN"/>
              </w:rPr>
              <w:t>③</w:t>
            </w:r>
            <w:r>
              <w:rPr>
                <w:rFonts w:hint="default" w:ascii="Times New Roman" w:hAnsi="Times New Roman" w:cs="Times New Roman"/>
                <w:color w:val="auto"/>
                <w:sz w:val="24"/>
                <w:lang w:val="en-US" w:eastAsia="zh-CN"/>
              </w:rPr>
              <w:t>加药装置</w:t>
            </w:r>
          </w:p>
          <w:p w14:paraId="359F0BD3">
            <w:pPr>
              <w:spacing w:line="360" w:lineRule="auto"/>
              <w:ind w:firstLine="480" w:firstLineChars="200"/>
              <w:outlineLvl w:val="9"/>
              <w:rPr>
                <w:rFonts w:hint="default" w:ascii="Times New Roman" w:hAnsi="Times New Roman" w:cs="Times New Roman"/>
                <w:color w:val="auto"/>
                <w:sz w:val="24"/>
                <w:lang w:val="en-US" w:eastAsia="zh-CN"/>
              </w:rPr>
            </w:pPr>
            <w:r>
              <w:rPr>
                <w:rFonts w:hint="default" w:ascii="Times New Roman" w:hAnsi="Times New Roman" w:cs="Times New Roman"/>
                <w:color w:val="auto"/>
                <w:sz w:val="24"/>
                <w:lang w:val="en-US" w:eastAsia="zh-CN"/>
              </w:rPr>
              <w:t>在反渗透系统中，浓水侧的盐分会浓缩。阻垢剂通过螯合、晶格畸变等作用，提高钙、镁、钡等难溶盐的溶度积，防止其在RO膜表面结晶析出。保护RO膜，维持其脱盐率和产水量，延长清洗周期。</w:t>
            </w:r>
          </w:p>
          <w:p w14:paraId="36D4B5D4">
            <w:pPr>
              <w:spacing w:line="360" w:lineRule="auto"/>
              <w:ind w:firstLine="480" w:firstLineChars="200"/>
              <w:outlineLvl w:val="9"/>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lang w:val="en-US" w:eastAsia="zh-CN"/>
              </w:rPr>
              <w:t>④</w:t>
            </w:r>
            <w:r>
              <w:rPr>
                <w:rFonts w:hint="default" w:ascii="Times New Roman" w:hAnsi="Times New Roman" w:cs="Times New Roman"/>
                <w:color w:val="auto"/>
                <w:sz w:val="24"/>
                <w:highlight w:val="none"/>
                <w:lang w:val="en-US" w:eastAsia="zh-CN"/>
              </w:rPr>
              <w:t>精密过滤器</w:t>
            </w:r>
          </w:p>
          <w:p w14:paraId="496E2117">
            <w:pPr>
              <w:spacing w:line="360" w:lineRule="auto"/>
              <w:ind w:firstLine="480" w:firstLineChars="200"/>
              <w:outlineLvl w:val="9"/>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安装于反渗透</w:t>
            </w:r>
            <w:r>
              <w:rPr>
                <w:rFonts w:hint="default" w:ascii="Times New Roman" w:hAnsi="Times New Roman" w:cs="Times New Roman"/>
                <w:color w:val="auto"/>
                <w:sz w:val="24"/>
              </w:rPr>
              <w:t>高压泵进水端前，能有效去除水、油雾及固体颗粒</w:t>
            </w:r>
            <w:r>
              <w:rPr>
                <w:rFonts w:hint="default" w:ascii="Times New Roman" w:hAnsi="Times New Roman" w:cs="Times New Roman"/>
                <w:color w:val="auto"/>
                <w:sz w:val="24"/>
                <w:lang w:eastAsia="zh-CN"/>
              </w:rPr>
              <w:t>，</w:t>
            </w:r>
            <w:r>
              <w:rPr>
                <w:rFonts w:hint="default" w:ascii="Times New Roman" w:hAnsi="Times New Roman" w:cs="Times New Roman"/>
                <w:color w:val="auto"/>
                <w:sz w:val="24"/>
              </w:rPr>
              <w:t>可截留 0.1μm</w:t>
            </w:r>
            <w:r>
              <w:rPr>
                <w:rFonts w:hint="default" w:ascii="Times New Roman" w:hAnsi="Times New Roman" w:cs="Times New Roman"/>
                <w:color w:val="auto"/>
                <w:sz w:val="24"/>
                <w:lang w:val="en-US" w:eastAsia="zh-CN"/>
              </w:rPr>
              <w:t>-</w:t>
            </w:r>
            <w:r>
              <w:rPr>
                <w:rFonts w:hint="default" w:ascii="Times New Roman" w:hAnsi="Times New Roman" w:cs="Times New Roman"/>
                <w:color w:val="auto"/>
                <w:sz w:val="24"/>
              </w:rPr>
              <w:t>100μm 甚至更小的颗粒物，防止杂质经高压泵后可能会击穿反渗透膜组件，从而造成大量盐漏和串水现象，影响出水水质。当运行一段时间后，由于水中的颗粒、杂质将滤芯表面堵住，过滤器的进、出口压差将变大，当压差大于设定值（通常为0.08Mpa）时及时更换</w:t>
            </w:r>
            <w:r>
              <w:rPr>
                <w:rFonts w:hint="default" w:ascii="Times New Roman" w:hAnsi="Times New Roman" w:cs="Times New Roman"/>
                <w:color w:val="auto"/>
                <w:sz w:val="24"/>
                <w:lang w:val="en-US" w:eastAsia="zh-CN"/>
              </w:rPr>
              <w:t>过滤袋和</w:t>
            </w:r>
            <w:r>
              <w:rPr>
                <w:rFonts w:hint="default" w:ascii="Times New Roman" w:hAnsi="Times New Roman" w:cs="Times New Roman"/>
                <w:color w:val="auto"/>
                <w:sz w:val="24"/>
              </w:rPr>
              <w:t>滤芯，避免由于滤芯堵塞而形成背压对系统造成损坏。</w:t>
            </w:r>
          </w:p>
          <w:p w14:paraId="070A7551">
            <w:pPr>
              <w:spacing w:line="360" w:lineRule="auto"/>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lang w:val="en-US" w:eastAsia="zh-CN"/>
              </w:rPr>
              <w:t>⑤</w:t>
            </w:r>
            <w:r>
              <w:rPr>
                <w:rFonts w:hint="default" w:ascii="Times New Roman" w:hAnsi="Times New Roman" w:cs="Times New Roman"/>
                <w:color w:val="auto"/>
                <w:sz w:val="24"/>
                <w:highlight w:val="none"/>
              </w:rPr>
              <w:t>一级RO反渗透系统</w:t>
            </w:r>
          </w:p>
          <w:p w14:paraId="69DEA373">
            <w:pPr>
              <w:spacing w:line="360" w:lineRule="auto"/>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RO反渗透技术是利用压力差为动力的膜分离过滤技术，其孔径小至纳米级，在一定的压力下，H</w:t>
            </w:r>
            <w:r>
              <w:rPr>
                <w:rFonts w:hint="default" w:ascii="Times New Roman" w:hAnsi="Times New Roman" w:cs="Times New Roman"/>
                <w:color w:val="auto"/>
                <w:sz w:val="24"/>
                <w:highlight w:val="none"/>
                <w:vertAlign w:val="subscript"/>
              </w:rPr>
              <w:t>2</w:t>
            </w:r>
            <w:r>
              <w:rPr>
                <w:rFonts w:hint="default" w:ascii="Times New Roman" w:hAnsi="Times New Roman" w:cs="Times New Roman"/>
                <w:color w:val="auto"/>
                <w:sz w:val="24"/>
                <w:highlight w:val="none"/>
              </w:rPr>
              <w:t>O分子可以通过RO膜，而源水中的无机盐、重金属离子、有机物、胶体、细菌、病毒等杂质无法透过RO膜，从而使可以透过的纯水和无法透过的浓缩水严格区分开来。</w:t>
            </w:r>
          </w:p>
          <w:p w14:paraId="13A60265">
            <w:pPr>
              <w:spacing w:line="360" w:lineRule="auto"/>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反渗透装置主要由高压泵、反渗透膜元件、膜压力容器、机架和控制等几部分组成。高压泵对进水加压，除水分子可以透过RO膜外，水中的</w:t>
            </w:r>
            <w:r>
              <w:rPr>
                <w:rFonts w:hint="default" w:ascii="Times New Roman" w:hAnsi="Times New Roman" w:cs="Times New Roman"/>
                <w:color w:val="auto"/>
                <w:sz w:val="24"/>
                <w:highlight w:val="none"/>
                <w:lang w:eastAsia="zh-CN"/>
              </w:rPr>
              <w:t>其他物质</w:t>
            </w:r>
            <w:r>
              <w:rPr>
                <w:rFonts w:hint="default" w:ascii="Times New Roman" w:hAnsi="Times New Roman" w:cs="Times New Roman"/>
                <w:color w:val="auto"/>
                <w:sz w:val="24"/>
                <w:highlight w:val="none"/>
              </w:rPr>
              <w:t>（矿物质、有机物、微生物等）几乎都被拒于膜外，无法透过RO膜而被高压浓水冲走。反渗透膜过滤工艺利用RO膜的高脱盐性能能彻底除去过去纯水制造工艺中较难去除的TOC、SiO</w:t>
            </w:r>
            <w:r>
              <w:rPr>
                <w:rFonts w:hint="default" w:ascii="Times New Roman" w:hAnsi="Times New Roman" w:cs="Times New Roman"/>
                <w:color w:val="auto"/>
                <w:sz w:val="24"/>
                <w:highlight w:val="none"/>
                <w:vertAlign w:val="subscript"/>
              </w:rPr>
              <w:t>2</w:t>
            </w:r>
            <w:r>
              <w:rPr>
                <w:rFonts w:hint="default" w:ascii="Times New Roman" w:hAnsi="Times New Roman" w:cs="Times New Roman"/>
                <w:color w:val="auto"/>
                <w:sz w:val="24"/>
                <w:highlight w:val="none"/>
              </w:rPr>
              <w:t>、微粒子及细菌，同时又彻底省掉离子交换再生酸碱消耗、免除酸碱排污污染及避免离子交换层中细菌、有机物的二次污染。经反渗透处理后的水，能去除99%以上的溶解固体、无机盐类、有机物及胶体，以及接近100%的微生物。</w:t>
            </w:r>
          </w:p>
          <w:p w14:paraId="0DC07781">
            <w:pPr>
              <w:spacing w:line="360" w:lineRule="auto"/>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项目一级RO反渗透装置主要技术参数为：设计回收率</w:t>
            </w:r>
            <w:r>
              <w:rPr>
                <w:rFonts w:hint="default" w:ascii="Times New Roman" w:hAnsi="Times New Roman" w:cs="Times New Roman"/>
                <w:color w:val="auto"/>
                <w:sz w:val="24"/>
                <w:highlight w:val="none"/>
                <w:lang w:val="en-US" w:eastAsia="zh-CN"/>
              </w:rPr>
              <w:t>80</w:t>
            </w:r>
            <w:r>
              <w:rPr>
                <w:rFonts w:hint="default" w:ascii="Times New Roman" w:hAnsi="Times New Roman" w:cs="Times New Roman"/>
                <w:color w:val="auto"/>
                <w:sz w:val="24"/>
                <w:highlight w:val="none"/>
              </w:rPr>
              <w:t>%、设计水温25℃；膜元件主要技术参数：脱盐率99.7%、最高进水温度45℃。</w:t>
            </w:r>
          </w:p>
          <w:p w14:paraId="2283A26A">
            <w:pPr>
              <w:spacing w:line="360" w:lineRule="auto"/>
              <w:ind w:firstLine="480" w:firstLineChars="200"/>
              <w:outlineLvl w:val="9"/>
              <w:rPr>
                <w:rFonts w:hint="default" w:ascii="Times New Roman" w:hAnsi="Times New Roman" w:cs="Times New Roman"/>
                <w:color w:val="auto"/>
                <w:sz w:val="24"/>
                <w:lang w:val="en-US" w:eastAsia="zh-CN"/>
              </w:rPr>
            </w:pPr>
            <w:r>
              <w:rPr>
                <w:rFonts w:hint="default" w:ascii="Times New Roman" w:hAnsi="Times New Roman" w:cs="Times New Roman"/>
                <w:color w:val="auto"/>
                <w:sz w:val="24"/>
                <w:highlight w:val="none"/>
                <w:lang w:val="en-US" w:eastAsia="zh-CN"/>
              </w:rPr>
              <w:t>⑥</w:t>
            </w:r>
            <w:r>
              <w:rPr>
                <w:rFonts w:hint="default" w:ascii="Times New Roman" w:hAnsi="Times New Roman" w:cs="Times New Roman"/>
                <w:color w:val="auto"/>
                <w:sz w:val="24"/>
                <w:lang w:val="en-US" w:eastAsia="zh-CN"/>
              </w:rPr>
              <w:t>加药装置</w:t>
            </w:r>
          </w:p>
          <w:p w14:paraId="4F8D7EF2">
            <w:pPr>
              <w:spacing w:line="360" w:lineRule="auto"/>
              <w:ind w:firstLine="480" w:firstLineChars="200"/>
              <w:outlineLvl w:val="9"/>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rPr>
              <w:t>为提高</w:t>
            </w:r>
            <w:r>
              <w:rPr>
                <w:rFonts w:hint="default" w:ascii="Times New Roman" w:hAnsi="Times New Roman" w:cs="Times New Roman"/>
                <w:color w:val="auto"/>
                <w:sz w:val="24"/>
                <w:highlight w:val="none"/>
                <w:lang w:val="en-US" w:eastAsia="zh-CN"/>
              </w:rPr>
              <w:t>二级</w:t>
            </w:r>
            <w:r>
              <w:rPr>
                <w:rFonts w:hint="default" w:ascii="Times New Roman" w:hAnsi="Times New Roman" w:cs="Times New Roman"/>
                <w:color w:val="auto"/>
                <w:sz w:val="24"/>
                <w:highlight w:val="none"/>
              </w:rPr>
              <w:t>反渗透（RO）装置的回收率，并</w:t>
            </w:r>
            <w:r>
              <w:rPr>
                <w:rFonts w:hint="default" w:ascii="Times New Roman" w:hAnsi="Times New Roman" w:cs="Times New Roman"/>
                <w:color w:val="auto"/>
                <w:sz w:val="24"/>
                <w:highlight w:val="none"/>
                <w:lang w:val="en-US" w:eastAsia="zh-CN"/>
              </w:rPr>
              <w:t>为后端EDI系统适配合适的工作条件，降低反渗透膜结垢的风险，需</w:t>
            </w:r>
            <w:r>
              <w:rPr>
                <w:rFonts w:hint="default" w:ascii="Times New Roman" w:hAnsi="Times New Roman" w:cs="Times New Roman"/>
                <w:color w:val="auto"/>
                <w:sz w:val="24"/>
                <w:highlight w:val="none"/>
              </w:rPr>
              <w:t>在</w:t>
            </w:r>
            <w:r>
              <w:rPr>
                <w:rFonts w:hint="default" w:ascii="Times New Roman" w:hAnsi="Times New Roman" w:cs="Times New Roman"/>
                <w:color w:val="auto"/>
                <w:sz w:val="24"/>
                <w:highlight w:val="none"/>
                <w:lang w:val="en-US" w:eastAsia="zh-CN"/>
              </w:rPr>
              <w:t>二级</w:t>
            </w:r>
            <w:r>
              <w:rPr>
                <w:rFonts w:hint="default" w:ascii="Times New Roman" w:hAnsi="Times New Roman" w:cs="Times New Roman"/>
                <w:color w:val="auto"/>
                <w:sz w:val="24"/>
                <w:highlight w:val="none"/>
              </w:rPr>
              <w:t>反渗透（RO）装置</w:t>
            </w:r>
            <w:r>
              <w:rPr>
                <w:rFonts w:hint="default" w:ascii="Times New Roman" w:hAnsi="Times New Roman" w:cs="Times New Roman"/>
                <w:color w:val="auto"/>
                <w:sz w:val="24"/>
                <w:highlight w:val="none"/>
                <w:lang w:val="en-US" w:eastAsia="zh-CN"/>
              </w:rPr>
              <w:t>前设置加药装置调节纯水的pH值。项目拟采用NaOH作为pH调节剂。当水中pH值在7.5~8.5时，可将水中CO</w:t>
            </w:r>
            <w:r>
              <w:rPr>
                <w:rFonts w:hint="default" w:ascii="Times New Roman" w:hAnsi="Times New Roman" w:cs="Times New Roman"/>
                <w:color w:val="auto"/>
                <w:sz w:val="24"/>
                <w:highlight w:val="none"/>
                <w:vertAlign w:val="subscript"/>
                <w:lang w:val="en-US" w:eastAsia="zh-CN"/>
              </w:rPr>
              <w:t>2</w:t>
            </w:r>
            <w:r>
              <w:rPr>
                <w:rFonts w:hint="default" w:ascii="Times New Roman" w:hAnsi="Times New Roman" w:cs="Times New Roman"/>
                <w:color w:val="auto"/>
                <w:sz w:val="24"/>
                <w:highlight w:val="none"/>
                <w:lang w:val="en-US" w:eastAsia="zh-CN"/>
              </w:rPr>
              <w:t>转化为HCO</w:t>
            </w:r>
            <w:r>
              <w:rPr>
                <w:rFonts w:hint="default" w:ascii="Times New Roman" w:hAnsi="Times New Roman" w:cs="Times New Roman"/>
                <w:color w:val="auto"/>
                <w:sz w:val="24"/>
                <w:highlight w:val="none"/>
                <w:vertAlign w:val="superscript"/>
                <w:lang w:val="en-US" w:eastAsia="zh-CN"/>
              </w:rPr>
              <w:t>3-</w:t>
            </w:r>
            <w:r>
              <w:rPr>
                <w:rFonts w:hint="default" w:ascii="Times New Roman" w:hAnsi="Times New Roman" w:cs="Times New Roman"/>
                <w:color w:val="auto"/>
                <w:sz w:val="24"/>
                <w:highlight w:val="none"/>
                <w:lang w:val="en-US" w:eastAsia="zh-CN"/>
              </w:rPr>
              <w:t>和CO</w:t>
            </w:r>
            <w:r>
              <w:rPr>
                <w:rFonts w:hint="default" w:ascii="Times New Roman" w:hAnsi="Times New Roman" w:cs="Times New Roman"/>
                <w:color w:val="auto"/>
                <w:sz w:val="24"/>
                <w:highlight w:val="none"/>
                <w:vertAlign w:val="subscript"/>
                <w:lang w:val="en-US" w:eastAsia="zh-CN"/>
              </w:rPr>
              <w:t>3</w:t>
            </w:r>
            <w:r>
              <w:rPr>
                <w:rFonts w:hint="default" w:ascii="Times New Roman" w:hAnsi="Times New Roman" w:cs="Times New Roman"/>
                <w:color w:val="auto"/>
                <w:sz w:val="24"/>
                <w:highlight w:val="none"/>
                <w:vertAlign w:val="superscript"/>
                <w:lang w:val="en-US" w:eastAsia="zh-CN"/>
              </w:rPr>
              <w:t>2-</w:t>
            </w:r>
            <w:r>
              <w:rPr>
                <w:rFonts w:hint="default" w:ascii="Times New Roman" w:hAnsi="Times New Roman" w:cs="Times New Roman"/>
                <w:color w:val="auto"/>
                <w:sz w:val="24"/>
                <w:highlight w:val="none"/>
                <w:lang w:val="en-US" w:eastAsia="zh-CN"/>
              </w:rPr>
              <w:t>，从而被反渗透（RO）膜有效截留，显著降低产水电导率；当水中pH值在7~8时，满足电去离子（EDI）模块对进水酸碱度的要求，保障纯水制备稳定性。</w:t>
            </w:r>
          </w:p>
          <w:p w14:paraId="5AB6DB34">
            <w:pPr>
              <w:spacing w:line="360" w:lineRule="auto"/>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lang w:val="en-US" w:eastAsia="zh-CN"/>
              </w:rPr>
              <w:t>⑦</w:t>
            </w:r>
            <w:r>
              <w:rPr>
                <w:rFonts w:hint="default" w:ascii="Times New Roman" w:hAnsi="Times New Roman" w:cs="Times New Roman"/>
                <w:color w:val="auto"/>
                <w:sz w:val="24"/>
                <w:highlight w:val="none"/>
              </w:rPr>
              <w:t>二级反渗透系统</w:t>
            </w:r>
          </w:p>
          <w:p w14:paraId="1A77ADCF">
            <w:pPr>
              <w:spacing w:line="360" w:lineRule="auto"/>
              <w:ind w:firstLine="480" w:firstLineChars="200"/>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highlight w:val="none"/>
              </w:rPr>
              <w:t>项目二级RO反渗透装置主要技术参数为：设计回收率</w:t>
            </w:r>
            <w:r>
              <w:rPr>
                <w:rFonts w:hint="default" w:ascii="Times New Roman" w:hAnsi="Times New Roman" w:cs="Times New Roman"/>
                <w:color w:val="auto"/>
                <w:sz w:val="24"/>
                <w:highlight w:val="none"/>
                <w:lang w:val="en-US" w:eastAsia="zh-CN"/>
              </w:rPr>
              <w:t>90</w:t>
            </w:r>
            <w:r>
              <w:rPr>
                <w:rFonts w:hint="default" w:ascii="Times New Roman" w:hAnsi="Times New Roman" w:cs="Times New Roman"/>
                <w:color w:val="auto"/>
                <w:sz w:val="24"/>
                <w:highlight w:val="none"/>
              </w:rPr>
              <w:t>%、设计水温25℃；膜元件主要技术参数：脱盐率99.7%、最高进水温度45℃。</w:t>
            </w:r>
            <w:r>
              <w:rPr>
                <w:rFonts w:hint="default" w:ascii="Times New Roman" w:hAnsi="Times New Roman" w:cs="Times New Roman"/>
                <w:color w:val="auto"/>
                <w:sz w:val="24"/>
                <w:szCs w:val="24"/>
                <w:highlight w:val="none"/>
              </w:rPr>
              <w:t>经过二级反渗透系统处理后得到合格的纯水，进入纯水罐储存。由</w:t>
            </w:r>
            <w:r>
              <w:rPr>
                <w:rFonts w:hint="default" w:ascii="Times New Roman" w:hAnsi="Times New Roman" w:cs="Times New Roman"/>
                <w:color w:val="auto"/>
                <w:sz w:val="24"/>
                <w:szCs w:val="24"/>
                <w:highlight w:val="none"/>
                <w:lang w:val="en-US" w:eastAsia="zh-CN"/>
              </w:rPr>
              <w:t>增压</w:t>
            </w:r>
            <w:r>
              <w:rPr>
                <w:rFonts w:hint="default" w:ascii="Times New Roman" w:hAnsi="Times New Roman" w:cs="Times New Roman"/>
                <w:color w:val="auto"/>
                <w:sz w:val="24"/>
                <w:szCs w:val="24"/>
                <w:highlight w:val="none"/>
              </w:rPr>
              <w:t>泵</w:t>
            </w:r>
            <w:r>
              <w:rPr>
                <w:rFonts w:hint="default" w:ascii="Times New Roman" w:hAnsi="Times New Roman" w:cs="Times New Roman"/>
                <w:color w:val="auto"/>
                <w:sz w:val="24"/>
                <w:szCs w:val="24"/>
                <w:highlight w:val="none"/>
                <w:lang w:val="en-US" w:eastAsia="zh-CN"/>
              </w:rPr>
              <w:t>泵至EDI系统</w:t>
            </w:r>
            <w:r>
              <w:rPr>
                <w:rFonts w:hint="default" w:ascii="Times New Roman" w:hAnsi="Times New Roman" w:cs="Times New Roman"/>
                <w:color w:val="auto"/>
                <w:sz w:val="24"/>
                <w:szCs w:val="24"/>
                <w:highlight w:val="none"/>
              </w:rPr>
              <w:t>。</w:t>
            </w:r>
          </w:p>
          <w:p w14:paraId="226CC585">
            <w:pPr>
              <w:spacing w:line="360" w:lineRule="auto"/>
              <w:ind w:firstLine="480" w:firstLineChars="200"/>
              <w:jc w:val="left"/>
              <w:outlineLvl w:val="9"/>
              <w:rPr>
                <w:rFonts w:hint="default" w:ascii="Times New Roman" w:hAnsi="Times New Roman" w:cs="Times New Roman"/>
                <w:color w:val="auto"/>
                <w:sz w:val="24"/>
                <w:lang w:val="en-US" w:eastAsia="zh-CN"/>
              </w:rPr>
            </w:pPr>
            <w:r>
              <w:rPr>
                <w:rFonts w:hint="default" w:ascii="Times New Roman" w:hAnsi="Times New Roman" w:cs="Times New Roman"/>
                <w:color w:val="auto"/>
                <w:sz w:val="24"/>
                <w:lang w:val="en-US" w:eastAsia="zh-CN"/>
              </w:rPr>
              <w:t>⑧</w:t>
            </w:r>
            <w:r>
              <w:rPr>
                <w:rFonts w:hint="default" w:ascii="Times New Roman" w:hAnsi="Times New Roman" w:cs="Times New Roman"/>
                <w:color w:val="auto"/>
                <w:sz w:val="24"/>
                <w:szCs w:val="24"/>
                <w:highlight w:val="none"/>
                <w:lang w:val="en-US" w:eastAsia="zh-CN"/>
              </w:rPr>
              <w:t>EDI系统</w:t>
            </w:r>
          </w:p>
          <w:p w14:paraId="66C51BA3">
            <w:pPr>
              <w:spacing w:line="360" w:lineRule="auto"/>
              <w:ind w:firstLine="480" w:firstLineChars="200"/>
              <w:jc w:val="both"/>
              <w:outlineLvl w:val="9"/>
              <w:rPr>
                <w:rFonts w:hint="default" w:ascii="Times New Roman" w:hAnsi="Times New Roman" w:cs="Times New Roman"/>
                <w:color w:val="auto"/>
                <w:sz w:val="24"/>
                <w:lang w:val="en-US" w:eastAsia="zh-CN"/>
              </w:rPr>
            </w:pPr>
            <w:r>
              <w:rPr>
                <w:rFonts w:hint="default" w:ascii="Times New Roman" w:hAnsi="Times New Roman" w:cs="Times New Roman"/>
                <w:color w:val="auto"/>
                <w:sz w:val="24"/>
              </w:rPr>
              <mc:AlternateContent>
                <mc:Choice Requires="wpg">
                  <w:drawing>
                    <wp:anchor distT="0" distB="0" distL="114300" distR="114300" simplePos="0" relativeHeight="251662336" behindDoc="0" locked="0" layoutInCell="1" allowOverlap="1">
                      <wp:simplePos x="0" y="0"/>
                      <wp:positionH relativeFrom="column">
                        <wp:posOffset>3039110</wp:posOffset>
                      </wp:positionH>
                      <wp:positionV relativeFrom="paragraph">
                        <wp:posOffset>1338580</wp:posOffset>
                      </wp:positionV>
                      <wp:extent cx="2586990" cy="2339975"/>
                      <wp:effectExtent l="0" t="0" r="3810" b="0"/>
                      <wp:wrapSquare wrapText="bothSides"/>
                      <wp:docPr id="51" name="组合 51"/>
                      <wp:cNvGraphicFramePr/>
                      <a:graphic xmlns:a="http://schemas.openxmlformats.org/drawingml/2006/main">
                        <a:graphicData uri="http://schemas.microsoft.com/office/word/2010/wordprocessingGroup">
                          <wpg:wgp>
                            <wpg:cNvGrpSpPr/>
                            <wpg:grpSpPr>
                              <a:xfrm>
                                <a:off x="0" y="0"/>
                                <a:ext cx="2586990" cy="2339975"/>
                                <a:chOff x="5933" y="1122655"/>
                                <a:chExt cx="4628" cy="4088"/>
                              </a:xfrm>
                            </wpg:grpSpPr>
                            <pic:pic xmlns:pic="http://schemas.openxmlformats.org/drawingml/2006/picture">
                              <pic:nvPicPr>
                                <pic:cNvPr id="52" name="图片 572" descr="01ce0070-ecd3-4137-82a5-5e73f88b7c49"/>
                                <pic:cNvPicPr>
                                  <a:picLocks noChangeAspect="1"/>
                                </pic:cNvPicPr>
                              </pic:nvPicPr>
                              <pic:blipFill>
                                <a:blip r:embed="rId21"/>
                                <a:stretch>
                                  <a:fillRect/>
                                </a:stretch>
                              </pic:blipFill>
                              <pic:spPr>
                                <a:xfrm>
                                  <a:off x="5933" y="1122655"/>
                                  <a:ext cx="4628" cy="3665"/>
                                </a:xfrm>
                                <a:prstGeom prst="rect">
                                  <a:avLst/>
                                </a:prstGeom>
                                <a:noFill/>
                                <a:ln>
                                  <a:noFill/>
                                </a:ln>
                              </pic:spPr>
                            </pic:pic>
                            <wps:wsp>
                              <wps:cNvPr id="53" name="文本框 3"/>
                              <wps:cNvSpPr txBox="1"/>
                              <wps:spPr>
                                <a:xfrm>
                                  <a:off x="7511" y="1126279"/>
                                  <a:ext cx="1843" cy="464"/>
                                </a:xfrm>
                                <a:prstGeom prst="rect">
                                  <a:avLst/>
                                </a:prstGeom>
                                <a:noFill/>
                                <a:ln>
                                  <a:noFill/>
                                </a:ln>
                              </wps:spPr>
                              <wps:txbx>
                                <w:txbxContent>
                                  <w:p w14:paraId="77F3F97B">
                                    <w:pPr>
                                      <w:ind w:left="0" w:leftChars="0" w:firstLine="0" w:firstLineChars="0"/>
                                      <w:jc w:val="center"/>
                                      <w:rPr>
                                        <w:rFonts w:hint="default" w:ascii="Times New Roman" w:hAnsi="Times New Roman" w:eastAsia="黑体" w:cs="Times New Roman"/>
                                        <w:sz w:val="21"/>
                                        <w:szCs w:val="21"/>
                                        <w:lang w:val="en-US" w:eastAsia="zh-CN"/>
                                      </w:rPr>
                                    </w:pPr>
                                    <w:r>
                                      <w:rPr>
                                        <w:rFonts w:hint="default" w:ascii="Times New Roman" w:hAnsi="Times New Roman" w:eastAsia="黑体" w:cs="Times New Roman"/>
                                        <w:sz w:val="21"/>
                                        <w:szCs w:val="21"/>
                                        <w:lang w:val="en-US" w:eastAsia="zh-CN"/>
                                      </w:rPr>
                                      <w:t>EDI工作原理图</w:t>
                                    </w:r>
                                  </w:p>
                                </w:txbxContent>
                              </wps:txbx>
                              <wps:bodyPr lIns="0" tIns="0" rIns="0" bIns="0" upright="1"/>
                            </wps:wsp>
                          </wpg:wgp>
                        </a:graphicData>
                      </a:graphic>
                    </wp:anchor>
                  </w:drawing>
                </mc:Choice>
                <mc:Fallback>
                  <w:pict>
                    <v:group id="_x0000_s1026" o:spid="_x0000_s1026" o:spt="203" style="position:absolute;left:0pt;margin-left:239.3pt;margin-top:105.4pt;height:184.25pt;width:203.7pt;mso-wrap-distance-bottom:0pt;mso-wrap-distance-left:9pt;mso-wrap-distance-right:9pt;mso-wrap-distance-top:0pt;z-index:251662336;mso-width-relative:page;mso-height-relative:page;" coordorigin="5933,1122655" coordsize="4628,4088" o:gfxdata="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">
                      <o:lock v:ext="edit" aspectratio="f"/>
                      <v:shape id="图片 572" o:spid="_x0000_s1026" o:spt="75" alt="01ce0070-ecd3-4137-82a5-5e73f88b7c49" type="#_x0000_t75" style="position:absolute;left:5933;top:1122655;height:3665;width:4628;" filled="f" o:preferrelative="t" stroked="f" coordsize="21600,21600" o:gfxdata="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WNatL4A&#10;AADbAAAADwAAAAAAAAABACAAAAAiAAAAZHJzL2Rvd25yZXYueG1sUEsBAhQAFAAAAAgAh07iQDMv&#10;BZ47AAAAOQAAABAAAAAAAAAAAQAgAAAADQEAAGRycy9zaGFwZXhtbC54bWxQSwUGAAAAAAYABgBb&#10;AQAAtwMAAAAA&#10;">
                        <v:fill on="f" focussize="0,0"/>
                        <v:stroke on="f"/>
                        <v:imagedata r:id="rId21" o:title=""/>
                        <o:lock v:ext="edit" aspectratio="t"/>
                      </v:shape>
                      <v:shape id="文本框 3" o:spid="_x0000_s1026" o:spt="202" type="#_x0000_t202" style="position:absolute;left:7511;top:1126279;height:464;width:1843;" filled="f" stroked="f" coordsize="21600,21600" o:gfxdata="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LLWD7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77F3F97B">
                              <w:pPr>
                                <w:ind w:left="0" w:leftChars="0" w:firstLine="0" w:firstLineChars="0"/>
                                <w:jc w:val="center"/>
                                <w:rPr>
                                  <w:rFonts w:hint="default" w:ascii="Times New Roman" w:hAnsi="Times New Roman" w:eastAsia="黑体" w:cs="Times New Roman"/>
                                  <w:sz w:val="21"/>
                                  <w:szCs w:val="21"/>
                                  <w:lang w:val="en-US" w:eastAsia="zh-CN"/>
                                </w:rPr>
                              </w:pPr>
                              <w:r>
                                <w:rPr>
                                  <w:rFonts w:hint="default" w:ascii="Times New Roman" w:hAnsi="Times New Roman" w:eastAsia="黑体" w:cs="Times New Roman"/>
                                  <w:sz w:val="21"/>
                                  <w:szCs w:val="21"/>
                                  <w:lang w:val="en-US" w:eastAsia="zh-CN"/>
                                </w:rPr>
                                <w:t>EDI工作原理图</w:t>
                              </w:r>
                            </w:p>
                          </w:txbxContent>
                        </v:textbox>
                      </v:shape>
                      <w10:wrap type="square"/>
                    </v:group>
                  </w:pict>
                </mc:Fallback>
              </mc:AlternateContent>
            </w:r>
            <w:r>
              <w:rPr>
                <w:rFonts w:hint="default" w:ascii="Times New Roman" w:hAnsi="Times New Roman" w:cs="Times New Roman"/>
                <w:color w:val="auto"/>
                <w:sz w:val="24"/>
                <w:lang w:val="en-US" w:eastAsia="zh-CN"/>
              </w:rPr>
              <w:t>电去离子（EDI）</w:t>
            </w:r>
            <w:r>
              <w:rPr>
                <w:rFonts w:hint="default" w:ascii="Times New Roman" w:hAnsi="Times New Roman" w:cs="Times New Roman"/>
                <w:color w:val="auto"/>
                <w:sz w:val="24"/>
                <w:szCs w:val="24"/>
                <w:highlight w:val="none"/>
                <w:lang w:val="en-US" w:eastAsia="zh-CN"/>
              </w:rPr>
              <w:t>又称连续电除盐技术，</w:t>
            </w:r>
            <w:r>
              <w:rPr>
                <w:rFonts w:hint="default" w:ascii="Times New Roman" w:hAnsi="Times New Roman" w:cs="Times New Roman"/>
                <w:color w:val="auto"/>
                <w:sz w:val="24"/>
                <w:lang w:val="en-US" w:eastAsia="zh-CN"/>
              </w:rPr>
              <w:t>主要是在直流电场的作用下，通过隔板的水中电介质离子发生定向移动，利用交换膜对离子的选择透过作用来对水质进行提纯的一种科学的水处理技术。</w:t>
            </w:r>
          </w:p>
          <w:p w14:paraId="22132469">
            <w:pPr>
              <w:spacing w:line="360" w:lineRule="auto"/>
              <w:ind w:firstLine="480" w:firstLineChars="200"/>
              <w:jc w:val="both"/>
              <w:outlineLvl w:val="9"/>
              <w:rPr>
                <w:rFonts w:hint="default" w:ascii="Times New Roman" w:hAnsi="Times New Roman" w:cs="Times New Roman"/>
                <w:color w:val="auto"/>
                <w:sz w:val="24"/>
                <w:lang w:val="en-US" w:eastAsia="zh-CN"/>
              </w:rPr>
            </w:pPr>
            <w:r>
              <w:rPr>
                <w:rFonts w:hint="default" w:ascii="Times New Roman" w:hAnsi="Times New Roman" w:cs="Times New Roman"/>
                <w:color w:val="auto"/>
                <w:sz w:val="24"/>
                <w:lang w:val="en-US" w:eastAsia="zh-CN"/>
              </w:rPr>
              <w:t>电渗析器的一对电极之间，通常由阴膜，阳膜和隔板（甲、乙）多组交替排列，构成浓室和淡室（即阳离子可透过阳膜，阴离子可透过阴膜）。淡室水中阳离子向负极迁移透过阳膜，被浓室中的阴膜截留；水中阴离子向正极方向迁移阴膜，被浓室中的阳膜截留，这样通过淡室的水中离子数逐渐减少，成为淡水，而浓室的水中，由于浓室的阴阳离子不断涌进，电介质离子浓度不断升高，而成为浓水，从而达到淡化、提纯、浓缩或精制的目的。</w:t>
            </w:r>
          </w:p>
          <w:p w14:paraId="3309044F">
            <w:pPr>
              <w:pStyle w:val="66"/>
              <w:spacing w:line="360" w:lineRule="auto"/>
              <w:ind w:firstLine="482"/>
              <w:rPr>
                <w:rFonts w:hint="eastAsia" w:ascii="Times New Roman" w:hAnsi="Times New Roman" w:eastAsia="宋体" w:cs="Times New Roman"/>
                <w:b/>
                <w:bCs/>
                <w:color w:val="auto"/>
                <w:lang w:val="en-US" w:eastAsia="zh-CN"/>
              </w:rPr>
            </w:pPr>
            <w:r>
              <w:rPr>
                <w:rFonts w:hint="eastAsia" w:ascii="Times New Roman" w:hAnsi="Times New Roman" w:eastAsia="宋体" w:cs="Times New Roman"/>
                <w:b/>
                <w:bCs/>
                <w:color w:val="auto"/>
                <w:lang w:val="en-US" w:eastAsia="zh-CN"/>
              </w:rPr>
              <w:t>9、厂区平面布置合理性分析</w:t>
            </w:r>
          </w:p>
          <w:p w14:paraId="4A8F33A3">
            <w:pPr>
              <w:pStyle w:val="66"/>
              <w:keepNext w:val="0"/>
              <w:keepLines w:val="0"/>
              <w:pageBreakBefore w:val="0"/>
              <w:widowControl w:val="0"/>
              <w:kinsoku/>
              <w:wordWrap/>
              <w:overflowPunct/>
              <w:topLinePunct w:val="0"/>
              <w:autoSpaceDE w:val="0"/>
              <w:autoSpaceDN w:val="0"/>
              <w:bidi w:val="0"/>
              <w:spacing w:line="360" w:lineRule="auto"/>
              <w:ind w:firstLine="480" w:firstLineChars="200"/>
              <w:jc w:val="both"/>
              <w:textAlignment w:val="auto"/>
              <w:rPr>
                <w:rFonts w:hint="eastAsia" w:ascii="Times New Roman" w:hAnsi="Times New Roman" w:eastAsia="宋体" w:cs="Times New Roman"/>
                <w:color w:val="auto"/>
              </w:rPr>
            </w:pPr>
            <w:r>
              <w:rPr>
                <w:rFonts w:hint="eastAsia" w:ascii="Times New Roman" w:hAnsi="Times New Roman" w:eastAsia="宋体" w:cs="Times New Roman"/>
                <w:color w:val="auto"/>
              </w:rPr>
              <w:t>根据本项目建设规模，结合项目整体物流交通、地块形状、外部交通条件以及地块内部衔接的关系，本着节约用地、合理分区的原则，地块</w:t>
            </w:r>
            <w:r>
              <w:rPr>
                <w:rFonts w:hint="eastAsia" w:cs="Times New Roman"/>
                <w:color w:val="auto"/>
                <w:lang w:val="en-US" w:eastAsia="zh-CN"/>
              </w:rPr>
              <w:t>主要</w:t>
            </w:r>
            <w:r>
              <w:rPr>
                <w:rFonts w:hint="eastAsia" w:ascii="Times New Roman" w:hAnsi="Times New Roman" w:eastAsia="宋体" w:cs="Times New Roman"/>
                <w:color w:val="auto"/>
              </w:rPr>
              <w:t>分为电池生产区、</w:t>
            </w:r>
            <w:r>
              <w:rPr>
                <w:rFonts w:hint="eastAsia" w:cs="Times New Roman"/>
                <w:color w:val="auto"/>
                <w:lang w:val="en-US" w:eastAsia="zh-CN"/>
              </w:rPr>
              <w:t>集成区</w:t>
            </w:r>
            <w:r>
              <w:rPr>
                <w:rFonts w:hint="eastAsia" w:ascii="Times New Roman" w:hAnsi="Times New Roman" w:eastAsia="宋体" w:cs="Times New Roman"/>
                <w:color w:val="auto"/>
              </w:rPr>
              <w:t>。</w:t>
            </w:r>
          </w:p>
          <w:p w14:paraId="03B7B755">
            <w:pPr>
              <w:pStyle w:val="66"/>
              <w:keepNext w:val="0"/>
              <w:keepLines w:val="0"/>
              <w:pageBreakBefore w:val="0"/>
              <w:widowControl w:val="0"/>
              <w:kinsoku/>
              <w:wordWrap/>
              <w:overflowPunct/>
              <w:topLinePunct w:val="0"/>
              <w:autoSpaceDE w:val="0"/>
              <w:autoSpaceDN w:val="0"/>
              <w:bidi w:val="0"/>
              <w:spacing w:line="360" w:lineRule="auto"/>
              <w:ind w:firstLine="480" w:firstLineChars="200"/>
              <w:jc w:val="both"/>
              <w:textAlignment w:val="auto"/>
              <w:rPr>
                <w:rFonts w:hint="eastAsia" w:ascii="Times New Roman" w:hAnsi="Times New Roman" w:eastAsia="宋体" w:cs="Times New Roman"/>
                <w:color w:val="auto"/>
              </w:rPr>
            </w:pPr>
            <w:r>
              <w:rPr>
                <w:rFonts w:hint="eastAsia" w:ascii="Times New Roman" w:hAnsi="Times New Roman" w:eastAsia="宋体" w:cs="Times New Roman"/>
                <w:color w:val="auto"/>
              </w:rPr>
              <w:t>电池生产区：位于场地东北部，为三个分区中占比最大的区域，整体</w:t>
            </w:r>
            <w:r>
              <w:rPr>
                <w:rFonts w:hint="eastAsia" w:cs="Times New Roman"/>
                <w:color w:val="auto"/>
                <w:lang w:eastAsia="zh-CN"/>
              </w:rPr>
              <w:t>呈“L”形</w:t>
            </w:r>
            <w:r>
              <w:rPr>
                <w:rFonts w:hint="eastAsia" w:ascii="Times New Roman" w:hAnsi="Times New Roman" w:eastAsia="宋体" w:cs="Times New Roman"/>
                <w:color w:val="auto"/>
              </w:rPr>
              <w:t>布局，根据工艺生产流线，从东向西布置两栋建筑物：电芯车间——集成车间，两栋厂房之间通过雨棚相连，整体工艺路线短接顺畅，无迂回效率高。在电芯车间的仓库区及集成车间的出货区前，布置各自的物流广场，方便主要物流的进出。</w:t>
            </w:r>
          </w:p>
          <w:p w14:paraId="0F5589E3">
            <w:pPr>
              <w:pStyle w:val="66"/>
              <w:keepNext w:val="0"/>
              <w:keepLines w:val="0"/>
              <w:pageBreakBefore w:val="0"/>
              <w:widowControl w:val="0"/>
              <w:kinsoku/>
              <w:wordWrap/>
              <w:overflowPunct/>
              <w:topLinePunct w:val="0"/>
              <w:autoSpaceDE w:val="0"/>
              <w:autoSpaceDN w:val="0"/>
              <w:bidi w:val="0"/>
              <w:spacing w:line="360" w:lineRule="auto"/>
              <w:ind w:firstLine="480" w:firstLineChars="200"/>
              <w:jc w:val="both"/>
              <w:textAlignment w:val="auto"/>
              <w:rPr>
                <w:rFonts w:hint="eastAsia" w:ascii="Times New Roman" w:hAnsi="Times New Roman" w:eastAsia="宋体" w:cs="Times New Roman"/>
                <w:color w:val="auto"/>
              </w:rPr>
            </w:pPr>
            <w:r>
              <w:rPr>
                <w:rFonts w:hint="eastAsia" w:cs="Times New Roman"/>
                <w:color w:val="auto"/>
                <w:lang w:val="en-US" w:eastAsia="zh-CN"/>
              </w:rPr>
              <w:t>集成区：</w:t>
            </w:r>
            <w:r>
              <w:rPr>
                <w:rFonts w:hint="eastAsia" w:ascii="Times New Roman" w:hAnsi="Times New Roman" w:eastAsia="宋体" w:cs="Times New Roman"/>
                <w:color w:val="auto"/>
              </w:rPr>
              <w:t>集成车间西侧靠近城市道路部分布置研发</w:t>
            </w:r>
            <w:r>
              <w:rPr>
                <w:rFonts w:hint="eastAsia" w:cs="Times New Roman"/>
                <w:color w:val="auto"/>
                <w:lang w:val="en-US" w:eastAsia="zh-CN"/>
              </w:rPr>
              <w:t>办公区</w:t>
            </w:r>
            <w:r>
              <w:rPr>
                <w:rFonts w:hint="eastAsia" w:ascii="Times New Roman" w:hAnsi="Times New Roman" w:eastAsia="宋体" w:cs="Times New Roman"/>
                <w:color w:val="auto"/>
              </w:rPr>
              <w:t>。</w:t>
            </w:r>
          </w:p>
          <w:p w14:paraId="58B659D8">
            <w:pPr>
              <w:pStyle w:val="66"/>
              <w:keepNext w:val="0"/>
              <w:keepLines w:val="0"/>
              <w:pageBreakBefore w:val="0"/>
              <w:widowControl w:val="0"/>
              <w:kinsoku/>
              <w:wordWrap/>
              <w:overflowPunct/>
              <w:topLinePunct w:val="0"/>
              <w:autoSpaceDE w:val="0"/>
              <w:autoSpaceDN w:val="0"/>
              <w:bidi w:val="0"/>
              <w:spacing w:line="360" w:lineRule="auto"/>
              <w:ind w:firstLine="480" w:firstLineChars="200"/>
              <w:jc w:val="both"/>
              <w:textAlignment w:val="auto"/>
              <w:rPr>
                <w:rFonts w:hint="default" w:ascii="Times New Roman" w:hAnsi="Times New Roman" w:eastAsia="宋体" w:cs="Times New Roman"/>
                <w:color w:val="auto"/>
              </w:rPr>
            </w:pPr>
            <w:r>
              <w:rPr>
                <w:rFonts w:hint="default" w:ascii="Times New Roman" w:hAnsi="Times New Roman" w:cs="Times New Roman"/>
                <w:color w:val="auto"/>
                <w:szCs w:val="32"/>
              </w:rPr>
              <w:t>综上分析，本项目功能区分区明确、间距合理，避免了相互干扰，也满足功能分区要求及办公要求，组织协作良好。评价认为，本项目总平面布置是合理的</w:t>
            </w:r>
            <w:r>
              <w:rPr>
                <w:rFonts w:hint="eastAsia" w:ascii="Times New Roman" w:hAnsi="Times New Roman" w:eastAsia="宋体" w:cs="Times New Roman"/>
                <w:color w:val="auto"/>
              </w:rPr>
              <w:t>。</w:t>
            </w:r>
          </w:p>
          <w:p w14:paraId="4A422BD0">
            <w:pPr>
              <w:pStyle w:val="66"/>
              <w:spacing w:line="360" w:lineRule="auto"/>
              <w:ind w:firstLine="482"/>
              <w:rPr>
                <w:rFonts w:hint="eastAsia" w:ascii="Times New Roman" w:hAnsi="Times New Roman" w:eastAsia="宋体" w:cs="Times New Roman"/>
                <w:b/>
                <w:bCs/>
                <w:color w:val="auto"/>
                <w:lang w:val="en-US" w:eastAsia="zh-CN"/>
              </w:rPr>
            </w:pPr>
            <w:r>
              <w:rPr>
                <w:rFonts w:hint="eastAsia" w:ascii="Times New Roman" w:hAnsi="Times New Roman" w:eastAsia="宋体" w:cs="Times New Roman"/>
                <w:b/>
                <w:bCs/>
                <w:color w:val="auto"/>
                <w:lang w:val="en-US" w:eastAsia="zh-CN"/>
              </w:rPr>
              <w:t>10、</w:t>
            </w:r>
            <w:r>
              <w:rPr>
                <w:rFonts w:hint="eastAsia" w:cs="Times New Roman"/>
                <w:b/>
                <w:bCs/>
                <w:color w:val="auto"/>
                <w:lang w:val="en-US" w:eastAsia="zh-CN"/>
              </w:rPr>
              <w:t>VOCs</w:t>
            </w:r>
            <w:r>
              <w:rPr>
                <w:rFonts w:hint="eastAsia" w:ascii="Times New Roman" w:hAnsi="Times New Roman" w:eastAsia="宋体" w:cs="Times New Roman"/>
                <w:b/>
                <w:bCs/>
                <w:color w:val="auto"/>
                <w:lang w:val="en-US" w:eastAsia="zh-CN"/>
              </w:rPr>
              <w:t>平衡</w:t>
            </w:r>
          </w:p>
          <w:p w14:paraId="43AE4F34">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ascii="Times New Roman" w:hAnsi="Times New Roman" w:eastAsia="宋体" w:cs="Times New Roman"/>
                <w:color w:val="auto"/>
              </w:rPr>
            </w:pP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1</w:t>
            </w:r>
            <w:r>
              <w:rPr>
                <w:rFonts w:hint="eastAsia" w:ascii="Times New Roman" w:hAnsi="Times New Roman" w:eastAsia="宋体" w:cs="Times New Roman"/>
                <w:color w:val="auto"/>
                <w:lang w:eastAsia="zh-CN"/>
              </w:rPr>
              <w:t>）</w:t>
            </w:r>
            <w:r>
              <w:rPr>
                <w:rFonts w:hint="default" w:ascii="Times New Roman" w:hAnsi="Times New Roman" w:eastAsia="宋体" w:cs="Times New Roman"/>
                <w:color w:val="auto"/>
                <w:lang w:val="en-US" w:eastAsia="zh-CN"/>
              </w:rPr>
              <w:t>VOC</w:t>
            </w:r>
            <w:r>
              <w:rPr>
                <w:rFonts w:hint="eastAsia" w:ascii="Times New Roman" w:hAnsi="Times New Roman" w:eastAsia="宋体" w:cs="Times New Roman"/>
                <w:color w:val="auto"/>
                <w:lang w:val="en-US" w:eastAsia="zh-CN"/>
              </w:rPr>
              <w:t>s</w:t>
            </w:r>
            <w:r>
              <w:rPr>
                <w:rFonts w:hint="eastAsia" w:ascii="Times New Roman" w:hAnsi="Times New Roman" w:eastAsia="宋体" w:cs="Times New Roman"/>
                <w:color w:val="auto"/>
              </w:rPr>
              <w:t>平衡</w:t>
            </w:r>
          </w:p>
          <w:p w14:paraId="6CE70D12">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cs="Times New Roman"/>
                <w:color w:val="auto"/>
                <w:lang w:val="en-US" w:eastAsia="zh-CN"/>
              </w:rPr>
            </w:pPr>
            <w:r>
              <w:rPr>
                <w:rFonts w:hint="eastAsia" w:cs="Times New Roman"/>
                <w:color w:val="auto"/>
                <w:lang w:val="en-US" w:eastAsia="zh-CN"/>
              </w:rPr>
              <w:t>本项目VOCs平衡详见下图。</w:t>
            </w:r>
          </w:p>
          <w:p w14:paraId="1C658BB4">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cs="Times New Roman"/>
                <w:color w:val="auto"/>
                <w:lang w:val="en-US" w:eastAsia="zh-CN"/>
              </w:rPr>
            </w:pPr>
          </w:p>
          <w:p w14:paraId="78C99FDE">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cs="Times New Roman"/>
                <w:color w:val="auto"/>
                <w:lang w:val="en-US" w:eastAsia="zh-CN"/>
              </w:rPr>
            </w:pPr>
          </w:p>
          <w:p w14:paraId="7690CCE1">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cs="Times New Roman"/>
                <w:color w:val="auto"/>
                <w:lang w:val="en-US" w:eastAsia="zh-CN"/>
              </w:rPr>
            </w:pPr>
          </w:p>
          <w:p w14:paraId="150260D5">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cs="Times New Roman"/>
                <w:color w:val="auto"/>
                <w:lang w:val="en-US" w:eastAsia="zh-CN"/>
              </w:rPr>
            </w:pPr>
          </w:p>
          <w:p w14:paraId="23048FBD">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cs="Times New Roman"/>
                <w:color w:val="auto"/>
                <w:lang w:val="en-US" w:eastAsia="zh-CN"/>
              </w:rPr>
            </w:pPr>
          </w:p>
          <w:p w14:paraId="4C1C4181">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cs="Times New Roman"/>
                <w:color w:val="auto"/>
                <w:lang w:val="en-US" w:eastAsia="zh-CN"/>
              </w:rPr>
            </w:pPr>
          </w:p>
          <w:p w14:paraId="620A8ABB">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cs="Times New Roman"/>
                <w:color w:val="auto"/>
                <w:lang w:val="en-US" w:eastAsia="zh-CN"/>
              </w:rPr>
            </w:pPr>
          </w:p>
          <w:p w14:paraId="325F10A0">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cs="Times New Roman"/>
                <w:color w:val="auto"/>
                <w:lang w:val="en-US" w:eastAsia="zh-CN"/>
              </w:rPr>
            </w:pPr>
          </w:p>
          <w:p w14:paraId="2C6E6DDD">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cs="Times New Roman"/>
                <w:color w:val="auto"/>
                <w:lang w:val="en-US" w:eastAsia="zh-CN"/>
              </w:rPr>
            </w:pPr>
          </w:p>
          <w:p w14:paraId="17B7E9BD">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cs="Times New Roman"/>
                <w:color w:val="auto"/>
                <w:lang w:val="en-US" w:eastAsia="zh-CN"/>
              </w:rPr>
            </w:pPr>
          </w:p>
          <w:p w14:paraId="033B5743">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cs="Times New Roman"/>
                <w:color w:val="auto"/>
                <w:lang w:val="en-US" w:eastAsia="zh-CN"/>
              </w:rPr>
            </w:pPr>
          </w:p>
          <w:p w14:paraId="11D0A02D">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cs="Times New Roman"/>
                <w:color w:val="auto"/>
                <w:lang w:val="en-US" w:eastAsia="zh-CN"/>
              </w:rPr>
            </w:pPr>
          </w:p>
          <w:p w14:paraId="1A5ED2FA">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cs="Times New Roman"/>
                <w:color w:val="auto"/>
                <w:lang w:val="en-US" w:eastAsia="zh-CN"/>
              </w:rPr>
            </w:pPr>
          </w:p>
          <w:p w14:paraId="12F28BDF">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cs="Times New Roman"/>
                <w:color w:val="auto"/>
                <w:lang w:val="en-US" w:eastAsia="zh-CN"/>
              </w:rPr>
            </w:pPr>
          </w:p>
          <w:p w14:paraId="10C596B4">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cs="Times New Roman"/>
                <w:color w:val="auto"/>
                <w:lang w:val="en-US" w:eastAsia="zh-CN"/>
              </w:rPr>
            </w:pPr>
          </w:p>
          <w:p w14:paraId="201B06F7">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cs="Times New Roman"/>
                <w:color w:val="auto"/>
                <w:lang w:val="en-US" w:eastAsia="zh-CN"/>
              </w:rPr>
            </w:pPr>
          </w:p>
          <w:p w14:paraId="6B7B4300">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cs="Times New Roman"/>
                <w:color w:val="auto"/>
                <w:lang w:val="en-US" w:eastAsia="zh-CN"/>
              </w:rPr>
            </w:pPr>
          </w:p>
          <w:p w14:paraId="4DA033D1">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cs="Times New Roman"/>
                <w:color w:val="auto"/>
                <w:lang w:val="en-US" w:eastAsia="zh-CN"/>
              </w:rPr>
            </w:pPr>
          </w:p>
          <w:p w14:paraId="029591A0">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cs="Times New Roman"/>
                <w:color w:val="auto"/>
                <w:lang w:val="en-US" w:eastAsia="zh-CN"/>
              </w:rPr>
            </w:pPr>
          </w:p>
          <w:p w14:paraId="7372F492">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cs="Times New Roman"/>
                <w:color w:val="auto"/>
                <w:lang w:val="en-US" w:eastAsia="zh-CN"/>
              </w:rPr>
            </w:pPr>
          </w:p>
          <w:p w14:paraId="08128D60">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cs="Times New Roman"/>
                <w:color w:val="auto"/>
                <w:lang w:val="en-US" w:eastAsia="zh-CN"/>
              </w:rPr>
            </w:pPr>
          </w:p>
          <w:p w14:paraId="7E114EEE">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cs="Times New Roman"/>
                <w:color w:val="auto"/>
                <w:lang w:val="en-US" w:eastAsia="zh-CN"/>
              </w:rPr>
            </w:pPr>
          </w:p>
          <w:p w14:paraId="305F8174">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cs="Times New Roman"/>
                <w:color w:val="auto"/>
                <w:lang w:val="en-US" w:eastAsia="zh-CN"/>
              </w:rPr>
            </w:pPr>
          </w:p>
          <w:p w14:paraId="53377273">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cs="Times New Roman"/>
                <w:color w:val="auto"/>
                <w:lang w:val="en-US" w:eastAsia="zh-CN"/>
              </w:rPr>
            </w:pPr>
          </w:p>
          <w:p w14:paraId="49144B9B">
            <w:pPr>
              <w:pStyle w:val="66"/>
              <w:keepNext w:val="0"/>
              <w:keepLines w:val="0"/>
              <w:pageBreakBefore w:val="0"/>
              <w:widowControl w:val="0"/>
              <w:kinsoku/>
              <w:wordWrap/>
              <w:overflowPunct/>
              <w:topLinePunct w:val="0"/>
              <w:autoSpaceDE w:val="0"/>
              <w:autoSpaceDN w:val="0"/>
              <w:bidi w:val="0"/>
              <w:spacing w:line="360" w:lineRule="auto"/>
              <w:ind w:left="0" w:leftChars="0" w:firstLine="0" w:firstLineChars="0"/>
              <w:textAlignment w:val="auto"/>
              <w:rPr>
                <w:rFonts w:hint="eastAsia" w:cs="Times New Roman"/>
                <w:color w:val="auto"/>
                <w:lang w:val="en-US" w:eastAsia="zh-CN"/>
              </w:rPr>
            </w:pPr>
          </w:p>
          <w:p w14:paraId="75FEF3F8">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default" w:cs="Times New Roman"/>
                <w:color w:val="auto"/>
                <w:lang w:val="en-US" w:eastAsia="zh-CN"/>
              </w:rPr>
            </w:pPr>
          </w:p>
        </w:tc>
      </w:tr>
    </w:tbl>
    <w:p w14:paraId="5DF2DD37">
      <w:pPr>
        <w:rPr>
          <w:rFonts w:hint="eastAsia" w:ascii="黑体" w:hAnsi="黑体" w:eastAsia="黑体"/>
          <w:snapToGrid w:val="0"/>
          <w:color w:val="auto"/>
          <w:sz w:val="36"/>
          <w:szCs w:val="36"/>
        </w:rPr>
      </w:pPr>
      <w:r>
        <w:rPr>
          <w:rFonts w:hint="eastAsia" w:ascii="黑体" w:hAnsi="黑体" w:eastAsia="黑体"/>
          <w:snapToGrid w:val="0"/>
          <w:color w:val="auto"/>
          <w:sz w:val="36"/>
          <w:szCs w:val="36"/>
        </w:rPr>
        <w:br w:type="page"/>
      </w:r>
    </w:p>
    <w:p w14:paraId="78EA08E7">
      <w:pPr>
        <w:pStyle w:val="37"/>
        <w:jc w:val="center"/>
        <w:rPr>
          <w:rFonts w:hint="eastAsia" w:ascii="黑体" w:hAnsi="黑体" w:eastAsia="黑体"/>
          <w:snapToGrid w:val="0"/>
          <w:color w:val="auto"/>
          <w:sz w:val="36"/>
          <w:szCs w:val="36"/>
        </w:rPr>
        <w:sectPr>
          <w:pgSz w:w="11906" w:h="16838"/>
          <w:pgMar w:top="1701" w:right="1531" w:bottom="1701" w:left="1531" w:header="851" w:footer="1021" w:gutter="0"/>
          <w:cols w:space="720" w:num="1"/>
          <w:docGrid w:linePitch="312" w:charSpace="0"/>
        </w:sectPr>
      </w:pPr>
    </w:p>
    <w:p w14:paraId="320F23FB">
      <w:pPr>
        <w:pStyle w:val="37"/>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object>
          <v:shape id="_x0000_i1029" o:spt="75" type="#_x0000_t75" style="height:265.9pt;width:604.75pt;" o:ole="t" filled="f" o:preferrelative="t" stroked="f" coordsize="21600,21600">
            <v:path/>
            <v:fill on="f" focussize="0,0"/>
            <v:stroke on="f"/>
            <v:imagedata r:id="rId23" o:title=""/>
            <o:lock v:ext="edit" aspectratio="f"/>
            <w10:wrap type="none"/>
            <w10:anchorlock/>
          </v:shape>
          <o:OLEObject Type="Embed" ProgID="Visio.Drawing.15" ShapeID="_x0000_i1029" DrawAspect="Content" ObjectID="_1468075729" r:id="rId22">
            <o:LockedField>false</o:LockedField>
          </o:OLEObject>
        </w:object>
      </w:r>
    </w:p>
    <w:p w14:paraId="4F243D3C">
      <w:pPr>
        <w:pStyle w:val="37"/>
        <w:jc w:val="both"/>
        <w:rPr>
          <w:rFonts w:hint="default" w:ascii="Times New Roman" w:hAnsi="Times New Roman" w:eastAsia="宋体" w:cs="Times New Roman"/>
          <w:color w:val="000000" w:themeColor="text1"/>
          <w:lang w:val="en-US" w:eastAsia="zh-CN"/>
          <w14:textFill>
            <w14:solidFill>
              <w14:schemeClr w14:val="tx1"/>
            </w14:solidFill>
          </w14:textFill>
        </w:rPr>
      </w:pPr>
    </w:p>
    <w:p w14:paraId="42A1E3A3">
      <w:pPr>
        <w:pStyle w:val="37"/>
        <w:jc w:val="center"/>
        <w:rPr>
          <w:rFonts w:hint="eastAsia" w:ascii="Times New Roman" w:hAnsi="Times New Roman" w:eastAsia="宋体" w:cs="Times New Roman"/>
          <w:color w:val="000000" w:themeColor="text1"/>
          <w:lang w:val="en-US" w:eastAsia="zh-CN"/>
          <w14:textFill>
            <w14:solidFill>
              <w14:schemeClr w14:val="tx1"/>
            </w14:solidFill>
          </w14:textFill>
        </w:rPr>
        <w:sectPr>
          <w:pgSz w:w="16838" w:h="11906" w:orient="landscape"/>
          <w:pgMar w:top="1531" w:right="1701" w:bottom="1531" w:left="1701" w:header="851" w:footer="1021" w:gutter="0"/>
          <w:cols w:space="720" w:num="1"/>
          <w:docGrid w:linePitch="312" w:charSpace="0"/>
        </w:sectPr>
      </w:pPr>
      <w:r>
        <w:rPr>
          <w:rFonts w:hint="eastAsia" w:ascii="Times New Roman" w:hAnsi="Times New Roman" w:eastAsia="宋体" w:cs="Times New Roman"/>
          <w:b/>
          <w:bCs/>
          <w:color w:val="000000" w:themeColor="text1"/>
          <w:sz w:val="21"/>
          <w:szCs w:val="21"/>
          <w:lang w:val="en-US" w:eastAsia="zh-CN"/>
          <w14:textFill>
            <w14:solidFill>
              <w14:schemeClr w14:val="tx1"/>
            </w14:solidFill>
          </w14:textFill>
        </w:rPr>
        <w:t>图2-</w:t>
      </w:r>
      <w:r>
        <w:rPr>
          <w:rFonts w:hint="eastAsia" w:cs="Times New Roman"/>
          <w:b/>
          <w:bCs/>
          <w:color w:val="000000" w:themeColor="text1"/>
          <w:sz w:val="21"/>
          <w:szCs w:val="21"/>
          <w:lang w:val="en-US" w:eastAsia="zh-CN"/>
          <w14:textFill>
            <w14:solidFill>
              <w14:schemeClr w14:val="tx1"/>
            </w14:solidFill>
          </w14:textFill>
        </w:rPr>
        <w:t>4</w:t>
      </w:r>
      <w:r>
        <w:rPr>
          <w:rFonts w:hint="eastAsia" w:ascii="Times New Roman" w:hAnsi="Times New Roman" w:eastAsia="宋体" w:cs="Times New Roman"/>
          <w:b/>
          <w:bCs/>
          <w:color w:val="000000" w:themeColor="text1"/>
          <w:sz w:val="21"/>
          <w:szCs w:val="21"/>
          <w:lang w:val="en-US" w:eastAsia="zh-CN"/>
          <w14:textFill>
            <w14:solidFill>
              <w14:schemeClr w14:val="tx1"/>
            </w14:solidFill>
          </w14:textFill>
        </w:rPr>
        <w:t xml:space="preserve"> 本项目VOCs平衡图（单位：t/a）</w:t>
      </w:r>
    </w:p>
    <w:tbl>
      <w:tblPr>
        <w:tblStyle w:val="4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2"/>
        <w:gridCol w:w="8088"/>
      </w:tblGrid>
      <w:tr w14:paraId="0D23F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9" w:hRule="atLeast"/>
        </w:trPr>
        <w:tc>
          <w:tcPr>
            <w:tcW w:w="972" w:type="dxa"/>
            <w:vAlign w:val="center"/>
          </w:tcPr>
          <w:p w14:paraId="2A0BC3A3">
            <w:pPr>
              <w:pStyle w:val="37"/>
              <w:adjustRightInd w:val="0"/>
              <w:snapToGrid w:val="0"/>
              <w:spacing w:before="0" w:beforeAutospacing="0" w:after="0" w:afterAutospacing="0"/>
              <w:jc w:val="center"/>
              <w:rPr>
                <w:rFonts w:hint="eastAsia" w:ascii="Times New Roman" w:hAnsi="Times New Roman" w:eastAsia="宋体" w:cs="Times New Roman"/>
                <w:b/>
                <w:bCs/>
                <w:color w:val="000000" w:themeColor="text1"/>
                <w:kern w:val="0"/>
                <w:sz w:val="24"/>
                <w:szCs w:val="24"/>
                <w:lang w:val="en-US" w:eastAsia="zh-CN" w:bidi="ar-SA"/>
                <w14:textFill>
                  <w14:solidFill>
                    <w14:schemeClr w14:val="tx1"/>
                  </w14:solidFill>
                </w14:textFill>
              </w:rPr>
            </w:pPr>
            <w:r>
              <w:rPr>
                <w:rFonts w:hint="eastAsia" w:ascii="Times New Roman" w:hAnsi="Times New Roman" w:cs="宋体"/>
                <w:b/>
                <w:bCs/>
                <w:color w:val="000000" w:themeColor="text1"/>
                <w:sz w:val="24"/>
                <w:szCs w:val="24"/>
                <w14:textFill>
                  <w14:solidFill>
                    <w14:schemeClr w14:val="tx1"/>
                  </w14:solidFill>
                </w14:textFill>
              </w:rPr>
              <w:t>建设内容</w:t>
            </w:r>
          </w:p>
        </w:tc>
        <w:tc>
          <w:tcPr>
            <w:tcW w:w="8088" w:type="dxa"/>
            <w:vAlign w:val="top"/>
          </w:tcPr>
          <w:p w14:paraId="304868F0">
            <w:pPr>
              <w:pStyle w:val="66"/>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480" w:firstLineChars="200"/>
              <w:textAlignment w:val="auto"/>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（2）</w:t>
            </w:r>
            <w:r>
              <w:rPr>
                <w:rFonts w:hint="eastAsia" w:cs="Times New Roman"/>
                <w:color w:val="000000" w:themeColor="text1"/>
                <w:lang w:val="en-US" w:eastAsia="zh-CN"/>
                <w14:textFill>
                  <w14:solidFill>
                    <w14:schemeClr w14:val="tx1"/>
                  </w14:solidFill>
                </w14:textFill>
              </w:rPr>
              <w:t>溶剂（NMP）</w:t>
            </w:r>
            <w:r>
              <w:rPr>
                <w:rFonts w:hint="default" w:ascii="Times New Roman" w:hAnsi="Times New Roman" w:eastAsia="宋体" w:cs="Times New Roman"/>
                <w:color w:val="000000" w:themeColor="text1"/>
                <w:lang w:eastAsia="zh-CN"/>
                <w14:textFill>
                  <w14:solidFill>
                    <w14:schemeClr w14:val="tx1"/>
                  </w14:solidFill>
                </w14:textFill>
              </w:rPr>
              <w:t>平衡</w:t>
            </w:r>
          </w:p>
          <w:p w14:paraId="737B8A00">
            <w:pPr>
              <w:pStyle w:val="66"/>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lang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本项目溶剂（NMP）</w:t>
            </w:r>
            <w:r>
              <w:rPr>
                <w:rFonts w:hint="default" w:ascii="Times New Roman" w:hAnsi="Times New Roman" w:eastAsia="宋体" w:cs="Times New Roman"/>
                <w:color w:val="000000" w:themeColor="text1"/>
                <w:lang w:eastAsia="zh-CN"/>
                <w14:textFill>
                  <w14:solidFill>
                    <w14:schemeClr w14:val="tx1"/>
                  </w14:solidFill>
                </w14:textFill>
              </w:rPr>
              <w:t>平衡见下表所示。</w:t>
            </w:r>
          </w:p>
          <w:p w14:paraId="08F3148C">
            <w:pPr>
              <w:pStyle w:val="68"/>
              <w:rPr>
                <w:rFonts w:hint="default" w:ascii="Times New Roman" w:hAnsi="Times New Roman" w:eastAsia="宋体" w:cs="Times New Roman"/>
                <w:b/>
                <w:bCs/>
                <w:color w:val="000000" w:themeColor="text1"/>
                <w14:textFill>
                  <w14:solidFill>
                    <w14:schemeClr w14:val="tx1"/>
                  </w14:solidFill>
                </w14:textFill>
              </w:rPr>
            </w:pPr>
            <w:r>
              <w:rPr>
                <w:rFonts w:hint="default" w:ascii="Times New Roman" w:hAnsi="Times New Roman" w:eastAsia="宋体" w:cs="Times New Roman"/>
                <w:b/>
                <w:bCs/>
                <w:color w:val="000000" w:themeColor="text1"/>
                <w14:textFill>
                  <w14:solidFill>
                    <w14:schemeClr w14:val="tx1"/>
                  </w14:solidFill>
                </w14:textFill>
              </w:rPr>
              <w:t>表2-</w:t>
            </w:r>
            <w:r>
              <w:rPr>
                <w:rFonts w:hint="eastAsia" w:eastAsia="宋体" w:cs="Times New Roman"/>
                <w:b/>
                <w:bCs/>
                <w:color w:val="000000" w:themeColor="text1"/>
                <w:lang w:val="en-US" w:eastAsia="zh-CN"/>
                <w14:textFill>
                  <w14:solidFill>
                    <w14:schemeClr w14:val="tx1"/>
                  </w14:solidFill>
                </w14:textFill>
              </w:rPr>
              <w:t>8</w:t>
            </w:r>
            <w:r>
              <w:rPr>
                <w:rFonts w:hint="default" w:ascii="Times New Roman" w:hAnsi="Times New Roman" w:eastAsia="宋体" w:cs="Times New Roman"/>
                <w:b/>
                <w:bCs/>
                <w:color w:val="000000" w:themeColor="text1"/>
                <w14:textFill>
                  <w14:solidFill>
                    <w14:schemeClr w14:val="tx1"/>
                  </w14:solidFill>
                </w14:textFill>
              </w:rPr>
              <w:t xml:space="preserve"> 项目</w:t>
            </w:r>
            <w:r>
              <w:rPr>
                <w:rFonts w:hint="eastAsia" w:ascii="Times New Roman" w:hAnsi="Times New Roman" w:eastAsia="宋体" w:cs="Times New Roman"/>
                <w:b/>
                <w:bCs/>
                <w:color w:val="000000" w:themeColor="text1"/>
                <w:lang w:val="en-US" w:eastAsia="zh-CN"/>
                <w14:textFill>
                  <w14:solidFill>
                    <w14:schemeClr w14:val="tx1"/>
                  </w14:solidFill>
                </w14:textFill>
              </w:rPr>
              <w:t>溶剂（NMP）</w:t>
            </w:r>
            <w:r>
              <w:rPr>
                <w:rFonts w:hint="default" w:ascii="Times New Roman" w:hAnsi="Times New Roman" w:eastAsia="宋体" w:cs="Times New Roman"/>
                <w:b/>
                <w:bCs/>
                <w:color w:val="000000" w:themeColor="text1"/>
                <w14:textFill>
                  <w14:solidFill>
                    <w14:schemeClr w14:val="tx1"/>
                  </w14:solidFill>
                </w14:textFill>
              </w:rPr>
              <w:t>平衡</w:t>
            </w:r>
          </w:p>
          <w:tbl>
            <w:tblPr>
              <w:tblStyle w:val="41"/>
              <w:tblW w:w="4996"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1163"/>
              <w:gridCol w:w="1819"/>
              <w:gridCol w:w="544"/>
              <w:gridCol w:w="2461"/>
              <w:gridCol w:w="1879"/>
            </w:tblGrid>
            <w:tr w14:paraId="0A82CAF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blHeader/>
                <w:jc w:val="center"/>
              </w:trPr>
              <w:tc>
                <w:tcPr>
                  <w:tcW w:w="1895" w:type="pct"/>
                  <w:gridSpan w:val="2"/>
                  <w:tcBorders>
                    <w:tl2br w:val="nil"/>
                    <w:tr2bl w:val="nil"/>
                  </w:tcBorders>
                  <w:vAlign w:val="center"/>
                </w:tcPr>
                <w:p w14:paraId="5ABDA8E3">
                  <w:pPr>
                    <w:pStyle w:val="70"/>
                    <w:spacing w:line="240" w:lineRule="auto"/>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输  入</w:t>
                  </w:r>
                </w:p>
              </w:tc>
              <w:tc>
                <w:tcPr>
                  <w:tcW w:w="3104" w:type="pct"/>
                  <w:gridSpan w:val="3"/>
                  <w:tcBorders>
                    <w:tl2br w:val="nil"/>
                    <w:tr2bl w:val="nil"/>
                  </w:tcBorders>
                  <w:vAlign w:val="center"/>
                </w:tcPr>
                <w:p w14:paraId="66193150">
                  <w:pPr>
                    <w:pStyle w:val="70"/>
                    <w:spacing w:line="240" w:lineRule="auto"/>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输 出</w:t>
                  </w:r>
                </w:p>
              </w:tc>
            </w:tr>
            <w:tr w14:paraId="6773F85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blHeader/>
                <w:jc w:val="center"/>
              </w:trPr>
              <w:tc>
                <w:tcPr>
                  <w:tcW w:w="739" w:type="pct"/>
                  <w:tcBorders>
                    <w:tl2br w:val="nil"/>
                    <w:tr2bl w:val="nil"/>
                  </w:tcBorders>
                  <w:vAlign w:val="center"/>
                </w:tcPr>
                <w:p w14:paraId="6A8CEFDC">
                  <w:pPr>
                    <w:pStyle w:val="7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物料名称</w:t>
                  </w:r>
                </w:p>
              </w:tc>
              <w:tc>
                <w:tcPr>
                  <w:tcW w:w="1155" w:type="pct"/>
                  <w:tcBorders>
                    <w:tl2br w:val="nil"/>
                    <w:tr2bl w:val="nil"/>
                  </w:tcBorders>
                  <w:vAlign w:val="center"/>
                </w:tcPr>
                <w:p w14:paraId="44D31EE9">
                  <w:pPr>
                    <w:pStyle w:val="7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投入量（t/a）</w:t>
                  </w:r>
                </w:p>
              </w:tc>
              <w:tc>
                <w:tcPr>
                  <w:tcW w:w="1910" w:type="pct"/>
                  <w:gridSpan w:val="2"/>
                  <w:tcBorders>
                    <w:tl2br w:val="nil"/>
                    <w:tr2bl w:val="nil"/>
                  </w:tcBorders>
                  <w:vAlign w:val="center"/>
                </w:tcPr>
                <w:p w14:paraId="7EB42D0A">
                  <w:pPr>
                    <w:pStyle w:val="7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产出项目</w:t>
                  </w:r>
                </w:p>
              </w:tc>
              <w:tc>
                <w:tcPr>
                  <w:tcW w:w="1194" w:type="pct"/>
                  <w:tcBorders>
                    <w:tl2br w:val="nil"/>
                    <w:tr2bl w:val="nil"/>
                  </w:tcBorders>
                  <w:vAlign w:val="center"/>
                </w:tcPr>
                <w:p w14:paraId="4220C321">
                  <w:pPr>
                    <w:pStyle w:val="7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产出量（t/a）</w:t>
                  </w:r>
                </w:p>
              </w:tc>
            </w:tr>
            <w:tr w14:paraId="38285B0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39" w:type="pct"/>
                  <w:tcBorders>
                    <w:tl2br w:val="nil"/>
                    <w:tr2bl w:val="nil"/>
                  </w:tcBorders>
                  <w:shd w:val="clear" w:color="auto" w:fill="auto"/>
                  <w:vAlign w:val="center"/>
                </w:tcPr>
                <w:p w14:paraId="58BFC2CE">
                  <w:pPr>
                    <w:pStyle w:val="7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NMP溶剂</w:t>
                  </w:r>
                </w:p>
              </w:tc>
              <w:tc>
                <w:tcPr>
                  <w:tcW w:w="1792" w:type="dxa"/>
                  <w:tcBorders>
                    <w:tl2br w:val="nil"/>
                    <w:tr2bl w:val="nil"/>
                  </w:tcBorders>
                  <w:shd w:val="clear" w:color="auto" w:fill="auto"/>
                  <w:vAlign w:val="center"/>
                </w:tcPr>
                <w:p w14:paraId="0BA03D4B">
                  <w:pPr>
                    <w:pStyle w:val="7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1173.1</w:t>
                  </w:r>
                </w:p>
              </w:tc>
              <w:tc>
                <w:tcPr>
                  <w:tcW w:w="1910" w:type="pct"/>
                  <w:gridSpan w:val="2"/>
                  <w:tcBorders>
                    <w:tl2br w:val="nil"/>
                    <w:tr2bl w:val="nil"/>
                  </w:tcBorders>
                  <w:noWrap/>
                  <w:vAlign w:val="center"/>
                </w:tcPr>
                <w:p w14:paraId="483FFD2E">
                  <w:pPr>
                    <w:pStyle w:val="7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涂布烘干废气</w:t>
                  </w:r>
                </w:p>
              </w:tc>
              <w:tc>
                <w:tcPr>
                  <w:tcW w:w="1852" w:type="dxa"/>
                  <w:tcBorders>
                    <w:tl2br w:val="nil"/>
                    <w:tr2bl w:val="nil"/>
                  </w:tcBorders>
                  <w:noWrap/>
                  <w:vAlign w:val="center"/>
                </w:tcPr>
                <w:p w14:paraId="756FF017">
                  <w:pPr>
                    <w:pStyle w:val="7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1456.2</w:t>
                  </w:r>
                </w:p>
              </w:tc>
            </w:tr>
            <w:tr w14:paraId="192F38E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0" w:hRule="atLeast"/>
                <w:jc w:val="center"/>
              </w:trPr>
              <w:tc>
                <w:tcPr>
                  <w:tcW w:w="739" w:type="pct"/>
                  <w:tcBorders>
                    <w:tl2br w:val="nil"/>
                    <w:tr2bl w:val="nil"/>
                  </w:tcBorders>
                  <w:vAlign w:val="center"/>
                </w:tcPr>
                <w:p w14:paraId="179B5EEC">
                  <w:pPr>
                    <w:pStyle w:val="7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聚酰亚胺浆料</w:t>
                  </w:r>
                </w:p>
              </w:tc>
              <w:tc>
                <w:tcPr>
                  <w:tcW w:w="1792" w:type="dxa"/>
                  <w:tcBorders>
                    <w:tl2br w:val="nil"/>
                    <w:tr2bl w:val="nil"/>
                  </w:tcBorders>
                  <w:vAlign w:val="center"/>
                </w:tcPr>
                <w:p w14:paraId="68A09FA3">
                  <w:pPr>
                    <w:pStyle w:val="7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16.3</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（其中NMP</w:t>
                  </w:r>
                  <w:r>
                    <w:rPr>
                      <w:rFonts w:hint="eastAsia" w:cs="Times New Roman"/>
                      <w:color w:val="000000" w:themeColor="text1"/>
                      <w:sz w:val="21"/>
                      <w:szCs w:val="21"/>
                      <w:lang w:val="en-US" w:eastAsia="zh-CN"/>
                      <w14:textFill>
                        <w14:solidFill>
                          <w14:schemeClr w14:val="tx1"/>
                        </w14:solidFill>
                      </w14:textFill>
                    </w:rPr>
                    <w:t>15</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tc>
              <w:tc>
                <w:tcPr>
                  <w:tcW w:w="346" w:type="pct"/>
                  <w:vMerge w:val="restart"/>
                  <w:tcBorders>
                    <w:tl2br w:val="nil"/>
                    <w:tr2bl w:val="nil"/>
                  </w:tcBorders>
                  <w:noWrap/>
                  <w:vAlign w:val="center"/>
                </w:tcPr>
                <w:p w14:paraId="1465B481">
                  <w:pPr>
                    <w:pStyle w:val="7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其中</w:t>
                  </w:r>
                </w:p>
              </w:tc>
              <w:tc>
                <w:tcPr>
                  <w:tcW w:w="1563" w:type="pct"/>
                  <w:tcBorders>
                    <w:tl2br w:val="nil"/>
                    <w:tr2bl w:val="nil"/>
                  </w:tcBorders>
                  <w:noWrap/>
                  <w:vAlign w:val="center"/>
                </w:tcPr>
                <w:p w14:paraId="62BEE41A">
                  <w:pPr>
                    <w:pStyle w:val="7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回收量（未考虑冷凝回收过程带入水分）</w:t>
                  </w:r>
                </w:p>
              </w:tc>
              <w:tc>
                <w:tcPr>
                  <w:tcW w:w="1852" w:type="dxa"/>
                  <w:tcBorders>
                    <w:tl2br w:val="nil"/>
                    <w:tr2bl w:val="nil"/>
                  </w:tcBorders>
                  <w:noWrap/>
                  <w:vAlign w:val="center"/>
                </w:tcPr>
                <w:p w14:paraId="7591FA72">
                  <w:pPr>
                    <w:pStyle w:val="7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1454.74</w:t>
                  </w:r>
                </w:p>
              </w:tc>
            </w:tr>
            <w:tr w14:paraId="3E82F52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147" w:type="dxa"/>
                  <w:tcBorders>
                    <w:tl2br w:val="nil"/>
                    <w:tr2bl w:val="nil"/>
                  </w:tcBorders>
                  <w:vAlign w:val="center"/>
                </w:tcPr>
                <w:p w14:paraId="0032E773">
                  <w:pPr>
                    <w:pStyle w:val="7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碳纳米管导电浆料</w:t>
                  </w:r>
                </w:p>
              </w:tc>
              <w:tc>
                <w:tcPr>
                  <w:tcW w:w="1792" w:type="dxa"/>
                  <w:tcBorders>
                    <w:tl2br w:val="nil"/>
                    <w:tr2bl w:val="nil"/>
                  </w:tcBorders>
                  <w:vAlign w:val="center"/>
                </w:tcPr>
                <w:p w14:paraId="6F833C71">
                  <w:pPr>
                    <w:pStyle w:val="7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282.2</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（其中NMP</w:t>
                  </w:r>
                  <w:r>
                    <w:rPr>
                      <w:rFonts w:hint="eastAsia" w:cs="Times New Roman"/>
                      <w:color w:val="000000" w:themeColor="text1"/>
                      <w:sz w:val="21"/>
                      <w:szCs w:val="21"/>
                      <w:lang w:val="en-US" w:eastAsia="zh-CN"/>
                      <w14:textFill>
                        <w14:solidFill>
                          <w14:schemeClr w14:val="tx1"/>
                        </w14:solidFill>
                      </w14:textFill>
                    </w:rPr>
                    <w:t>268.1</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tc>
              <w:tc>
                <w:tcPr>
                  <w:tcW w:w="346" w:type="pct"/>
                  <w:vMerge w:val="continue"/>
                  <w:tcBorders>
                    <w:tl2br w:val="nil"/>
                    <w:tr2bl w:val="nil"/>
                  </w:tcBorders>
                  <w:noWrap/>
                  <w:vAlign w:val="center"/>
                </w:tcPr>
                <w:p w14:paraId="7A5607AD">
                  <w:pPr>
                    <w:pStyle w:val="7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1563" w:type="pct"/>
                  <w:tcBorders>
                    <w:tl2br w:val="nil"/>
                    <w:tr2bl w:val="nil"/>
                  </w:tcBorders>
                  <w:noWrap/>
                  <w:vAlign w:val="center"/>
                </w:tcPr>
                <w:p w14:paraId="3D00E068">
                  <w:pPr>
                    <w:pStyle w:val="7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废气排放量</w:t>
                  </w:r>
                </w:p>
              </w:tc>
              <w:tc>
                <w:tcPr>
                  <w:tcW w:w="1852" w:type="dxa"/>
                  <w:tcBorders>
                    <w:tl2br w:val="nil"/>
                    <w:tr2bl w:val="nil"/>
                  </w:tcBorders>
                  <w:noWrap/>
                  <w:vAlign w:val="center"/>
                </w:tcPr>
                <w:p w14:paraId="374C73C3">
                  <w:pPr>
                    <w:pStyle w:val="7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1.46</w:t>
                  </w:r>
                </w:p>
              </w:tc>
            </w:tr>
            <w:tr w14:paraId="49ECB1E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39" w:type="pct"/>
                  <w:tcBorders>
                    <w:tl2br w:val="nil"/>
                    <w:tr2bl w:val="nil"/>
                  </w:tcBorders>
                  <w:vAlign w:val="center"/>
                </w:tcPr>
                <w:p w14:paraId="4879CE54">
                  <w:pPr>
                    <w:pStyle w:val="7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c>
                <w:tcPr>
                  <w:tcW w:w="1155" w:type="pct"/>
                  <w:tcBorders>
                    <w:tl2br w:val="nil"/>
                    <w:tr2bl w:val="nil"/>
                  </w:tcBorders>
                  <w:vAlign w:val="center"/>
                </w:tcPr>
                <w:p w14:paraId="12E7A4C3">
                  <w:pPr>
                    <w:pStyle w:val="7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c>
                <w:tcPr>
                  <w:tcW w:w="1910" w:type="pct"/>
                  <w:gridSpan w:val="2"/>
                  <w:tcBorders>
                    <w:tl2br w:val="nil"/>
                    <w:tr2bl w:val="nil"/>
                  </w:tcBorders>
                  <w:noWrap/>
                  <w:vAlign w:val="center"/>
                </w:tcPr>
                <w:p w14:paraId="1E45D06E">
                  <w:pPr>
                    <w:pStyle w:val="7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进入产品</w:t>
                  </w:r>
                </w:p>
              </w:tc>
              <w:tc>
                <w:tcPr>
                  <w:tcW w:w="1852" w:type="dxa"/>
                  <w:tcBorders>
                    <w:tl2br w:val="nil"/>
                    <w:tr2bl w:val="nil"/>
                  </w:tcBorders>
                  <w:noWrap/>
                  <w:vAlign w:val="center"/>
                </w:tcPr>
                <w:p w14:paraId="4B57419F">
                  <w:pPr>
                    <w:pStyle w:val="7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15.4</w:t>
                  </w:r>
                </w:p>
              </w:tc>
            </w:tr>
            <w:tr w14:paraId="538638C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98" w:hRule="atLeast"/>
                <w:jc w:val="center"/>
              </w:trPr>
              <w:tc>
                <w:tcPr>
                  <w:tcW w:w="739" w:type="pct"/>
                  <w:tcBorders>
                    <w:tl2br w:val="nil"/>
                    <w:tr2bl w:val="nil"/>
                  </w:tcBorders>
                  <w:noWrap/>
                  <w:vAlign w:val="center"/>
                </w:tcPr>
                <w:p w14:paraId="059727CB">
                  <w:pPr>
                    <w:pStyle w:val="7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合计</w:t>
                  </w:r>
                </w:p>
              </w:tc>
              <w:tc>
                <w:tcPr>
                  <w:tcW w:w="1155" w:type="pct"/>
                  <w:tcBorders>
                    <w:tl2br w:val="nil"/>
                    <w:tr2bl w:val="nil"/>
                  </w:tcBorders>
                  <w:vAlign w:val="center"/>
                </w:tcPr>
                <w:p w14:paraId="3007D7CB">
                  <w:pPr>
                    <w:pStyle w:val="70"/>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1471.6（NMP1456.2）</w:t>
                  </w:r>
                </w:p>
              </w:tc>
              <w:tc>
                <w:tcPr>
                  <w:tcW w:w="1910" w:type="pct"/>
                  <w:gridSpan w:val="2"/>
                  <w:tcBorders>
                    <w:tl2br w:val="nil"/>
                    <w:tr2bl w:val="nil"/>
                  </w:tcBorders>
                  <w:noWrap/>
                  <w:vAlign w:val="center"/>
                </w:tcPr>
                <w:p w14:paraId="61D9A079">
                  <w:pPr>
                    <w:pStyle w:val="7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合计</w:t>
                  </w:r>
                </w:p>
              </w:tc>
              <w:tc>
                <w:tcPr>
                  <w:tcW w:w="1194" w:type="pct"/>
                  <w:tcBorders>
                    <w:tl2br w:val="nil"/>
                    <w:tr2bl w:val="nil"/>
                  </w:tcBorders>
                  <w:noWrap/>
                  <w:vAlign w:val="center"/>
                </w:tcPr>
                <w:p w14:paraId="01563B4C">
                  <w:pPr>
                    <w:pStyle w:val="70"/>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1471.6（NMP1456.2）</w:t>
                  </w:r>
                </w:p>
              </w:tc>
            </w:tr>
          </w:tbl>
          <w:p w14:paraId="04CEDDAA">
            <w:pPr>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注：NMP冷凝回收过程，空气中水分会随NMP一同被冷凝，故产生</w:t>
            </w:r>
            <w:r>
              <w:rPr>
                <w:rFonts w:hint="default" w:ascii="Times New Roman" w:hAnsi="Times New Roman" w:cs="Times New Roman"/>
                <w:color w:val="000000" w:themeColor="text1"/>
                <w:sz w:val="21"/>
                <w:szCs w:val="21"/>
                <w:lang w:eastAsia="zh-CN"/>
                <w14:textFill>
                  <w14:solidFill>
                    <w14:schemeClr w14:val="tx1"/>
                  </w14:solidFill>
                </w14:textFill>
              </w:rPr>
              <w:t>NMP回收液</w:t>
            </w:r>
            <w:r>
              <w:rPr>
                <w:rFonts w:hint="default" w:ascii="Times New Roman" w:hAnsi="Times New Roman" w:cs="Times New Roman"/>
                <w:color w:val="000000" w:themeColor="text1"/>
                <w:sz w:val="21"/>
                <w:szCs w:val="21"/>
                <w14:textFill>
                  <w14:solidFill>
                    <w14:schemeClr w14:val="tx1"/>
                  </w14:solidFill>
                </w14:textFill>
              </w:rPr>
              <w:t>为NMP及水的混合物，平衡中未考虑冷凝回收过程带入的水分。</w:t>
            </w:r>
          </w:p>
          <w:p w14:paraId="5C5F8487">
            <w:pPr>
              <w:pStyle w:val="66"/>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480" w:firstLineChars="200"/>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w:t>
            </w:r>
            <w:r>
              <w:rPr>
                <w:rFonts w:hint="eastAsia" w:ascii="Times New Roman" w:hAnsi="Times New Roman" w:eastAsia="宋体" w:cs="Times New Roman"/>
                <w:color w:val="000000" w:themeColor="text1"/>
                <w:lang w:val="en-US" w:eastAsia="zh-CN"/>
                <w14:textFill>
                  <w14:solidFill>
                    <w14:schemeClr w14:val="tx1"/>
                  </w14:solidFill>
                </w14:textFill>
              </w:rPr>
              <w:t>3</w:t>
            </w:r>
            <w:r>
              <w:rPr>
                <w:rFonts w:hint="default" w:ascii="Times New Roman" w:hAnsi="Times New Roman" w:eastAsia="宋体" w:cs="Times New Roman"/>
                <w:color w:val="000000" w:themeColor="text1"/>
                <w:lang w:val="en-US"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电</w:t>
            </w:r>
            <w:r>
              <w:rPr>
                <w:rFonts w:hint="eastAsia" w:ascii="Times New Roman" w:hAnsi="Times New Roman" w:eastAsia="宋体" w:cs="Times New Roman"/>
                <w:color w:val="000000" w:themeColor="text1"/>
                <w:lang w:val="en-US" w:eastAsia="zh-CN"/>
                <w14:textFill>
                  <w14:solidFill>
                    <w14:schemeClr w14:val="tx1"/>
                  </w14:solidFill>
                </w14:textFill>
              </w:rPr>
              <w:t>解液</w:t>
            </w:r>
            <w:r>
              <w:rPr>
                <w:rFonts w:hint="default" w:ascii="Times New Roman" w:hAnsi="Times New Roman" w:eastAsia="宋体" w:cs="Times New Roman"/>
                <w:color w:val="000000" w:themeColor="text1"/>
                <w:lang w:val="en-US" w:eastAsia="zh-CN"/>
                <w14:textFill>
                  <w14:solidFill>
                    <w14:schemeClr w14:val="tx1"/>
                  </w14:solidFill>
                </w14:textFill>
              </w:rPr>
              <w:t>平衡</w:t>
            </w:r>
          </w:p>
          <w:p w14:paraId="01B02801">
            <w:pPr>
              <w:pStyle w:val="66"/>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480" w:firstLineChars="200"/>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本项目电解液</w:t>
            </w:r>
            <w:r>
              <w:rPr>
                <w:rFonts w:hint="default" w:ascii="Times New Roman" w:hAnsi="Times New Roman" w:eastAsia="宋体" w:cs="Times New Roman"/>
                <w:color w:val="000000" w:themeColor="text1"/>
                <w:lang w:val="en-US" w:eastAsia="zh-CN"/>
                <w14:textFill>
                  <w14:solidFill>
                    <w14:schemeClr w14:val="tx1"/>
                  </w14:solidFill>
                </w14:textFill>
              </w:rPr>
              <w:t>平衡见下表所示。</w:t>
            </w:r>
          </w:p>
          <w:p w14:paraId="0737F6E0">
            <w:pPr>
              <w:pStyle w:val="68"/>
              <w:rPr>
                <w:rFonts w:hint="default" w:ascii="Times New Roman" w:hAnsi="Times New Roman" w:eastAsia="宋体" w:cs="Times New Roman"/>
                <w:b/>
                <w:bCs/>
                <w:color w:val="000000" w:themeColor="text1"/>
                <w14:textFill>
                  <w14:solidFill>
                    <w14:schemeClr w14:val="tx1"/>
                  </w14:solidFill>
                </w14:textFill>
              </w:rPr>
            </w:pPr>
            <w:r>
              <w:rPr>
                <w:rFonts w:hint="default" w:ascii="Times New Roman" w:hAnsi="Times New Roman" w:eastAsia="宋体" w:cs="Times New Roman"/>
                <w:b/>
                <w:bCs/>
                <w:color w:val="000000" w:themeColor="text1"/>
                <w14:textFill>
                  <w14:solidFill>
                    <w14:schemeClr w14:val="tx1"/>
                  </w14:solidFill>
                </w14:textFill>
              </w:rPr>
              <w:t>表2-</w:t>
            </w:r>
            <w:r>
              <w:rPr>
                <w:rFonts w:hint="eastAsia" w:eastAsia="宋体" w:cs="Times New Roman"/>
                <w:b/>
                <w:bCs/>
                <w:color w:val="000000" w:themeColor="text1"/>
                <w:lang w:val="en-US" w:eastAsia="zh-CN"/>
                <w14:textFill>
                  <w14:solidFill>
                    <w14:schemeClr w14:val="tx1"/>
                  </w14:solidFill>
                </w14:textFill>
              </w:rPr>
              <w:t>9</w:t>
            </w:r>
            <w:r>
              <w:rPr>
                <w:rFonts w:hint="default" w:ascii="Times New Roman" w:hAnsi="Times New Roman" w:eastAsia="宋体" w:cs="Times New Roman"/>
                <w:b/>
                <w:bCs/>
                <w:color w:val="000000" w:themeColor="text1"/>
                <w14:textFill>
                  <w14:solidFill>
                    <w14:schemeClr w14:val="tx1"/>
                  </w14:solidFill>
                </w14:textFill>
              </w:rPr>
              <w:t xml:space="preserve"> 项目</w:t>
            </w:r>
            <w:r>
              <w:rPr>
                <w:rFonts w:hint="eastAsia" w:ascii="Times New Roman" w:hAnsi="Times New Roman" w:eastAsia="宋体" w:cs="Times New Roman"/>
                <w:b/>
                <w:bCs/>
                <w:color w:val="000000" w:themeColor="text1"/>
                <w:lang w:val="en-US" w:eastAsia="zh-CN"/>
                <w14:textFill>
                  <w14:solidFill>
                    <w14:schemeClr w14:val="tx1"/>
                  </w14:solidFill>
                </w14:textFill>
              </w:rPr>
              <w:t>电解液</w:t>
            </w:r>
            <w:r>
              <w:rPr>
                <w:rFonts w:hint="default" w:ascii="Times New Roman" w:hAnsi="Times New Roman" w:eastAsia="宋体" w:cs="Times New Roman"/>
                <w:b/>
                <w:bCs/>
                <w:color w:val="000000" w:themeColor="text1"/>
                <w14:textFill>
                  <w14:solidFill>
                    <w14:schemeClr w14:val="tx1"/>
                  </w14:solidFill>
                </w14:textFill>
              </w:rPr>
              <w:t>平衡</w:t>
            </w:r>
          </w:p>
          <w:tbl>
            <w:tblPr>
              <w:tblStyle w:val="41"/>
              <w:tblW w:w="4996"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1162"/>
              <w:gridCol w:w="1591"/>
              <w:gridCol w:w="773"/>
              <w:gridCol w:w="2461"/>
              <w:gridCol w:w="1879"/>
            </w:tblGrid>
            <w:tr w14:paraId="76B03E8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blHeader/>
                <w:jc w:val="center"/>
              </w:trPr>
              <w:tc>
                <w:tcPr>
                  <w:tcW w:w="1749" w:type="pct"/>
                  <w:gridSpan w:val="2"/>
                  <w:tcBorders>
                    <w:tl2br w:val="nil"/>
                    <w:tr2bl w:val="nil"/>
                  </w:tcBorders>
                  <w:vAlign w:val="center"/>
                </w:tcPr>
                <w:p w14:paraId="27442AD9">
                  <w:pPr>
                    <w:pStyle w:val="70"/>
                    <w:spacing w:line="240" w:lineRule="auto"/>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输  入</w:t>
                  </w:r>
                </w:p>
              </w:tc>
              <w:tc>
                <w:tcPr>
                  <w:tcW w:w="3250" w:type="pct"/>
                  <w:gridSpan w:val="3"/>
                  <w:tcBorders>
                    <w:tl2br w:val="nil"/>
                    <w:tr2bl w:val="nil"/>
                  </w:tcBorders>
                  <w:vAlign w:val="center"/>
                </w:tcPr>
                <w:p w14:paraId="44413FC4">
                  <w:pPr>
                    <w:pStyle w:val="70"/>
                    <w:spacing w:line="240" w:lineRule="auto"/>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输 出</w:t>
                  </w:r>
                </w:p>
              </w:tc>
            </w:tr>
            <w:tr w14:paraId="29577F1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blHeader/>
                <w:jc w:val="center"/>
              </w:trPr>
              <w:tc>
                <w:tcPr>
                  <w:tcW w:w="738" w:type="pct"/>
                  <w:tcBorders>
                    <w:tl2br w:val="nil"/>
                    <w:tr2bl w:val="nil"/>
                  </w:tcBorders>
                  <w:vAlign w:val="center"/>
                </w:tcPr>
                <w:p w14:paraId="727D8530">
                  <w:pPr>
                    <w:pStyle w:val="7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物料名称</w:t>
                  </w:r>
                </w:p>
              </w:tc>
              <w:tc>
                <w:tcPr>
                  <w:tcW w:w="1011" w:type="pct"/>
                  <w:tcBorders>
                    <w:tl2br w:val="nil"/>
                    <w:tr2bl w:val="nil"/>
                  </w:tcBorders>
                  <w:vAlign w:val="center"/>
                </w:tcPr>
                <w:p w14:paraId="0A1A3DFE">
                  <w:pPr>
                    <w:pStyle w:val="7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投入量（t/a）</w:t>
                  </w:r>
                </w:p>
              </w:tc>
              <w:tc>
                <w:tcPr>
                  <w:tcW w:w="2055" w:type="pct"/>
                  <w:gridSpan w:val="2"/>
                  <w:tcBorders>
                    <w:tl2br w:val="nil"/>
                    <w:tr2bl w:val="nil"/>
                  </w:tcBorders>
                  <w:vAlign w:val="center"/>
                </w:tcPr>
                <w:p w14:paraId="34B169BD">
                  <w:pPr>
                    <w:pStyle w:val="7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产出项目</w:t>
                  </w:r>
                </w:p>
              </w:tc>
              <w:tc>
                <w:tcPr>
                  <w:tcW w:w="1194" w:type="pct"/>
                  <w:tcBorders>
                    <w:tl2br w:val="nil"/>
                    <w:tr2bl w:val="nil"/>
                  </w:tcBorders>
                  <w:vAlign w:val="center"/>
                </w:tcPr>
                <w:p w14:paraId="0A62BF96">
                  <w:pPr>
                    <w:pStyle w:val="7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产出量（t/a）</w:t>
                  </w:r>
                </w:p>
              </w:tc>
            </w:tr>
            <w:tr w14:paraId="32B8BCE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38" w:type="pct"/>
                  <w:tcBorders>
                    <w:tl2br w:val="nil"/>
                    <w:tr2bl w:val="nil"/>
                  </w:tcBorders>
                  <w:shd w:val="clear" w:color="auto" w:fill="auto"/>
                  <w:vAlign w:val="center"/>
                </w:tcPr>
                <w:p w14:paraId="750E7E90">
                  <w:pPr>
                    <w:pStyle w:val="7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电解液</w:t>
                  </w:r>
                </w:p>
              </w:tc>
              <w:tc>
                <w:tcPr>
                  <w:tcW w:w="1011" w:type="pct"/>
                  <w:tcBorders>
                    <w:tl2br w:val="nil"/>
                    <w:tr2bl w:val="nil"/>
                  </w:tcBorders>
                  <w:shd w:val="clear" w:color="auto" w:fill="auto"/>
                  <w:vAlign w:val="center"/>
                </w:tcPr>
                <w:p w14:paraId="176BE64E">
                  <w:pPr>
                    <w:pStyle w:val="7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1230</w:t>
                  </w:r>
                </w:p>
              </w:tc>
              <w:tc>
                <w:tcPr>
                  <w:tcW w:w="2055" w:type="pct"/>
                  <w:gridSpan w:val="2"/>
                  <w:tcBorders>
                    <w:tl2br w:val="nil"/>
                    <w:tr2bl w:val="nil"/>
                  </w:tcBorders>
                  <w:noWrap/>
                  <w:vAlign w:val="center"/>
                </w:tcPr>
                <w:p w14:paraId="682CE5E6">
                  <w:pPr>
                    <w:pStyle w:val="7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注液</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废气</w:t>
                  </w:r>
                </w:p>
              </w:tc>
              <w:tc>
                <w:tcPr>
                  <w:tcW w:w="1194" w:type="pct"/>
                  <w:tcBorders>
                    <w:tl2br w:val="nil"/>
                    <w:tr2bl w:val="nil"/>
                  </w:tcBorders>
                  <w:noWrap/>
                  <w:vAlign w:val="center"/>
                </w:tcPr>
                <w:p w14:paraId="31DEC514">
                  <w:pPr>
                    <w:pStyle w:val="7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1.23</w:t>
                  </w:r>
                </w:p>
              </w:tc>
            </w:tr>
            <w:tr w14:paraId="75897B8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0" w:hRule="atLeast"/>
                <w:jc w:val="center"/>
              </w:trPr>
              <w:tc>
                <w:tcPr>
                  <w:tcW w:w="738" w:type="pct"/>
                  <w:vMerge w:val="restart"/>
                  <w:tcBorders>
                    <w:tl2br w:val="nil"/>
                    <w:tr2bl w:val="nil"/>
                  </w:tcBorders>
                  <w:vAlign w:val="center"/>
                </w:tcPr>
                <w:p w14:paraId="48B8C62B">
                  <w:pPr>
                    <w:pStyle w:val="7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c>
                <w:tcPr>
                  <w:tcW w:w="1011" w:type="pct"/>
                  <w:vMerge w:val="restart"/>
                  <w:tcBorders>
                    <w:tl2br w:val="nil"/>
                    <w:tr2bl w:val="nil"/>
                  </w:tcBorders>
                  <w:vAlign w:val="center"/>
                </w:tcPr>
                <w:p w14:paraId="6BD47072">
                  <w:pPr>
                    <w:pStyle w:val="7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c>
                <w:tcPr>
                  <w:tcW w:w="491" w:type="pct"/>
                  <w:vMerge w:val="restart"/>
                  <w:tcBorders>
                    <w:tl2br w:val="nil"/>
                    <w:tr2bl w:val="nil"/>
                  </w:tcBorders>
                  <w:noWrap/>
                  <w:vAlign w:val="center"/>
                </w:tcPr>
                <w:p w14:paraId="1A6D35BD">
                  <w:pPr>
                    <w:pStyle w:val="7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其中</w:t>
                  </w:r>
                </w:p>
              </w:tc>
              <w:tc>
                <w:tcPr>
                  <w:tcW w:w="1564" w:type="pct"/>
                  <w:tcBorders>
                    <w:tl2br w:val="nil"/>
                    <w:tr2bl w:val="nil"/>
                  </w:tcBorders>
                  <w:noWrap/>
                  <w:vAlign w:val="center"/>
                </w:tcPr>
                <w:p w14:paraId="11D2EF52">
                  <w:pPr>
                    <w:pStyle w:val="7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活性炭吸附量</w:t>
                  </w:r>
                </w:p>
              </w:tc>
              <w:tc>
                <w:tcPr>
                  <w:tcW w:w="1194" w:type="pct"/>
                  <w:tcBorders>
                    <w:tl2br w:val="nil"/>
                    <w:tr2bl w:val="nil"/>
                  </w:tcBorders>
                  <w:noWrap/>
                  <w:vAlign w:val="center"/>
                </w:tcPr>
                <w:p w14:paraId="01C11A0A">
                  <w:pPr>
                    <w:pStyle w:val="7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0.868</w:t>
                  </w:r>
                </w:p>
              </w:tc>
            </w:tr>
            <w:tr w14:paraId="01F0D4A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38" w:type="pct"/>
                  <w:vMerge w:val="continue"/>
                  <w:tcBorders>
                    <w:tl2br w:val="nil"/>
                    <w:tr2bl w:val="nil"/>
                  </w:tcBorders>
                  <w:vAlign w:val="center"/>
                </w:tcPr>
                <w:p w14:paraId="355CB813">
                  <w:pPr>
                    <w:pStyle w:val="7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1011" w:type="pct"/>
                  <w:vMerge w:val="continue"/>
                  <w:tcBorders>
                    <w:tl2br w:val="nil"/>
                    <w:tr2bl w:val="nil"/>
                  </w:tcBorders>
                  <w:vAlign w:val="center"/>
                </w:tcPr>
                <w:p w14:paraId="5DE9AF18">
                  <w:pPr>
                    <w:pStyle w:val="7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491" w:type="pct"/>
                  <w:vMerge w:val="continue"/>
                  <w:tcBorders>
                    <w:tl2br w:val="nil"/>
                    <w:tr2bl w:val="nil"/>
                  </w:tcBorders>
                  <w:noWrap/>
                  <w:vAlign w:val="center"/>
                </w:tcPr>
                <w:p w14:paraId="1774771E">
                  <w:pPr>
                    <w:pStyle w:val="7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1564" w:type="pct"/>
                  <w:tcBorders>
                    <w:tl2br w:val="nil"/>
                    <w:tr2bl w:val="nil"/>
                  </w:tcBorders>
                  <w:noWrap/>
                  <w:vAlign w:val="center"/>
                </w:tcPr>
                <w:p w14:paraId="7017FC4B">
                  <w:pPr>
                    <w:pStyle w:val="7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废气排放量</w:t>
                  </w:r>
                </w:p>
              </w:tc>
              <w:tc>
                <w:tcPr>
                  <w:tcW w:w="1194" w:type="pct"/>
                  <w:tcBorders>
                    <w:tl2br w:val="nil"/>
                    <w:tr2bl w:val="nil"/>
                  </w:tcBorders>
                  <w:noWrap/>
                  <w:vAlign w:val="center"/>
                </w:tcPr>
                <w:p w14:paraId="63B85488">
                  <w:pPr>
                    <w:pStyle w:val="7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0.362</w:t>
                  </w:r>
                </w:p>
              </w:tc>
            </w:tr>
            <w:tr w14:paraId="0B9CF47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38" w:type="pct"/>
                  <w:vMerge w:val="continue"/>
                  <w:tcBorders>
                    <w:tl2br w:val="nil"/>
                    <w:tr2bl w:val="nil"/>
                  </w:tcBorders>
                  <w:vAlign w:val="center"/>
                </w:tcPr>
                <w:p w14:paraId="56C4D655">
                  <w:pPr>
                    <w:pStyle w:val="7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1011" w:type="pct"/>
                  <w:vMerge w:val="continue"/>
                  <w:tcBorders>
                    <w:tl2br w:val="nil"/>
                    <w:tr2bl w:val="nil"/>
                  </w:tcBorders>
                  <w:vAlign w:val="center"/>
                </w:tcPr>
                <w:p w14:paraId="2981304A">
                  <w:pPr>
                    <w:pStyle w:val="7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2055" w:type="pct"/>
                  <w:gridSpan w:val="2"/>
                  <w:tcBorders>
                    <w:tl2br w:val="nil"/>
                    <w:tr2bl w:val="nil"/>
                  </w:tcBorders>
                  <w:noWrap/>
                  <w:vAlign w:val="center"/>
                </w:tcPr>
                <w:p w14:paraId="25DEE2F8">
                  <w:pPr>
                    <w:pStyle w:val="7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进入产品</w:t>
                  </w:r>
                </w:p>
              </w:tc>
              <w:tc>
                <w:tcPr>
                  <w:tcW w:w="1194" w:type="pct"/>
                  <w:tcBorders>
                    <w:tl2br w:val="nil"/>
                    <w:tr2bl w:val="nil"/>
                  </w:tcBorders>
                  <w:noWrap/>
                  <w:vAlign w:val="center"/>
                </w:tcPr>
                <w:p w14:paraId="72E347AB">
                  <w:pPr>
                    <w:pStyle w:val="70"/>
                    <w:jc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1228.77</w:t>
                  </w:r>
                </w:p>
              </w:tc>
            </w:tr>
            <w:tr w14:paraId="4D16FDA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38" w:type="pct"/>
                  <w:tcBorders>
                    <w:tl2br w:val="nil"/>
                    <w:tr2bl w:val="nil"/>
                  </w:tcBorders>
                  <w:noWrap/>
                  <w:vAlign w:val="center"/>
                </w:tcPr>
                <w:p w14:paraId="30C93DBF">
                  <w:pPr>
                    <w:pStyle w:val="7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合计</w:t>
                  </w:r>
                </w:p>
              </w:tc>
              <w:tc>
                <w:tcPr>
                  <w:tcW w:w="1011" w:type="pct"/>
                  <w:tcBorders>
                    <w:tl2br w:val="nil"/>
                    <w:tr2bl w:val="nil"/>
                  </w:tcBorders>
                  <w:vAlign w:val="center"/>
                </w:tcPr>
                <w:p w14:paraId="4C963548">
                  <w:pPr>
                    <w:pStyle w:val="7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1230</w:t>
                  </w:r>
                </w:p>
              </w:tc>
              <w:tc>
                <w:tcPr>
                  <w:tcW w:w="2055" w:type="pct"/>
                  <w:gridSpan w:val="2"/>
                  <w:tcBorders>
                    <w:tl2br w:val="nil"/>
                    <w:tr2bl w:val="nil"/>
                  </w:tcBorders>
                  <w:noWrap/>
                  <w:vAlign w:val="center"/>
                </w:tcPr>
                <w:p w14:paraId="036A2E58">
                  <w:pPr>
                    <w:pStyle w:val="7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合计</w:t>
                  </w:r>
                </w:p>
              </w:tc>
              <w:tc>
                <w:tcPr>
                  <w:tcW w:w="1194" w:type="pct"/>
                  <w:tcBorders>
                    <w:tl2br w:val="nil"/>
                    <w:tr2bl w:val="nil"/>
                  </w:tcBorders>
                  <w:noWrap/>
                  <w:vAlign w:val="center"/>
                </w:tcPr>
                <w:p w14:paraId="39D6E0E5">
                  <w:pPr>
                    <w:pStyle w:val="7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1230</w:t>
                  </w:r>
                </w:p>
              </w:tc>
            </w:tr>
          </w:tbl>
          <w:p w14:paraId="444B3F73">
            <w:pPr>
              <w:pStyle w:val="66"/>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482" w:firstLineChars="200"/>
              <w:textAlignment w:val="auto"/>
              <w:rPr>
                <w:rFonts w:hint="eastAsia" w:ascii="Times New Roman" w:hAnsi="Times New Roman" w:eastAsia="宋体" w:cs="Times New Roman"/>
                <w:b/>
                <w:bCs/>
                <w:color w:val="000000" w:themeColor="text1"/>
                <w:lang w:val="en-US" w:eastAsia="zh-CN"/>
                <w14:textFill>
                  <w14:solidFill>
                    <w14:schemeClr w14:val="tx1"/>
                  </w14:solidFill>
                </w14:textFill>
              </w:rPr>
            </w:pPr>
            <w:r>
              <w:rPr>
                <w:rFonts w:hint="eastAsia" w:ascii="Times New Roman" w:hAnsi="Times New Roman" w:eastAsia="宋体" w:cs="Times New Roman"/>
                <w:b/>
                <w:bCs/>
                <w:color w:val="000000" w:themeColor="text1"/>
                <w:lang w:val="en-US" w:eastAsia="zh-CN"/>
                <w14:textFill>
                  <w14:solidFill>
                    <w14:schemeClr w14:val="tx1"/>
                  </w14:solidFill>
                </w14:textFill>
              </w:rPr>
              <w:t>11、物料平衡</w:t>
            </w:r>
          </w:p>
          <w:p w14:paraId="09AB7129">
            <w:pPr>
              <w:pStyle w:val="68"/>
              <w:shd w:val="clear"/>
              <w:rPr>
                <w:rFonts w:hint="default" w:ascii="Times New Roman" w:hAnsi="Times New Roman" w:eastAsia="宋体" w:cs="Times New Roman"/>
                <w:b/>
                <w:bCs/>
                <w:color w:val="000000" w:themeColor="text1"/>
                <w14:textFill>
                  <w14:solidFill>
                    <w14:schemeClr w14:val="tx1"/>
                  </w14:solidFill>
                </w14:textFill>
              </w:rPr>
            </w:pPr>
            <w:r>
              <w:rPr>
                <w:rFonts w:hint="default" w:ascii="Times New Roman" w:hAnsi="Times New Roman" w:eastAsia="宋体" w:cs="Times New Roman"/>
                <w:b/>
                <w:bCs/>
                <w:color w:val="000000" w:themeColor="text1"/>
                <w14:textFill>
                  <w14:solidFill>
                    <w14:schemeClr w14:val="tx1"/>
                  </w14:solidFill>
                </w14:textFill>
              </w:rPr>
              <w:t>表2-</w:t>
            </w:r>
            <w:r>
              <w:rPr>
                <w:rFonts w:hint="eastAsia" w:eastAsia="宋体" w:cs="Times New Roman"/>
                <w:b/>
                <w:bCs/>
                <w:color w:val="000000" w:themeColor="text1"/>
                <w:lang w:val="en-US" w:eastAsia="zh-CN"/>
                <w14:textFill>
                  <w14:solidFill>
                    <w14:schemeClr w14:val="tx1"/>
                  </w14:solidFill>
                </w14:textFill>
              </w:rPr>
              <w:t>10</w:t>
            </w:r>
            <w:r>
              <w:rPr>
                <w:rFonts w:hint="default" w:ascii="Times New Roman" w:hAnsi="Times New Roman" w:eastAsia="宋体" w:cs="Times New Roman"/>
                <w:b/>
                <w:bCs/>
                <w:color w:val="000000" w:themeColor="text1"/>
                <w14:textFill>
                  <w14:solidFill>
                    <w14:schemeClr w14:val="tx1"/>
                  </w14:solidFill>
                </w14:textFill>
              </w:rPr>
              <w:t xml:space="preserve"> 项目</w:t>
            </w:r>
            <w:r>
              <w:rPr>
                <w:rFonts w:hint="eastAsia" w:ascii="Times New Roman" w:hAnsi="Times New Roman" w:eastAsia="宋体" w:cs="Times New Roman"/>
                <w:b/>
                <w:bCs/>
                <w:color w:val="000000" w:themeColor="text1"/>
                <w:lang w:val="en-US" w:eastAsia="zh-CN"/>
                <w14:textFill>
                  <w14:solidFill>
                    <w14:schemeClr w14:val="tx1"/>
                  </w14:solidFill>
                </w14:textFill>
              </w:rPr>
              <w:t>物料</w:t>
            </w:r>
            <w:r>
              <w:rPr>
                <w:rFonts w:hint="default" w:ascii="Times New Roman" w:hAnsi="Times New Roman" w:eastAsia="宋体" w:cs="Times New Roman"/>
                <w:b/>
                <w:bCs/>
                <w:color w:val="000000" w:themeColor="text1"/>
                <w14:textFill>
                  <w14:solidFill>
                    <w14:schemeClr w14:val="tx1"/>
                  </w14:solidFill>
                </w14:textFill>
              </w:rPr>
              <w:t>平衡</w:t>
            </w:r>
          </w:p>
          <w:tbl>
            <w:tblPr>
              <w:tblStyle w:val="41"/>
              <w:tblW w:w="4996"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1162"/>
              <w:gridCol w:w="1591"/>
              <w:gridCol w:w="859"/>
              <w:gridCol w:w="2375"/>
              <w:gridCol w:w="1879"/>
            </w:tblGrid>
            <w:tr w14:paraId="2A045A7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blHeader/>
                <w:jc w:val="center"/>
              </w:trPr>
              <w:tc>
                <w:tcPr>
                  <w:tcW w:w="1749" w:type="pct"/>
                  <w:gridSpan w:val="2"/>
                  <w:tcBorders>
                    <w:tl2br w:val="nil"/>
                    <w:tr2bl w:val="nil"/>
                  </w:tcBorders>
                  <w:vAlign w:val="center"/>
                </w:tcPr>
                <w:p w14:paraId="69D03878">
                  <w:pPr>
                    <w:pStyle w:val="70"/>
                    <w:shd w:val="clear"/>
                    <w:spacing w:line="240" w:lineRule="auto"/>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输  入</w:t>
                  </w:r>
                </w:p>
              </w:tc>
              <w:tc>
                <w:tcPr>
                  <w:tcW w:w="3250" w:type="pct"/>
                  <w:gridSpan w:val="3"/>
                  <w:tcBorders>
                    <w:tl2br w:val="nil"/>
                    <w:tr2bl w:val="nil"/>
                  </w:tcBorders>
                  <w:vAlign w:val="center"/>
                </w:tcPr>
                <w:p w14:paraId="0BEF0F47">
                  <w:pPr>
                    <w:pStyle w:val="70"/>
                    <w:shd w:val="clear"/>
                    <w:spacing w:line="240" w:lineRule="auto"/>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输 出</w:t>
                  </w:r>
                </w:p>
              </w:tc>
            </w:tr>
            <w:tr w14:paraId="44F4CE7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blHeader/>
                <w:jc w:val="center"/>
              </w:trPr>
              <w:tc>
                <w:tcPr>
                  <w:tcW w:w="738" w:type="pct"/>
                  <w:tcBorders>
                    <w:tl2br w:val="nil"/>
                    <w:tr2bl w:val="nil"/>
                  </w:tcBorders>
                  <w:vAlign w:val="center"/>
                </w:tcPr>
                <w:p w14:paraId="169CB775">
                  <w:pPr>
                    <w:pStyle w:val="70"/>
                    <w:shd w:val="clear"/>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物料名称</w:t>
                  </w:r>
                </w:p>
              </w:tc>
              <w:tc>
                <w:tcPr>
                  <w:tcW w:w="1011" w:type="pct"/>
                  <w:tcBorders>
                    <w:tl2br w:val="nil"/>
                    <w:tr2bl w:val="nil"/>
                  </w:tcBorders>
                  <w:vAlign w:val="center"/>
                </w:tcPr>
                <w:p w14:paraId="5B795971">
                  <w:pPr>
                    <w:pStyle w:val="70"/>
                    <w:shd w:val="clear"/>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投入量（t/a）</w:t>
                  </w:r>
                </w:p>
              </w:tc>
              <w:tc>
                <w:tcPr>
                  <w:tcW w:w="2055" w:type="pct"/>
                  <w:gridSpan w:val="2"/>
                  <w:tcBorders>
                    <w:tl2br w:val="nil"/>
                    <w:tr2bl w:val="nil"/>
                  </w:tcBorders>
                  <w:vAlign w:val="center"/>
                </w:tcPr>
                <w:p w14:paraId="11EC44D9">
                  <w:pPr>
                    <w:pStyle w:val="7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产出项目</w:t>
                  </w:r>
                </w:p>
              </w:tc>
              <w:tc>
                <w:tcPr>
                  <w:tcW w:w="1194" w:type="pct"/>
                  <w:tcBorders>
                    <w:tl2br w:val="nil"/>
                    <w:tr2bl w:val="nil"/>
                  </w:tcBorders>
                  <w:vAlign w:val="center"/>
                </w:tcPr>
                <w:p w14:paraId="64719152">
                  <w:pPr>
                    <w:pStyle w:val="7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产出量（t/a）</w:t>
                  </w:r>
                </w:p>
              </w:tc>
            </w:tr>
            <w:tr w14:paraId="5ACF5C9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38" w:type="pct"/>
                  <w:tcBorders>
                    <w:tl2br w:val="nil"/>
                    <w:tr2bl w:val="nil"/>
                  </w:tcBorders>
                  <w:shd w:val="clear" w:color="auto" w:fill="auto"/>
                  <w:vAlign w:val="center"/>
                </w:tcPr>
                <w:p w14:paraId="4A30A3CD">
                  <w:pPr>
                    <w:pStyle w:val="70"/>
                    <w:spacing w:line="240" w:lineRule="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olor w:val="000000" w:themeColor="text1"/>
                      <w:sz w:val="21"/>
                      <w:szCs w:val="21"/>
                      <w14:textFill>
                        <w14:solidFill>
                          <w14:schemeClr w14:val="tx1"/>
                        </w14:solidFill>
                      </w14:textFill>
                    </w:rPr>
                    <w:t>磷酸铁锂</w:t>
                  </w:r>
                </w:p>
              </w:tc>
              <w:tc>
                <w:tcPr>
                  <w:tcW w:w="1011" w:type="pct"/>
                  <w:tcBorders>
                    <w:tl2br w:val="nil"/>
                    <w:tr2bl w:val="nil"/>
                  </w:tcBorders>
                  <w:shd w:val="clear" w:color="auto" w:fill="auto"/>
                  <w:vAlign w:val="center"/>
                </w:tcPr>
                <w:p w14:paraId="65A0BDCC">
                  <w:pPr>
                    <w:pStyle w:val="70"/>
                    <w:spacing w:line="240" w:lineRule="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ascii="Times New Roman" w:hAnsi="Times New Roman" w:eastAsia="等线" w:cs="Times New Roman"/>
                      <w:color w:val="000000" w:themeColor="text1"/>
                      <w:sz w:val="21"/>
                      <w:szCs w:val="21"/>
                      <w14:textFill>
                        <w14:solidFill>
                          <w14:schemeClr w14:val="tx1"/>
                        </w14:solidFill>
                      </w14:textFill>
                    </w:rPr>
                    <w:t>824.2</w:t>
                  </w:r>
                </w:p>
              </w:tc>
              <w:tc>
                <w:tcPr>
                  <w:tcW w:w="2055" w:type="pct"/>
                  <w:gridSpan w:val="2"/>
                  <w:tcBorders>
                    <w:tl2br w:val="nil"/>
                    <w:tr2bl w:val="nil"/>
                  </w:tcBorders>
                  <w:shd w:val="clear" w:color="auto" w:fill="auto"/>
                  <w:noWrap/>
                  <w:vAlign w:val="center"/>
                </w:tcPr>
                <w:p w14:paraId="46803947">
                  <w:pPr>
                    <w:pStyle w:val="70"/>
                    <w:jc w:val="cente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进入产品</w:t>
                  </w:r>
                </w:p>
              </w:tc>
              <w:tc>
                <w:tcPr>
                  <w:tcW w:w="1194" w:type="pct"/>
                  <w:tcBorders>
                    <w:tl2br w:val="nil"/>
                    <w:tr2bl w:val="nil"/>
                  </w:tcBorders>
                  <w:shd w:val="clear" w:color="auto" w:fill="auto"/>
                  <w:noWrap/>
                  <w:vAlign w:val="center"/>
                </w:tcPr>
                <w:p w14:paraId="760098ED">
                  <w:pPr>
                    <w:pStyle w:val="70"/>
                    <w:jc w:val="cente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5401.839</w:t>
                  </w:r>
                </w:p>
              </w:tc>
            </w:tr>
            <w:tr w14:paraId="1BA168A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38" w:type="pct"/>
                  <w:tcBorders>
                    <w:tl2br w:val="nil"/>
                    <w:tr2bl w:val="nil"/>
                  </w:tcBorders>
                  <w:shd w:val="clear" w:color="auto" w:fill="auto"/>
                  <w:vAlign w:val="center"/>
                </w:tcPr>
                <w:p w14:paraId="2F8BED8A">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olor w:val="000000" w:themeColor="text1"/>
                      <w:sz w:val="21"/>
                      <w:szCs w:val="21"/>
                      <w14:textFill>
                        <w14:solidFill>
                          <w14:schemeClr w14:val="tx1"/>
                        </w14:solidFill>
                      </w14:textFill>
                    </w:rPr>
                    <w:t>镍钴锰酸锂</w:t>
                  </w:r>
                </w:p>
              </w:tc>
              <w:tc>
                <w:tcPr>
                  <w:tcW w:w="1011" w:type="pct"/>
                  <w:tcBorders>
                    <w:tl2br w:val="nil"/>
                    <w:tr2bl w:val="nil"/>
                  </w:tcBorders>
                  <w:shd w:val="clear" w:color="auto" w:fill="auto"/>
                  <w:vAlign w:val="center"/>
                </w:tcPr>
                <w:p w14:paraId="4F2786CA">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ascii="Times New Roman" w:hAnsi="Times New Roman" w:eastAsia="等线" w:cs="Times New Roman"/>
                      <w:color w:val="000000" w:themeColor="text1"/>
                      <w:sz w:val="21"/>
                      <w:szCs w:val="21"/>
                      <w14:textFill>
                        <w14:solidFill>
                          <w14:schemeClr w14:val="tx1"/>
                        </w14:solidFill>
                      </w14:textFill>
                    </w:rPr>
                    <w:t>982.8</w:t>
                  </w:r>
                </w:p>
              </w:tc>
              <w:tc>
                <w:tcPr>
                  <w:tcW w:w="2055" w:type="pct"/>
                  <w:gridSpan w:val="2"/>
                  <w:tcBorders>
                    <w:tl2br w:val="nil"/>
                    <w:tr2bl w:val="nil"/>
                  </w:tcBorders>
                  <w:shd w:val="clear" w:color="auto" w:fill="auto"/>
                  <w:noWrap/>
                  <w:vAlign w:val="center"/>
                </w:tcPr>
                <w:p w14:paraId="73EB9FAF">
                  <w:pPr>
                    <w:pStyle w:val="70"/>
                    <w:shd w:val="clear"/>
                    <w:jc w:val="cente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涂布烘干废气</w:t>
                  </w:r>
                </w:p>
              </w:tc>
              <w:tc>
                <w:tcPr>
                  <w:tcW w:w="1194" w:type="pct"/>
                  <w:tcBorders>
                    <w:tl2br w:val="nil"/>
                    <w:tr2bl w:val="nil"/>
                  </w:tcBorders>
                  <w:shd w:val="clear" w:color="auto" w:fill="auto"/>
                  <w:noWrap/>
                  <w:vAlign w:val="center"/>
                </w:tcPr>
                <w:p w14:paraId="1BAAC4B3">
                  <w:pPr>
                    <w:pStyle w:val="70"/>
                    <w:jc w:val="cente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1456.2</w:t>
                  </w:r>
                </w:p>
              </w:tc>
            </w:tr>
            <w:tr w14:paraId="1034E95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738" w:type="pct"/>
                  <w:tcBorders>
                    <w:tl2br w:val="nil"/>
                    <w:tr2bl w:val="nil"/>
                  </w:tcBorders>
                  <w:vAlign w:val="center"/>
                </w:tcPr>
                <w:p w14:paraId="47412857">
                  <w:pPr>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聚偏二氟乙烯</w:t>
                  </w:r>
                </w:p>
              </w:tc>
              <w:tc>
                <w:tcPr>
                  <w:tcW w:w="1011" w:type="pct"/>
                  <w:tcBorders>
                    <w:tl2br w:val="nil"/>
                    <w:tr2bl w:val="nil"/>
                  </w:tcBorders>
                  <w:vAlign w:val="center"/>
                </w:tcPr>
                <w:p w14:paraId="0F4ECAC9">
                  <w:pPr>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54.1</w:t>
                  </w:r>
                </w:p>
              </w:tc>
              <w:tc>
                <w:tcPr>
                  <w:tcW w:w="546" w:type="pct"/>
                  <w:vMerge w:val="restart"/>
                  <w:tcBorders>
                    <w:tl2br w:val="nil"/>
                    <w:tr2bl w:val="nil"/>
                  </w:tcBorders>
                  <w:noWrap/>
                  <w:vAlign w:val="center"/>
                </w:tcPr>
                <w:p w14:paraId="1C9F16B3">
                  <w:pPr>
                    <w:pStyle w:val="70"/>
                    <w:shd w:val="clear"/>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其中</w:t>
                  </w:r>
                </w:p>
              </w:tc>
              <w:tc>
                <w:tcPr>
                  <w:tcW w:w="1509" w:type="pct"/>
                  <w:tcBorders>
                    <w:tl2br w:val="nil"/>
                    <w:tr2bl w:val="nil"/>
                  </w:tcBorders>
                  <w:noWrap/>
                  <w:vAlign w:val="center"/>
                </w:tcPr>
                <w:p w14:paraId="7D61EB93">
                  <w:pPr>
                    <w:pStyle w:val="70"/>
                    <w:shd w:val="clear"/>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回收量（未考虑冷凝回收过程带入水分）</w:t>
                  </w:r>
                </w:p>
              </w:tc>
              <w:tc>
                <w:tcPr>
                  <w:tcW w:w="1194" w:type="pct"/>
                  <w:tcBorders>
                    <w:tl2br w:val="nil"/>
                    <w:tr2bl w:val="nil"/>
                  </w:tcBorders>
                  <w:noWrap/>
                  <w:vAlign w:val="center"/>
                </w:tcPr>
                <w:p w14:paraId="13743F25">
                  <w:pPr>
                    <w:pStyle w:val="7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1454.74</w:t>
                  </w:r>
                </w:p>
              </w:tc>
            </w:tr>
            <w:tr w14:paraId="79BBC7D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0" w:hRule="atLeast"/>
                <w:jc w:val="center"/>
              </w:trPr>
              <w:tc>
                <w:tcPr>
                  <w:tcW w:w="738" w:type="pct"/>
                  <w:tcBorders>
                    <w:tl2br w:val="nil"/>
                    <w:tr2bl w:val="nil"/>
                  </w:tcBorders>
                  <w:vAlign w:val="center"/>
                </w:tcPr>
                <w:p w14:paraId="5B5EE950">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olor w:val="000000" w:themeColor="text1"/>
                      <w:sz w:val="21"/>
                      <w:szCs w:val="21"/>
                      <w14:textFill>
                        <w14:solidFill>
                          <w14:schemeClr w14:val="tx1"/>
                        </w14:solidFill>
                      </w14:textFill>
                    </w:rPr>
                    <w:t>人造石墨</w:t>
                  </w:r>
                </w:p>
              </w:tc>
              <w:tc>
                <w:tcPr>
                  <w:tcW w:w="1011" w:type="pct"/>
                  <w:tcBorders>
                    <w:tl2br w:val="nil"/>
                    <w:tr2bl w:val="nil"/>
                  </w:tcBorders>
                  <w:vAlign w:val="center"/>
                </w:tcPr>
                <w:p w14:paraId="6984ECE7">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ascii="Times New Roman" w:hAnsi="Times New Roman" w:eastAsia="等线" w:cs="Times New Roman"/>
                      <w:color w:val="000000" w:themeColor="text1"/>
                      <w:sz w:val="21"/>
                      <w:szCs w:val="21"/>
                      <w14:textFill>
                        <w14:solidFill>
                          <w14:schemeClr w14:val="tx1"/>
                        </w14:solidFill>
                      </w14:textFill>
                    </w:rPr>
                    <w:t>1117.2</w:t>
                  </w:r>
                </w:p>
              </w:tc>
              <w:tc>
                <w:tcPr>
                  <w:tcW w:w="546" w:type="pct"/>
                  <w:vMerge w:val="continue"/>
                  <w:tcBorders>
                    <w:tl2br w:val="nil"/>
                    <w:tr2bl w:val="nil"/>
                  </w:tcBorders>
                  <w:noWrap/>
                  <w:vAlign w:val="center"/>
                </w:tcPr>
                <w:p w14:paraId="51543828">
                  <w:pPr>
                    <w:pStyle w:val="70"/>
                    <w:shd w:val="clear"/>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1509" w:type="pct"/>
                  <w:tcBorders>
                    <w:tl2br w:val="nil"/>
                    <w:tr2bl w:val="nil"/>
                  </w:tcBorders>
                  <w:noWrap/>
                  <w:vAlign w:val="center"/>
                </w:tcPr>
                <w:p w14:paraId="4E372424">
                  <w:pPr>
                    <w:pStyle w:val="70"/>
                    <w:shd w:val="clear"/>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废气排放量</w:t>
                  </w:r>
                </w:p>
              </w:tc>
              <w:tc>
                <w:tcPr>
                  <w:tcW w:w="1194" w:type="pct"/>
                  <w:tcBorders>
                    <w:tl2br w:val="nil"/>
                    <w:tr2bl w:val="nil"/>
                  </w:tcBorders>
                  <w:noWrap/>
                  <w:vAlign w:val="center"/>
                </w:tcPr>
                <w:p w14:paraId="1BF2CE27">
                  <w:pPr>
                    <w:pStyle w:val="70"/>
                    <w:jc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1.46</w:t>
                  </w:r>
                </w:p>
              </w:tc>
            </w:tr>
            <w:tr w14:paraId="4C3A760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0" w:hRule="atLeast"/>
                <w:jc w:val="center"/>
              </w:trPr>
              <w:tc>
                <w:tcPr>
                  <w:tcW w:w="738" w:type="pct"/>
                  <w:tcBorders>
                    <w:tl2br w:val="nil"/>
                    <w:tr2bl w:val="nil"/>
                  </w:tcBorders>
                  <w:vAlign w:val="center"/>
                </w:tcPr>
                <w:p w14:paraId="15251B2C">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碳纳米管/NMP</w:t>
                  </w:r>
                </w:p>
              </w:tc>
              <w:tc>
                <w:tcPr>
                  <w:tcW w:w="1011" w:type="pct"/>
                  <w:tcBorders>
                    <w:tl2br w:val="nil"/>
                    <w:tr2bl w:val="nil"/>
                  </w:tcBorders>
                  <w:vAlign w:val="center"/>
                </w:tcPr>
                <w:p w14:paraId="33972F55">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等线" w:cs="Times New Roman"/>
                      <w:color w:val="000000" w:themeColor="text1"/>
                      <w:sz w:val="21"/>
                      <w:szCs w:val="21"/>
                      <w14:textFill>
                        <w14:solidFill>
                          <w14:schemeClr w14:val="tx1"/>
                        </w14:solidFill>
                      </w14:textFill>
                    </w:rPr>
                    <w:t>282.2</w:t>
                  </w:r>
                </w:p>
              </w:tc>
              <w:tc>
                <w:tcPr>
                  <w:tcW w:w="2055" w:type="pct"/>
                  <w:gridSpan w:val="2"/>
                  <w:tcBorders>
                    <w:tl2br w:val="nil"/>
                    <w:tr2bl w:val="nil"/>
                  </w:tcBorders>
                  <w:noWrap/>
                  <w:vAlign w:val="center"/>
                </w:tcPr>
                <w:p w14:paraId="02BC55D5">
                  <w:pPr>
                    <w:pStyle w:val="70"/>
                    <w:shd w:val="clear"/>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注液</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废气</w:t>
                  </w:r>
                </w:p>
              </w:tc>
              <w:tc>
                <w:tcPr>
                  <w:tcW w:w="1194" w:type="pct"/>
                  <w:tcBorders>
                    <w:tl2br w:val="nil"/>
                    <w:tr2bl w:val="nil"/>
                  </w:tcBorders>
                  <w:noWrap/>
                  <w:vAlign w:val="center"/>
                </w:tcPr>
                <w:p w14:paraId="230D29D0">
                  <w:pPr>
                    <w:pStyle w:val="70"/>
                    <w:shd w:val="clear"/>
                    <w:jc w:val="center"/>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1.23</w:t>
                  </w:r>
                </w:p>
              </w:tc>
            </w:tr>
            <w:tr w14:paraId="7D35A3F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0" w:hRule="atLeast"/>
                <w:jc w:val="center"/>
              </w:trPr>
              <w:tc>
                <w:tcPr>
                  <w:tcW w:w="738" w:type="pct"/>
                  <w:tcBorders>
                    <w:tl2br w:val="nil"/>
                    <w:tr2bl w:val="nil"/>
                  </w:tcBorders>
                  <w:vAlign w:val="center"/>
                </w:tcPr>
                <w:p w14:paraId="041D1630">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隔膜</w:t>
                  </w:r>
                </w:p>
              </w:tc>
              <w:tc>
                <w:tcPr>
                  <w:tcW w:w="1011" w:type="pct"/>
                  <w:tcBorders>
                    <w:tl2br w:val="nil"/>
                    <w:tr2bl w:val="nil"/>
                  </w:tcBorders>
                  <w:vAlign w:val="center"/>
                </w:tcPr>
                <w:p w14:paraId="62BCDD7A">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eastAsia="等线" w:cs="Times New Roman"/>
                      <w:color w:val="000000" w:themeColor="text1"/>
                      <w:sz w:val="21"/>
                      <w:szCs w:val="21"/>
                      <w:lang w:val="en-US" w:eastAsia="zh-CN"/>
                      <w14:textFill>
                        <w14:solidFill>
                          <w14:schemeClr w14:val="tx1"/>
                        </w14:solidFill>
                      </w14:textFill>
                    </w:rPr>
                    <w:t>160</w:t>
                  </w:r>
                </w:p>
              </w:tc>
              <w:tc>
                <w:tcPr>
                  <w:tcW w:w="2055" w:type="pct"/>
                  <w:gridSpan w:val="2"/>
                  <w:tcBorders>
                    <w:tl2br w:val="nil"/>
                    <w:tr2bl w:val="nil"/>
                  </w:tcBorders>
                  <w:noWrap/>
                  <w:vAlign w:val="center"/>
                </w:tcPr>
                <w:p w14:paraId="238CEDC1">
                  <w:pPr>
                    <w:pStyle w:val="70"/>
                    <w:shd w:val="clear"/>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投料粉尘</w:t>
                  </w:r>
                </w:p>
              </w:tc>
              <w:tc>
                <w:tcPr>
                  <w:tcW w:w="1194" w:type="pct"/>
                  <w:tcBorders>
                    <w:tl2br w:val="nil"/>
                    <w:tr2bl w:val="nil"/>
                  </w:tcBorders>
                  <w:noWrap/>
                  <w:vAlign w:val="center"/>
                </w:tcPr>
                <w:p w14:paraId="52809BA5">
                  <w:pPr>
                    <w:pStyle w:val="70"/>
                    <w:shd w:val="clear"/>
                    <w:jc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0.066</w:t>
                  </w:r>
                </w:p>
              </w:tc>
            </w:tr>
            <w:tr w14:paraId="3BA5645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0" w:hRule="atLeast"/>
                <w:jc w:val="center"/>
              </w:trPr>
              <w:tc>
                <w:tcPr>
                  <w:tcW w:w="738" w:type="pct"/>
                  <w:tcBorders>
                    <w:tl2br w:val="nil"/>
                    <w:tr2bl w:val="nil"/>
                  </w:tcBorders>
                  <w:vAlign w:val="center"/>
                </w:tcPr>
                <w:p w14:paraId="666F210B">
                  <w:pPr>
                    <w:pStyle w:val="70"/>
                    <w:shd w:val="clear"/>
                    <w:jc w:val="center"/>
                    <w:rPr>
                      <w:rFonts w:hint="default"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电解液</w:t>
                  </w:r>
                </w:p>
              </w:tc>
              <w:tc>
                <w:tcPr>
                  <w:tcW w:w="1011" w:type="pct"/>
                  <w:tcBorders>
                    <w:tl2br w:val="nil"/>
                    <w:tr2bl w:val="nil"/>
                  </w:tcBorders>
                  <w:vAlign w:val="center"/>
                </w:tcPr>
                <w:p w14:paraId="0FB57212">
                  <w:pPr>
                    <w:pStyle w:val="70"/>
                    <w:shd w:val="clear"/>
                    <w:jc w:val="center"/>
                    <w:rPr>
                      <w:rFonts w:hint="default" w:cs="Times New Roman"/>
                      <w:color w:val="000000" w:themeColor="text1"/>
                      <w:sz w:val="21"/>
                      <w:szCs w:val="21"/>
                      <w:lang w:val="en-US" w:eastAsia="zh-CN"/>
                      <w14:textFill>
                        <w14:solidFill>
                          <w14:schemeClr w14:val="tx1"/>
                        </w14:solidFill>
                      </w14:textFill>
                    </w:rPr>
                  </w:pPr>
                  <w:r>
                    <w:rPr>
                      <w:rFonts w:hint="default" w:ascii="Times New Roman" w:hAnsi="Times New Roman" w:eastAsia="等线" w:cs="Times New Roman"/>
                      <w:color w:val="000000" w:themeColor="text1"/>
                      <w:sz w:val="21"/>
                      <w:szCs w:val="21"/>
                      <w14:textFill>
                        <w14:solidFill>
                          <w14:schemeClr w14:val="tx1"/>
                        </w14:solidFill>
                      </w14:textFill>
                    </w:rPr>
                    <w:t>1230</w:t>
                  </w:r>
                </w:p>
              </w:tc>
              <w:tc>
                <w:tcPr>
                  <w:tcW w:w="2055" w:type="pct"/>
                  <w:gridSpan w:val="2"/>
                  <w:tcBorders>
                    <w:tl2br w:val="nil"/>
                    <w:tr2bl w:val="nil"/>
                  </w:tcBorders>
                  <w:shd w:val="clear" w:color="auto" w:fill="auto"/>
                  <w:noWrap/>
                  <w:vAlign w:val="center"/>
                </w:tcPr>
                <w:p w14:paraId="495BD1DE">
                  <w:pPr>
                    <w:pStyle w:val="70"/>
                    <w:shd w:val="clear"/>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废边角料</w:t>
                  </w:r>
                </w:p>
              </w:tc>
              <w:tc>
                <w:tcPr>
                  <w:tcW w:w="1194" w:type="pct"/>
                  <w:tcBorders>
                    <w:tl2br w:val="nil"/>
                    <w:tr2bl w:val="nil"/>
                  </w:tcBorders>
                  <w:shd w:val="clear" w:color="auto" w:fill="auto"/>
                  <w:noWrap/>
                  <w:vAlign w:val="center"/>
                </w:tcPr>
                <w:p w14:paraId="5471B443">
                  <w:pPr>
                    <w:pStyle w:val="70"/>
                    <w:shd w:val="clear"/>
                    <w:jc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0.2</w:t>
                  </w:r>
                </w:p>
              </w:tc>
            </w:tr>
            <w:tr w14:paraId="59EFC90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0" w:hRule="atLeast"/>
                <w:jc w:val="center"/>
              </w:trPr>
              <w:tc>
                <w:tcPr>
                  <w:tcW w:w="738" w:type="pct"/>
                  <w:tcBorders>
                    <w:tl2br w:val="nil"/>
                    <w:tr2bl w:val="nil"/>
                  </w:tcBorders>
                  <w:vAlign w:val="center"/>
                </w:tcPr>
                <w:p w14:paraId="7D7253C1">
                  <w:pPr>
                    <w:pStyle w:val="70"/>
                    <w:shd w:val="clear"/>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铝塑膜</w:t>
                  </w:r>
                </w:p>
              </w:tc>
              <w:tc>
                <w:tcPr>
                  <w:tcW w:w="1011" w:type="pct"/>
                  <w:tcBorders>
                    <w:tl2br w:val="nil"/>
                    <w:tr2bl w:val="nil"/>
                  </w:tcBorders>
                  <w:vAlign w:val="center"/>
                </w:tcPr>
                <w:p w14:paraId="2E69DB74">
                  <w:pPr>
                    <w:pStyle w:val="70"/>
                    <w:shd w:val="clear"/>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158.7</w:t>
                  </w:r>
                </w:p>
              </w:tc>
              <w:tc>
                <w:tcPr>
                  <w:tcW w:w="2055" w:type="pct"/>
                  <w:gridSpan w:val="2"/>
                  <w:tcBorders>
                    <w:tl2br w:val="nil"/>
                    <w:tr2bl w:val="nil"/>
                  </w:tcBorders>
                  <w:shd w:val="clear" w:color="auto" w:fill="auto"/>
                  <w:noWrap/>
                  <w:vAlign w:val="center"/>
                </w:tcPr>
                <w:p w14:paraId="40452F2A">
                  <w:pPr>
                    <w:pStyle w:val="70"/>
                    <w:shd w:val="clear"/>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废隔膜、废极片</w:t>
                  </w:r>
                </w:p>
              </w:tc>
              <w:tc>
                <w:tcPr>
                  <w:tcW w:w="1194" w:type="pct"/>
                  <w:tcBorders>
                    <w:tl2br w:val="nil"/>
                    <w:tr2bl w:val="nil"/>
                  </w:tcBorders>
                  <w:shd w:val="clear" w:color="auto" w:fill="auto"/>
                  <w:noWrap/>
                  <w:vAlign w:val="center"/>
                </w:tcPr>
                <w:p w14:paraId="36B73C5E">
                  <w:pPr>
                    <w:pStyle w:val="70"/>
                    <w:shd w:val="clear"/>
                    <w:jc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0.565</w:t>
                  </w:r>
                </w:p>
              </w:tc>
            </w:tr>
            <w:tr w14:paraId="5B6CD7A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0" w:hRule="atLeast"/>
                <w:jc w:val="center"/>
              </w:trPr>
              <w:tc>
                <w:tcPr>
                  <w:tcW w:w="738" w:type="pct"/>
                  <w:tcBorders>
                    <w:tl2br w:val="nil"/>
                    <w:tr2bl w:val="nil"/>
                  </w:tcBorders>
                  <w:vAlign w:val="center"/>
                </w:tcPr>
                <w:p w14:paraId="470D1A50">
                  <w:pPr>
                    <w:pStyle w:val="70"/>
                    <w:shd w:val="clear"/>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正极耳</w:t>
                  </w:r>
                </w:p>
              </w:tc>
              <w:tc>
                <w:tcPr>
                  <w:tcW w:w="1011" w:type="pct"/>
                  <w:tcBorders>
                    <w:tl2br w:val="nil"/>
                    <w:tr2bl w:val="nil"/>
                  </w:tcBorders>
                  <w:vAlign w:val="center"/>
                </w:tcPr>
                <w:p w14:paraId="0CDF90A4">
                  <w:pPr>
                    <w:pStyle w:val="70"/>
                    <w:shd w:val="clear"/>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22.5</w:t>
                  </w:r>
                </w:p>
              </w:tc>
              <w:tc>
                <w:tcPr>
                  <w:tcW w:w="2055" w:type="pct"/>
                  <w:gridSpan w:val="2"/>
                  <w:tcBorders>
                    <w:tl2br w:val="nil"/>
                    <w:tr2bl w:val="nil"/>
                  </w:tcBorders>
                  <w:shd w:val="clear" w:color="auto" w:fill="auto"/>
                  <w:noWrap/>
                  <w:vAlign w:val="center"/>
                </w:tcPr>
                <w:p w14:paraId="06FE6427">
                  <w:pPr>
                    <w:pStyle w:val="70"/>
                    <w:shd w:val="clear"/>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废NMP包装桶</w:t>
                  </w:r>
                </w:p>
              </w:tc>
              <w:tc>
                <w:tcPr>
                  <w:tcW w:w="1194" w:type="pct"/>
                  <w:tcBorders>
                    <w:tl2br w:val="nil"/>
                    <w:tr2bl w:val="nil"/>
                  </w:tcBorders>
                  <w:shd w:val="clear" w:color="auto" w:fill="auto"/>
                  <w:noWrap/>
                  <w:vAlign w:val="center"/>
                </w:tcPr>
                <w:p w14:paraId="2E6DB6C5">
                  <w:pPr>
                    <w:pStyle w:val="70"/>
                    <w:shd w:val="clear"/>
                    <w:jc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3</w:t>
                  </w:r>
                </w:p>
              </w:tc>
            </w:tr>
            <w:tr w14:paraId="71B2735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0" w:hRule="atLeast"/>
                <w:jc w:val="center"/>
              </w:trPr>
              <w:tc>
                <w:tcPr>
                  <w:tcW w:w="738" w:type="pct"/>
                  <w:tcBorders>
                    <w:tl2br w:val="nil"/>
                    <w:tr2bl w:val="nil"/>
                  </w:tcBorders>
                  <w:vAlign w:val="center"/>
                </w:tcPr>
                <w:p w14:paraId="4C4F7EA9">
                  <w:pPr>
                    <w:pStyle w:val="70"/>
                    <w:shd w:val="clear"/>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负极耳</w:t>
                  </w:r>
                </w:p>
              </w:tc>
              <w:tc>
                <w:tcPr>
                  <w:tcW w:w="1011" w:type="pct"/>
                  <w:tcBorders>
                    <w:tl2br w:val="nil"/>
                    <w:tr2bl w:val="nil"/>
                  </w:tcBorders>
                  <w:vAlign w:val="center"/>
                </w:tcPr>
                <w:p w14:paraId="1B1414B9">
                  <w:pPr>
                    <w:pStyle w:val="70"/>
                    <w:shd w:val="clear"/>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22.5</w:t>
                  </w:r>
                </w:p>
              </w:tc>
              <w:tc>
                <w:tcPr>
                  <w:tcW w:w="2055" w:type="pct"/>
                  <w:gridSpan w:val="2"/>
                  <w:tcBorders>
                    <w:tl2br w:val="nil"/>
                    <w:tr2bl w:val="nil"/>
                  </w:tcBorders>
                  <w:shd w:val="clear" w:color="auto" w:fill="auto"/>
                  <w:noWrap/>
                  <w:vAlign w:val="center"/>
                </w:tcPr>
                <w:p w14:paraId="7966BAB7">
                  <w:pPr>
                    <w:pStyle w:val="70"/>
                    <w:shd w:val="clear"/>
                    <w:jc w:val="cente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不合格品</w:t>
                  </w:r>
                </w:p>
              </w:tc>
              <w:tc>
                <w:tcPr>
                  <w:tcW w:w="1194" w:type="pct"/>
                  <w:tcBorders>
                    <w:tl2br w:val="nil"/>
                    <w:tr2bl w:val="nil"/>
                  </w:tcBorders>
                  <w:shd w:val="clear" w:color="auto" w:fill="auto"/>
                  <w:noWrap/>
                  <w:vAlign w:val="center"/>
                </w:tcPr>
                <w:p w14:paraId="504B0EE1">
                  <w:pPr>
                    <w:pStyle w:val="70"/>
                    <w:shd w:val="clear"/>
                    <w:jc w:val="cente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0.7</w:t>
                  </w:r>
                </w:p>
              </w:tc>
            </w:tr>
            <w:tr w14:paraId="0A6D2D1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0" w:hRule="atLeast"/>
                <w:jc w:val="center"/>
              </w:trPr>
              <w:tc>
                <w:tcPr>
                  <w:tcW w:w="738" w:type="pct"/>
                  <w:tcBorders>
                    <w:tl2br w:val="nil"/>
                    <w:tr2bl w:val="nil"/>
                  </w:tcBorders>
                  <w:vAlign w:val="center"/>
                </w:tcPr>
                <w:p w14:paraId="5CF3B5F3">
                  <w:pPr>
                    <w:pStyle w:val="70"/>
                    <w:shd w:val="clea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N-甲基吡咯烷酮</w:t>
                  </w:r>
                </w:p>
              </w:tc>
              <w:tc>
                <w:tcPr>
                  <w:tcW w:w="1011" w:type="pct"/>
                  <w:tcBorders>
                    <w:tl2br w:val="nil"/>
                    <w:tr2bl w:val="nil"/>
                  </w:tcBorders>
                  <w:vAlign w:val="center"/>
                </w:tcPr>
                <w:p w14:paraId="1895948D">
                  <w:pPr>
                    <w:pStyle w:val="70"/>
                    <w:shd w:val="clea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1173.1</w:t>
                  </w:r>
                </w:p>
              </w:tc>
              <w:tc>
                <w:tcPr>
                  <w:tcW w:w="2055" w:type="pct"/>
                  <w:gridSpan w:val="2"/>
                  <w:tcBorders>
                    <w:tl2br w:val="nil"/>
                    <w:tr2bl w:val="nil"/>
                  </w:tcBorders>
                  <w:shd w:val="clear" w:color="auto" w:fill="auto"/>
                  <w:noWrap/>
                  <w:vAlign w:val="center"/>
                </w:tcPr>
                <w:p w14:paraId="51367032">
                  <w:pPr>
                    <w:pStyle w:val="70"/>
                    <w:shd w:val="clear"/>
                    <w:jc w:val="cente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kern w:val="0"/>
                      <w:sz w:val="21"/>
                      <w:szCs w:val="21"/>
                      <w:lang w:val="en-US" w:eastAsia="zh-CN" w:bidi="ar-SA"/>
                      <w14:textFill>
                        <w14:solidFill>
                          <w14:schemeClr w14:val="tx1"/>
                        </w14:solidFill>
                      </w14:textFill>
                    </w:rPr>
                    <w:t>废浆料</w:t>
                  </w:r>
                </w:p>
              </w:tc>
              <w:tc>
                <w:tcPr>
                  <w:tcW w:w="1194" w:type="pct"/>
                  <w:tcBorders>
                    <w:tl2br w:val="nil"/>
                    <w:tr2bl w:val="nil"/>
                  </w:tcBorders>
                  <w:shd w:val="clear" w:color="auto" w:fill="auto"/>
                  <w:noWrap/>
                  <w:vAlign w:val="center"/>
                </w:tcPr>
                <w:p w14:paraId="691740E9">
                  <w:pPr>
                    <w:pStyle w:val="70"/>
                    <w:shd w:val="clear"/>
                    <w:jc w:val="cente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0.2</w:t>
                  </w:r>
                </w:p>
              </w:tc>
            </w:tr>
            <w:tr w14:paraId="527FFED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0" w:hRule="atLeast"/>
                <w:jc w:val="center"/>
              </w:trPr>
              <w:tc>
                <w:tcPr>
                  <w:tcW w:w="738" w:type="pct"/>
                  <w:tcBorders>
                    <w:tl2br w:val="nil"/>
                    <w:tr2bl w:val="nil"/>
                  </w:tcBorders>
                  <w:vAlign w:val="center"/>
                </w:tcPr>
                <w:p w14:paraId="61F98819">
                  <w:pPr>
                    <w:pStyle w:val="70"/>
                    <w:shd w:val="clear"/>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勃姆石</w:t>
                  </w:r>
                </w:p>
              </w:tc>
              <w:tc>
                <w:tcPr>
                  <w:tcW w:w="1011" w:type="pct"/>
                  <w:tcBorders>
                    <w:tl2br w:val="nil"/>
                    <w:tr2bl w:val="nil"/>
                  </w:tcBorders>
                  <w:vAlign w:val="center"/>
                </w:tcPr>
                <w:p w14:paraId="5C448456">
                  <w:pPr>
                    <w:pStyle w:val="70"/>
                    <w:shd w:val="clear"/>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5.2</w:t>
                  </w:r>
                </w:p>
              </w:tc>
              <w:tc>
                <w:tcPr>
                  <w:tcW w:w="2055" w:type="pct"/>
                  <w:gridSpan w:val="2"/>
                  <w:tcBorders>
                    <w:tl2br w:val="nil"/>
                    <w:tr2bl w:val="nil"/>
                  </w:tcBorders>
                  <w:shd w:val="clear" w:color="auto" w:fill="auto"/>
                  <w:noWrap/>
                  <w:vAlign w:val="center"/>
                </w:tcPr>
                <w:p w14:paraId="3F1448EC">
                  <w:pPr>
                    <w:pStyle w:val="70"/>
                    <w:shd w:val="clear"/>
                    <w:jc w:val="cente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废电解液</w:t>
                  </w:r>
                </w:p>
              </w:tc>
              <w:tc>
                <w:tcPr>
                  <w:tcW w:w="1194" w:type="pct"/>
                  <w:tcBorders>
                    <w:tl2br w:val="nil"/>
                    <w:tr2bl w:val="nil"/>
                  </w:tcBorders>
                  <w:shd w:val="clear" w:color="auto" w:fill="auto"/>
                  <w:noWrap/>
                  <w:vAlign w:val="center"/>
                </w:tcPr>
                <w:p w14:paraId="3397F3EB">
                  <w:pPr>
                    <w:pStyle w:val="70"/>
                    <w:shd w:val="clear"/>
                    <w:jc w:val="cente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1.2</w:t>
                  </w:r>
                </w:p>
              </w:tc>
            </w:tr>
            <w:tr w14:paraId="70B5F58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0" w:hRule="atLeast"/>
                <w:jc w:val="center"/>
              </w:trPr>
              <w:tc>
                <w:tcPr>
                  <w:tcW w:w="738" w:type="pct"/>
                  <w:tcBorders>
                    <w:tl2br w:val="nil"/>
                    <w:tr2bl w:val="nil"/>
                  </w:tcBorders>
                  <w:vAlign w:val="center"/>
                </w:tcPr>
                <w:p w14:paraId="69B448AC">
                  <w:pPr>
                    <w:pStyle w:val="70"/>
                    <w:shd w:val="clear"/>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碳黑</w:t>
                  </w:r>
                </w:p>
              </w:tc>
              <w:tc>
                <w:tcPr>
                  <w:tcW w:w="1011" w:type="pct"/>
                  <w:tcBorders>
                    <w:tl2br w:val="nil"/>
                    <w:tr2bl w:val="nil"/>
                  </w:tcBorders>
                  <w:vAlign w:val="center"/>
                </w:tcPr>
                <w:p w14:paraId="77593568">
                  <w:pPr>
                    <w:pStyle w:val="70"/>
                    <w:shd w:val="clear"/>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47.3</w:t>
                  </w:r>
                </w:p>
              </w:tc>
              <w:tc>
                <w:tcPr>
                  <w:tcW w:w="2055" w:type="pct"/>
                  <w:gridSpan w:val="2"/>
                  <w:tcBorders>
                    <w:tl2br w:val="nil"/>
                    <w:tr2bl w:val="nil"/>
                  </w:tcBorders>
                  <w:shd w:val="clear" w:color="auto" w:fill="auto"/>
                  <w:noWrap/>
                  <w:vAlign w:val="center"/>
                </w:tcPr>
                <w:p w14:paraId="2AF7BF9E">
                  <w:pPr>
                    <w:pStyle w:val="70"/>
                    <w:shd w:val="clear"/>
                    <w:jc w:val="cente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废包装材料</w:t>
                  </w:r>
                </w:p>
              </w:tc>
              <w:tc>
                <w:tcPr>
                  <w:tcW w:w="1194" w:type="pct"/>
                  <w:tcBorders>
                    <w:tl2br w:val="nil"/>
                    <w:tr2bl w:val="nil"/>
                  </w:tcBorders>
                  <w:shd w:val="clear" w:color="auto" w:fill="auto"/>
                  <w:noWrap/>
                  <w:vAlign w:val="center"/>
                </w:tcPr>
                <w:p w14:paraId="21EF10AE">
                  <w:pPr>
                    <w:pStyle w:val="70"/>
                    <w:shd w:val="clear"/>
                    <w:jc w:val="cente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0.2</w:t>
                  </w:r>
                </w:p>
              </w:tc>
            </w:tr>
            <w:tr w14:paraId="1660D8D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0" w:hRule="atLeast"/>
                <w:jc w:val="center"/>
              </w:trPr>
              <w:tc>
                <w:tcPr>
                  <w:tcW w:w="738" w:type="pct"/>
                  <w:tcBorders>
                    <w:tl2br w:val="nil"/>
                    <w:tr2bl w:val="nil"/>
                  </w:tcBorders>
                  <w:shd w:val="clear" w:color="auto" w:fill="auto"/>
                  <w:vAlign w:val="center"/>
                </w:tcPr>
                <w:p w14:paraId="000CD815">
                  <w:pPr>
                    <w:pStyle w:val="70"/>
                    <w:shd w:val="clear"/>
                    <w:spacing w:line="240" w:lineRule="auto"/>
                    <w:jc w:val="cente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羧甲基纤维素</w:t>
                  </w:r>
                </w:p>
              </w:tc>
              <w:tc>
                <w:tcPr>
                  <w:tcW w:w="1011" w:type="pct"/>
                  <w:tcBorders>
                    <w:tl2br w:val="nil"/>
                    <w:tr2bl w:val="nil"/>
                  </w:tcBorders>
                  <w:shd w:val="clear" w:color="auto" w:fill="auto"/>
                  <w:vAlign w:val="center"/>
                </w:tcPr>
                <w:p w14:paraId="4CF9FF47">
                  <w:pPr>
                    <w:pStyle w:val="70"/>
                    <w:shd w:val="clear"/>
                    <w:spacing w:line="240" w:lineRule="auto"/>
                    <w:jc w:val="cente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15.8</w:t>
                  </w:r>
                </w:p>
              </w:tc>
              <w:tc>
                <w:tcPr>
                  <w:tcW w:w="2055" w:type="pct"/>
                  <w:gridSpan w:val="2"/>
                  <w:tcBorders>
                    <w:tl2br w:val="nil"/>
                    <w:tr2bl w:val="nil"/>
                  </w:tcBorders>
                  <w:shd w:val="clear" w:color="auto" w:fill="auto"/>
                  <w:noWrap/>
                  <w:vAlign w:val="center"/>
                </w:tcPr>
                <w:p w14:paraId="36C993D2">
                  <w:pPr>
                    <w:pStyle w:val="70"/>
                    <w:shd w:val="clear"/>
                    <w:jc w:val="cente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kern w:val="0"/>
                      <w:sz w:val="21"/>
                      <w:szCs w:val="21"/>
                      <w:lang w:val="en-US" w:eastAsia="zh-CN" w:bidi="ar-SA"/>
                      <w14:textFill>
                        <w14:solidFill>
                          <w14:schemeClr w14:val="tx1"/>
                        </w14:solidFill>
                      </w14:textFill>
                    </w:rPr>
                    <w:t>沾染危险物质的废包装材料</w:t>
                  </w:r>
                </w:p>
              </w:tc>
              <w:tc>
                <w:tcPr>
                  <w:tcW w:w="1194" w:type="pct"/>
                  <w:tcBorders>
                    <w:tl2br w:val="nil"/>
                    <w:tr2bl w:val="nil"/>
                  </w:tcBorders>
                  <w:shd w:val="clear" w:color="auto" w:fill="auto"/>
                  <w:noWrap/>
                  <w:vAlign w:val="center"/>
                </w:tcPr>
                <w:p w14:paraId="374BFC77">
                  <w:pPr>
                    <w:pStyle w:val="70"/>
                    <w:shd w:val="clear"/>
                    <w:jc w:val="cente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kern w:val="0"/>
                      <w:sz w:val="21"/>
                      <w:szCs w:val="21"/>
                      <w:lang w:val="en-US" w:eastAsia="zh-CN" w:bidi="ar-SA"/>
                      <w14:textFill>
                        <w14:solidFill>
                          <w14:schemeClr w14:val="tx1"/>
                        </w14:solidFill>
                      </w14:textFill>
                    </w:rPr>
                    <w:t>3</w:t>
                  </w:r>
                </w:p>
              </w:tc>
            </w:tr>
            <w:tr w14:paraId="2009C2A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0" w:hRule="atLeast"/>
                <w:jc w:val="center"/>
              </w:trPr>
              <w:tc>
                <w:tcPr>
                  <w:tcW w:w="738" w:type="pct"/>
                  <w:tcBorders>
                    <w:tl2br w:val="nil"/>
                    <w:tr2bl w:val="nil"/>
                  </w:tcBorders>
                  <w:shd w:val="clear" w:color="auto" w:fill="auto"/>
                  <w:vAlign w:val="center"/>
                </w:tcPr>
                <w:p w14:paraId="7207EE44">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聚酰亚胺</w:t>
                  </w:r>
                </w:p>
              </w:tc>
              <w:tc>
                <w:tcPr>
                  <w:tcW w:w="1011" w:type="pct"/>
                  <w:tcBorders>
                    <w:tl2br w:val="nil"/>
                    <w:tr2bl w:val="nil"/>
                  </w:tcBorders>
                  <w:shd w:val="clear" w:color="auto" w:fill="auto"/>
                  <w:vAlign w:val="center"/>
                </w:tcPr>
                <w:p w14:paraId="14A0CF18">
                  <w:pPr>
                    <w:spacing w:line="240" w:lineRule="auto"/>
                    <w:jc w:val="center"/>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16.3</w:t>
                  </w:r>
                </w:p>
              </w:tc>
              <w:tc>
                <w:tcPr>
                  <w:tcW w:w="2055" w:type="pct"/>
                  <w:gridSpan w:val="2"/>
                  <w:tcBorders>
                    <w:tl2br w:val="nil"/>
                    <w:tr2bl w:val="nil"/>
                  </w:tcBorders>
                  <w:shd w:val="clear" w:color="auto" w:fill="auto"/>
                  <w:noWrap/>
                  <w:vAlign w:val="center"/>
                </w:tcPr>
                <w:p w14:paraId="19702480">
                  <w:pPr>
                    <w:pStyle w:val="70"/>
                    <w:shd w:val="clear"/>
                    <w:jc w:val="center"/>
                    <w:rPr>
                      <w:rFonts w:hint="default" w:cs="Times New Roman"/>
                      <w:color w:val="000000" w:themeColor="text1"/>
                      <w:sz w:val="21"/>
                      <w:szCs w:val="21"/>
                      <w:lang w:val="en-US" w:eastAsia="zh-CN"/>
                      <w14:textFill>
                        <w14:solidFill>
                          <w14:schemeClr w14:val="tx1"/>
                        </w14:solidFill>
                      </w14:textFill>
                    </w:rPr>
                  </w:pPr>
                </w:p>
              </w:tc>
              <w:tc>
                <w:tcPr>
                  <w:tcW w:w="1194" w:type="pct"/>
                  <w:tcBorders>
                    <w:tl2br w:val="nil"/>
                    <w:tr2bl w:val="nil"/>
                  </w:tcBorders>
                  <w:shd w:val="clear" w:color="auto" w:fill="auto"/>
                  <w:noWrap/>
                  <w:vAlign w:val="center"/>
                </w:tcPr>
                <w:p w14:paraId="2F2F6AC2">
                  <w:pPr>
                    <w:pStyle w:val="70"/>
                    <w:shd w:val="clear"/>
                    <w:jc w:val="center"/>
                    <w:rPr>
                      <w:rFonts w:hint="eastAsia" w:cs="Times New Roman"/>
                      <w:color w:val="000000" w:themeColor="text1"/>
                      <w:sz w:val="21"/>
                      <w:szCs w:val="21"/>
                      <w:lang w:val="en-US" w:eastAsia="zh-CN"/>
                      <w14:textFill>
                        <w14:solidFill>
                          <w14:schemeClr w14:val="tx1"/>
                        </w14:solidFill>
                      </w14:textFill>
                    </w:rPr>
                  </w:pPr>
                </w:p>
              </w:tc>
            </w:tr>
            <w:tr w14:paraId="158BAC0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0" w:hRule="atLeast"/>
                <w:jc w:val="center"/>
              </w:trPr>
              <w:tc>
                <w:tcPr>
                  <w:tcW w:w="738" w:type="pct"/>
                  <w:tcBorders>
                    <w:tl2br w:val="nil"/>
                    <w:tr2bl w:val="nil"/>
                  </w:tcBorders>
                  <w:shd w:val="clear" w:color="auto" w:fill="auto"/>
                  <w:vAlign w:val="center"/>
                </w:tcPr>
                <w:p w14:paraId="378D93B1">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丁苯橡胶</w:t>
                  </w:r>
                </w:p>
              </w:tc>
              <w:tc>
                <w:tcPr>
                  <w:tcW w:w="1011" w:type="pct"/>
                  <w:tcBorders>
                    <w:tl2br w:val="nil"/>
                    <w:tr2bl w:val="nil"/>
                  </w:tcBorders>
                  <w:shd w:val="clear" w:color="auto" w:fill="auto"/>
                  <w:vAlign w:val="center"/>
                </w:tcPr>
                <w:p w14:paraId="787715A2">
                  <w:pPr>
                    <w:spacing w:line="240" w:lineRule="auto"/>
                    <w:jc w:val="center"/>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44.3</w:t>
                  </w:r>
                </w:p>
              </w:tc>
              <w:tc>
                <w:tcPr>
                  <w:tcW w:w="2055" w:type="pct"/>
                  <w:gridSpan w:val="2"/>
                  <w:tcBorders>
                    <w:tl2br w:val="nil"/>
                    <w:tr2bl w:val="nil"/>
                  </w:tcBorders>
                  <w:shd w:val="clear" w:color="auto" w:fill="auto"/>
                  <w:noWrap/>
                  <w:vAlign w:val="center"/>
                </w:tcPr>
                <w:p w14:paraId="607C7317">
                  <w:pPr>
                    <w:pStyle w:val="70"/>
                    <w:shd w:val="clear"/>
                    <w:jc w:val="center"/>
                    <w:rPr>
                      <w:rFonts w:hint="eastAsia" w:cs="Times New Roman"/>
                      <w:color w:val="000000" w:themeColor="text1"/>
                      <w:sz w:val="21"/>
                      <w:szCs w:val="21"/>
                      <w:lang w:val="en-US" w:eastAsia="zh-CN"/>
                      <w14:textFill>
                        <w14:solidFill>
                          <w14:schemeClr w14:val="tx1"/>
                        </w14:solidFill>
                      </w14:textFill>
                    </w:rPr>
                  </w:pPr>
                </w:p>
              </w:tc>
              <w:tc>
                <w:tcPr>
                  <w:tcW w:w="1194" w:type="pct"/>
                  <w:tcBorders>
                    <w:tl2br w:val="nil"/>
                    <w:tr2bl w:val="nil"/>
                  </w:tcBorders>
                  <w:shd w:val="clear" w:color="auto" w:fill="auto"/>
                  <w:noWrap/>
                  <w:vAlign w:val="center"/>
                </w:tcPr>
                <w:p w14:paraId="27CCA6EC">
                  <w:pPr>
                    <w:pStyle w:val="70"/>
                    <w:shd w:val="clear"/>
                    <w:jc w:val="center"/>
                    <w:rPr>
                      <w:rFonts w:hint="eastAsia" w:cs="Times New Roman"/>
                      <w:color w:val="000000" w:themeColor="text1"/>
                      <w:sz w:val="21"/>
                      <w:szCs w:val="21"/>
                      <w:lang w:val="en-US" w:eastAsia="zh-CN"/>
                      <w14:textFill>
                        <w14:solidFill>
                          <w14:schemeClr w14:val="tx1"/>
                        </w14:solidFill>
                      </w14:textFill>
                    </w:rPr>
                  </w:pPr>
                </w:p>
              </w:tc>
            </w:tr>
            <w:tr w14:paraId="7E31A03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0" w:hRule="atLeast"/>
                <w:jc w:val="center"/>
              </w:trPr>
              <w:tc>
                <w:tcPr>
                  <w:tcW w:w="738" w:type="pct"/>
                  <w:tcBorders>
                    <w:tl2br w:val="nil"/>
                    <w:tr2bl w:val="nil"/>
                  </w:tcBorders>
                  <w:shd w:val="clear" w:color="auto" w:fill="auto"/>
                  <w:vAlign w:val="center"/>
                </w:tcPr>
                <w:p w14:paraId="1A5BE201">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铜箔</w:t>
                  </w:r>
                </w:p>
              </w:tc>
              <w:tc>
                <w:tcPr>
                  <w:tcW w:w="1011" w:type="pct"/>
                  <w:tcBorders>
                    <w:tl2br w:val="nil"/>
                    <w:tr2bl w:val="nil"/>
                  </w:tcBorders>
                  <w:shd w:val="clear" w:color="auto" w:fill="auto"/>
                  <w:vAlign w:val="center"/>
                </w:tcPr>
                <w:p w14:paraId="3B002886">
                  <w:pPr>
                    <w:spacing w:line="240" w:lineRule="auto"/>
                    <w:jc w:val="center"/>
                    <w:rPr>
                      <w:rFonts w:hint="eastAsia"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434.8</w:t>
                  </w:r>
                </w:p>
              </w:tc>
              <w:tc>
                <w:tcPr>
                  <w:tcW w:w="2055" w:type="pct"/>
                  <w:gridSpan w:val="2"/>
                  <w:tcBorders>
                    <w:tl2br w:val="nil"/>
                    <w:tr2bl w:val="nil"/>
                  </w:tcBorders>
                  <w:shd w:val="clear" w:color="auto" w:fill="auto"/>
                  <w:noWrap/>
                  <w:vAlign w:val="center"/>
                </w:tcPr>
                <w:p w14:paraId="07EDAB09">
                  <w:pPr>
                    <w:pStyle w:val="70"/>
                    <w:shd w:val="clear"/>
                    <w:jc w:val="center"/>
                    <w:rPr>
                      <w:rFonts w:hint="eastAsia" w:cs="Times New Roman"/>
                      <w:color w:val="000000" w:themeColor="text1"/>
                      <w:sz w:val="21"/>
                      <w:szCs w:val="21"/>
                      <w:lang w:val="en-US" w:eastAsia="zh-CN"/>
                      <w14:textFill>
                        <w14:solidFill>
                          <w14:schemeClr w14:val="tx1"/>
                        </w14:solidFill>
                      </w14:textFill>
                    </w:rPr>
                  </w:pPr>
                </w:p>
              </w:tc>
              <w:tc>
                <w:tcPr>
                  <w:tcW w:w="1194" w:type="pct"/>
                  <w:tcBorders>
                    <w:tl2br w:val="nil"/>
                    <w:tr2bl w:val="nil"/>
                  </w:tcBorders>
                  <w:shd w:val="clear" w:color="auto" w:fill="auto"/>
                  <w:noWrap/>
                  <w:vAlign w:val="center"/>
                </w:tcPr>
                <w:p w14:paraId="52426381">
                  <w:pPr>
                    <w:pStyle w:val="70"/>
                    <w:shd w:val="clear"/>
                    <w:jc w:val="center"/>
                    <w:rPr>
                      <w:rFonts w:hint="eastAsia" w:cs="Times New Roman"/>
                      <w:color w:val="000000" w:themeColor="text1"/>
                      <w:sz w:val="21"/>
                      <w:szCs w:val="21"/>
                      <w:lang w:val="en-US" w:eastAsia="zh-CN"/>
                      <w14:textFill>
                        <w14:solidFill>
                          <w14:schemeClr w14:val="tx1"/>
                        </w14:solidFill>
                      </w14:textFill>
                    </w:rPr>
                  </w:pPr>
                </w:p>
              </w:tc>
            </w:tr>
            <w:tr w14:paraId="48210BE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0" w:hRule="atLeast"/>
                <w:jc w:val="center"/>
              </w:trPr>
              <w:tc>
                <w:tcPr>
                  <w:tcW w:w="738" w:type="pct"/>
                  <w:tcBorders>
                    <w:tl2br w:val="nil"/>
                    <w:tr2bl w:val="nil"/>
                  </w:tcBorders>
                  <w:shd w:val="clear" w:color="auto" w:fill="auto"/>
                  <w:vAlign w:val="center"/>
                </w:tcPr>
                <w:p w14:paraId="69E53184">
                  <w:pPr>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铝箔</w:t>
                  </w:r>
                </w:p>
              </w:tc>
              <w:tc>
                <w:tcPr>
                  <w:tcW w:w="1011" w:type="pct"/>
                  <w:tcBorders>
                    <w:tl2br w:val="nil"/>
                    <w:tr2bl w:val="nil"/>
                  </w:tcBorders>
                  <w:shd w:val="clear" w:color="auto" w:fill="auto"/>
                  <w:vAlign w:val="center"/>
                </w:tcPr>
                <w:p w14:paraId="6838BEAD">
                  <w:pPr>
                    <w:spacing w:line="240" w:lineRule="auto"/>
                    <w:jc w:val="center"/>
                    <w:rPr>
                      <w:rFonts w:hint="eastAsia"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277.4</w:t>
                  </w:r>
                </w:p>
              </w:tc>
              <w:tc>
                <w:tcPr>
                  <w:tcW w:w="2055" w:type="pct"/>
                  <w:gridSpan w:val="2"/>
                  <w:tcBorders>
                    <w:tl2br w:val="nil"/>
                    <w:tr2bl w:val="nil"/>
                  </w:tcBorders>
                  <w:shd w:val="clear" w:color="auto" w:fill="auto"/>
                  <w:noWrap/>
                  <w:vAlign w:val="center"/>
                </w:tcPr>
                <w:p w14:paraId="495BAAFE">
                  <w:pPr>
                    <w:pStyle w:val="70"/>
                    <w:shd w:val="clear"/>
                    <w:jc w:val="center"/>
                    <w:rPr>
                      <w:rFonts w:hint="eastAsia" w:cs="Times New Roman"/>
                      <w:color w:val="000000" w:themeColor="text1"/>
                      <w:sz w:val="21"/>
                      <w:szCs w:val="21"/>
                      <w:lang w:val="en-US" w:eastAsia="zh-CN"/>
                      <w14:textFill>
                        <w14:solidFill>
                          <w14:schemeClr w14:val="tx1"/>
                        </w14:solidFill>
                      </w14:textFill>
                    </w:rPr>
                  </w:pPr>
                </w:p>
              </w:tc>
              <w:tc>
                <w:tcPr>
                  <w:tcW w:w="1194" w:type="pct"/>
                  <w:tcBorders>
                    <w:tl2br w:val="nil"/>
                    <w:tr2bl w:val="nil"/>
                  </w:tcBorders>
                  <w:shd w:val="clear" w:color="auto" w:fill="auto"/>
                  <w:noWrap/>
                  <w:vAlign w:val="center"/>
                </w:tcPr>
                <w:p w14:paraId="21AA4DC1">
                  <w:pPr>
                    <w:pStyle w:val="70"/>
                    <w:shd w:val="clear"/>
                    <w:jc w:val="center"/>
                    <w:rPr>
                      <w:rFonts w:hint="eastAsia" w:cs="Times New Roman"/>
                      <w:color w:val="000000" w:themeColor="text1"/>
                      <w:sz w:val="21"/>
                      <w:szCs w:val="21"/>
                      <w:lang w:val="en-US" w:eastAsia="zh-CN"/>
                      <w14:textFill>
                        <w14:solidFill>
                          <w14:schemeClr w14:val="tx1"/>
                        </w14:solidFill>
                      </w14:textFill>
                    </w:rPr>
                  </w:pPr>
                </w:p>
              </w:tc>
            </w:tr>
            <w:tr w14:paraId="2EB9938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38" w:type="pct"/>
                  <w:tcBorders>
                    <w:tl2br w:val="nil"/>
                    <w:tr2bl w:val="nil"/>
                  </w:tcBorders>
                  <w:shd w:val="clear" w:color="auto" w:fill="auto"/>
                  <w:vAlign w:val="center"/>
                </w:tcPr>
                <w:p w14:paraId="6FB6666A">
                  <w:pPr>
                    <w:pStyle w:val="70"/>
                    <w:shd w:val="clear"/>
                    <w:jc w:val="cente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合计</w:t>
                  </w:r>
                </w:p>
              </w:tc>
              <w:tc>
                <w:tcPr>
                  <w:tcW w:w="1011" w:type="pct"/>
                  <w:tcBorders>
                    <w:tl2br w:val="nil"/>
                    <w:tr2bl w:val="nil"/>
                  </w:tcBorders>
                  <w:shd w:val="clear" w:color="auto" w:fill="auto"/>
                  <w:vAlign w:val="center"/>
                </w:tcPr>
                <w:p w14:paraId="7C21B975">
                  <w:pPr>
                    <w:pStyle w:val="70"/>
                    <w:shd w:val="clear"/>
                    <w:jc w:val="cente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6868.4</w:t>
                  </w:r>
                </w:p>
              </w:tc>
              <w:tc>
                <w:tcPr>
                  <w:tcW w:w="2055" w:type="pct"/>
                  <w:gridSpan w:val="2"/>
                  <w:tcBorders>
                    <w:tl2br w:val="nil"/>
                    <w:tr2bl w:val="nil"/>
                  </w:tcBorders>
                  <w:shd w:val="clear" w:color="auto" w:fill="auto"/>
                  <w:noWrap/>
                  <w:vAlign w:val="center"/>
                </w:tcPr>
                <w:p w14:paraId="5E695B0F">
                  <w:pPr>
                    <w:pStyle w:val="70"/>
                    <w:shd w:val="clear"/>
                    <w:jc w:val="cente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合计</w:t>
                  </w:r>
                </w:p>
              </w:tc>
              <w:tc>
                <w:tcPr>
                  <w:tcW w:w="1194" w:type="pct"/>
                  <w:tcBorders>
                    <w:tl2br w:val="nil"/>
                    <w:tr2bl w:val="nil"/>
                  </w:tcBorders>
                  <w:shd w:val="clear" w:color="auto" w:fill="auto"/>
                  <w:noWrap/>
                  <w:vAlign w:val="center"/>
                </w:tcPr>
                <w:p w14:paraId="277EC5D6">
                  <w:pPr>
                    <w:pStyle w:val="70"/>
                    <w:shd w:val="clear"/>
                    <w:jc w:val="cente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6868.4</w:t>
                  </w:r>
                </w:p>
              </w:tc>
            </w:tr>
          </w:tbl>
          <w:p w14:paraId="3EF09A23">
            <w:pPr>
              <w:pStyle w:val="66"/>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482" w:firstLineChars="200"/>
              <w:textAlignment w:val="auto"/>
              <w:rPr>
                <w:rFonts w:hint="eastAsia" w:ascii="Times New Roman" w:hAnsi="Times New Roman" w:eastAsia="宋体" w:cs="Times New Roman"/>
                <w:b/>
                <w:bCs/>
                <w:color w:val="000000" w:themeColor="text1"/>
                <w:lang w:val="en-US" w:eastAsia="zh-CN"/>
                <w14:textFill>
                  <w14:solidFill>
                    <w14:schemeClr w14:val="tx1"/>
                  </w14:solidFill>
                </w14:textFill>
              </w:rPr>
            </w:pPr>
            <w:r>
              <w:rPr>
                <w:rFonts w:hint="eastAsia" w:cs="Times New Roman"/>
                <w:b/>
                <w:bCs/>
                <w:color w:val="000000" w:themeColor="text1"/>
                <w:lang w:val="en-US" w:eastAsia="zh-CN"/>
                <w14:textFill>
                  <w14:solidFill>
                    <w14:schemeClr w14:val="tx1"/>
                  </w14:solidFill>
                </w14:textFill>
              </w:rPr>
              <w:t>12</w:t>
            </w:r>
            <w:r>
              <w:rPr>
                <w:rFonts w:hint="eastAsia" w:ascii="Times New Roman" w:hAnsi="Times New Roman" w:eastAsia="宋体" w:cs="Times New Roman"/>
                <w:b/>
                <w:bCs/>
                <w:color w:val="000000" w:themeColor="text1"/>
                <w:lang w:val="en-US" w:eastAsia="zh-CN"/>
                <w14:textFill>
                  <w14:solidFill>
                    <w14:schemeClr w14:val="tx1"/>
                  </w14:solidFill>
                </w14:textFill>
              </w:rPr>
              <w:t>、</w:t>
            </w:r>
            <w:r>
              <w:rPr>
                <w:rFonts w:hint="eastAsia" w:cs="Times New Roman"/>
                <w:b/>
                <w:bCs/>
                <w:color w:val="000000" w:themeColor="text1"/>
                <w:lang w:val="en-US" w:eastAsia="zh-CN"/>
                <w14:textFill>
                  <w14:solidFill>
                    <w14:schemeClr w14:val="tx1"/>
                  </w14:solidFill>
                </w14:textFill>
              </w:rPr>
              <w:t>氟</w:t>
            </w:r>
            <w:r>
              <w:rPr>
                <w:rFonts w:hint="eastAsia" w:ascii="Times New Roman" w:hAnsi="Times New Roman" w:eastAsia="宋体" w:cs="Times New Roman"/>
                <w:b/>
                <w:bCs/>
                <w:color w:val="000000" w:themeColor="text1"/>
                <w:lang w:val="en-US" w:eastAsia="zh-CN"/>
                <w14:textFill>
                  <w14:solidFill>
                    <w14:schemeClr w14:val="tx1"/>
                  </w14:solidFill>
                </w14:textFill>
              </w:rPr>
              <w:t>平衡</w:t>
            </w:r>
          </w:p>
          <w:p w14:paraId="2C2741C3">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根据建设单位提供资料，本项目氟平衡见下表。</w:t>
            </w:r>
          </w:p>
          <w:p w14:paraId="342E6422">
            <w:pPr>
              <w:pStyle w:val="68"/>
              <w:shd w:val="clear"/>
              <w:spacing w:line="240" w:lineRule="auto"/>
              <w:rPr>
                <w:rFonts w:hint="default" w:ascii="Times New Roman" w:hAnsi="Times New Roman" w:eastAsia="宋体" w:cs="Times New Roman"/>
                <w:b/>
                <w:bCs/>
                <w:color w:val="000000" w:themeColor="text1"/>
                <w14:textFill>
                  <w14:solidFill>
                    <w14:schemeClr w14:val="tx1"/>
                  </w14:solidFill>
                </w14:textFill>
              </w:rPr>
            </w:pPr>
            <w:r>
              <w:rPr>
                <w:rFonts w:hint="default" w:ascii="Times New Roman" w:hAnsi="Times New Roman" w:eastAsia="宋体" w:cs="Times New Roman"/>
                <w:b/>
                <w:bCs/>
                <w:color w:val="000000" w:themeColor="text1"/>
                <w14:textFill>
                  <w14:solidFill>
                    <w14:schemeClr w14:val="tx1"/>
                  </w14:solidFill>
                </w14:textFill>
              </w:rPr>
              <w:t>表2-</w:t>
            </w:r>
            <w:r>
              <w:rPr>
                <w:rFonts w:hint="eastAsia" w:eastAsia="宋体" w:cs="Times New Roman"/>
                <w:b/>
                <w:bCs/>
                <w:color w:val="000000" w:themeColor="text1"/>
                <w:lang w:val="en-US" w:eastAsia="zh-CN"/>
                <w14:textFill>
                  <w14:solidFill>
                    <w14:schemeClr w14:val="tx1"/>
                  </w14:solidFill>
                </w14:textFill>
              </w:rPr>
              <w:t>11</w:t>
            </w:r>
            <w:r>
              <w:rPr>
                <w:rFonts w:hint="default" w:ascii="Times New Roman" w:hAnsi="Times New Roman" w:eastAsia="宋体" w:cs="Times New Roman"/>
                <w:b/>
                <w:bCs/>
                <w:color w:val="000000" w:themeColor="text1"/>
                <w14:textFill>
                  <w14:solidFill>
                    <w14:schemeClr w14:val="tx1"/>
                  </w14:solidFill>
                </w14:textFill>
              </w:rPr>
              <w:t xml:space="preserve"> 项目</w:t>
            </w:r>
            <w:r>
              <w:rPr>
                <w:rFonts w:hint="eastAsia" w:ascii="Times New Roman" w:hAnsi="Times New Roman" w:eastAsia="宋体" w:cs="Times New Roman"/>
                <w:b/>
                <w:bCs/>
                <w:color w:val="000000" w:themeColor="text1"/>
                <w:lang w:val="en-US" w:eastAsia="zh-CN"/>
                <w14:textFill>
                  <w14:solidFill>
                    <w14:schemeClr w14:val="tx1"/>
                  </w14:solidFill>
                </w14:textFill>
              </w:rPr>
              <w:t>氟</w:t>
            </w:r>
            <w:r>
              <w:rPr>
                <w:rFonts w:hint="default" w:ascii="Times New Roman" w:hAnsi="Times New Roman" w:eastAsia="宋体" w:cs="Times New Roman"/>
                <w:b/>
                <w:bCs/>
                <w:color w:val="000000" w:themeColor="text1"/>
                <w14:textFill>
                  <w14:solidFill>
                    <w14:schemeClr w14:val="tx1"/>
                  </w14:solidFill>
                </w14:textFill>
              </w:rPr>
              <w:t>平衡</w:t>
            </w:r>
          </w:p>
          <w:tbl>
            <w:tblPr>
              <w:tblStyle w:val="42"/>
              <w:tblW w:w="7994" w:type="dxa"/>
              <w:tblInd w:w="5"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998"/>
              <w:gridCol w:w="1998"/>
              <w:gridCol w:w="1999"/>
              <w:gridCol w:w="1999"/>
            </w:tblGrid>
            <w:tr w14:paraId="067967E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998" w:type="dxa"/>
                  <w:shd w:val="clear" w:color="auto" w:fill="auto"/>
                  <w:noWrap w:val="0"/>
                  <w:vAlign w:val="center"/>
                </w:tcPr>
                <w:p w14:paraId="4CFBD31D">
                  <w:pPr>
                    <w:autoSpaceDE w:val="0"/>
                    <w:autoSpaceDN w:val="0"/>
                    <w:adjustRightInd w:val="0"/>
                    <w:snapToGrid w:val="0"/>
                    <w:spacing w:line="280" w:lineRule="exact"/>
                    <w:jc w:val="center"/>
                    <w:rPr>
                      <w:rFonts w:hint="default" w:ascii="宋体" w:hAnsi="宋体" w:eastAsia="宋体" w:cs="宋体"/>
                      <w:b/>
                      <w:bCs/>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kern w:val="0"/>
                      <w:sz w:val="21"/>
                      <w:szCs w:val="21"/>
                      <w:highlight w:val="none"/>
                      <w:lang w:val="en-US" w:eastAsia="zh-CN"/>
                      <w14:textFill>
                        <w14:solidFill>
                          <w14:schemeClr w14:val="tx1"/>
                        </w14:solidFill>
                      </w14:textFill>
                    </w:rPr>
                    <w:t>物料</w:t>
                  </w:r>
                </w:p>
              </w:tc>
              <w:tc>
                <w:tcPr>
                  <w:tcW w:w="1998" w:type="dxa"/>
                  <w:shd w:val="clear" w:color="auto" w:fill="auto"/>
                  <w:noWrap w:val="0"/>
                  <w:vAlign w:val="center"/>
                </w:tcPr>
                <w:p w14:paraId="06322E01">
                  <w:pPr>
                    <w:autoSpaceDE w:val="0"/>
                    <w:autoSpaceDN w:val="0"/>
                    <w:adjustRightInd w:val="0"/>
                    <w:snapToGrid w:val="0"/>
                    <w:spacing w:line="280" w:lineRule="exact"/>
                    <w:jc w:val="center"/>
                    <w:rPr>
                      <w:rFonts w:hint="default"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t>F投入量（t/a）</w:t>
                  </w:r>
                </w:p>
              </w:tc>
              <w:tc>
                <w:tcPr>
                  <w:tcW w:w="1999" w:type="dxa"/>
                  <w:shd w:val="clear" w:color="auto" w:fill="auto"/>
                  <w:noWrap w:val="0"/>
                  <w:vAlign w:val="center"/>
                </w:tcPr>
                <w:p w14:paraId="08FEECF2">
                  <w:pPr>
                    <w:autoSpaceDE w:val="0"/>
                    <w:autoSpaceDN w:val="0"/>
                    <w:adjustRightInd w:val="0"/>
                    <w:snapToGrid w:val="0"/>
                    <w:spacing w:line="280" w:lineRule="exact"/>
                    <w:jc w:val="center"/>
                    <w:rPr>
                      <w:rFonts w:hint="default"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t>物料</w:t>
                  </w:r>
                </w:p>
              </w:tc>
              <w:tc>
                <w:tcPr>
                  <w:tcW w:w="1999" w:type="dxa"/>
                  <w:shd w:val="clear" w:color="auto" w:fill="auto"/>
                  <w:noWrap w:val="0"/>
                  <w:vAlign w:val="center"/>
                </w:tcPr>
                <w:p w14:paraId="30B6A116">
                  <w:pPr>
                    <w:autoSpaceDE w:val="0"/>
                    <w:autoSpaceDN w:val="0"/>
                    <w:adjustRightInd w:val="0"/>
                    <w:snapToGrid w:val="0"/>
                    <w:spacing w:line="280" w:lineRule="exact"/>
                    <w:jc w:val="center"/>
                    <w:rPr>
                      <w:rFonts w:hint="default"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t>产出量（t/a）</w:t>
                  </w:r>
                </w:p>
              </w:tc>
            </w:tr>
            <w:tr w14:paraId="4BF0148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4" w:hRule="atLeast"/>
              </w:trPr>
              <w:tc>
                <w:tcPr>
                  <w:tcW w:w="1998" w:type="dxa"/>
                  <w:noWrap w:val="0"/>
                  <w:vAlign w:val="center"/>
                </w:tcPr>
                <w:p w14:paraId="537621AF">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t>电解液</w:t>
                  </w:r>
                </w:p>
              </w:tc>
              <w:tc>
                <w:tcPr>
                  <w:tcW w:w="1998" w:type="dxa"/>
                  <w:noWrap w:val="0"/>
                  <w:vAlign w:val="center"/>
                </w:tcPr>
                <w:p w14:paraId="1052C05D">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14:textFill>
                        <w14:solidFill>
                          <w14:schemeClr w14:val="tx1"/>
                        </w14:solidFill>
                      </w14:textFill>
                    </w:rPr>
                    <w:t>276.75</w:t>
                  </w:r>
                </w:p>
              </w:tc>
              <w:tc>
                <w:tcPr>
                  <w:tcW w:w="1999" w:type="dxa"/>
                  <w:shd w:val="clear" w:color="auto" w:fill="auto"/>
                  <w:noWrap w:val="0"/>
                  <w:vAlign w:val="center"/>
                </w:tcPr>
                <w:p w14:paraId="49283DEF">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t>进入产品</w:t>
                  </w:r>
                </w:p>
              </w:tc>
              <w:tc>
                <w:tcPr>
                  <w:tcW w:w="1999" w:type="dxa"/>
                  <w:noWrap w:val="0"/>
                  <w:vAlign w:val="center"/>
                </w:tcPr>
                <w:p w14:paraId="70FDBEA6">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14:textFill>
                        <w14:solidFill>
                          <w14:schemeClr w14:val="tx1"/>
                        </w14:solidFill>
                      </w14:textFill>
                    </w:rPr>
                    <w:t>307.06169</w:t>
                  </w:r>
                </w:p>
              </w:tc>
            </w:tr>
            <w:tr w14:paraId="7DACD4E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1998" w:type="dxa"/>
                  <w:noWrap w:val="0"/>
                  <w:vAlign w:val="center"/>
                </w:tcPr>
                <w:p w14:paraId="0481A919">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聚偏二氟乙烯</w:t>
                  </w:r>
                </w:p>
              </w:tc>
              <w:tc>
                <w:tcPr>
                  <w:tcW w:w="1998" w:type="dxa"/>
                  <w:noWrap w:val="0"/>
                  <w:vAlign w:val="center"/>
                </w:tcPr>
                <w:p w14:paraId="68B420D1">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14:textFill>
                        <w14:solidFill>
                          <w14:schemeClr w14:val="tx1"/>
                        </w14:solidFill>
                      </w14:textFill>
                    </w:rPr>
                    <w:t>32</w:t>
                  </w:r>
                </w:p>
              </w:tc>
              <w:tc>
                <w:tcPr>
                  <w:tcW w:w="1999" w:type="dxa"/>
                  <w:shd w:val="clear" w:color="auto" w:fill="auto"/>
                  <w:noWrap w:val="0"/>
                  <w:vAlign w:val="center"/>
                </w:tcPr>
                <w:p w14:paraId="3EB895B6">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t>废水</w:t>
                  </w:r>
                </w:p>
              </w:tc>
              <w:tc>
                <w:tcPr>
                  <w:tcW w:w="1999" w:type="dxa"/>
                  <w:noWrap w:val="0"/>
                  <w:vAlign w:val="center"/>
                </w:tcPr>
                <w:p w14:paraId="68C859AB">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14:textFill>
                        <w14:solidFill>
                          <w14:schemeClr w14:val="tx1"/>
                        </w14:solidFill>
                      </w14:textFill>
                    </w:rPr>
                    <w:t>0.384</w:t>
                  </w:r>
                </w:p>
              </w:tc>
            </w:tr>
            <w:tr w14:paraId="7D3E324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1998" w:type="dxa"/>
                  <w:vMerge w:val="restart"/>
                  <w:noWrap w:val="0"/>
                  <w:vAlign w:val="center"/>
                </w:tcPr>
                <w:p w14:paraId="24DD8565">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c>
                <w:tcPr>
                  <w:tcW w:w="1998" w:type="dxa"/>
                  <w:vMerge w:val="restart"/>
                  <w:noWrap w:val="0"/>
                  <w:vAlign w:val="center"/>
                </w:tcPr>
                <w:p w14:paraId="22557EB3">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14:textFill>
                        <w14:solidFill>
                          <w14:schemeClr w14:val="tx1"/>
                        </w14:solidFill>
                      </w14:textFill>
                    </w:rPr>
                    <w:t>/</w:t>
                  </w:r>
                </w:p>
              </w:tc>
              <w:tc>
                <w:tcPr>
                  <w:tcW w:w="1999" w:type="dxa"/>
                  <w:shd w:val="clear" w:color="auto" w:fill="auto"/>
                  <w:noWrap w:val="0"/>
                  <w:vAlign w:val="center"/>
                </w:tcPr>
                <w:p w14:paraId="585D8C75">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14:textFill>
                        <w14:solidFill>
                          <w14:schemeClr w14:val="tx1"/>
                        </w14:solidFill>
                      </w14:textFill>
                    </w:rPr>
                    <w:t>废气</w:t>
                  </w:r>
                </w:p>
              </w:tc>
              <w:tc>
                <w:tcPr>
                  <w:tcW w:w="1999" w:type="dxa"/>
                  <w:noWrap w:val="0"/>
                  <w:vAlign w:val="center"/>
                </w:tcPr>
                <w:p w14:paraId="7F25F3FD">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cs="Times New Roman"/>
                      <w:b w:val="0"/>
                      <w:bCs w:val="0"/>
                      <w:color w:val="000000" w:themeColor="text1"/>
                      <w:kern w:val="0"/>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14:textFill>
                        <w14:solidFill>
                          <w14:schemeClr w14:val="tx1"/>
                        </w14:solidFill>
                      </w14:textFill>
                    </w:rPr>
                    <w:t>1.23066</w:t>
                  </w:r>
                </w:p>
              </w:tc>
            </w:tr>
            <w:tr w14:paraId="7993E2C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1998" w:type="dxa"/>
                  <w:vMerge w:val="continue"/>
                  <w:noWrap w:val="0"/>
                  <w:vAlign w:val="center"/>
                </w:tcPr>
                <w:p w14:paraId="0488BA39">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1998" w:type="dxa"/>
                  <w:vMerge w:val="continue"/>
                  <w:noWrap w:val="0"/>
                  <w:vAlign w:val="center"/>
                </w:tcPr>
                <w:p w14:paraId="71C19C64">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pPr>
                </w:p>
              </w:tc>
              <w:tc>
                <w:tcPr>
                  <w:tcW w:w="1999" w:type="dxa"/>
                  <w:shd w:val="clear" w:color="auto" w:fill="auto"/>
                  <w:noWrap w:val="0"/>
                  <w:vAlign w:val="center"/>
                </w:tcPr>
                <w:p w14:paraId="24DECBD2">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eastAsia" w:ascii="Times New Roman" w:hAnsi="Times New Roman" w:eastAsia="宋体" w:cs="Times New Roman"/>
                      <w:b w:val="0"/>
                      <w:bCs w:val="0"/>
                      <w:color w:val="000000" w:themeColor="text1"/>
                      <w:ker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t>固废</w:t>
                  </w:r>
                </w:p>
              </w:tc>
              <w:tc>
                <w:tcPr>
                  <w:tcW w:w="1999" w:type="dxa"/>
                  <w:noWrap w:val="0"/>
                  <w:vAlign w:val="center"/>
                </w:tcPr>
                <w:p w14:paraId="22A22CBB">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14:textFill>
                        <w14:solidFill>
                          <w14:schemeClr w14:val="tx1"/>
                        </w14:solidFill>
                      </w14:textFill>
                    </w:rPr>
                    <w:t>0.07365</w:t>
                  </w:r>
                </w:p>
              </w:tc>
            </w:tr>
            <w:tr w14:paraId="030826F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998" w:type="dxa"/>
                  <w:noWrap w:val="0"/>
                  <w:vAlign w:val="center"/>
                </w:tcPr>
                <w:p w14:paraId="35621FA1">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t>合计</w:t>
                  </w:r>
                </w:p>
              </w:tc>
              <w:tc>
                <w:tcPr>
                  <w:tcW w:w="1998" w:type="dxa"/>
                  <w:noWrap w:val="0"/>
                  <w:vAlign w:val="center"/>
                </w:tcPr>
                <w:p w14:paraId="15C245C9">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14:textFill>
                        <w14:solidFill>
                          <w14:schemeClr w14:val="tx1"/>
                        </w14:solidFill>
                      </w14:textFill>
                    </w:rPr>
                    <w:t>308.75</w:t>
                  </w:r>
                </w:p>
              </w:tc>
              <w:tc>
                <w:tcPr>
                  <w:tcW w:w="1999" w:type="dxa"/>
                  <w:noWrap w:val="0"/>
                  <w:vAlign w:val="center"/>
                </w:tcPr>
                <w:p w14:paraId="2FA0DCDA">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t>合计</w:t>
                  </w:r>
                </w:p>
              </w:tc>
              <w:tc>
                <w:tcPr>
                  <w:tcW w:w="1999" w:type="dxa"/>
                  <w:noWrap w:val="0"/>
                  <w:vAlign w:val="center"/>
                </w:tcPr>
                <w:p w14:paraId="6B9946EF">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14:textFill>
                        <w14:solidFill>
                          <w14:schemeClr w14:val="tx1"/>
                        </w14:solidFill>
                      </w14:textFill>
                    </w:rPr>
                    <w:t>308.75</w:t>
                  </w:r>
                </w:p>
              </w:tc>
            </w:tr>
          </w:tbl>
          <w:p w14:paraId="114702B5">
            <w:pPr>
              <w:autoSpaceDE w:val="0"/>
              <w:autoSpaceDN w:val="0"/>
              <w:spacing w:line="240" w:lineRule="auto"/>
              <w:ind w:firstLine="420" w:firstLineChars="200"/>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注：电解液用量</w:t>
            </w:r>
            <w:r>
              <w:rPr>
                <w:rFonts w:hint="eastAsia" w:cs="Times New Roman"/>
                <w:color w:val="000000" w:themeColor="text1"/>
                <w:sz w:val="21"/>
                <w:szCs w:val="21"/>
                <w:highlight w:val="none"/>
                <w:lang w:val="en-US" w:eastAsia="zh-CN"/>
                <w14:textFill>
                  <w14:solidFill>
                    <w14:schemeClr w14:val="tx1"/>
                  </w14:solidFill>
                </w14:textFill>
              </w:rPr>
              <w:t>1230</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t/a，其中六氟磷酸锂0-30%（本次评价取30%），则氟投入量</w:t>
            </w:r>
            <w:r>
              <w:rPr>
                <w:rFonts w:hint="eastAsia" w:cs="Times New Roman"/>
                <w:color w:val="000000" w:themeColor="text1"/>
                <w:sz w:val="21"/>
                <w:szCs w:val="21"/>
                <w:highlight w:val="none"/>
                <w:lang w:val="en-US" w:eastAsia="zh-CN"/>
                <w14:textFill>
                  <w14:solidFill>
                    <w14:schemeClr w14:val="tx1"/>
                  </w14:solidFill>
                </w14:textFill>
              </w:rPr>
              <w:t>1230</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×30%×114/152＝</w:t>
            </w:r>
            <w:r>
              <w:rPr>
                <w:rFonts w:hint="eastAsia" w:cs="Times New Roman"/>
                <w:color w:val="000000" w:themeColor="text1"/>
                <w:sz w:val="21"/>
                <w:szCs w:val="21"/>
                <w:highlight w:val="none"/>
                <w:lang w:val="en-US" w:eastAsia="zh-CN"/>
                <w14:textFill>
                  <w14:solidFill>
                    <w14:schemeClr w14:val="tx1"/>
                  </w14:solidFill>
                </w14:textFill>
              </w:rPr>
              <w:t>276.75</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t/a。</w:t>
            </w:r>
          </w:p>
          <w:p w14:paraId="46C71B9C">
            <w:pPr>
              <w:autoSpaceDE w:val="0"/>
              <w:autoSpaceDN w:val="0"/>
              <w:spacing w:line="240" w:lineRule="auto"/>
              <w:ind w:firstLine="420" w:firstLineChars="200"/>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聚偏二氟乙烯用量</w:t>
            </w:r>
            <w:r>
              <w:rPr>
                <w:rFonts w:hint="eastAsia" w:cs="Times New Roman"/>
                <w:color w:val="000000" w:themeColor="text1"/>
                <w:sz w:val="21"/>
                <w:szCs w:val="21"/>
                <w:highlight w:val="none"/>
                <w:lang w:val="en-US" w:eastAsia="zh-CN"/>
                <w14:textFill>
                  <w14:solidFill>
                    <w14:schemeClr w14:val="tx1"/>
                  </w14:solidFill>
                </w14:textFill>
              </w:rPr>
              <w:t>54.1t</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/a，氟投入量</w:t>
            </w:r>
            <w:r>
              <w:rPr>
                <w:rFonts w:hint="eastAsia" w:cs="Times New Roman"/>
                <w:color w:val="000000" w:themeColor="text1"/>
                <w:sz w:val="21"/>
                <w:szCs w:val="21"/>
                <w:highlight w:val="none"/>
                <w:lang w:val="en-US" w:eastAsia="zh-CN"/>
                <w14:textFill>
                  <w14:solidFill>
                    <w14:schemeClr w14:val="tx1"/>
                  </w14:solidFill>
                </w14:textFill>
              </w:rPr>
              <w:t>54.1</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×1×38/64</w:t>
            </w:r>
            <w:r>
              <w:rPr>
                <w:rFonts w:hint="eastAsia" w:cs="Times New Roman"/>
                <w:color w:val="000000" w:themeColor="text1"/>
                <w:sz w:val="21"/>
                <w:szCs w:val="21"/>
                <w:highlight w:val="none"/>
                <w:lang w:val="en-US" w:eastAsia="zh-CN"/>
                <w14:textFill>
                  <w14:solidFill>
                    <w14:schemeClr w14:val="tx1"/>
                  </w14:solidFill>
                </w14:textFill>
              </w:rPr>
              <w:t>≈32</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t/a。</w:t>
            </w:r>
          </w:p>
          <w:p w14:paraId="6B249E3E">
            <w:pPr>
              <w:autoSpaceDE w:val="0"/>
              <w:autoSpaceDN w:val="0"/>
              <w:spacing w:line="240" w:lineRule="auto"/>
              <w:ind w:firstLine="420" w:firstLineChars="20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根据建设单位提供资料，聚偏二氟乙烯不溶于水，水洗过程仅形成悬浮固体，不析出游离氟离子；废水内PVDF经污水站沉淀处理后截留在污泥中。</w:t>
            </w:r>
          </w:p>
          <w:p w14:paraId="2467AC6C">
            <w:pPr>
              <w:pStyle w:val="66"/>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482" w:firstLineChars="200"/>
              <w:textAlignment w:val="auto"/>
              <w:rPr>
                <w:rFonts w:hint="eastAsia" w:ascii="Times New Roman" w:hAnsi="Times New Roman" w:eastAsia="宋体" w:cs="Times New Roman"/>
                <w:b/>
                <w:bCs/>
                <w:color w:val="000000" w:themeColor="text1"/>
                <w:lang w:val="en-US" w:eastAsia="zh-CN"/>
                <w14:textFill>
                  <w14:solidFill>
                    <w14:schemeClr w14:val="tx1"/>
                  </w14:solidFill>
                </w14:textFill>
              </w:rPr>
            </w:pPr>
            <w:r>
              <w:rPr>
                <w:rFonts w:hint="eastAsia" w:cs="Times New Roman"/>
                <w:b/>
                <w:bCs/>
                <w:color w:val="000000" w:themeColor="text1"/>
                <w:lang w:val="en-US" w:eastAsia="zh-CN"/>
                <w14:textFill>
                  <w14:solidFill>
                    <w14:schemeClr w14:val="tx1"/>
                  </w14:solidFill>
                </w14:textFill>
              </w:rPr>
              <w:t>12</w:t>
            </w:r>
            <w:r>
              <w:rPr>
                <w:rFonts w:hint="eastAsia" w:ascii="Times New Roman" w:hAnsi="Times New Roman" w:eastAsia="宋体" w:cs="Times New Roman"/>
                <w:b/>
                <w:bCs/>
                <w:color w:val="000000" w:themeColor="text1"/>
                <w:lang w:val="en-US" w:eastAsia="zh-CN"/>
                <w14:textFill>
                  <w14:solidFill>
                    <w14:schemeClr w14:val="tx1"/>
                  </w14:solidFill>
                </w14:textFill>
              </w:rPr>
              <w:t>、磷平衡</w:t>
            </w:r>
          </w:p>
          <w:p w14:paraId="5EE7901B">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根据建设单位提供资料，本项目磷平衡见下表。</w:t>
            </w:r>
          </w:p>
          <w:p w14:paraId="470F03DB">
            <w:pPr>
              <w:pStyle w:val="68"/>
              <w:shd w:val="clear"/>
              <w:spacing w:line="240" w:lineRule="auto"/>
              <w:rPr>
                <w:rFonts w:hint="default" w:ascii="Times New Roman" w:hAnsi="Times New Roman" w:eastAsia="宋体" w:cs="Times New Roman"/>
                <w:b/>
                <w:bCs/>
                <w:color w:val="000000" w:themeColor="text1"/>
                <w14:textFill>
                  <w14:solidFill>
                    <w14:schemeClr w14:val="tx1"/>
                  </w14:solidFill>
                </w14:textFill>
              </w:rPr>
            </w:pPr>
            <w:r>
              <w:rPr>
                <w:rFonts w:hint="default" w:ascii="Times New Roman" w:hAnsi="Times New Roman" w:eastAsia="宋体" w:cs="Times New Roman"/>
                <w:b/>
                <w:bCs/>
                <w:color w:val="000000" w:themeColor="text1"/>
                <w14:textFill>
                  <w14:solidFill>
                    <w14:schemeClr w14:val="tx1"/>
                  </w14:solidFill>
                </w14:textFill>
              </w:rPr>
              <w:t>表2-</w:t>
            </w:r>
            <w:r>
              <w:rPr>
                <w:rFonts w:hint="eastAsia" w:eastAsia="宋体" w:cs="Times New Roman"/>
                <w:b/>
                <w:bCs/>
                <w:color w:val="000000" w:themeColor="text1"/>
                <w:lang w:val="en-US" w:eastAsia="zh-CN"/>
                <w14:textFill>
                  <w14:solidFill>
                    <w14:schemeClr w14:val="tx1"/>
                  </w14:solidFill>
                </w14:textFill>
              </w:rPr>
              <w:t>12</w:t>
            </w:r>
            <w:r>
              <w:rPr>
                <w:rFonts w:hint="default" w:ascii="Times New Roman" w:hAnsi="Times New Roman" w:eastAsia="宋体" w:cs="Times New Roman"/>
                <w:b/>
                <w:bCs/>
                <w:color w:val="000000" w:themeColor="text1"/>
                <w14:textFill>
                  <w14:solidFill>
                    <w14:schemeClr w14:val="tx1"/>
                  </w14:solidFill>
                </w14:textFill>
              </w:rPr>
              <w:t xml:space="preserve"> 项目</w:t>
            </w:r>
            <w:r>
              <w:rPr>
                <w:rFonts w:hint="eastAsia" w:ascii="Times New Roman" w:hAnsi="Times New Roman" w:eastAsia="宋体" w:cs="Times New Roman"/>
                <w:b/>
                <w:bCs/>
                <w:color w:val="000000" w:themeColor="text1"/>
                <w:lang w:val="en-US" w:eastAsia="zh-CN"/>
                <w14:textFill>
                  <w14:solidFill>
                    <w14:schemeClr w14:val="tx1"/>
                  </w14:solidFill>
                </w14:textFill>
              </w:rPr>
              <w:t>磷</w:t>
            </w:r>
            <w:r>
              <w:rPr>
                <w:rFonts w:hint="default" w:ascii="Times New Roman" w:hAnsi="Times New Roman" w:eastAsia="宋体" w:cs="Times New Roman"/>
                <w:b/>
                <w:bCs/>
                <w:color w:val="000000" w:themeColor="text1"/>
                <w14:textFill>
                  <w14:solidFill>
                    <w14:schemeClr w14:val="tx1"/>
                  </w14:solidFill>
                </w14:textFill>
              </w:rPr>
              <w:t>平衡</w:t>
            </w:r>
          </w:p>
          <w:tbl>
            <w:tblPr>
              <w:tblStyle w:val="42"/>
              <w:tblW w:w="7994"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998"/>
              <w:gridCol w:w="1998"/>
              <w:gridCol w:w="1999"/>
              <w:gridCol w:w="1999"/>
            </w:tblGrid>
            <w:tr w14:paraId="09F03CE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98" w:type="dxa"/>
                  <w:shd w:val="clear" w:color="auto" w:fill="auto"/>
                  <w:noWrap w:val="0"/>
                  <w:vAlign w:val="center"/>
                </w:tcPr>
                <w:p w14:paraId="1724925B">
                  <w:pPr>
                    <w:autoSpaceDE w:val="0"/>
                    <w:autoSpaceDN w:val="0"/>
                    <w:adjustRightInd w:val="0"/>
                    <w:snapToGrid w:val="0"/>
                    <w:spacing w:line="280" w:lineRule="exact"/>
                    <w:jc w:val="center"/>
                    <w:rPr>
                      <w:rFonts w:hint="default" w:ascii="宋体" w:hAnsi="宋体" w:eastAsia="宋体" w:cs="宋体"/>
                      <w:b/>
                      <w:bCs/>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kern w:val="0"/>
                      <w:sz w:val="21"/>
                      <w:szCs w:val="21"/>
                      <w:highlight w:val="none"/>
                      <w:lang w:val="en-US" w:eastAsia="zh-CN"/>
                      <w14:textFill>
                        <w14:solidFill>
                          <w14:schemeClr w14:val="tx1"/>
                        </w14:solidFill>
                      </w14:textFill>
                    </w:rPr>
                    <w:t>物料</w:t>
                  </w:r>
                </w:p>
              </w:tc>
              <w:tc>
                <w:tcPr>
                  <w:tcW w:w="1998" w:type="dxa"/>
                  <w:shd w:val="clear" w:color="auto" w:fill="auto"/>
                  <w:noWrap w:val="0"/>
                  <w:vAlign w:val="center"/>
                </w:tcPr>
                <w:p w14:paraId="0B09E9AF">
                  <w:pPr>
                    <w:autoSpaceDE w:val="0"/>
                    <w:autoSpaceDN w:val="0"/>
                    <w:adjustRightInd w:val="0"/>
                    <w:snapToGrid w:val="0"/>
                    <w:spacing w:line="280" w:lineRule="exact"/>
                    <w:jc w:val="center"/>
                    <w:rPr>
                      <w:rFonts w:hint="default"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t>P</w:t>
                  </w:r>
                  <w:r>
                    <w:rPr>
                      <w:rFonts w:hint="default"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t>投入量（t/a）</w:t>
                  </w:r>
                </w:p>
              </w:tc>
              <w:tc>
                <w:tcPr>
                  <w:tcW w:w="1999" w:type="dxa"/>
                  <w:shd w:val="clear" w:color="auto" w:fill="auto"/>
                  <w:noWrap w:val="0"/>
                  <w:vAlign w:val="center"/>
                </w:tcPr>
                <w:p w14:paraId="1CE12CC3">
                  <w:pPr>
                    <w:autoSpaceDE w:val="0"/>
                    <w:autoSpaceDN w:val="0"/>
                    <w:adjustRightInd w:val="0"/>
                    <w:snapToGrid w:val="0"/>
                    <w:spacing w:line="280" w:lineRule="exact"/>
                    <w:jc w:val="center"/>
                    <w:rPr>
                      <w:rFonts w:hint="default"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t>物料</w:t>
                  </w:r>
                </w:p>
              </w:tc>
              <w:tc>
                <w:tcPr>
                  <w:tcW w:w="1999" w:type="dxa"/>
                  <w:shd w:val="clear" w:color="auto" w:fill="auto"/>
                  <w:noWrap w:val="0"/>
                  <w:vAlign w:val="center"/>
                </w:tcPr>
                <w:p w14:paraId="5F789DDA">
                  <w:pPr>
                    <w:autoSpaceDE w:val="0"/>
                    <w:autoSpaceDN w:val="0"/>
                    <w:adjustRightInd w:val="0"/>
                    <w:snapToGrid w:val="0"/>
                    <w:spacing w:line="280" w:lineRule="exact"/>
                    <w:jc w:val="center"/>
                    <w:rPr>
                      <w:rFonts w:hint="default"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t>产出量（t/a）</w:t>
                  </w:r>
                </w:p>
              </w:tc>
            </w:tr>
            <w:tr w14:paraId="18433D3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98" w:type="dxa"/>
                  <w:noWrap w:val="0"/>
                  <w:vAlign w:val="center"/>
                </w:tcPr>
                <w:p w14:paraId="0C5CC84F">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t>磷酸铁锂</w:t>
                  </w:r>
                </w:p>
              </w:tc>
              <w:tc>
                <w:tcPr>
                  <w:tcW w:w="1998" w:type="dxa"/>
                  <w:noWrap w:val="0"/>
                  <w:vAlign w:val="center"/>
                </w:tcPr>
                <w:p w14:paraId="79217FF3">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14:textFill>
                        <w14:solidFill>
                          <w14:schemeClr w14:val="tx1"/>
                        </w14:solidFill>
                      </w14:textFill>
                    </w:rPr>
                    <w:t>162</w:t>
                  </w:r>
                </w:p>
              </w:tc>
              <w:tc>
                <w:tcPr>
                  <w:tcW w:w="1999" w:type="dxa"/>
                  <w:noWrap w:val="0"/>
                  <w:vAlign w:val="center"/>
                </w:tcPr>
                <w:p w14:paraId="6D42B8D1">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t>进入产品</w:t>
                  </w:r>
                </w:p>
              </w:tc>
              <w:tc>
                <w:tcPr>
                  <w:tcW w:w="1999" w:type="dxa"/>
                  <w:noWrap w:val="0"/>
                  <w:vAlign w:val="center"/>
                </w:tcPr>
                <w:p w14:paraId="21D27B85">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14:textFill>
                        <w14:solidFill>
                          <w14:schemeClr w14:val="tx1"/>
                        </w14:solidFill>
                      </w14:textFill>
                    </w:rPr>
                    <w:t>235.51169</w:t>
                  </w:r>
                </w:p>
              </w:tc>
            </w:tr>
            <w:tr w14:paraId="58816F8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95" w:hRule="atLeast"/>
                <w:jc w:val="center"/>
              </w:trPr>
              <w:tc>
                <w:tcPr>
                  <w:tcW w:w="1998" w:type="dxa"/>
                  <w:noWrap w:val="0"/>
                  <w:vAlign w:val="center"/>
                </w:tcPr>
                <w:p w14:paraId="1424E88B">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t>电解液</w:t>
                  </w:r>
                </w:p>
              </w:tc>
              <w:tc>
                <w:tcPr>
                  <w:tcW w:w="1998" w:type="dxa"/>
                  <w:noWrap w:val="0"/>
                  <w:vAlign w:val="center"/>
                </w:tcPr>
                <w:p w14:paraId="5CF64294">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14:textFill>
                        <w14:solidFill>
                          <w14:schemeClr w14:val="tx1"/>
                        </w14:solidFill>
                      </w14:textFill>
                    </w:rPr>
                    <w:t>75.2</w:t>
                  </w:r>
                </w:p>
              </w:tc>
              <w:tc>
                <w:tcPr>
                  <w:tcW w:w="1999" w:type="dxa"/>
                  <w:noWrap w:val="0"/>
                  <w:vAlign w:val="center"/>
                </w:tcPr>
                <w:p w14:paraId="147CC2FD">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14:textFill>
                        <w14:solidFill>
                          <w14:schemeClr w14:val="tx1"/>
                        </w14:solidFill>
                      </w14:textFill>
                    </w:rPr>
                    <w:t>废气</w:t>
                  </w:r>
                </w:p>
              </w:tc>
              <w:tc>
                <w:tcPr>
                  <w:tcW w:w="1999" w:type="dxa"/>
                  <w:noWrap w:val="0"/>
                  <w:vAlign w:val="center"/>
                </w:tcPr>
                <w:p w14:paraId="16818C6E">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14:textFill>
                        <w14:solidFill>
                          <w14:schemeClr w14:val="tx1"/>
                        </w14:solidFill>
                      </w14:textFill>
                    </w:rPr>
                    <w:t>1.23066</w:t>
                  </w:r>
                </w:p>
              </w:tc>
            </w:tr>
            <w:tr w14:paraId="2B8B12D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98" w:type="dxa"/>
                  <w:vMerge w:val="restart"/>
                  <w:noWrap w:val="0"/>
                  <w:vAlign w:val="center"/>
                </w:tcPr>
                <w:p w14:paraId="01AB3819">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c>
                <w:tcPr>
                  <w:tcW w:w="1998" w:type="dxa"/>
                  <w:vMerge w:val="restart"/>
                  <w:noWrap w:val="0"/>
                  <w:vAlign w:val="center"/>
                </w:tcPr>
                <w:p w14:paraId="63F7370A">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14:textFill>
                        <w14:solidFill>
                          <w14:schemeClr w14:val="tx1"/>
                        </w14:solidFill>
                      </w14:textFill>
                    </w:rPr>
                    <w:t>/</w:t>
                  </w:r>
                </w:p>
              </w:tc>
              <w:tc>
                <w:tcPr>
                  <w:tcW w:w="1999" w:type="dxa"/>
                  <w:noWrap w:val="0"/>
                  <w:vAlign w:val="center"/>
                </w:tcPr>
                <w:p w14:paraId="49E8B497">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t>废水</w:t>
                  </w:r>
                </w:p>
              </w:tc>
              <w:tc>
                <w:tcPr>
                  <w:tcW w:w="1999" w:type="dxa"/>
                  <w:noWrap w:val="0"/>
                  <w:vAlign w:val="center"/>
                </w:tcPr>
                <w:p w14:paraId="5F4CF9C9">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14:textFill>
                        <w14:solidFill>
                          <w14:schemeClr w14:val="tx1"/>
                        </w14:solidFill>
                      </w14:textFill>
                    </w:rPr>
                    <w:t>0.384</w:t>
                  </w:r>
                </w:p>
              </w:tc>
            </w:tr>
            <w:tr w14:paraId="6459360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98" w:type="dxa"/>
                  <w:vMerge w:val="continue"/>
                  <w:noWrap w:val="0"/>
                  <w:vAlign w:val="center"/>
                </w:tcPr>
                <w:p w14:paraId="49A5E402">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p>
              </w:tc>
              <w:tc>
                <w:tcPr>
                  <w:tcW w:w="1998" w:type="dxa"/>
                  <w:vMerge w:val="continue"/>
                  <w:noWrap w:val="0"/>
                  <w:vAlign w:val="center"/>
                </w:tcPr>
                <w:p w14:paraId="38AE7077">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pPr>
                </w:p>
              </w:tc>
              <w:tc>
                <w:tcPr>
                  <w:tcW w:w="1999" w:type="dxa"/>
                  <w:noWrap w:val="0"/>
                  <w:vAlign w:val="center"/>
                </w:tcPr>
                <w:p w14:paraId="0E1CD181">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t>固废</w:t>
                  </w:r>
                </w:p>
              </w:tc>
              <w:tc>
                <w:tcPr>
                  <w:tcW w:w="1999" w:type="dxa"/>
                  <w:noWrap w:val="0"/>
                  <w:vAlign w:val="center"/>
                </w:tcPr>
                <w:p w14:paraId="65243EC5">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14:textFill>
                        <w14:solidFill>
                          <w14:schemeClr w14:val="tx1"/>
                        </w14:solidFill>
                      </w14:textFill>
                    </w:rPr>
                    <w:t>0.07365</w:t>
                  </w:r>
                </w:p>
              </w:tc>
            </w:tr>
            <w:tr w14:paraId="683FC60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98" w:type="dxa"/>
                  <w:noWrap w:val="0"/>
                  <w:vAlign w:val="center"/>
                </w:tcPr>
                <w:p w14:paraId="40948BD8">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t>合计</w:t>
                  </w:r>
                </w:p>
              </w:tc>
              <w:tc>
                <w:tcPr>
                  <w:tcW w:w="1998" w:type="dxa"/>
                  <w:noWrap w:val="0"/>
                  <w:vAlign w:val="center"/>
                </w:tcPr>
                <w:p w14:paraId="5A604D25">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14:textFill>
                        <w14:solidFill>
                          <w14:schemeClr w14:val="tx1"/>
                        </w14:solidFill>
                      </w14:textFill>
                    </w:rPr>
                    <w:t>237.2</w:t>
                  </w:r>
                </w:p>
              </w:tc>
              <w:tc>
                <w:tcPr>
                  <w:tcW w:w="1999" w:type="dxa"/>
                  <w:noWrap w:val="0"/>
                  <w:vAlign w:val="center"/>
                </w:tcPr>
                <w:p w14:paraId="179748BD">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t>合计</w:t>
                  </w:r>
                </w:p>
              </w:tc>
              <w:tc>
                <w:tcPr>
                  <w:tcW w:w="1999" w:type="dxa"/>
                  <w:noWrap w:val="0"/>
                  <w:vAlign w:val="center"/>
                </w:tcPr>
                <w:p w14:paraId="706A05FE">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14:textFill>
                        <w14:solidFill>
                          <w14:schemeClr w14:val="tx1"/>
                        </w14:solidFill>
                      </w14:textFill>
                    </w:rPr>
                    <w:t>237.2</w:t>
                  </w:r>
                </w:p>
              </w:tc>
            </w:tr>
          </w:tbl>
          <w:p w14:paraId="0ADB4AC2">
            <w:pPr>
              <w:autoSpaceDE w:val="0"/>
              <w:autoSpaceDN w:val="0"/>
              <w:spacing w:line="240" w:lineRule="auto"/>
              <w:ind w:firstLine="420" w:firstLineChars="200"/>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注：</w:t>
            </w:r>
            <w:r>
              <w:rPr>
                <w:rFonts w:hint="eastAsia"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t>电解液</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用量</w:t>
            </w:r>
            <w:r>
              <w:rPr>
                <w:rFonts w:hint="eastAsia" w:cs="Times New Roman"/>
                <w:color w:val="000000" w:themeColor="text1"/>
                <w:sz w:val="21"/>
                <w:szCs w:val="21"/>
                <w:highlight w:val="none"/>
                <w:lang w:val="en-US" w:eastAsia="zh-CN"/>
                <w14:textFill>
                  <w14:solidFill>
                    <w14:schemeClr w14:val="tx1"/>
                  </w14:solidFill>
                </w14:textFill>
              </w:rPr>
              <w:t>1230</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t/a，其中六氟磷酸锂0-30%（本次评价取30%），则磷投入量</w:t>
            </w:r>
            <w:r>
              <w:rPr>
                <w:rFonts w:hint="eastAsia" w:cs="Times New Roman"/>
                <w:color w:val="000000" w:themeColor="text1"/>
                <w:sz w:val="21"/>
                <w:szCs w:val="21"/>
                <w:highlight w:val="none"/>
                <w:lang w:val="en-US" w:eastAsia="zh-CN"/>
                <w14:textFill>
                  <w14:solidFill>
                    <w14:schemeClr w14:val="tx1"/>
                  </w14:solidFill>
                </w14:textFill>
              </w:rPr>
              <w:t>1230</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×30%×30.97/152≈</w:t>
            </w:r>
            <w:r>
              <w:rPr>
                <w:rFonts w:hint="eastAsia" w:cs="Times New Roman"/>
                <w:color w:val="000000" w:themeColor="text1"/>
                <w:sz w:val="21"/>
                <w:szCs w:val="21"/>
                <w:highlight w:val="none"/>
                <w:lang w:val="en-US" w:eastAsia="zh-CN"/>
                <w14:textFill>
                  <w14:solidFill>
                    <w14:schemeClr w14:val="tx1"/>
                  </w14:solidFill>
                </w14:textFill>
              </w:rPr>
              <w:t>75.2</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t/a。</w:t>
            </w:r>
          </w:p>
          <w:p w14:paraId="25470BEC">
            <w:pPr>
              <w:autoSpaceDE w:val="0"/>
              <w:autoSpaceDN w:val="0"/>
              <w:spacing w:line="240" w:lineRule="auto"/>
              <w:ind w:firstLine="420" w:firstLineChars="200"/>
              <w:rPr>
                <w:rFonts w:hint="eastAsia"/>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磷酸铁锂用量</w:t>
            </w:r>
            <w:r>
              <w:rPr>
                <w:rFonts w:hint="eastAsia" w:cs="Times New Roman"/>
                <w:color w:val="000000" w:themeColor="text1"/>
                <w:sz w:val="21"/>
                <w:szCs w:val="21"/>
                <w:highlight w:val="none"/>
                <w:lang w:val="en-US" w:eastAsia="zh-CN"/>
                <w14:textFill>
                  <w14:solidFill>
                    <w14:schemeClr w14:val="tx1"/>
                  </w14:solidFill>
                </w14:textFill>
              </w:rPr>
              <w:t>824.2</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t/a，磷投入量</w:t>
            </w:r>
            <w:r>
              <w:rPr>
                <w:rFonts w:hint="eastAsia" w:cs="Times New Roman"/>
                <w:color w:val="000000" w:themeColor="text1"/>
                <w:sz w:val="21"/>
                <w:szCs w:val="21"/>
                <w:highlight w:val="none"/>
                <w:lang w:val="en-US" w:eastAsia="zh-CN"/>
                <w14:textFill>
                  <w14:solidFill>
                    <w14:schemeClr w14:val="tx1"/>
                  </w14:solidFill>
                </w14:textFill>
              </w:rPr>
              <w:t>824.2</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×1×30.97/158≈</w:t>
            </w:r>
            <w:r>
              <w:rPr>
                <w:rFonts w:hint="eastAsia" w:cs="Times New Roman"/>
                <w:color w:val="000000" w:themeColor="text1"/>
                <w:sz w:val="21"/>
                <w:szCs w:val="21"/>
                <w:highlight w:val="none"/>
                <w:lang w:val="en-US" w:eastAsia="zh-CN"/>
                <w14:textFill>
                  <w14:solidFill>
                    <w14:schemeClr w14:val="tx1"/>
                  </w14:solidFill>
                </w14:textFill>
              </w:rPr>
              <w:t>162</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t/a。</w:t>
            </w:r>
          </w:p>
        </w:tc>
      </w:tr>
      <w:tr w14:paraId="66811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7" w:hRule="atLeast"/>
        </w:trPr>
        <w:tc>
          <w:tcPr>
            <w:tcW w:w="972" w:type="dxa"/>
            <w:vAlign w:val="center"/>
          </w:tcPr>
          <w:p w14:paraId="2D20B4B6">
            <w:pPr>
              <w:pStyle w:val="37"/>
              <w:adjustRightInd w:val="0"/>
              <w:snapToGrid w:val="0"/>
              <w:spacing w:before="0" w:beforeAutospacing="0" w:after="0" w:afterAutospacing="0"/>
              <w:jc w:val="center"/>
              <w:rPr>
                <w:rFonts w:hint="eastAsia" w:ascii="Times New Roman" w:hAnsi="Times New Roman" w:cs="宋体"/>
                <w:b/>
                <w:bCs w:val="0"/>
                <w:color w:val="000000" w:themeColor="text1"/>
                <w:kern w:val="2"/>
                <w:sz w:val="24"/>
                <w:szCs w:val="24"/>
                <w14:textFill>
                  <w14:solidFill>
                    <w14:schemeClr w14:val="tx1"/>
                  </w14:solidFill>
                </w14:textFill>
              </w:rPr>
            </w:pPr>
            <w:r>
              <w:rPr>
                <w:rFonts w:hint="eastAsia" w:ascii="Times New Roman" w:hAnsi="Times New Roman" w:eastAsia="宋体" w:cs="Times New Roman"/>
                <w:b/>
                <w:bCs/>
                <w:color w:val="000000" w:themeColor="text1"/>
                <w:kern w:val="0"/>
                <w:sz w:val="24"/>
                <w:szCs w:val="24"/>
                <w:lang w:val="en-US" w:eastAsia="zh-CN" w:bidi="ar-SA"/>
                <w14:textFill>
                  <w14:solidFill>
                    <w14:schemeClr w14:val="tx1"/>
                  </w14:solidFill>
                </w14:textFill>
              </w:rPr>
              <w:t>工艺流程和产排污环节</w:t>
            </w:r>
          </w:p>
        </w:tc>
        <w:tc>
          <w:tcPr>
            <w:tcW w:w="8088" w:type="dxa"/>
            <w:vAlign w:val="top"/>
          </w:tcPr>
          <w:p w14:paraId="6D2258B8">
            <w:pPr>
              <w:pStyle w:val="66"/>
              <w:keepNext w:val="0"/>
              <w:keepLines w:val="0"/>
              <w:pageBreakBefore w:val="0"/>
              <w:widowControl w:val="0"/>
              <w:kinsoku/>
              <w:wordWrap/>
              <w:overflowPunct/>
              <w:topLinePunct w:val="0"/>
              <w:autoSpaceDE w:val="0"/>
              <w:autoSpaceDN w:val="0"/>
              <w:bidi w:val="0"/>
              <w:adjustRightInd w:val="0"/>
              <w:snapToGrid w:val="0"/>
              <w:spacing w:line="360" w:lineRule="auto"/>
              <w:ind w:firstLine="482"/>
              <w:textAlignment w:val="auto"/>
              <w:rPr>
                <w:rFonts w:hint="eastAsia" w:ascii="Times New Roman" w:hAnsi="Times New Roman" w:eastAsia="宋体" w:cs="Times New Roman"/>
                <w:b/>
                <w:bCs/>
                <w:color w:val="000000" w:themeColor="text1"/>
                <w:lang w:val="en-US" w:eastAsia="zh-CN"/>
                <w14:textFill>
                  <w14:solidFill>
                    <w14:schemeClr w14:val="tx1"/>
                  </w14:solidFill>
                </w14:textFill>
              </w:rPr>
            </w:pPr>
            <w:r>
              <w:rPr>
                <w:rFonts w:hint="eastAsia" w:ascii="Times New Roman" w:hAnsi="Times New Roman" w:eastAsia="宋体" w:cs="Times New Roman"/>
                <w:b/>
                <w:bCs/>
                <w:color w:val="000000" w:themeColor="text1"/>
                <w:lang w:val="en-US" w:eastAsia="zh-CN"/>
                <w14:textFill>
                  <w14:solidFill>
                    <w14:schemeClr w14:val="tx1"/>
                  </w14:solidFill>
                </w14:textFill>
              </w:rPr>
              <w:t>一、施工期施工流程及产污环境分析</w:t>
            </w:r>
          </w:p>
          <w:p w14:paraId="738FDDB3">
            <w:pPr>
              <w:adjustRightInd w:val="0"/>
              <w:snapToGrid w:val="0"/>
              <w:spacing w:line="360" w:lineRule="auto"/>
              <w:ind w:firstLine="480" w:firstLineChars="200"/>
              <w:rPr>
                <w:rFonts w:hint="eastAsia" w:ascii="Times New Roman" w:hAnsi="Times New Roman" w:eastAsia="宋体" w:cs="Times New Roman"/>
                <w:color w:val="000000" w:themeColor="text1"/>
                <w:kern w:val="0"/>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4"/>
                <w:szCs w:val="24"/>
                <w:lang w:val="en-US" w:eastAsia="zh-CN" w:bidi="ar-SA"/>
                <w14:textFill>
                  <w14:solidFill>
                    <w14:schemeClr w14:val="tx1"/>
                  </w14:solidFill>
                </w14:textFill>
              </w:rPr>
              <w:t>本项目施工期不涉及表土剥离、建筑基础开挖，主要建设内容包括建筑适应性改造、装饰、设备安装与调试等。施工期将产生扬尘、建筑垃圾、装修废气、噪声、设备安装产生的包装废弃物、施工人员的生活污水、生活垃圾等，其排放量随施工期和施工强度不同而有所变化。但这些污染是暂时性的，会随着施工结束而消失。</w:t>
            </w:r>
          </w:p>
          <w:p w14:paraId="4A206AD8">
            <w:pPr>
              <w:adjustRightInd w:val="0"/>
              <w:snapToGrid w:val="0"/>
              <w:spacing w:line="360" w:lineRule="auto"/>
              <w:jc w:val="center"/>
              <w:rPr>
                <w:color w:val="000000" w:themeColor="text1"/>
                <w:sz w:val="24"/>
                <w:highlight w:val="none"/>
                <w14:textFill>
                  <w14:solidFill>
                    <w14:schemeClr w14:val="tx1"/>
                  </w14:solidFill>
                </w14:textFill>
              </w:rPr>
            </w:pPr>
            <w:r>
              <w:rPr>
                <w:rFonts w:hint="eastAsia" w:ascii="Times New Roman" w:hAnsi="Times New Roman" w:eastAsia="宋体"/>
                <w:color w:val="000000" w:themeColor="text1"/>
                <w:lang w:eastAsia="zh-CN"/>
                <w14:textFill>
                  <w14:solidFill>
                    <w14:schemeClr w14:val="tx1"/>
                  </w14:solidFill>
                </w14:textFill>
              </w:rPr>
              <w:drawing>
                <wp:inline distT="0" distB="0" distL="114300" distR="114300">
                  <wp:extent cx="4987925" cy="1315720"/>
                  <wp:effectExtent l="0" t="0" r="3175" b="17780"/>
                  <wp:docPr id="38" name="图片 2" descr="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2" descr="图片"/>
                          <pic:cNvPicPr>
                            <a:picLocks noChangeAspect="1"/>
                          </pic:cNvPicPr>
                        </pic:nvPicPr>
                        <pic:blipFill>
                          <a:blip r:embed="rId24"/>
                          <a:stretch>
                            <a:fillRect/>
                          </a:stretch>
                        </pic:blipFill>
                        <pic:spPr>
                          <a:xfrm>
                            <a:off x="0" y="0"/>
                            <a:ext cx="4987925" cy="1315720"/>
                          </a:xfrm>
                          <a:prstGeom prst="rect">
                            <a:avLst/>
                          </a:prstGeom>
                          <a:noFill/>
                          <a:ln>
                            <a:noFill/>
                          </a:ln>
                        </pic:spPr>
                      </pic:pic>
                    </a:graphicData>
                  </a:graphic>
                </wp:inline>
              </w:drawing>
            </w:r>
          </w:p>
          <w:p w14:paraId="3A3EB28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b/>
                <w:bCs/>
                <w:color w:val="000000" w:themeColor="text1"/>
                <w:kern w:val="0"/>
                <w:sz w:val="21"/>
                <w:szCs w:val="21"/>
                <w:highlight w:val="none"/>
                <w:lang w:bidi="ar"/>
                <w14:textFill>
                  <w14:solidFill>
                    <w14:schemeClr w14:val="tx1"/>
                  </w14:solidFill>
                </w14:textFill>
              </w:rPr>
              <w:t>图</w:t>
            </w:r>
            <w:r>
              <w:rPr>
                <w:rFonts w:hint="eastAsia" w:ascii="Times New Roman" w:hAnsi="Times New Roman"/>
                <w:b/>
                <w:bCs/>
                <w:color w:val="000000" w:themeColor="text1"/>
                <w:kern w:val="0"/>
                <w:sz w:val="21"/>
                <w:szCs w:val="21"/>
                <w:highlight w:val="none"/>
                <w:lang w:bidi="ar"/>
                <w14:textFill>
                  <w14:solidFill>
                    <w14:schemeClr w14:val="tx1"/>
                  </w14:solidFill>
                </w14:textFill>
              </w:rPr>
              <w:t>2-</w:t>
            </w:r>
            <w:r>
              <w:rPr>
                <w:rFonts w:hint="eastAsia"/>
                <w:b/>
                <w:bCs/>
                <w:color w:val="000000" w:themeColor="text1"/>
                <w:kern w:val="0"/>
                <w:sz w:val="21"/>
                <w:szCs w:val="21"/>
                <w:highlight w:val="none"/>
                <w:lang w:val="en-US" w:eastAsia="zh-CN" w:bidi="ar"/>
                <w14:textFill>
                  <w14:solidFill>
                    <w14:schemeClr w14:val="tx1"/>
                  </w14:solidFill>
                </w14:textFill>
              </w:rPr>
              <w:t>5</w:t>
            </w:r>
            <w:r>
              <w:rPr>
                <w:rFonts w:hint="eastAsia" w:ascii="Times New Roman" w:hAnsi="Times New Roman"/>
                <w:b/>
                <w:bCs/>
                <w:color w:val="000000" w:themeColor="text1"/>
                <w:kern w:val="0"/>
                <w:sz w:val="21"/>
                <w:szCs w:val="21"/>
                <w:highlight w:val="none"/>
                <w:lang w:bidi="ar"/>
                <w14:textFill>
                  <w14:solidFill>
                    <w14:schemeClr w14:val="tx1"/>
                  </w14:solidFill>
                </w14:textFill>
              </w:rPr>
              <w:t xml:space="preserve"> 施工期工艺流程及产污环节图</w:t>
            </w:r>
          </w:p>
          <w:p w14:paraId="09EF58B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000000" w:themeColor="text1"/>
                <w:kern w:val="0"/>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4"/>
                <w:szCs w:val="24"/>
                <w:lang w:val="en-US" w:eastAsia="zh-CN" w:bidi="ar-SA"/>
                <w14:textFill>
                  <w14:solidFill>
                    <w14:schemeClr w14:val="tx1"/>
                  </w14:solidFill>
                </w14:textFill>
              </w:rPr>
              <w:t>项目施工期产生的人员生活污水</w:t>
            </w:r>
            <w:r>
              <w:rPr>
                <w:rFonts w:hint="eastAsia" w:cs="Times New Roman"/>
                <w:color w:val="000000" w:themeColor="text1"/>
                <w:kern w:val="0"/>
                <w:sz w:val="24"/>
                <w:szCs w:val="24"/>
                <w:lang w:val="en-US" w:eastAsia="zh-CN" w:bidi="ar-SA"/>
                <w14:textFill>
                  <w14:solidFill>
                    <w14:schemeClr w14:val="tx1"/>
                  </w14:solidFill>
                </w14:textFill>
              </w:rPr>
              <w:t>由园区</w:t>
            </w:r>
            <w:r>
              <w:rPr>
                <w:rFonts w:hint="eastAsia" w:ascii="Times New Roman" w:hAnsi="Times New Roman" w:eastAsia="宋体" w:cs="Times New Roman"/>
                <w:color w:val="000000" w:themeColor="text1"/>
                <w:kern w:val="0"/>
                <w:sz w:val="24"/>
                <w:szCs w:val="24"/>
                <w:lang w:val="en-US" w:eastAsia="zh-CN" w:bidi="ar-SA"/>
                <w14:textFill>
                  <w14:solidFill>
                    <w14:schemeClr w14:val="tx1"/>
                  </w14:solidFill>
                </w14:textFill>
              </w:rPr>
              <w:t>污水处理设施处理后经市政管网排放至处理；通过采取选用低噪声设备、合理安排施工工序及时间等措施，可有效降低施工期噪声对周边环境的影响；施工人员生活垃圾依托现有的暂存设施由环卫部门定期清运处理，废包装材料等可回收资源集中收集后外售，施工期固废去向明确，不会造成二次污染。</w:t>
            </w:r>
          </w:p>
          <w:p w14:paraId="3B2A0D7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color w:val="000000" w:themeColor="text1"/>
                <w14:textFill>
                  <w14:solidFill>
                    <w14:schemeClr w14:val="tx1"/>
                  </w14:solidFill>
                </w14:textFill>
              </w:rPr>
            </w:pPr>
            <w:r>
              <w:rPr>
                <w:rFonts w:hint="eastAsia" w:ascii="Times New Roman" w:hAnsi="Times New Roman" w:eastAsia="宋体" w:cs="Times New Roman"/>
                <w:color w:val="000000" w:themeColor="text1"/>
                <w:kern w:val="0"/>
                <w:sz w:val="24"/>
                <w:szCs w:val="24"/>
                <w:lang w:val="en-US" w:eastAsia="zh-CN" w:bidi="ar-SA"/>
                <w14:textFill>
                  <w14:solidFill>
                    <w14:schemeClr w14:val="tx1"/>
                  </w14:solidFill>
                </w14:textFill>
              </w:rPr>
              <w:t>施工周期短，上述污染物将随着施工期的结束而结束</w:t>
            </w:r>
          </w:p>
          <w:p w14:paraId="24B80C6C">
            <w:pPr>
              <w:pStyle w:val="66"/>
              <w:keepNext w:val="0"/>
              <w:keepLines w:val="0"/>
              <w:pageBreakBefore w:val="0"/>
              <w:widowControl w:val="0"/>
              <w:kinsoku/>
              <w:wordWrap/>
              <w:overflowPunct/>
              <w:topLinePunct w:val="0"/>
              <w:autoSpaceDE w:val="0"/>
              <w:autoSpaceDN w:val="0"/>
              <w:bidi w:val="0"/>
              <w:adjustRightInd w:val="0"/>
              <w:snapToGrid w:val="0"/>
              <w:spacing w:line="360" w:lineRule="auto"/>
              <w:ind w:firstLine="482"/>
              <w:textAlignment w:val="auto"/>
              <w:rPr>
                <w:rFonts w:hint="eastAsia" w:ascii="Times New Roman" w:hAnsi="Times New Roman" w:eastAsia="宋体" w:cs="Times New Roman"/>
                <w:b/>
                <w:bCs/>
                <w:color w:val="000000" w:themeColor="text1"/>
                <w:lang w:val="en-US" w:eastAsia="zh-CN"/>
                <w14:textFill>
                  <w14:solidFill>
                    <w14:schemeClr w14:val="tx1"/>
                  </w14:solidFill>
                </w14:textFill>
              </w:rPr>
            </w:pPr>
            <w:r>
              <w:rPr>
                <w:rFonts w:hint="eastAsia" w:ascii="Times New Roman" w:hAnsi="Times New Roman" w:eastAsia="宋体" w:cs="Times New Roman"/>
                <w:b/>
                <w:bCs/>
                <w:color w:val="000000" w:themeColor="text1"/>
                <w:lang w:val="en-US" w:eastAsia="zh-CN"/>
                <w14:textFill>
                  <w14:solidFill>
                    <w14:schemeClr w14:val="tx1"/>
                  </w14:solidFill>
                </w14:textFill>
              </w:rPr>
              <w:t>二、运营期工艺流程及产污环节分析</w:t>
            </w:r>
          </w:p>
          <w:p w14:paraId="0173264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000000" w:themeColor="text1"/>
                <w:kern w:val="0"/>
                <w:sz w:val="24"/>
                <w:szCs w:val="24"/>
                <w:lang w:val="en-US" w:eastAsia="zh-CN" w:bidi="ar-SA"/>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本项目产品包含宽温域长寿命磷酸铁锂蓄电池、超充高倍率锂离子蓄电池及高比能高倍率固态电池，各类产品生产工艺流程</w:t>
            </w:r>
            <w:r>
              <w:rPr>
                <w:rFonts w:hint="eastAsia" w:ascii="宋体" w:hAnsi="宋体" w:cs="宋体"/>
                <w:color w:val="000000" w:themeColor="text1"/>
                <w:sz w:val="24"/>
                <w:szCs w:val="24"/>
                <w:lang w:val="en-US" w:eastAsia="zh-CN"/>
                <w14:textFill>
                  <w14:solidFill>
                    <w14:schemeClr w14:val="tx1"/>
                  </w14:solidFill>
                </w14:textFill>
              </w:rPr>
              <w:t>一致</w:t>
            </w:r>
            <w:r>
              <w:rPr>
                <w:rFonts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仅</w:t>
            </w:r>
            <w:r>
              <w:rPr>
                <w:rFonts w:hint="eastAsia" w:ascii="宋体" w:hAnsi="宋体" w:cs="宋体"/>
                <w:color w:val="000000" w:themeColor="text1"/>
                <w:sz w:val="24"/>
                <w:szCs w:val="24"/>
                <w:lang w:val="en-US" w:eastAsia="zh-CN"/>
                <w14:textFill>
                  <w14:solidFill>
                    <w14:schemeClr w14:val="tx1"/>
                  </w14:solidFill>
                </w14:textFill>
              </w:rPr>
              <w:t>配料量、设计参数</w:t>
            </w:r>
            <w:r>
              <w:rPr>
                <w:rFonts w:ascii="宋体" w:hAnsi="宋体" w:eastAsia="宋体" w:cs="宋体"/>
                <w:color w:val="000000" w:themeColor="text1"/>
                <w:sz w:val="24"/>
                <w:szCs w:val="24"/>
                <w14:textFill>
                  <w14:solidFill>
                    <w14:schemeClr w14:val="tx1"/>
                  </w14:solidFill>
                </w14:textFill>
              </w:rPr>
              <w:t>存在差异</w:t>
            </w:r>
            <w:r>
              <w:rPr>
                <w:rFonts w:hint="eastAsia" w:ascii="Times New Roman" w:hAnsi="Times New Roman" w:eastAsia="宋体" w:cs="Times New Roman"/>
                <w:color w:val="000000" w:themeColor="text1"/>
                <w:kern w:val="0"/>
                <w:sz w:val="24"/>
                <w:szCs w:val="24"/>
                <w:lang w:val="en-US" w:eastAsia="zh-CN" w:bidi="ar-SA"/>
                <w14:textFill>
                  <w14:solidFill>
                    <w14:schemeClr w14:val="tx1"/>
                  </w14:solidFill>
                </w14:textFill>
              </w:rPr>
              <w:t>。</w:t>
            </w:r>
          </w:p>
          <w:p w14:paraId="17149FB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000000" w:themeColor="text1"/>
                <w:kern w:val="0"/>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4"/>
                <w:szCs w:val="24"/>
                <w:lang w:val="en-US" w:eastAsia="zh-CN" w:bidi="ar-SA"/>
                <w14:textFill>
                  <w14:solidFill>
                    <w14:schemeClr w14:val="tx1"/>
                  </w14:solidFill>
                </w14:textFill>
              </w:rPr>
              <w:t>对单体电池PACK、模组集成电源系统。</w:t>
            </w:r>
          </w:p>
          <w:p w14:paraId="02ABC944">
            <w:pPr>
              <w:adjustRightInd w:val="0"/>
              <w:snapToGrid w:val="0"/>
              <w:spacing w:line="360" w:lineRule="auto"/>
              <w:ind w:firstLine="482" w:firstLineChars="200"/>
              <w:rPr>
                <w:rFonts w:hint="eastAsia" w:ascii="宋体" w:hAnsi="宋体" w:cs="宋体"/>
                <w:color w:val="000000" w:themeColor="text1"/>
                <w:sz w:val="24"/>
                <w:szCs w:val="24"/>
                <w:lang w:val="en-US" w:eastAsia="zh-CN"/>
                <w14:textFill>
                  <w14:solidFill>
                    <w14:schemeClr w14:val="tx1"/>
                  </w14:solidFill>
                </w14:textFill>
              </w:rPr>
            </w:pPr>
            <w:r>
              <w:rPr>
                <w:rFonts w:hint="eastAsia"/>
                <w:b/>
                <w:bCs/>
                <w:color w:val="000000" w:themeColor="text1"/>
                <w:sz w:val="24"/>
                <w:szCs w:val="24"/>
                <w14:textFill>
                  <w14:solidFill>
                    <w14:schemeClr w14:val="tx1"/>
                  </w14:solidFill>
                </w14:textFill>
              </w:rPr>
              <w:t>1</w:t>
            </w:r>
            <w:r>
              <w:rPr>
                <w:rFonts w:hint="eastAsia"/>
                <w:b/>
                <w:bCs/>
                <w:color w:val="000000" w:themeColor="text1"/>
                <w:sz w:val="24"/>
                <w:szCs w:val="24"/>
                <w:lang w:eastAsia="zh-CN"/>
                <w14:textFill>
                  <w14:solidFill>
                    <w14:schemeClr w14:val="tx1"/>
                  </w14:solidFill>
                </w14:textFill>
              </w:rPr>
              <w:t>、</w:t>
            </w:r>
            <w:r>
              <w:rPr>
                <w:rFonts w:hint="eastAsia"/>
                <w:b/>
                <w:bCs/>
                <w:color w:val="000000" w:themeColor="text1"/>
                <w:sz w:val="24"/>
                <w:szCs w:val="24"/>
                <w14:textFill>
                  <w14:solidFill>
                    <w14:schemeClr w14:val="tx1"/>
                  </w14:solidFill>
                </w14:textFill>
              </w:rPr>
              <w:t>单体电池生产工艺流程及产污环节</w:t>
            </w:r>
          </w:p>
          <w:p w14:paraId="671C38F3">
            <w:pPr>
              <w:adjustRightInd w:val="0"/>
              <w:snapToGrid w:val="0"/>
              <w:spacing w:line="360" w:lineRule="auto"/>
              <w:ind w:firstLine="480" w:firstLineChars="200"/>
              <w:rPr>
                <w:rFonts w:hint="eastAsia" w:ascii="Times New Roman" w:hAnsi="Times New Roman"/>
                <w:b w:val="0"/>
                <w:bCs w:val="0"/>
                <w:color w:val="000000" w:themeColor="text1"/>
                <w:sz w:val="24"/>
                <w:highlight w:val="none"/>
                <w:lang w:val="en-US" w:eastAsia="zh-CN"/>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具体生产</w:t>
            </w:r>
            <w:r>
              <w:rPr>
                <w:rFonts w:hint="eastAsia" w:ascii="宋体" w:hAnsi="宋体" w:cs="宋体"/>
                <w:color w:val="000000" w:themeColor="text1"/>
                <w:sz w:val="24"/>
                <w:szCs w:val="24"/>
                <w:lang w:val="en-US" w:eastAsia="zh-CN"/>
                <w14:textFill>
                  <w14:solidFill>
                    <w14:schemeClr w14:val="tx1"/>
                  </w14:solidFill>
                </w14:textFill>
              </w:rPr>
              <w:t>工艺</w:t>
            </w:r>
            <w:r>
              <w:rPr>
                <w:rFonts w:ascii="宋体" w:hAnsi="宋体" w:eastAsia="宋体" w:cs="宋体"/>
                <w:color w:val="000000" w:themeColor="text1"/>
                <w:sz w:val="24"/>
                <w:szCs w:val="24"/>
                <w14:textFill>
                  <w14:solidFill>
                    <w14:schemeClr w14:val="tx1"/>
                  </w14:solidFill>
                </w14:textFill>
              </w:rPr>
              <w:t>流程及对应的产污环节详见下图</w:t>
            </w:r>
            <w:r>
              <w:rPr>
                <w:rFonts w:hint="eastAsia" w:ascii="Times New Roman" w:hAnsi="Times New Roman"/>
                <w:b w:val="0"/>
                <w:bCs w:val="0"/>
                <w:color w:val="000000" w:themeColor="text1"/>
                <w:sz w:val="24"/>
                <w:highlight w:val="none"/>
                <w:lang w:val="en-US" w:eastAsia="zh-CN"/>
                <w14:textFill>
                  <w14:solidFill>
                    <w14:schemeClr w14:val="tx1"/>
                  </w14:solidFill>
                </w14:textFill>
              </w:rPr>
              <w:t>：</w:t>
            </w:r>
          </w:p>
          <w:p w14:paraId="3A9B3392">
            <w:pPr>
              <w:adjustRightInd w:val="0"/>
              <w:snapToGrid w:val="0"/>
              <w:spacing w:line="360" w:lineRule="auto"/>
              <w:jc w:val="center"/>
              <w:rPr>
                <w:rFonts w:hint="eastAsia" w:ascii="Times New Roman" w:hAnsi="Times New Roman"/>
                <w:b w:val="0"/>
                <w:bCs w:val="0"/>
                <w:color w:val="000000" w:themeColor="text1"/>
                <w:sz w:val="24"/>
                <w:highlight w:val="none"/>
                <w:lang w:val="en-US" w:eastAsia="zh-CN"/>
                <w14:textFill>
                  <w14:solidFill>
                    <w14:schemeClr w14:val="tx1"/>
                  </w14:solidFill>
                </w14:textFill>
              </w:rPr>
            </w:pPr>
            <w:r>
              <w:rPr>
                <w:rFonts w:hint="eastAsia" w:ascii="Times New Roman" w:hAnsi="Times New Roman"/>
                <w:b w:val="0"/>
                <w:bCs w:val="0"/>
                <w:color w:val="000000" w:themeColor="text1"/>
                <w:sz w:val="24"/>
                <w:highlight w:val="none"/>
                <w:lang w:val="en-US" w:eastAsia="zh-CN"/>
                <w14:textFill>
                  <w14:solidFill>
                    <w14:schemeClr w14:val="tx1"/>
                  </w14:solidFill>
                </w14:textFill>
              </w:rPr>
              <w:object>
                <v:shape id="_x0000_i1030" o:spt="75" type="#_x0000_t75" style="height:616.7pt;width:393.15pt;" o:ole="t" filled="f" o:preferrelative="t" stroked="f" coordsize="21600,21600">
                  <v:path/>
                  <v:fill on="f" focussize="0,0"/>
                  <v:stroke on="f"/>
                  <v:imagedata r:id="rId26" o:title=""/>
                  <o:lock v:ext="edit" aspectratio="f"/>
                  <w10:wrap type="none"/>
                  <w10:anchorlock/>
                </v:shape>
                <o:OLEObject Type="Embed" ProgID="Visio.Drawing.15" ShapeID="_x0000_i1030" DrawAspect="Content" ObjectID="_1468075730" r:id="rId25">
                  <o:LockedField>false</o:LockedField>
                </o:OLEObject>
              </w:object>
            </w:r>
          </w:p>
          <w:p w14:paraId="4A7F72B5">
            <w:pPr>
              <w:pStyle w:val="68"/>
              <w:rPr>
                <w:rFonts w:hint="default" w:ascii="Times New Roman" w:hAnsi="Times New Roman" w:eastAsia="宋体" w:cs="Times New Roman"/>
                <w:b/>
                <w:bCs/>
                <w:color w:val="000000" w:themeColor="text1"/>
                <w14:textFill>
                  <w14:solidFill>
                    <w14:schemeClr w14:val="tx1"/>
                  </w14:solidFill>
                </w14:textFill>
              </w:rPr>
            </w:pPr>
            <w:r>
              <w:rPr>
                <w:rFonts w:hint="default" w:ascii="Times New Roman" w:hAnsi="Times New Roman" w:eastAsia="宋体" w:cs="Times New Roman"/>
                <w:b/>
                <w:bCs/>
                <w:color w:val="000000" w:themeColor="text1"/>
                <w14:textFill>
                  <w14:solidFill>
                    <w14:schemeClr w14:val="tx1"/>
                  </w14:solidFill>
                </w14:textFill>
              </w:rPr>
              <w:t>图2-</w:t>
            </w:r>
            <w:r>
              <w:rPr>
                <w:rFonts w:hint="eastAsia" w:eastAsia="宋体" w:cs="Times New Roman"/>
                <w:b/>
                <w:bCs/>
                <w:color w:val="000000" w:themeColor="text1"/>
                <w:lang w:val="en-US" w:eastAsia="zh-CN"/>
                <w14:textFill>
                  <w14:solidFill>
                    <w14:schemeClr w14:val="tx1"/>
                  </w14:solidFill>
                </w14:textFill>
              </w:rPr>
              <w:t>6</w:t>
            </w:r>
            <w:r>
              <w:rPr>
                <w:rFonts w:hint="default" w:ascii="Times New Roman" w:hAnsi="Times New Roman" w:eastAsia="宋体" w:cs="Times New Roman"/>
                <w:b/>
                <w:bCs/>
                <w:color w:val="000000" w:themeColor="text1"/>
                <w14:textFill>
                  <w14:solidFill>
                    <w14:schemeClr w14:val="tx1"/>
                  </w14:solidFill>
                </w14:textFill>
              </w:rPr>
              <w:t xml:space="preserve">  工艺流程及产污分析图</w:t>
            </w:r>
          </w:p>
          <w:p w14:paraId="43441115">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textAlignment w:val="auto"/>
              <w:rPr>
                <w:rFonts w:hint="eastAsia"/>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工艺流程简述：</w:t>
            </w:r>
          </w:p>
          <w:p w14:paraId="7BE6B171">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1）极片制作工序</w:t>
            </w:r>
          </w:p>
          <w:p w14:paraId="666F5A17">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ascii="Times New Roman" w:hAnsi="Times New Roman" w:eastAsia="宋体"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①</w:t>
            </w:r>
            <w:r>
              <w:rPr>
                <w:rFonts w:hint="eastAsia" w:ascii="Times New Roman" w:hAnsi="Times New Roman" w:eastAsia="宋体" w:cs="Times New Roman"/>
                <w:color w:val="000000" w:themeColor="text1"/>
                <w14:textFill>
                  <w14:solidFill>
                    <w14:schemeClr w14:val="tx1"/>
                  </w14:solidFill>
                </w14:textFill>
              </w:rPr>
              <w:t>正、负极浆料制备</w:t>
            </w:r>
          </w:p>
          <w:p w14:paraId="230524C6">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正负极制浆在两个独立工段</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分别设置在密闭投料间内。</w:t>
            </w:r>
            <w:r>
              <w:rPr>
                <w:rFonts w:hint="eastAsia" w:ascii="Times New Roman" w:hAnsi="Times New Roman" w:eastAsia="宋体" w:cs="Times New Roman"/>
                <w:color w:val="000000" w:themeColor="text1"/>
                <w14:textFill>
                  <w14:solidFill>
                    <w14:schemeClr w14:val="tx1"/>
                  </w14:solidFill>
                </w14:textFill>
              </w:rPr>
              <w:t>正极溶剂NMP存放在</w:t>
            </w:r>
            <w:r>
              <w:rPr>
                <w:rFonts w:hint="eastAsia" w:cs="Times New Roman"/>
                <w:color w:val="000000" w:themeColor="text1"/>
                <w:lang w:val="en-US" w:eastAsia="zh-CN"/>
                <w14:textFill>
                  <w14:solidFill>
                    <w14:schemeClr w14:val="tx1"/>
                  </w14:solidFill>
                </w14:textFill>
              </w:rPr>
              <w:t>10</w:t>
            </w:r>
            <w:r>
              <w:rPr>
                <w:rFonts w:hint="eastAsia" w:ascii="Times New Roman" w:hAnsi="Times New Roman" w:eastAsia="宋体" w:cs="Times New Roman"/>
                <w:color w:val="000000" w:themeColor="text1"/>
                <w14:textFill>
                  <w14:solidFill>
                    <w14:schemeClr w14:val="tx1"/>
                  </w14:solidFill>
                </w14:textFill>
              </w:rPr>
              <w:t>00kg密封</w:t>
            </w:r>
            <w:r>
              <w:rPr>
                <w:rFonts w:hint="eastAsia" w:cs="Times New Roman"/>
                <w:color w:val="000000" w:themeColor="text1"/>
                <w:lang w:val="en-US" w:eastAsia="zh-CN"/>
                <w14:textFill>
                  <w14:solidFill>
                    <w14:schemeClr w14:val="tx1"/>
                  </w14:solidFill>
                </w14:textFill>
              </w:rPr>
              <w:t>塑料桶</w:t>
            </w:r>
            <w:r>
              <w:rPr>
                <w:rFonts w:hint="eastAsia" w:ascii="Times New Roman" w:hAnsi="Times New Roman" w:eastAsia="宋体" w:cs="Times New Roman"/>
                <w:color w:val="000000" w:themeColor="text1"/>
                <w14:textFill>
                  <w14:solidFill>
                    <w14:schemeClr w14:val="tx1"/>
                  </w14:solidFill>
                </w14:textFill>
              </w:rPr>
              <w:t>中，采用取料管定量取出，通过液体加料口加入自动化制浆系统。取磷酸铁锂</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镍钴锰酸锂</w:t>
            </w:r>
            <w:r>
              <w:rPr>
                <w:rFonts w:hint="eastAsia" w:cs="Times New Roman"/>
                <w:color w:val="000000" w:themeColor="text1"/>
                <w:lang w:eastAsia="zh-CN"/>
                <w14:textFill>
                  <w14:solidFill>
                    <w14:schemeClr w14:val="tx1"/>
                  </w14:solidFill>
                </w14:textFill>
              </w:rPr>
              <w:t>）</w:t>
            </w:r>
            <w:r>
              <w:rPr>
                <w:rFonts w:hint="eastAsia" w:ascii="Times New Roman" w:hAnsi="Times New Roman" w:eastAsia="宋体" w:cs="Times New Roman"/>
                <w:color w:val="000000" w:themeColor="text1"/>
                <w14:textFill>
                  <w14:solidFill>
                    <w14:schemeClr w14:val="tx1"/>
                  </w14:solidFill>
                </w14:textFill>
              </w:rPr>
              <w:t>、CNT、PVDF分别加入粉料加料口。NMP自动加入PVDF粉料混合，搅拌2h左右，以使粘结剂充分溶胀、溶解，然后自动将磷酸铁锂、CNT均匀分四次加入制浆系统，搅拌粉料时会发热，设备通过冷却循环水系统温度控制在30℃左右，搅拌6～8h，待浆料充分混合均匀后开启制浆系统真空设施，使设备内保持真空度为-0.09MPa，再搅拌30min左右即制成正极浆料，呈黑色粘稠状。</w:t>
            </w:r>
          </w:p>
          <w:p w14:paraId="06DA561C">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将负极溶剂纯水和石墨、CNT、CMC</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SBR</w:t>
            </w:r>
            <w:r>
              <w:rPr>
                <w:rFonts w:hint="eastAsia" w:ascii="Times New Roman" w:hAnsi="Times New Roman" w:eastAsia="宋体" w:cs="Times New Roman"/>
                <w:color w:val="000000" w:themeColor="text1"/>
                <w14:textFill>
                  <w14:solidFill>
                    <w14:schemeClr w14:val="tx1"/>
                  </w14:solidFill>
                </w14:textFill>
              </w:rPr>
              <w:t>分别加入负极自动化制浆系统液体加料口和粉料加料口。纯水自动加入CMC粉料混合，搅拌1h左右，以使CMC粉料充分溶胀、溶解，然后自动将石墨、CNT均匀分四次加入制浆系统，温度控制在30℃左右，搅拌时间6~8h，待浆料充分混合均匀后开启制浆系统真空设施，使设备内保持真空度为-0.09MPa至0.10MPa，搅拌30min左右即制成负极浆料，呈黑色粘稠状。</w:t>
            </w:r>
          </w:p>
          <w:p w14:paraId="23047146">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制浆搅拌</w:t>
            </w:r>
            <w:r>
              <w:rPr>
                <w:rFonts w:hint="default" w:ascii="Times New Roman" w:hAnsi="Times New Roman" w:eastAsia="宋体" w:cs="Times New Roman"/>
                <w:color w:val="000000" w:themeColor="text1"/>
                <w14:textFill>
                  <w14:solidFill>
                    <w14:schemeClr w14:val="tx1"/>
                  </w14:solidFill>
                </w14:textFill>
              </w:rPr>
              <w:t>过程均在密闭设备内完成</w:t>
            </w:r>
            <w:r>
              <w:rPr>
                <w:rFonts w:hint="default" w:ascii="Times New Roman" w:hAnsi="Times New Roman" w:eastAsia="宋体" w:cs="Times New Roman"/>
                <w:color w:val="000000" w:themeColor="text1"/>
                <w:lang w:val="en-US" w:eastAsia="zh-CN"/>
                <w14:textFill>
                  <w14:solidFill>
                    <w14:schemeClr w14:val="tx1"/>
                  </w14:solidFill>
                </w14:textFill>
              </w:rPr>
              <w:t>，粉料均溶于溶剂中，搅拌</w:t>
            </w:r>
            <w:r>
              <w:rPr>
                <w:rFonts w:hint="eastAsia" w:ascii="Times New Roman" w:hAnsi="Times New Roman" w:eastAsia="宋体" w:cs="Times New Roman"/>
                <w:color w:val="000000" w:themeColor="text1"/>
                <w:lang w:val="en-US" w:eastAsia="zh-CN"/>
                <w14:textFill>
                  <w14:solidFill>
                    <w14:schemeClr w14:val="tx1"/>
                  </w14:solidFill>
                </w14:textFill>
              </w:rPr>
              <w:t>粉尘</w:t>
            </w:r>
            <w:r>
              <w:rPr>
                <w:rFonts w:hint="default" w:ascii="Times New Roman" w:hAnsi="Times New Roman" w:eastAsia="宋体" w:cs="Times New Roman"/>
                <w:color w:val="000000" w:themeColor="text1"/>
                <w:lang w:val="en-US" w:eastAsia="zh-CN"/>
                <w14:textFill>
                  <w14:solidFill>
                    <w14:schemeClr w14:val="tx1"/>
                  </w14:solidFill>
                </w14:textFill>
              </w:rPr>
              <w:t>产生量极少，可忽略；</w:t>
            </w:r>
            <w:r>
              <w:rPr>
                <w:rFonts w:hint="default" w:ascii="Times New Roman" w:hAnsi="Times New Roman" w:eastAsia="宋体" w:cs="Times New Roman"/>
                <w:color w:val="000000" w:themeColor="text1"/>
                <w14:textFill>
                  <w14:solidFill>
                    <w14:schemeClr w14:val="tx1"/>
                  </w14:solidFill>
                </w14:textFill>
              </w:rPr>
              <w:t>正极</w:t>
            </w:r>
            <w:r>
              <w:rPr>
                <w:rFonts w:hint="default" w:ascii="Times New Roman" w:hAnsi="Times New Roman" w:eastAsia="宋体" w:cs="Times New Roman"/>
                <w:color w:val="000000" w:themeColor="text1"/>
                <w:lang w:eastAsia="zh-CN"/>
                <w14:textFill>
                  <w14:solidFill>
                    <w14:schemeClr w14:val="tx1"/>
                  </w14:solidFill>
                </w14:textFill>
              </w:rPr>
              <w:t>合浆</w:t>
            </w:r>
            <w:r>
              <w:rPr>
                <w:rFonts w:hint="default" w:ascii="Times New Roman" w:hAnsi="Times New Roman" w:eastAsia="宋体" w:cs="Times New Roman"/>
                <w:color w:val="000000" w:themeColor="text1"/>
                <w14:textFill>
                  <w14:solidFill>
                    <w14:schemeClr w14:val="tx1"/>
                  </w14:solidFill>
                </w14:textFill>
              </w:rPr>
              <w:t>溶剂为NMP，NMP</w:t>
            </w:r>
            <w:r>
              <w:rPr>
                <w:rFonts w:hint="default" w:ascii="Times New Roman" w:hAnsi="Times New Roman" w:eastAsia="宋体" w:cs="Times New Roman"/>
                <w:color w:val="000000" w:themeColor="text1"/>
                <w:lang w:val="en-US" w:eastAsia="zh-CN"/>
                <w14:textFill>
                  <w14:solidFill>
                    <w14:schemeClr w14:val="tx1"/>
                  </w14:solidFill>
                </w14:textFill>
              </w:rPr>
              <w:t>能与水混溶，溶于乙醚，丙酮及各种有机溶剂无限混溶，化学性能稳定和热稳定性好，具有极性高，挥发性低等优点</w:t>
            </w:r>
            <w:r>
              <w:rPr>
                <w:rFonts w:hint="eastAsia" w:ascii="Times New Roman" w:hAnsi="Times New Roman" w:eastAsia="宋体" w:cs="Times New Roman"/>
                <w:color w:val="000000" w:themeColor="text1"/>
                <w:lang w:val="en-US" w:eastAsia="zh-CN"/>
                <w14:textFill>
                  <w14:solidFill>
                    <w14:schemeClr w14:val="tx1"/>
                  </w14:solidFill>
                </w14:textFill>
              </w:rPr>
              <w:t>，</w:t>
            </w:r>
            <w:r>
              <w:rPr>
                <w:rFonts w:hint="default" w:ascii="Times New Roman" w:hAnsi="Times New Roman" w:eastAsia="宋体" w:cs="Times New Roman"/>
                <w:color w:val="000000" w:themeColor="text1"/>
                <w:lang w:val="en-US" w:eastAsia="zh-CN"/>
                <w14:textFill>
                  <w14:solidFill>
                    <w14:schemeClr w14:val="tx1"/>
                  </w14:solidFill>
                </w14:textFill>
              </w:rPr>
              <w:t>因此上料+</w:t>
            </w:r>
            <w:r>
              <w:rPr>
                <w:rFonts w:hint="eastAsia" w:cs="Times New Roman"/>
                <w:color w:val="000000" w:themeColor="text1"/>
                <w:lang w:val="en-US" w:eastAsia="zh-CN"/>
                <w14:textFill>
                  <w14:solidFill>
                    <w14:schemeClr w14:val="tx1"/>
                  </w14:solidFill>
                </w14:textFill>
              </w:rPr>
              <w:t>匀浆</w:t>
            </w:r>
            <w:r>
              <w:rPr>
                <w:rFonts w:hint="default" w:ascii="Times New Roman" w:hAnsi="Times New Roman" w:eastAsia="宋体" w:cs="Times New Roman"/>
                <w:color w:val="000000" w:themeColor="text1"/>
                <w14:textFill>
                  <w14:solidFill>
                    <w14:schemeClr w14:val="tx1"/>
                  </w14:solidFill>
                </w14:textFill>
              </w:rPr>
              <w:t>过程中NMP挥发量可忽略不计</w:t>
            </w:r>
            <w:r>
              <w:rPr>
                <w:rFonts w:hint="eastAsia" w:cs="Times New Roman"/>
                <w:color w:val="000000" w:themeColor="text1"/>
                <w:lang w:eastAsia="zh-CN"/>
                <w14:textFill>
                  <w14:solidFill>
                    <w14:schemeClr w14:val="tx1"/>
                  </w14:solidFill>
                </w14:textFill>
              </w:rPr>
              <w:t>。</w:t>
            </w:r>
            <w:r>
              <w:rPr>
                <w:rFonts w:hint="eastAsia" w:ascii="Times New Roman" w:hAnsi="Times New Roman" w:eastAsia="宋体" w:cs="Times New Roman"/>
                <w:color w:val="000000" w:themeColor="text1"/>
                <w:lang w:eastAsia="zh-CN"/>
                <w14:textFill>
                  <w14:solidFill>
                    <w14:schemeClr w14:val="tx1"/>
                  </w14:solidFill>
                </w14:textFill>
              </w:rPr>
              <w:t>（</w:t>
            </w:r>
            <w:r>
              <w:rPr>
                <w:rFonts w:hint="eastAsia" w:ascii="Times New Roman" w:hAnsi="Times New Roman" w:eastAsia="宋体" w:cs="Times New Roman"/>
                <w:color w:val="000000" w:themeColor="text1"/>
                <w:lang w:val="en-US" w:eastAsia="zh-CN"/>
                <w14:textFill>
                  <w14:solidFill>
                    <w14:schemeClr w14:val="tx1"/>
                  </w14:solidFill>
                </w14:textFill>
              </w:rPr>
              <w:t>此工序主要产生投料粉尘、废包装材料、噪声</w:t>
            </w:r>
            <w:r>
              <w:rPr>
                <w:rFonts w:hint="eastAsia" w:cs="Times New Roman"/>
                <w:color w:val="000000" w:themeColor="text1"/>
                <w:lang w:val="en-US" w:eastAsia="zh-CN"/>
                <w14:textFill>
                  <w14:solidFill>
                    <w14:schemeClr w14:val="tx1"/>
                  </w14:solidFill>
                </w14:textFill>
              </w:rPr>
              <w:t>、正负极设备清洗废水</w:t>
            </w:r>
            <w:r>
              <w:rPr>
                <w:rFonts w:hint="eastAsia" w:ascii="Times New Roman" w:hAnsi="Times New Roman" w:eastAsia="宋体" w:cs="Times New Roman"/>
                <w:color w:val="000000" w:themeColor="text1"/>
                <w:lang w:val="en-US" w:eastAsia="zh-CN"/>
                <w14:textFill>
                  <w14:solidFill>
                    <w14:schemeClr w14:val="tx1"/>
                  </w14:solidFill>
                </w14:textFill>
              </w:rPr>
              <w:t>等</w:t>
            </w:r>
            <w:r>
              <w:rPr>
                <w:rFonts w:hint="eastAsia" w:ascii="Times New Roman" w:hAnsi="Times New Roman" w:eastAsia="宋体" w:cs="Times New Roman"/>
                <w:color w:val="000000" w:themeColor="text1"/>
                <w:lang w:eastAsia="zh-CN"/>
                <w14:textFill>
                  <w14:solidFill>
                    <w14:schemeClr w14:val="tx1"/>
                  </w14:solidFill>
                </w14:textFill>
              </w:rPr>
              <w:t>）</w:t>
            </w:r>
          </w:p>
          <w:p w14:paraId="70B92BC4">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ascii="Times New Roman" w:hAnsi="Times New Roman" w:eastAsia="宋体"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②</w:t>
            </w:r>
            <w:r>
              <w:rPr>
                <w:rFonts w:hint="eastAsia" w:ascii="Times New Roman" w:hAnsi="Times New Roman" w:eastAsia="宋体" w:cs="Times New Roman"/>
                <w:color w:val="000000" w:themeColor="text1"/>
                <w14:textFill>
                  <w14:solidFill>
                    <w14:schemeClr w14:val="tx1"/>
                  </w14:solidFill>
                </w14:textFill>
              </w:rPr>
              <w:t>正、负极浆料涂布、烘干</w:t>
            </w:r>
          </w:p>
          <w:p w14:paraId="50B7E85D">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将制备好的正、负极浆料通过制浆系统出料口放料，存放在中转罐内，</w:t>
            </w:r>
            <w:r>
              <w:rPr>
                <w:rFonts w:hint="eastAsia"/>
                <w:color w:val="000000" w:themeColor="text1"/>
                <w14:textFill>
                  <w14:solidFill>
                    <w14:schemeClr w14:val="tx1"/>
                  </w14:solidFill>
                </w14:textFill>
              </w:rPr>
              <w:t>使用时通过泵料系统取料并加入涂布机缓存罐中，涂布机</w:t>
            </w:r>
            <w:r>
              <w:rPr>
                <w:color w:val="000000" w:themeColor="text1"/>
                <w14:textFill>
                  <w14:solidFill>
                    <w14:schemeClr w14:val="tx1"/>
                  </w14:solidFill>
                </w14:textFill>
              </w:rPr>
              <w:t>用高精度计量泵把浆料</w:t>
            </w:r>
            <w:r>
              <w:rPr>
                <w:rFonts w:hint="eastAsia" w:ascii="宋体" w:hAnsi="宋体" w:eastAsia="宋体" w:cs="宋体"/>
                <w:color w:val="000000" w:themeColor="text1"/>
                <w:lang w:eastAsia="zh-CN"/>
                <w14:textFill>
                  <w14:solidFill>
                    <w14:schemeClr w14:val="tx1"/>
                  </w14:solidFill>
                </w14:textFill>
              </w:rPr>
              <w:t>“</w:t>
            </w:r>
            <w:r>
              <w:rPr>
                <w:color w:val="000000" w:themeColor="text1"/>
                <w14:textFill>
                  <w14:solidFill>
                    <w14:schemeClr w14:val="tx1"/>
                  </w14:solidFill>
                </w14:textFill>
              </w:rPr>
              <w:t>算好量</w:t>
            </w:r>
            <w:r>
              <w:rPr>
                <w:rFonts w:hint="eastAsia" w:ascii="宋体" w:hAnsi="宋体" w:eastAsia="宋体" w:cs="宋体"/>
                <w:color w:val="000000" w:themeColor="text1"/>
                <w:lang w:eastAsia="zh-CN"/>
                <w14:textFill>
                  <w14:solidFill>
                    <w14:schemeClr w14:val="tx1"/>
                  </w14:solidFill>
                </w14:textFill>
              </w:rPr>
              <w:t>”</w:t>
            </w:r>
            <w:r>
              <w:rPr>
                <w:color w:val="000000" w:themeColor="text1"/>
                <w14:textFill>
                  <w14:solidFill>
                    <w14:schemeClr w14:val="tx1"/>
                  </w14:solidFill>
                </w14:textFill>
              </w:rPr>
              <w:t>送进一个精密狭缝模头</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浆料在模唇处形成稳定液桥</w:t>
            </w:r>
            <w:r>
              <w:rPr>
                <w:rFonts w:hint="eastAsia"/>
                <w:color w:val="000000" w:themeColor="text1"/>
                <w14:textFill>
                  <w14:solidFill>
                    <w14:schemeClr w14:val="tx1"/>
                  </w14:solidFill>
                </w14:textFill>
              </w:rPr>
              <w:t>，涂布作业速度20～50m/min，涂布有效宽度400～1000mm，浆</w:t>
            </w:r>
            <w:r>
              <w:rPr>
                <w:rFonts w:ascii="宋体" w:hAnsi="宋体" w:eastAsia="宋体" w:cs="宋体"/>
                <w:color w:val="000000" w:themeColor="text1"/>
                <w:sz w:val="24"/>
                <w:szCs w:val="24"/>
                <w14:textFill>
                  <w14:solidFill>
                    <w14:schemeClr w14:val="tx1"/>
                  </w14:solidFill>
                </w14:textFill>
              </w:rPr>
              <w:t>料随</w:t>
            </w:r>
            <w:r>
              <w:rPr>
                <w:color w:val="000000" w:themeColor="text1"/>
                <w14:textFill>
                  <w14:solidFill>
                    <w14:schemeClr w14:val="tx1"/>
                  </w14:solidFill>
                </w14:textFill>
              </w:rPr>
              <w:t>高速运行的基材</w:t>
            </w:r>
            <w:r>
              <w:rPr>
                <w:rFonts w:hint="eastAsia"/>
                <w:color w:val="000000" w:themeColor="text1"/>
                <w14:textFill>
                  <w14:solidFill>
                    <w14:schemeClr w14:val="tx1"/>
                  </w14:solidFill>
                </w14:textFill>
              </w:rPr>
              <w:t>（正极集电体为铝箔，负极集电体为铜箔）</w:t>
            </w:r>
            <w:r>
              <w:rPr>
                <w:rFonts w:hint="eastAsia"/>
                <w:color w:val="000000" w:themeColor="text1"/>
                <w:lang w:eastAsia="zh-CN"/>
                <w14:textFill>
                  <w14:solidFill>
                    <w14:schemeClr w14:val="tx1"/>
                  </w14:solidFill>
                </w14:textFill>
              </w:rPr>
              <w:t>“</w:t>
            </w:r>
            <w:r>
              <w:rPr>
                <w:color w:val="000000" w:themeColor="text1"/>
                <w14:textFill>
                  <w14:solidFill>
                    <w14:schemeClr w14:val="tx1"/>
                  </w14:solidFill>
                </w14:textFill>
              </w:rPr>
              <w:t>带走</w:t>
            </w:r>
            <w:r>
              <w:rPr>
                <w:rFonts w:hint="eastAsia"/>
                <w:color w:val="000000" w:themeColor="text1"/>
                <w:lang w:eastAsia="zh-CN"/>
                <w14:textFill>
                  <w14:solidFill>
                    <w14:schemeClr w14:val="tx1"/>
                  </w14:solidFill>
                </w14:textFill>
              </w:rPr>
              <w:t>”</w:t>
            </w:r>
            <w:r>
              <w:rPr>
                <w:color w:val="000000" w:themeColor="text1"/>
                <w14:textFill>
                  <w14:solidFill>
                    <w14:schemeClr w14:val="tx1"/>
                  </w14:solidFill>
                </w14:textFill>
              </w:rPr>
              <w:t>成膜</w:t>
            </w:r>
            <w:r>
              <w:rPr>
                <w:rFonts w:hint="eastAsia"/>
                <w:color w:val="000000" w:themeColor="text1"/>
                <w14:textFill>
                  <w14:solidFill>
                    <w14:schemeClr w14:val="tx1"/>
                  </w14:solidFill>
                </w14:textFill>
              </w:rPr>
              <w:t>，然后通过烘箱</w:t>
            </w:r>
            <w:r>
              <w:rPr>
                <w:color w:val="000000" w:themeColor="text1"/>
                <w14:textFill>
                  <w14:solidFill>
                    <w14:schemeClr w14:val="tx1"/>
                  </w14:solidFill>
                </w14:textFill>
              </w:rPr>
              <w:t>干燥定型</w:t>
            </w:r>
            <w:r>
              <w:rPr>
                <w:rFonts w:hint="eastAsia"/>
                <w:color w:val="000000" w:themeColor="text1"/>
                <w14:textFill>
                  <w14:solidFill>
                    <w14:schemeClr w14:val="tx1"/>
                  </w14:solidFill>
                </w14:textFill>
              </w:rPr>
              <w:t>，最终收卷</w:t>
            </w:r>
            <w:r>
              <w:rPr>
                <w:rFonts w:hint="eastAsia" w:ascii="Times New Roman" w:hAnsi="Times New Roman" w:eastAsia="宋体" w:cs="Times New Roman"/>
                <w:color w:val="000000" w:themeColor="text1"/>
                <w14:textFill>
                  <w14:solidFill>
                    <w14:schemeClr w14:val="tx1"/>
                  </w14:solidFill>
                </w14:textFill>
              </w:rPr>
              <w:t>。</w:t>
            </w:r>
          </w:p>
          <w:p w14:paraId="71B769A5">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涂布机采用电烘干，烘干温度</w:t>
            </w:r>
            <w:r>
              <w:rPr>
                <w:rFonts w:hint="eastAsia" w:cs="Times New Roman"/>
                <w:color w:val="000000" w:themeColor="text1"/>
                <w:lang w:val="en-US" w:eastAsia="zh-CN"/>
                <w14:textFill>
                  <w14:solidFill>
                    <w14:schemeClr w14:val="tx1"/>
                  </w14:solidFill>
                </w14:textFill>
              </w:rPr>
              <w:t>70~140</w:t>
            </w:r>
            <w:r>
              <w:rPr>
                <w:rFonts w:hint="default" w:ascii="Times New Roman" w:hAnsi="Times New Roman" w:eastAsia="宋体" w:cs="Times New Roman"/>
                <w:color w:val="000000" w:themeColor="text1"/>
                <w14:textFill>
                  <w14:solidFill>
                    <w14:schemeClr w14:val="tx1"/>
                  </w14:solidFill>
                </w14:textFill>
              </w:rPr>
              <w:t>℃</w:t>
            </w:r>
            <w:r>
              <w:rPr>
                <w:rFonts w:hint="eastAsia" w:ascii="Times New Roman" w:hAnsi="Times New Roman" w:eastAsia="宋体" w:cs="Times New Roman"/>
                <w:color w:val="000000" w:themeColor="text1"/>
                <w14:textFill>
                  <w14:solidFill>
                    <w14:schemeClr w14:val="tx1"/>
                  </w14:solidFill>
                </w14:textFill>
              </w:rPr>
              <w:t>，烘干过程中，正极</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负极</w:t>
            </w:r>
            <w:r>
              <w:rPr>
                <w:rFonts w:hint="eastAsia" w:ascii="Times New Roman" w:hAnsi="Times New Roman" w:eastAsia="宋体" w:cs="Times New Roman"/>
                <w:color w:val="000000" w:themeColor="text1"/>
                <w14:textFill>
                  <w14:solidFill>
                    <w14:schemeClr w14:val="tx1"/>
                  </w14:solidFill>
                </w14:textFill>
              </w:rPr>
              <w:t>浆料中的NMP全部散发。</w:t>
            </w:r>
            <w:r>
              <w:rPr>
                <w:rFonts w:hint="eastAsia" w:ascii="Times New Roman" w:hAnsi="Times New Roman" w:eastAsia="宋体" w:cs="Times New Roman"/>
                <w:color w:val="000000" w:themeColor="text1"/>
                <w:lang w:eastAsia="zh-CN"/>
                <w14:textFill>
                  <w14:solidFill>
                    <w14:schemeClr w14:val="tx1"/>
                  </w14:solidFill>
                </w14:textFill>
              </w:rPr>
              <w:t>（</w:t>
            </w:r>
            <w:r>
              <w:rPr>
                <w:rFonts w:hint="eastAsia" w:ascii="Times New Roman" w:hAnsi="Times New Roman" w:eastAsia="宋体" w:cs="Times New Roman"/>
                <w:color w:val="000000" w:themeColor="text1"/>
                <w:lang w:val="en-US" w:eastAsia="zh-CN"/>
                <w14:textFill>
                  <w14:solidFill>
                    <w14:schemeClr w14:val="tx1"/>
                  </w14:solidFill>
                </w14:textFill>
              </w:rPr>
              <w:t>此工序主要产生NMP废气、噪声、废铝箔、废铜箔</w:t>
            </w:r>
            <w:r>
              <w:rPr>
                <w:rFonts w:hint="eastAsia" w:cs="Times New Roman"/>
                <w:color w:val="000000" w:themeColor="text1"/>
                <w:lang w:val="en-US" w:eastAsia="zh-CN"/>
                <w14:textFill>
                  <w14:solidFill>
                    <w14:schemeClr w14:val="tx1"/>
                  </w14:solidFill>
                </w14:textFill>
              </w:rPr>
              <w:t>、正负极设备清洗废水</w:t>
            </w:r>
            <w:r>
              <w:rPr>
                <w:rFonts w:hint="eastAsia" w:ascii="Times New Roman" w:hAnsi="Times New Roman" w:eastAsia="宋体" w:cs="Times New Roman"/>
                <w:color w:val="000000" w:themeColor="text1"/>
                <w:lang w:val="en-US" w:eastAsia="zh-CN"/>
                <w14:textFill>
                  <w14:solidFill>
                    <w14:schemeClr w14:val="tx1"/>
                  </w14:solidFill>
                </w14:textFill>
              </w:rPr>
              <w:t>等</w:t>
            </w:r>
            <w:r>
              <w:rPr>
                <w:rFonts w:hint="eastAsia" w:ascii="Times New Roman" w:hAnsi="Times New Roman" w:eastAsia="宋体" w:cs="Times New Roman"/>
                <w:color w:val="000000" w:themeColor="text1"/>
                <w:lang w:eastAsia="zh-CN"/>
                <w14:textFill>
                  <w14:solidFill>
                    <w14:schemeClr w14:val="tx1"/>
                  </w14:solidFill>
                </w14:textFill>
              </w:rPr>
              <w:t>）</w:t>
            </w:r>
          </w:p>
          <w:p w14:paraId="7A69B83E">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ascii="Times New Roman" w:hAnsi="Times New Roman" w:eastAsia="宋体"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③</w:t>
            </w:r>
            <w:r>
              <w:rPr>
                <w:rFonts w:hint="eastAsia" w:ascii="Times New Roman" w:hAnsi="Times New Roman" w:eastAsia="宋体" w:cs="Times New Roman"/>
                <w:color w:val="000000" w:themeColor="text1"/>
                <w14:textFill>
                  <w14:solidFill>
                    <w14:schemeClr w14:val="tx1"/>
                  </w14:solidFill>
                </w14:textFill>
              </w:rPr>
              <w:t>辊压、分</w:t>
            </w:r>
            <w:r>
              <w:rPr>
                <w:rFonts w:hint="eastAsia" w:cs="Times New Roman"/>
                <w:color w:val="000000" w:themeColor="text1"/>
                <w:lang w:val="en-US" w:eastAsia="zh-CN"/>
                <w14:textFill>
                  <w14:solidFill>
                    <w14:schemeClr w14:val="tx1"/>
                  </w14:solidFill>
                </w14:textFill>
              </w:rPr>
              <w:t>切</w:t>
            </w:r>
          </w:p>
          <w:p w14:paraId="64A17FCE">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利用辊分一体机</w:t>
            </w:r>
            <w:r>
              <w:rPr>
                <w:rFonts w:hint="eastAsia" w:ascii="Times New Roman" w:hAnsi="Times New Roman" w:eastAsia="宋体" w:cs="Times New Roman"/>
                <w:color w:val="000000" w:themeColor="text1"/>
                <w14:textFill>
                  <w14:solidFill>
                    <w14:schemeClr w14:val="tx1"/>
                  </w14:solidFill>
                </w14:textFill>
              </w:rPr>
              <w:t>对极片进行压实以降低极片厚度，</w:t>
            </w:r>
            <w:r>
              <w:rPr>
                <w:rFonts w:hint="eastAsia" w:cs="Times New Roman"/>
                <w:color w:val="000000" w:themeColor="text1"/>
                <w:lang w:val="en-US" w:eastAsia="zh-CN"/>
                <w14:textFill>
                  <w14:solidFill>
                    <w14:schemeClr w14:val="tx1"/>
                  </w14:solidFill>
                </w14:textFill>
              </w:rPr>
              <w:t>并</w:t>
            </w:r>
            <w:r>
              <w:rPr>
                <w:rFonts w:hint="eastAsia" w:ascii="Times New Roman" w:hAnsi="Times New Roman" w:eastAsia="宋体" w:cs="Times New Roman"/>
                <w:color w:val="000000" w:themeColor="text1"/>
                <w14:textFill>
                  <w14:solidFill>
                    <w14:schemeClr w14:val="tx1"/>
                  </w14:solidFill>
                </w14:textFill>
              </w:rPr>
              <w:t>分成与产品电池形状大小相同的成品极片，然后进行分切。</w:t>
            </w:r>
            <w:r>
              <w:rPr>
                <w:rFonts w:hint="eastAsia" w:cs="Times New Roman"/>
                <w:color w:val="000000" w:themeColor="text1"/>
                <w:lang w:val="en-US" w:eastAsia="zh-CN"/>
                <w14:textFill>
                  <w14:solidFill>
                    <w14:schemeClr w14:val="tx1"/>
                  </w14:solidFill>
                </w14:textFill>
              </w:rPr>
              <w:t>（此工序主要产生噪声、废边角料、分切粉尘）</w:t>
            </w:r>
          </w:p>
          <w:p w14:paraId="58658829">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④模切</w:t>
            </w:r>
          </w:p>
          <w:p w14:paraId="1114F39C">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分切后的极片</w:t>
            </w:r>
            <w:r>
              <w:rPr>
                <w:rFonts w:ascii="宋体" w:hAnsi="宋体" w:eastAsia="宋体" w:cs="宋体"/>
                <w:color w:val="000000" w:themeColor="text1"/>
                <w:sz w:val="24"/>
                <w:szCs w:val="24"/>
                <w14:textFill>
                  <w14:solidFill>
                    <w14:schemeClr w14:val="tx1"/>
                  </w14:solidFill>
                </w14:textFill>
              </w:rPr>
              <w:t>送入激光分模一体机，采用激光裁切工艺将卷材裁切成单片极片，同步裁切预留极耳位缺口，制得成型单片成品极片</w:t>
            </w:r>
            <w:r>
              <w:rPr>
                <w:rFonts w:hint="eastAsia" w:cs="Times New Roman"/>
                <w:color w:val="000000" w:themeColor="text1"/>
                <w:lang w:val="en-US" w:eastAsia="zh-CN"/>
                <w14:textFill>
                  <w14:solidFill>
                    <w14:schemeClr w14:val="tx1"/>
                  </w14:solidFill>
                </w14:textFill>
              </w:rPr>
              <w:t>。（此工序主要产生噪声、废边角料、模切粉尘）</w:t>
            </w:r>
          </w:p>
          <w:p w14:paraId="6292D0DF">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2）电池装配工序</w:t>
            </w:r>
          </w:p>
          <w:p w14:paraId="38DA115A">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ascii="Times New Roman" w:hAnsi="Times New Roman" w:eastAsia="宋体"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①</w:t>
            </w:r>
            <w:r>
              <w:rPr>
                <w:rFonts w:hint="eastAsia" w:ascii="Times New Roman" w:hAnsi="Times New Roman" w:eastAsia="宋体" w:cs="Times New Roman"/>
                <w:color w:val="000000" w:themeColor="text1"/>
                <w14:textFill>
                  <w14:solidFill>
                    <w14:schemeClr w14:val="tx1"/>
                  </w14:solidFill>
                </w14:textFill>
              </w:rPr>
              <w:t>叠片</w:t>
            </w:r>
          </w:p>
          <w:p w14:paraId="5A959697">
            <w:pPr>
              <w:pStyle w:val="1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kern w:val="0"/>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4"/>
                <w:szCs w:val="24"/>
                <w:lang w:val="en-US" w:eastAsia="zh-CN" w:bidi="ar-SA"/>
                <w14:textFill>
                  <w14:solidFill>
                    <w14:schemeClr w14:val="tx1"/>
                  </w14:solidFill>
                </w14:textFill>
              </w:rPr>
              <w:t>将模切好的正、负极卷挂放在切叠一体机上，自动切片，自动将一层正极片、一层隔膜纸，再一层负极片、一层隔膜纸叠在一起，叠片层数根据产品要求确定。（此工序主要产生噪声</w:t>
            </w:r>
            <w:r>
              <w:rPr>
                <w:rFonts w:hint="eastAsia" w:cs="Times New Roman"/>
                <w:color w:val="000000" w:themeColor="text1"/>
                <w:kern w:val="0"/>
                <w:sz w:val="24"/>
                <w:szCs w:val="24"/>
                <w:lang w:val="en-US" w:eastAsia="zh-CN" w:bidi="ar-SA"/>
                <w14:textFill>
                  <w14:solidFill>
                    <w14:schemeClr w14:val="tx1"/>
                  </w14:solidFill>
                </w14:textFill>
              </w:rPr>
              <w:t>、废隔膜、废极片</w:t>
            </w:r>
            <w:r>
              <w:rPr>
                <w:rFonts w:hint="eastAsia" w:ascii="Times New Roman" w:hAnsi="Times New Roman" w:eastAsia="宋体" w:cs="Times New Roman"/>
                <w:color w:val="000000" w:themeColor="text1"/>
                <w:kern w:val="0"/>
                <w:sz w:val="24"/>
                <w:szCs w:val="24"/>
                <w:lang w:val="en-US" w:eastAsia="zh-CN" w:bidi="ar-SA"/>
                <w14:textFill>
                  <w14:solidFill>
                    <w14:schemeClr w14:val="tx1"/>
                  </w14:solidFill>
                </w14:textFill>
              </w:rPr>
              <w:t>）</w:t>
            </w:r>
          </w:p>
          <w:p w14:paraId="54F8A889">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ascii="Times New Roman" w:hAnsi="Times New Roman" w:eastAsia="宋体"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②</w:t>
            </w:r>
            <w:r>
              <w:rPr>
                <w:rFonts w:hint="eastAsia" w:ascii="Times New Roman" w:hAnsi="Times New Roman" w:eastAsia="宋体" w:cs="Times New Roman"/>
                <w:color w:val="000000" w:themeColor="text1"/>
                <w14:textFill>
                  <w14:solidFill>
                    <w14:schemeClr w14:val="tx1"/>
                  </w14:solidFill>
                </w14:textFill>
              </w:rPr>
              <w:t>热压</w:t>
            </w:r>
          </w:p>
          <w:p w14:paraId="12BF0008">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通过设置合理的时间、温度、压力对裸电芯进行热压整形，控制裸电池厚度，使</w:t>
            </w:r>
            <w:r>
              <w:rPr>
                <w:rFonts w:hint="default" w:ascii="Times New Roman" w:hAnsi="Times New Roman" w:eastAsia="宋体" w:cs="Times New Roman"/>
                <w:color w:val="000000" w:themeColor="text1"/>
                <w14:textFill>
                  <w14:solidFill>
                    <w14:schemeClr w14:val="tx1"/>
                  </w14:solidFill>
                </w14:textFill>
              </w:rPr>
              <w:t>卷绕（叠片）后松散的裸电池外形固定，防止正负极片相对位移。热压温度90</w:t>
            </w:r>
            <w:r>
              <w:rPr>
                <w:rFonts w:hint="default" w:ascii="Times New Roman" w:hAnsi="Times New Roman" w:eastAsia="宋体" w:cs="Times New Roman"/>
                <w:color w:val="000000" w:themeColor="text1"/>
                <w:lang w:eastAsia="ja-JP"/>
                <w14:textFill>
                  <w14:solidFill>
                    <w14:schemeClr w14:val="tx1"/>
                  </w14:solidFill>
                </w14:textFill>
              </w:rPr>
              <w:t>℃</w:t>
            </w:r>
            <w:r>
              <w:rPr>
                <w:rFonts w:hint="eastAsia" w:ascii="Times New Roman" w:hAnsi="Times New Roman" w:eastAsia="宋体" w:cs="Times New Roman"/>
                <w:color w:val="000000" w:themeColor="text1"/>
                <w:lang w:eastAsia="ja-JP"/>
                <w14:textFill>
                  <w14:solidFill>
                    <w14:schemeClr w14:val="tx1"/>
                  </w14:solidFill>
                </w14:textFill>
              </w:rPr>
              <w:t>，采用电加热</w:t>
            </w:r>
            <w:r>
              <w:rPr>
                <w:rFonts w:hint="eastAsia" w:ascii="Times New Roman" w:hAnsi="Times New Roman" w:eastAsia="宋体" w:cs="Times New Roman"/>
                <w:color w:val="000000" w:themeColor="text1"/>
                <w:lang w:eastAsia="zh-CN"/>
                <w14:textFill>
                  <w14:solidFill>
                    <w14:schemeClr w14:val="tx1"/>
                  </w14:solidFill>
                </w14:textFill>
              </w:rPr>
              <w:t>。</w:t>
            </w:r>
            <w:r>
              <w:rPr>
                <w:rFonts w:hint="eastAsia" w:ascii="Times New Roman" w:hAnsi="Times New Roman" w:eastAsia="宋体" w:cs="Times New Roman"/>
                <w:color w:val="000000" w:themeColor="text1"/>
                <w:lang w:val="en-US"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此工序主要产生噪声</w:t>
            </w:r>
            <w:r>
              <w:rPr>
                <w:rFonts w:hint="eastAsia" w:ascii="Times New Roman" w:hAnsi="Times New Roman" w:eastAsia="宋体" w:cs="Times New Roman"/>
                <w:color w:val="000000" w:themeColor="text1"/>
                <w:lang w:val="en-US" w:eastAsia="zh-CN"/>
                <w14:textFill>
                  <w14:solidFill>
                    <w14:schemeClr w14:val="tx1"/>
                  </w14:solidFill>
                </w14:textFill>
              </w:rPr>
              <w:t>）</w:t>
            </w:r>
          </w:p>
          <w:p w14:paraId="5F23FFBB">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ascii="Times New Roman" w:hAnsi="Times New Roman" w:eastAsia="宋体"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③</w:t>
            </w:r>
            <w:r>
              <w:rPr>
                <w:rFonts w:hint="eastAsia" w:ascii="Times New Roman" w:hAnsi="Times New Roman" w:eastAsia="宋体" w:cs="Times New Roman"/>
                <w:color w:val="000000" w:themeColor="text1"/>
                <w14:textFill>
                  <w14:solidFill>
                    <w14:schemeClr w14:val="tx1"/>
                  </w14:solidFill>
                </w14:textFill>
              </w:rPr>
              <w:t>极耳预焊</w:t>
            </w:r>
          </w:p>
          <w:p w14:paraId="2CF2238F">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通过自动焊接线</w:t>
            </w:r>
            <w:r>
              <w:rPr>
                <w:rFonts w:hint="eastAsia" w:ascii="Times New Roman" w:hAnsi="Times New Roman" w:eastAsia="宋体" w:cs="Times New Roman"/>
                <w:color w:val="000000" w:themeColor="text1"/>
                <w14:textFill>
                  <w14:solidFill>
                    <w14:schemeClr w14:val="tx1"/>
                  </w14:solidFill>
                </w14:textFill>
              </w:rPr>
              <w:t>采用超声波焊机在正极片上焊接铝片极耳，在负极片上焊接</w:t>
            </w:r>
            <w:r>
              <w:rPr>
                <w:rFonts w:hint="eastAsia" w:cs="Times New Roman"/>
                <w:color w:val="000000" w:themeColor="text1"/>
                <w:lang w:val="en-US" w:eastAsia="zh-CN"/>
                <w14:textFill>
                  <w14:solidFill>
                    <w14:schemeClr w14:val="tx1"/>
                  </w14:solidFill>
                </w14:textFill>
              </w:rPr>
              <w:t>铜片</w:t>
            </w:r>
            <w:r>
              <w:rPr>
                <w:rFonts w:hint="eastAsia" w:ascii="Times New Roman" w:hAnsi="Times New Roman" w:eastAsia="宋体" w:cs="Times New Roman"/>
                <w:color w:val="000000" w:themeColor="text1"/>
                <w14:textFill>
                  <w14:solidFill>
                    <w14:schemeClr w14:val="tx1"/>
                  </w14:solidFill>
                </w14:textFill>
              </w:rPr>
              <w:t>极耳。超声波焊机不使用助剂，利用高频振动，将工件迅速熔接，</w:t>
            </w:r>
            <w:r>
              <w:rPr>
                <w:rFonts w:hint="eastAsia" w:ascii="Times New Roman" w:hAnsi="Times New Roman" w:eastAsia="宋体" w:cs="Times New Roman"/>
                <w:color w:val="000000" w:themeColor="text1"/>
                <w:lang w:val="en-US" w:eastAsia="zh-CN"/>
                <w14:textFill>
                  <w14:solidFill>
                    <w14:schemeClr w14:val="tx1"/>
                  </w14:solidFill>
                </w14:textFill>
              </w:rPr>
              <w:t>使金属直接相连，</w:t>
            </w:r>
            <w:r>
              <w:rPr>
                <w:rFonts w:hint="default" w:ascii="Times New Roman" w:hAnsi="Times New Roman" w:eastAsia="宋体" w:cs="Times New Roman"/>
                <w:color w:val="000000" w:themeColor="text1"/>
                <w:lang w:val="en-US" w:eastAsia="zh-CN"/>
                <w14:textFill>
                  <w14:solidFill>
                    <w14:schemeClr w14:val="tx1"/>
                  </w14:solidFill>
                </w14:textFill>
              </w:rPr>
              <w:t>经查阅论文《不同焊接工艺的焊接烟尘污染特征》（郭永葆，太原市机械电子工业局，科技情报开发与经济，2010年第20卷第4期），超声波焊接不产生焊接烟尘，也没有其他焊接污染，故焊接过程不产生烟尘</w:t>
            </w:r>
            <w:r>
              <w:rPr>
                <w:rFonts w:hint="eastAsia" w:ascii="Times New Roman" w:hAnsi="Times New Roman" w:eastAsia="宋体" w:cs="Times New Roman"/>
                <w:color w:val="000000" w:themeColor="text1"/>
                <w:lang w:val="en-US" w:eastAsia="zh-CN"/>
                <w14:textFill>
                  <w14:solidFill>
                    <w14:schemeClr w14:val="tx1"/>
                  </w14:solidFill>
                </w14:textFill>
              </w:rPr>
              <w:t>。（此工序主要产生噪声）</w:t>
            </w:r>
          </w:p>
          <w:p w14:paraId="3635B6DA">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④装配</w:t>
            </w:r>
          </w:p>
          <w:p w14:paraId="248A77C0">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ascii="Times New Roman" w:hAnsi="Times New Roman" w:eastAsia="宋体" w:cs="Times New Roman"/>
                <w:color w:val="000000" w:themeColor="text1"/>
                <w:lang w:val="en-US" w:eastAsia="zh-CN"/>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铝塑膜卷材送入自动冲壳机冲压成型，制出可容纳电芯的凹槽壳体；成型铝塑壳输送至自动包装工位，机械手抓取焊接完成极耳的裸电芯自动入壳，随后对铝塑壳多边热封封口，预留单侧注液口暂不密封；半成品电芯转运至自动贴膜机，设备全自动包覆外层绝缘保护膜</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Times New Roman" w:hAnsi="Times New Roman" w:eastAsia="宋体" w:cs="Times New Roman"/>
                <w:color w:val="000000" w:themeColor="text1"/>
                <w:lang w:val="en-US" w:eastAsia="zh-CN"/>
                <w14:textFill>
                  <w14:solidFill>
                    <w14:schemeClr w14:val="tx1"/>
                  </w14:solidFill>
                </w14:textFill>
              </w:rPr>
              <w:t>（此工序主要产生噪声、废铝塑膜）</w:t>
            </w:r>
          </w:p>
          <w:p w14:paraId="509578AC">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⑤</w:t>
            </w:r>
            <w:r>
              <w:rPr>
                <w:rFonts w:hint="default" w:ascii="Times New Roman" w:hAnsi="Times New Roman" w:eastAsia="宋体" w:cs="Times New Roman"/>
                <w:color w:val="000000" w:themeColor="text1"/>
                <w:lang w:val="en-US" w:eastAsia="zh-CN"/>
                <w14:textFill>
                  <w14:solidFill>
                    <w14:schemeClr w14:val="tx1"/>
                  </w14:solidFill>
                </w14:textFill>
              </w:rPr>
              <w:t>电池</w:t>
            </w:r>
            <w:r>
              <w:rPr>
                <w:rFonts w:hint="default" w:ascii="宋体" w:hAnsi="宋体" w:eastAsia="宋体" w:cs="宋体"/>
                <w:color w:val="000000" w:themeColor="text1"/>
                <w:sz w:val="24"/>
                <w:szCs w:val="24"/>
                <w:lang w:val="en-US" w:eastAsia="zh-CN"/>
                <w14:textFill>
                  <w14:solidFill>
                    <w14:schemeClr w14:val="tx1"/>
                  </w14:solidFill>
                </w14:textFill>
              </w:rPr>
              <w:t>干燥</w:t>
            </w:r>
          </w:p>
          <w:p w14:paraId="6073A763">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将电芯放入电热电芯干燥箱内，</w:t>
            </w:r>
            <w:r>
              <w:rPr>
                <w:rFonts w:hint="eastAsia" w:ascii="宋体" w:hAnsi="宋体" w:eastAsia="宋体" w:cs="宋体"/>
                <w:color w:val="000000" w:themeColor="text1"/>
                <w:sz w:val="24"/>
                <w:szCs w:val="24"/>
                <w14:textFill>
                  <w14:solidFill>
                    <w14:schemeClr w14:val="tx1"/>
                  </w14:solidFill>
                </w14:textFill>
              </w:rPr>
              <w:t>在</w:t>
            </w:r>
            <w:r>
              <w:rPr>
                <w:rFonts w:hint="default" w:ascii="Times New Roman" w:hAnsi="Times New Roman" w:eastAsia="宋体" w:cs="Times New Roman"/>
                <w:color w:val="000000" w:themeColor="text1"/>
                <w:sz w:val="24"/>
                <w:szCs w:val="24"/>
                <w14:textFill>
                  <w14:solidFill>
                    <w14:schemeClr w14:val="tx1"/>
                  </w14:solidFill>
                </w14:textFill>
              </w:rPr>
              <w:t>85</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90℃、-0.09MPa</w:t>
            </w:r>
            <w:r>
              <w:rPr>
                <w:rFonts w:hint="default" w:ascii="宋体" w:hAnsi="宋体" w:eastAsia="宋体" w:cs="宋体"/>
                <w:color w:val="000000" w:themeColor="text1"/>
                <w:sz w:val="24"/>
                <w:szCs w:val="24"/>
                <w:lang w:val="en-US" w:eastAsia="zh-CN"/>
                <w14:textFill>
                  <w14:solidFill>
                    <w14:schemeClr w14:val="tx1"/>
                  </w14:solidFill>
                </w14:textFill>
              </w:rPr>
              <w:t>条件下烘干一段时间，去除微量水分。烘干后泄压过程中，通入氮气进行气体保护。（此工序主要产生噪声、水蒸气）</w:t>
            </w:r>
          </w:p>
          <w:p w14:paraId="471AF422">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⑥</w:t>
            </w:r>
            <w:r>
              <w:rPr>
                <w:rFonts w:hint="default" w:ascii="Times New Roman" w:hAnsi="Times New Roman" w:eastAsia="宋体" w:cs="Times New Roman"/>
                <w:color w:val="000000" w:themeColor="text1"/>
                <w:lang w:val="en-US" w:eastAsia="zh-CN"/>
                <w14:textFill>
                  <w14:solidFill>
                    <w14:schemeClr w14:val="tx1"/>
                  </w14:solidFill>
                </w14:textFill>
              </w:rPr>
              <w:t>注电解液</w:t>
            </w:r>
          </w:p>
          <w:p w14:paraId="193C4AF6">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将烘干好的电芯放到注液系统密闭的</w:t>
            </w:r>
            <w:r>
              <w:rPr>
                <w:rFonts w:hint="default" w:ascii="Times New Roman" w:hAnsi="Times New Roman" w:cs="Times New Roman"/>
                <w:color w:val="000000" w:themeColor="text1"/>
                <w:lang w:val="en-US" w:eastAsia="zh-CN"/>
                <w14:textFill>
                  <w14:solidFill>
                    <w14:schemeClr w14:val="tx1"/>
                  </w14:solidFill>
                </w14:textFill>
              </w:rPr>
              <w:t>自动</w:t>
            </w:r>
            <w:r>
              <w:rPr>
                <w:rFonts w:hint="default" w:ascii="Times New Roman" w:hAnsi="Times New Roman" w:eastAsia="宋体" w:cs="Times New Roman"/>
                <w:color w:val="000000" w:themeColor="text1"/>
                <w:lang w:val="en-US" w:eastAsia="zh-CN"/>
                <w14:textFill>
                  <w14:solidFill>
                    <w14:schemeClr w14:val="tx1"/>
                  </w14:solidFill>
                </w14:textFill>
              </w:rPr>
              <w:t>注液机内，电解液通过密闭管道定量由预留的注液孔加注入电芯，然后封注液口。（此工序主要产生噪声、</w:t>
            </w:r>
            <w:r>
              <w:rPr>
                <w:rFonts w:hint="default" w:ascii="Times New Roman" w:hAnsi="Times New Roman" w:cs="Times New Roman"/>
                <w:color w:val="000000" w:themeColor="text1"/>
                <w:lang w:val="en-US" w:eastAsia="zh-CN"/>
                <w14:textFill>
                  <w14:solidFill>
                    <w14:schemeClr w14:val="tx1"/>
                  </w14:solidFill>
                </w14:textFill>
              </w:rPr>
              <w:t>有机废气</w:t>
            </w:r>
            <w:r>
              <w:rPr>
                <w:rFonts w:hint="default" w:ascii="Times New Roman" w:hAnsi="Times New Roman" w:eastAsia="宋体" w:cs="Times New Roman"/>
                <w:color w:val="000000" w:themeColor="text1"/>
                <w:lang w:val="en-US" w:eastAsia="zh-CN"/>
                <w14:textFill>
                  <w14:solidFill>
                    <w14:schemeClr w14:val="tx1"/>
                  </w14:solidFill>
                </w14:textFill>
              </w:rPr>
              <w:t>）</w:t>
            </w:r>
          </w:p>
          <w:p w14:paraId="507A9E8A">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⑦静置</w:t>
            </w:r>
          </w:p>
          <w:p w14:paraId="5DAFF179">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将放电态电池置于高温静置箱中搁置一定时间，根据搁置后电池电压分布情况进行筛查，挑出电池内部存在微短路缺陷的短路、低电压电池。高温静置箱采用电加热。因静置前电池已完成封装，</w:t>
            </w:r>
            <w:r>
              <w:rPr>
                <w:rFonts w:hint="eastAsia" w:ascii="Times New Roman" w:hAnsi="Times New Roman" w:eastAsia="宋体" w:cs="Times New Roman"/>
                <w:color w:val="000000" w:themeColor="text1"/>
                <w:lang w:val="en-US" w:eastAsia="zh-CN"/>
                <w14:textFill>
                  <w14:solidFill>
                    <w14:schemeClr w14:val="tx1"/>
                  </w14:solidFill>
                </w14:textFill>
              </w:rPr>
              <w:t>不会造成电解液和气体溢出，产生的气体</w:t>
            </w:r>
            <w:r>
              <w:rPr>
                <w:rFonts w:hint="eastAsia" w:cs="Times New Roman"/>
                <w:color w:val="000000" w:themeColor="text1"/>
                <w:lang w:val="en-US" w:eastAsia="zh-CN"/>
                <w14:textFill>
                  <w14:solidFill>
                    <w14:schemeClr w14:val="tx1"/>
                  </w14:solidFill>
                </w14:textFill>
              </w:rPr>
              <w:t>排</w:t>
            </w:r>
            <w:r>
              <w:rPr>
                <w:rFonts w:hint="eastAsia" w:ascii="Times New Roman" w:hAnsi="Times New Roman" w:eastAsia="宋体" w:cs="Times New Roman"/>
                <w:color w:val="000000" w:themeColor="text1"/>
                <w:lang w:val="en-US" w:eastAsia="zh-CN"/>
                <w14:textFill>
                  <w14:solidFill>
                    <w14:schemeClr w14:val="tx1"/>
                  </w14:solidFill>
                </w14:textFill>
              </w:rPr>
              <w:t>进预留气袋内</w:t>
            </w:r>
            <w:r>
              <w:rPr>
                <w:rFonts w:hint="default" w:ascii="Times New Roman" w:hAnsi="Times New Roman" w:eastAsia="宋体" w:cs="Times New Roman"/>
                <w:color w:val="000000" w:themeColor="text1"/>
                <w:lang w:val="en-US" w:eastAsia="zh-CN"/>
                <w14:textFill>
                  <w14:solidFill>
                    <w14:schemeClr w14:val="tx1"/>
                  </w14:solidFill>
                </w14:textFill>
              </w:rPr>
              <w:t>。（此工序主要产生噪声</w:t>
            </w:r>
            <w:r>
              <w:rPr>
                <w:rFonts w:hint="eastAsia" w:cs="Times New Roman"/>
                <w:color w:val="000000" w:themeColor="text1"/>
                <w:lang w:val="en-US" w:eastAsia="zh-CN"/>
                <w14:textFill>
                  <w14:solidFill>
                    <w14:schemeClr w14:val="tx1"/>
                  </w14:solidFill>
                </w14:textFill>
              </w:rPr>
              <w:t>、有机废气</w:t>
            </w:r>
            <w:r>
              <w:rPr>
                <w:rFonts w:hint="default" w:ascii="Times New Roman" w:hAnsi="Times New Roman" w:eastAsia="宋体" w:cs="Times New Roman"/>
                <w:color w:val="000000" w:themeColor="text1"/>
                <w:lang w:val="en-US" w:eastAsia="zh-CN"/>
                <w14:textFill>
                  <w14:solidFill>
                    <w14:schemeClr w14:val="tx1"/>
                  </w14:solidFill>
                </w14:textFill>
              </w:rPr>
              <w:t>）</w:t>
            </w:r>
          </w:p>
          <w:p w14:paraId="60AA8C0E">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⑧</w:t>
            </w:r>
            <w:r>
              <w:rPr>
                <w:rFonts w:hint="eastAsia" w:ascii="Times New Roman" w:hAnsi="Times New Roman" w:cs="Times New Roman"/>
                <w:color w:val="000000" w:themeColor="text1"/>
                <w:lang w:val="en-US" w:eastAsia="zh-CN"/>
                <w14:textFill>
                  <w14:solidFill>
                    <w14:schemeClr w14:val="tx1"/>
                  </w14:solidFill>
                </w14:textFill>
              </w:rPr>
              <w:t>化成</w:t>
            </w:r>
          </w:p>
          <w:p w14:paraId="216C4490">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化成工序在</w:t>
            </w:r>
            <w:r>
              <w:rPr>
                <w:rFonts w:hint="eastAsia" w:cs="Times New Roman"/>
                <w:color w:val="000000" w:themeColor="text1"/>
                <w:lang w:val="en-US" w:eastAsia="zh-CN"/>
                <w14:textFill>
                  <w14:solidFill>
                    <w14:schemeClr w14:val="tx1"/>
                  </w14:solidFill>
                </w14:textFill>
              </w:rPr>
              <w:t>密闭</w:t>
            </w:r>
            <w:r>
              <w:rPr>
                <w:rFonts w:hint="eastAsia" w:ascii="Times New Roman" w:hAnsi="Times New Roman" w:eastAsia="宋体" w:cs="Times New Roman"/>
                <w:color w:val="000000" w:themeColor="text1"/>
                <w:lang w:val="en-US" w:eastAsia="zh-CN"/>
                <w14:textFill>
                  <w14:solidFill>
                    <w14:schemeClr w14:val="tx1"/>
                  </w14:solidFill>
                </w14:textFill>
              </w:rPr>
              <w:t>化成间内完成。将电池在化成机上充电一段时间，将电极材料激活，使正、负电极片上聚合物与电解液相互渗透</w:t>
            </w:r>
            <w:r>
              <w:rPr>
                <w:rFonts w:ascii="宋体" w:hAnsi="宋体" w:eastAsia="宋体" w:cs="宋体"/>
                <w:color w:val="000000" w:themeColor="text1"/>
                <w:sz w:val="24"/>
                <w:szCs w:val="24"/>
                <w14:textFill>
                  <w14:solidFill>
                    <w14:schemeClr w14:val="tx1"/>
                  </w14:solidFill>
                </w14:textFill>
              </w:rPr>
              <w:t>，形成稳定的固体电解质界面（</w:t>
            </w:r>
            <w:r>
              <w:rPr>
                <w:rFonts w:hint="default" w:ascii="Times New Roman" w:hAnsi="Times New Roman" w:eastAsia="宋体" w:cs="Times New Roman"/>
                <w:color w:val="000000" w:themeColor="text1"/>
                <w:sz w:val="24"/>
                <w:szCs w:val="24"/>
                <w14:textFill>
                  <w14:solidFill>
                    <w14:schemeClr w14:val="tx1"/>
                  </w14:solidFill>
                </w14:textFill>
              </w:rPr>
              <w:t>SEI</w:t>
            </w:r>
            <w:r>
              <w:rPr>
                <w:rFonts w:ascii="宋体" w:hAnsi="宋体" w:eastAsia="宋体" w:cs="宋体"/>
                <w:color w:val="000000" w:themeColor="text1"/>
                <w:sz w:val="24"/>
                <w:szCs w:val="24"/>
                <w14:textFill>
                  <w14:solidFill>
                    <w14:schemeClr w14:val="tx1"/>
                  </w14:solidFill>
                </w14:textFill>
              </w:rPr>
              <w:t>）膜</w:t>
            </w:r>
            <w:r>
              <w:rPr>
                <w:rFonts w:hint="eastAsia" w:ascii="Times New Roman" w:hAnsi="Times New Roman" w:eastAsia="宋体" w:cs="Times New Roman"/>
                <w:color w:val="000000" w:themeColor="text1"/>
                <w:lang w:val="en-US" w:eastAsia="zh-CN"/>
                <w14:textFill>
                  <w14:solidFill>
                    <w14:schemeClr w14:val="tx1"/>
                  </w14:solidFill>
                </w14:textFill>
              </w:rPr>
              <w:t>。由于电芯已经进行封装，化成过程不会造成电解液和气体溢出，产生的气体跑进预留气袋内，不让电芯本体鼓包。</w:t>
            </w:r>
            <w:r>
              <w:rPr>
                <w:rFonts w:hint="default" w:ascii="Times New Roman" w:hAnsi="Times New Roman" w:eastAsia="宋体" w:cs="Times New Roman"/>
                <w:color w:val="000000" w:themeColor="text1"/>
                <w:lang w:val="en-US" w:eastAsia="zh-CN"/>
                <w14:textFill>
                  <w14:solidFill>
                    <w14:schemeClr w14:val="tx1"/>
                  </w14:solidFill>
                </w14:textFill>
              </w:rPr>
              <w:t>（此工序主要产生</w:t>
            </w:r>
            <w:r>
              <w:rPr>
                <w:rFonts w:hint="eastAsia" w:cs="Times New Roman"/>
                <w:color w:val="000000" w:themeColor="text1"/>
                <w:lang w:val="en-US" w:eastAsia="zh-CN"/>
                <w14:textFill>
                  <w14:solidFill>
                    <w14:schemeClr w14:val="tx1"/>
                  </w14:solidFill>
                </w14:textFill>
              </w:rPr>
              <w:t>有机废气</w:t>
            </w:r>
            <w:r>
              <w:rPr>
                <w:rFonts w:hint="default" w:ascii="Times New Roman" w:hAnsi="Times New Roman" w:eastAsia="宋体" w:cs="Times New Roman"/>
                <w:color w:val="000000" w:themeColor="text1"/>
                <w:lang w:val="en-US" w:eastAsia="zh-CN"/>
                <w14:textFill>
                  <w14:solidFill>
                    <w14:schemeClr w14:val="tx1"/>
                  </w14:solidFill>
                </w14:textFill>
              </w:rPr>
              <w:t>）</w:t>
            </w:r>
          </w:p>
          <w:p w14:paraId="21C4388D">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⑨二封线</w:t>
            </w:r>
          </w:p>
          <w:p w14:paraId="13A20218">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化成后的电芯进入自动二封成型机，</w:t>
            </w:r>
            <w:r>
              <w:rPr>
                <w:rFonts w:ascii="宋体" w:hAnsi="宋体" w:eastAsia="宋体" w:cs="宋体"/>
                <w:color w:val="000000" w:themeColor="text1"/>
                <w:sz w:val="24"/>
                <w:szCs w:val="24"/>
                <w14:textFill>
                  <w14:solidFill>
                    <w14:schemeClr w14:val="tx1"/>
                  </w14:solidFill>
                </w14:textFill>
              </w:rPr>
              <w:t>在真空腔体内刺破气袋并抽除内部气体，消除电芯内压；随后通过热压对封口进行永久密封，隔绝外界水汽与氧气</w:t>
            </w:r>
            <w:r>
              <w:rPr>
                <w:rFonts w:hint="eastAsia" w:ascii="宋体" w:hAnsi="宋体" w:eastAsia="宋体" w:cs="宋体"/>
                <w:color w:val="000000" w:themeColor="text1"/>
                <w:sz w:val="24"/>
                <w:szCs w:val="24"/>
                <w:lang w:eastAsia="zh-CN"/>
                <w14:textFill>
                  <w14:solidFill>
                    <w14:schemeClr w14:val="tx1"/>
                  </w14:solidFill>
                </w14:textFill>
              </w:rPr>
              <w:t>，</w:t>
            </w:r>
            <w:r>
              <w:rPr>
                <w:rFonts w:ascii="宋体" w:hAnsi="宋体" w:eastAsia="宋体" w:cs="宋体"/>
                <w:color w:val="000000" w:themeColor="text1"/>
                <w:sz w:val="24"/>
                <w:szCs w:val="24"/>
                <w14:textFill>
                  <w14:solidFill>
                    <w14:schemeClr w14:val="tx1"/>
                  </w14:solidFill>
                </w14:textFill>
              </w:rPr>
              <w:t>最后剪除多余气袋，得到最终形态的电芯。</w:t>
            </w:r>
            <w:r>
              <w:rPr>
                <w:rFonts w:hint="default" w:ascii="Times New Roman" w:hAnsi="Times New Roman" w:eastAsia="宋体" w:cs="Times New Roman"/>
                <w:color w:val="000000" w:themeColor="text1"/>
                <w:lang w:val="en-US" w:eastAsia="zh-CN"/>
                <w14:textFill>
                  <w14:solidFill>
                    <w14:schemeClr w14:val="tx1"/>
                  </w14:solidFill>
                </w14:textFill>
              </w:rPr>
              <w:t>（此工序主要产生噪声、</w:t>
            </w:r>
            <w:r>
              <w:rPr>
                <w:rFonts w:hint="default" w:ascii="Times New Roman" w:hAnsi="Times New Roman" w:cs="Times New Roman"/>
                <w:color w:val="000000" w:themeColor="text1"/>
                <w:lang w:val="en-US" w:eastAsia="zh-CN"/>
                <w14:textFill>
                  <w14:solidFill>
                    <w14:schemeClr w14:val="tx1"/>
                  </w14:solidFill>
                </w14:textFill>
              </w:rPr>
              <w:t>有机废气</w:t>
            </w:r>
            <w:r>
              <w:rPr>
                <w:rFonts w:hint="default" w:ascii="Times New Roman" w:hAnsi="Times New Roman" w:eastAsia="宋体" w:cs="Times New Roman"/>
                <w:color w:val="000000" w:themeColor="text1"/>
                <w:lang w:val="en-US" w:eastAsia="zh-CN"/>
                <w14:textFill>
                  <w14:solidFill>
                    <w14:schemeClr w14:val="tx1"/>
                  </w14:solidFill>
                </w14:textFill>
              </w:rPr>
              <w:t>）</w:t>
            </w:r>
          </w:p>
          <w:p w14:paraId="3F06B6A0">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⑩</w:t>
            </w:r>
            <w:r>
              <w:rPr>
                <w:rFonts w:hint="eastAsia" w:ascii="Times New Roman" w:hAnsi="Times New Roman" w:eastAsia="宋体" w:cs="Times New Roman"/>
                <w:color w:val="000000" w:themeColor="text1"/>
                <w:lang w:val="en-US" w:eastAsia="zh-CN"/>
                <w14:textFill>
                  <w14:solidFill>
                    <w14:schemeClr w14:val="tx1"/>
                  </w14:solidFill>
                </w14:textFill>
              </w:rPr>
              <w:t>定容</w:t>
            </w:r>
          </w:p>
          <w:p w14:paraId="33F00646">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电池在</w:t>
            </w:r>
            <w:r>
              <w:rPr>
                <w:rFonts w:hint="eastAsia" w:cs="Times New Roman"/>
                <w:color w:val="000000" w:themeColor="text1"/>
                <w:lang w:val="en-US" w:eastAsia="zh-CN"/>
                <w14:textFill>
                  <w14:solidFill>
                    <w14:schemeClr w14:val="tx1"/>
                  </w14:solidFill>
                </w14:textFill>
              </w:rPr>
              <w:t>分容设备</w:t>
            </w:r>
            <w:r>
              <w:rPr>
                <w:rFonts w:hint="eastAsia" w:ascii="Times New Roman" w:hAnsi="Times New Roman" w:eastAsia="宋体" w:cs="Times New Roman"/>
                <w:color w:val="000000" w:themeColor="text1"/>
                <w:lang w:val="en-US" w:eastAsia="zh-CN"/>
                <w14:textFill>
                  <w14:solidFill>
                    <w14:schemeClr w14:val="tx1"/>
                  </w14:solidFill>
                </w14:textFill>
              </w:rPr>
              <w:t>上经放电检测，分容</w:t>
            </w:r>
            <w:r>
              <w:rPr>
                <w:rFonts w:hint="eastAsia" w:cs="Times New Roman"/>
                <w:color w:val="000000" w:themeColor="text1"/>
                <w:lang w:val="en-US" w:eastAsia="zh-CN"/>
                <w14:textFill>
                  <w14:solidFill>
                    <w14:schemeClr w14:val="tx1"/>
                  </w14:solidFill>
                </w14:textFill>
              </w:rPr>
              <w:t>设备线会</w:t>
            </w:r>
            <w:r>
              <w:rPr>
                <w:rFonts w:hint="eastAsia" w:ascii="Times New Roman" w:hAnsi="Times New Roman" w:eastAsia="宋体" w:cs="Times New Roman"/>
                <w:color w:val="000000" w:themeColor="text1"/>
                <w:lang w:val="en-US" w:eastAsia="zh-CN"/>
                <w14:textFill>
                  <w14:solidFill>
                    <w14:schemeClr w14:val="tx1"/>
                  </w14:solidFill>
                </w14:textFill>
              </w:rPr>
              <w:t>根据放电量的多少自动记录下各电池的容</w:t>
            </w:r>
            <w:r>
              <w:rPr>
                <w:rFonts w:hint="eastAsia" w:ascii="宋体" w:hAnsi="宋体"/>
                <w:color w:val="000000" w:themeColor="text1"/>
                <w:spacing w:val="2"/>
                <w:szCs w:val="26"/>
                <w14:textFill>
                  <w14:solidFill>
                    <w14:schemeClr w14:val="tx1"/>
                  </w14:solidFill>
                </w14:textFill>
              </w:rPr>
              <w:t>量，然后根据容量大小的不同将电池区分开，从而达到定容的目的</w:t>
            </w:r>
            <w:r>
              <w:rPr>
                <w:rFonts w:hint="eastAsia" w:ascii="Times New Roman" w:hAnsi="Times New Roman" w:eastAsia="宋体" w:cs="Times New Roman"/>
                <w:color w:val="000000" w:themeColor="text1"/>
                <w:lang w:val="en-US" w:eastAsia="zh-CN"/>
                <w14:textFill>
                  <w14:solidFill>
                    <w14:schemeClr w14:val="tx1"/>
                  </w14:solidFill>
                </w14:textFill>
              </w:rPr>
              <w:t>。</w:t>
            </w:r>
          </w:p>
          <w:p w14:paraId="769E8AAE">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⑪</w:t>
            </w:r>
            <w:r>
              <w:rPr>
                <w:rFonts w:hint="eastAsia" w:cs="Times New Roman"/>
                <w:color w:val="000000" w:themeColor="text1"/>
                <w:lang w:val="en-US" w:eastAsia="zh-CN"/>
                <w14:textFill>
                  <w14:solidFill>
                    <w14:schemeClr w14:val="tx1"/>
                  </w14:solidFill>
                </w14:textFill>
              </w:rPr>
              <w:t>OCV测试</w:t>
            </w:r>
          </w:p>
          <w:p w14:paraId="127B66C7">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电芯经常温静置至电化学平衡后，通过OCV测试线对电芯开路电压、内阻进行检测，并结合静置前后的电压变化判断自放电水平。设备根据预设的电压、压差及内阻阈值自动分选，合格电芯进入成品库，不合格电芯单独收集处置。</w:t>
            </w:r>
          </w:p>
          <w:p w14:paraId="7C0D93D0">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ascii="宋体" w:hAnsi="宋体" w:eastAsia="宋体" w:cs="宋体"/>
                <w:color w:val="000000" w:themeColor="text1"/>
                <w:sz w:val="24"/>
                <w:szCs w:val="24"/>
                <w:lang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其他配套工序-电池拆解：</w:t>
            </w:r>
            <w:r>
              <w:rPr>
                <w:rFonts w:ascii="宋体" w:hAnsi="宋体" w:eastAsia="宋体" w:cs="宋体"/>
                <w:color w:val="000000" w:themeColor="text1"/>
                <w:sz w:val="24"/>
                <w:szCs w:val="24"/>
                <w14:textFill>
                  <w14:solidFill>
                    <w14:schemeClr w14:val="tx1"/>
                  </w14:solidFill>
                </w14:textFill>
              </w:rPr>
              <w:t>为有效识别制程工艺缺陷，防范批量不良品产生，项目在注液、封口、化成、定容等关键工序设置了随机抽样检验机制</w:t>
            </w:r>
            <w:r>
              <w:rPr>
                <w:rFonts w:hint="eastAsia" w:ascii="宋体" w:hAnsi="宋体" w:eastAsia="宋体" w:cs="宋体"/>
                <w:color w:val="000000" w:themeColor="text1"/>
                <w:sz w:val="24"/>
                <w:szCs w:val="24"/>
                <w:lang w:eastAsia="zh-CN"/>
                <w14:textFill>
                  <w14:solidFill>
                    <w14:schemeClr w14:val="tx1"/>
                  </w14:solidFill>
                </w14:textFill>
              </w:rPr>
              <w:t>，</w:t>
            </w:r>
            <w:r>
              <w:rPr>
                <w:rFonts w:ascii="宋体" w:hAnsi="宋体" w:eastAsia="宋体" w:cs="宋体"/>
                <w:color w:val="000000" w:themeColor="text1"/>
                <w:sz w:val="24"/>
                <w:szCs w:val="24"/>
                <w14:textFill>
                  <w14:solidFill>
                    <w14:schemeClr w14:val="tx1"/>
                  </w14:solidFill>
                </w14:textFill>
              </w:rPr>
              <w:t>通过对抽检电池进行拆解分析，核查电解液浸润均匀性、封口密封可靠性、化成产气情况及极片状态，可及时发现注液不足、虚封、产气异常等工艺偏差，为工艺参数优化提供依据，保障产品批次质量一致性与稳定性</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此过程主要产生</w:t>
            </w:r>
            <w:r>
              <w:rPr>
                <w:rFonts w:hint="default" w:ascii="Times New Roman" w:hAnsi="Times New Roman" w:cs="Times New Roman"/>
                <w:color w:val="000000" w:themeColor="text1"/>
                <w:lang w:val="en-US" w:eastAsia="zh-CN"/>
                <w14:textFill>
                  <w14:solidFill>
                    <w14:schemeClr w14:val="tx1"/>
                  </w14:solidFill>
                </w14:textFill>
              </w:rPr>
              <w:t>有机废气</w:t>
            </w:r>
            <w:r>
              <w:rPr>
                <w:rFonts w:hint="eastAsia" w:cs="Times New Roman"/>
                <w:color w:val="000000" w:themeColor="text1"/>
                <w:lang w:val="en-US" w:eastAsia="zh-CN"/>
                <w14:textFill>
                  <w14:solidFill>
                    <w14:schemeClr w14:val="tx1"/>
                  </w14:solidFill>
                </w14:textFill>
              </w:rPr>
              <w:t>、氟化物、废电解液、沾染危险物质的废组件</w:t>
            </w:r>
            <w:r>
              <w:rPr>
                <w:rFonts w:hint="eastAsia" w:ascii="宋体" w:hAnsi="宋体" w:eastAsia="宋体" w:cs="宋体"/>
                <w:color w:val="000000" w:themeColor="text1"/>
                <w:sz w:val="24"/>
                <w:szCs w:val="24"/>
                <w:lang w:eastAsia="zh-CN"/>
                <w14:textFill>
                  <w14:solidFill>
                    <w14:schemeClr w14:val="tx1"/>
                  </w14:solidFill>
                </w14:textFill>
              </w:rPr>
              <w:t>）</w:t>
            </w:r>
          </w:p>
          <w:p w14:paraId="5A86E66C">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电芯拆解不涉及化学试剂的使用。</w:t>
            </w:r>
          </w:p>
          <w:p w14:paraId="0C344103">
            <w:pPr>
              <w:pStyle w:val="66"/>
              <w:keepNext w:val="0"/>
              <w:keepLines w:val="0"/>
              <w:pageBreakBefore w:val="0"/>
              <w:widowControl w:val="0"/>
              <w:kinsoku/>
              <w:wordWrap/>
              <w:overflowPunct/>
              <w:topLinePunct w:val="0"/>
              <w:autoSpaceDE w:val="0"/>
              <w:autoSpaceDN w:val="0"/>
              <w:bidi w:val="0"/>
              <w:spacing w:line="360" w:lineRule="auto"/>
              <w:ind w:firstLine="482" w:firstLineChars="200"/>
              <w:textAlignment w:val="auto"/>
              <w:rPr>
                <w:rFonts w:hint="eastAsia"/>
                <w:b/>
                <w:bCs/>
                <w:color w:val="000000" w:themeColor="text1"/>
                <w:sz w:val="24"/>
                <w:szCs w:val="24"/>
                <w14:textFill>
                  <w14:solidFill>
                    <w14:schemeClr w14:val="tx1"/>
                  </w14:solidFill>
                </w14:textFill>
              </w:rPr>
            </w:pPr>
            <w:r>
              <w:rPr>
                <w:rFonts w:hint="eastAsia"/>
                <w:b/>
                <w:bCs/>
                <w:color w:val="000000" w:themeColor="text1"/>
                <w:sz w:val="24"/>
                <w:szCs w:val="24"/>
                <w:lang w:val="en-US" w:eastAsia="zh-CN"/>
                <w14:textFill>
                  <w14:solidFill>
                    <w14:schemeClr w14:val="tx1"/>
                  </w14:solidFill>
                </w14:textFill>
              </w:rPr>
              <w:t>2、</w:t>
            </w:r>
            <w:r>
              <w:rPr>
                <w:rFonts w:hint="eastAsia"/>
                <w:b/>
                <w:bCs/>
                <w:color w:val="000000" w:themeColor="text1"/>
                <w:sz w:val="24"/>
                <w:szCs w:val="24"/>
                <w14:textFill>
                  <w14:solidFill>
                    <w14:schemeClr w14:val="tx1"/>
                  </w14:solidFill>
                </w14:textFill>
              </w:rPr>
              <w:t>储变电</w:t>
            </w:r>
            <w:r>
              <w:rPr>
                <w:b/>
                <w:bCs/>
                <w:color w:val="000000" w:themeColor="text1"/>
                <w:sz w:val="24"/>
                <w:szCs w:val="24"/>
                <w14:textFill>
                  <w14:solidFill>
                    <w14:schemeClr w14:val="tx1"/>
                  </w14:solidFill>
                </w14:textFill>
              </w:rPr>
              <w:t>系统</w:t>
            </w:r>
            <w:r>
              <w:rPr>
                <w:rFonts w:hint="eastAsia"/>
                <w:b/>
                <w:bCs/>
                <w:color w:val="000000" w:themeColor="text1"/>
                <w:sz w:val="24"/>
                <w:szCs w:val="24"/>
                <w14:textFill>
                  <w14:solidFill>
                    <w14:schemeClr w14:val="tx1"/>
                  </w14:solidFill>
                </w14:textFill>
              </w:rPr>
              <w:t>工艺流程及产污环节</w:t>
            </w:r>
          </w:p>
          <w:p w14:paraId="0D36FEB6">
            <w:pPr>
              <w:spacing w:before="120" w:beforeLines="50" w:line="300" w:lineRule="exact"/>
              <w:ind w:firstLine="1890" w:firstLineChars="900"/>
              <w:rPr>
                <w:snapToGrid w:val="0"/>
                <w:color w:val="000000" w:themeColor="text1"/>
                <w:sz w:val="21"/>
                <w:szCs w:val="21"/>
                <w14:textFill>
                  <w14:solidFill>
                    <w14:schemeClr w14:val="tx1"/>
                  </w14:solidFill>
                </w14:textFill>
              </w:rPr>
            </w:pPr>
            <w:r>
              <w:rPr>
                <w:rFonts w:hint="eastAsia"/>
                <w:snapToGrid w:val="0"/>
                <w:color w:val="000000" w:themeColor="text1"/>
                <w:sz w:val="21"/>
                <w:szCs w:val="21"/>
                <w:lang w:val="en-US" w:eastAsia="zh-CN"/>
                <w14:textFill>
                  <w14:solidFill>
                    <w14:schemeClr w14:val="tx1"/>
                  </w14:solidFill>
                </w14:textFill>
              </w:rPr>
              <w:t xml:space="preserve">废边角料、噪声           </w:t>
            </w:r>
            <w:r>
              <w:rPr>
                <w:rFonts w:hint="eastAsia"/>
                <w:snapToGrid w:val="0"/>
                <w:color w:val="000000" w:themeColor="text1"/>
                <w:sz w:val="21"/>
                <w:szCs w:val="21"/>
                <w14:textFill>
                  <w14:solidFill>
                    <w14:schemeClr w14:val="tx1"/>
                  </w14:solidFill>
                </w14:textFill>
              </w:rPr>
              <w:t>焊接</w:t>
            </w:r>
            <w:r>
              <w:rPr>
                <w:snapToGrid w:val="0"/>
                <w:color w:val="000000" w:themeColor="text1"/>
                <w:sz w:val="21"/>
                <w:szCs w:val="21"/>
                <w14:textFill>
                  <w14:solidFill>
                    <w14:schemeClr w14:val="tx1"/>
                  </w14:solidFill>
                </w14:textFill>
              </w:rPr>
              <w:t>烟尘</w:t>
            </w:r>
            <w:r>
              <w:rPr>
                <w:rFonts w:hint="eastAsia"/>
                <w:snapToGrid w:val="0"/>
                <w:color w:val="000000" w:themeColor="text1"/>
                <w:sz w:val="21"/>
                <w:szCs w:val="21"/>
                <w:lang w:eastAsia="zh-CN"/>
                <w14:textFill>
                  <w14:solidFill>
                    <w14:schemeClr w14:val="tx1"/>
                  </w14:solidFill>
                </w14:textFill>
              </w:rPr>
              <w:t>、</w:t>
            </w:r>
            <w:r>
              <w:rPr>
                <w:rFonts w:hint="eastAsia"/>
                <w:snapToGrid w:val="0"/>
                <w:color w:val="000000" w:themeColor="text1"/>
                <w:sz w:val="21"/>
                <w:szCs w:val="21"/>
                <w:lang w:val="en-US" w:eastAsia="zh-CN"/>
                <w14:textFill>
                  <w14:solidFill>
                    <w14:schemeClr w14:val="tx1"/>
                  </w14:solidFill>
                </w14:textFill>
              </w:rPr>
              <w:t>噪声</w:t>
            </w:r>
            <w:r>
              <w:rPr>
                <w:rFonts w:hint="eastAsia"/>
                <w:snapToGrid w:val="0"/>
                <w:color w:val="000000" w:themeColor="text1"/>
                <w:sz w:val="21"/>
                <w:szCs w:val="21"/>
                <w14:textFill>
                  <w14:solidFill>
                    <w14:schemeClr w14:val="tx1"/>
                  </w14:solidFill>
                </w14:textFill>
              </w:rPr>
              <w:t xml:space="preserve"> </w:t>
            </w:r>
            <w:r>
              <w:rPr>
                <w:rFonts w:hint="eastAsia"/>
                <w:snapToGrid w:val="0"/>
                <w:color w:val="000000" w:themeColor="text1"/>
                <w:sz w:val="21"/>
                <w:szCs w:val="21"/>
                <w:lang w:val="en-US" w:eastAsia="zh-CN"/>
                <w14:textFill>
                  <w14:solidFill>
                    <w14:schemeClr w14:val="tx1"/>
                  </w14:solidFill>
                </w14:textFill>
              </w:rPr>
              <w:t xml:space="preserve">    </w:t>
            </w:r>
            <w:r>
              <w:rPr>
                <w:rFonts w:hint="eastAsia"/>
                <w:snapToGrid w:val="0"/>
                <w:color w:val="000000" w:themeColor="text1"/>
                <w:sz w:val="21"/>
                <w:szCs w:val="21"/>
                <w14:textFill>
                  <w14:solidFill>
                    <w14:schemeClr w14:val="tx1"/>
                  </w14:solidFill>
                </w14:textFill>
              </w:rPr>
              <w:t xml:space="preserve">                                </w:t>
            </w:r>
          </w:p>
          <w:p w14:paraId="3A2B02E4">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both"/>
              <w:textAlignment w:val="auto"/>
              <w:rPr>
                <w:rFonts w:hint="eastAsia"/>
                <w:b/>
                <w:bCs/>
                <w:color w:val="000000" w:themeColor="text1"/>
                <w:sz w:val="24"/>
                <w:szCs w:val="24"/>
                <w14:textFill>
                  <w14:solidFill>
                    <w14:schemeClr w14:val="tx1"/>
                  </w14:solidFill>
                </w14:textFill>
              </w:rPr>
            </w:pPr>
            <w:r>
              <w:rPr>
                <w:rFonts w:hint="eastAsia"/>
                <w:snapToGrid w:val="0"/>
                <w:color w:val="000000" w:themeColor="text1"/>
                <w:sz w:val="24"/>
                <w:szCs w:val="24"/>
                <w14:textFill>
                  <w14:solidFill>
                    <w14:schemeClr w14:val="tx1"/>
                  </w14:solidFill>
                </w14:textFill>
              </w:rPr>
              <w:t xml:space="preserve">  </w:t>
            </w:r>
            <w:r>
              <w:rPr>
                <w:snapToGrid w:val="0"/>
                <w:color w:val="000000" w:themeColor="text1"/>
                <w:sz w:val="24"/>
                <w:szCs w:val="24"/>
                <w14:textFill>
                  <w14:solidFill>
                    <w14:schemeClr w14:val="tx1"/>
                  </w14:solidFill>
                </w14:textFill>
              </w:rPr>
              <w:t xml:space="preserve">                                 </w:t>
            </w:r>
            <w:r>
              <w:rPr>
                <w:rFonts w:hint="eastAsia" w:ascii="宋体" w:hAnsi="宋体"/>
                <w:color w:val="000000" w:themeColor="text1"/>
                <w:sz w:val="21"/>
                <w:szCs w:val="21"/>
                <w14:textFill>
                  <w14:solidFill>
                    <w14:schemeClr w14:val="tx1"/>
                  </w14:solidFill>
                </w14:textFill>
              </w:rPr>
              <w:t>↑</w:t>
            </w:r>
            <w:r>
              <w:rPr>
                <w:rFonts w:hint="eastAsia"/>
                <w:snapToGrid w:val="0"/>
                <w:color w:val="000000" w:themeColor="text1"/>
                <w:sz w:val="24"/>
                <w:szCs w:val="24"/>
                <w:lang w:val="en-US" w:eastAsia="zh-CN"/>
                <w14:textFill>
                  <w14:solidFill>
                    <w14:schemeClr w14:val="tx1"/>
                  </w14:solidFill>
                </w14:textFill>
              </w:rPr>
              <w:t xml:space="preserve">                                          </w:t>
            </w:r>
            <w:r>
              <w:rPr>
                <w:rFonts w:hint="eastAsia" w:ascii="宋体" w:hAnsi="宋体"/>
                <w:color w:val="000000" w:themeColor="text1"/>
                <w:sz w:val="21"/>
                <w:szCs w:val="21"/>
                <w14:textFill>
                  <w14:solidFill>
                    <w14:schemeClr w14:val="tx1"/>
                  </w14:solidFill>
                </w14:textFill>
              </w:rPr>
              <w:t>↑</w:t>
            </w:r>
          </w:p>
          <w:p w14:paraId="5953F558">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snapToGrid w:val="0"/>
                <w:color w:val="000000" w:themeColor="text1"/>
                <w:sz w:val="24"/>
                <w:szCs w:val="24"/>
                <w14:textFill>
                  <w14:solidFill>
                    <w14:schemeClr w14:val="tx1"/>
                  </w14:solidFill>
                </w14:textFill>
              </w:rPr>
            </w:pPr>
            <w:r>
              <w:rPr>
                <w:rFonts w:hint="eastAsia"/>
                <w:snapToGrid w:val="0"/>
                <w:color w:val="000000" w:themeColor="text1"/>
                <w:sz w:val="24"/>
                <w:szCs w:val="24"/>
                <w14:textFill>
                  <w14:solidFill>
                    <w14:schemeClr w14:val="tx1"/>
                  </w14:solidFill>
                </w14:textFill>
              </w:rPr>
              <w:t>单体电池</w:t>
            </w:r>
            <w:r>
              <w:rPr>
                <w:rFonts w:hint="eastAsia"/>
                <w:b/>
                <w:snapToGrid w:val="0"/>
                <w:color w:val="000000" w:themeColor="text1"/>
                <w:sz w:val="24"/>
                <w:szCs w:val="24"/>
                <w14:textFill>
                  <w14:solidFill>
                    <w14:schemeClr w14:val="tx1"/>
                  </w14:solidFill>
                </w14:textFill>
              </w:rPr>
              <w:t>→</w:t>
            </w:r>
            <w:r>
              <w:rPr>
                <w:rFonts w:hint="eastAsia"/>
                <w:b/>
                <w:snapToGrid w:val="0"/>
                <w:color w:val="000000" w:themeColor="text1"/>
                <w:sz w:val="24"/>
                <w:szCs w:val="24"/>
                <w:bdr w:val="single" w:color="auto" w:sz="4" w:space="0"/>
                <w14:textFill>
                  <w14:solidFill>
                    <w14:schemeClr w14:val="tx1"/>
                  </w14:solidFill>
                </w14:textFill>
              </w:rPr>
              <w:t>极耳剪切</w:t>
            </w:r>
            <w:r>
              <w:rPr>
                <w:rFonts w:hint="eastAsia"/>
                <w:b/>
                <w:snapToGrid w:val="0"/>
                <w:color w:val="000000" w:themeColor="text1"/>
                <w:sz w:val="24"/>
                <w:szCs w:val="24"/>
                <w14:textFill>
                  <w14:solidFill>
                    <w14:schemeClr w14:val="tx1"/>
                  </w14:solidFill>
                </w14:textFill>
              </w:rPr>
              <w:t>→</w:t>
            </w:r>
            <w:r>
              <w:rPr>
                <w:rFonts w:hint="eastAsia"/>
                <w:b/>
                <w:snapToGrid w:val="0"/>
                <w:color w:val="000000" w:themeColor="text1"/>
                <w:sz w:val="24"/>
                <w:szCs w:val="24"/>
                <w:bdr w:val="single" w:color="auto" w:sz="4" w:space="0"/>
                <w14:textFill>
                  <w14:solidFill>
                    <w14:schemeClr w14:val="tx1"/>
                  </w14:solidFill>
                </w14:textFill>
              </w:rPr>
              <w:t>放置PCB</w:t>
            </w:r>
            <w:r>
              <w:rPr>
                <w:b/>
                <w:snapToGrid w:val="0"/>
                <w:color w:val="000000" w:themeColor="text1"/>
                <w:sz w:val="24"/>
                <w:szCs w:val="24"/>
                <w:bdr w:val="single" w:color="auto" w:sz="4" w:space="0"/>
                <w14:textFill>
                  <w14:solidFill>
                    <w14:schemeClr w14:val="tx1"/>
                  </w14:solidFill>
                </w14:textFill>
              </w:rPr>
              <w:t>板</w:t>
            </w:r>
            <w:r>
              <w:rPr>
                <w:rFonts w:hint="eastAsia"/>
                <w:b/>
                <w:snapToGrid w:val="0"/>
                <w:color w:val="000000" w:themeColor="text1"/>
                <w:sz w:val="24"/>
                <w:szCs w:val="24"/>
                <w14:textFill>
                  <w14:solidFill>
                    <w14:schemeClr w14:val="tx1"/>
                  </w14:solidFill>
                </w14:textFill>
              </w:rPr>
              <w:t>→</w:t>
            </w:r>
            <w:r>
              <w:rPr>
                <w:b/>
                <w:snapToGrid w:val="0"/>
                <w:color w:val="000000" w:themeColor="text1"/>
                <w:sz w:val="24"/>
                <w:szCs w:val="24"/>
                <w:bdr w:val="single" w:color="auto" w:sz="4" w:space="0"/>
                <w14:textFill>
                  <w14:solidFill>
                    <w14:schemeClr w14:val="tx1"/>
                  </w14:solidFill>
                </w14:textFill>
              </w:rPr>
              <w:t>激光焊</w:t>
            </w:r>
            <w:r>
              <w:rPr>
                <w:rFonts w:hint="eastAsia"/>
                <w:b/>
                <w:snapToGrid w:val="0"/>
                <w:color w:val="000000" w:themeColor="text1"/>
                <w:sz w:val="24"/>
                <w:szCs w:val="24"/>
                <w14:textFill>
                  <w14:solidFill>
                    <w14:schemeClr w14:val="tx1"/>
                  </w14:solidFill>
                </w14:textFill>
              </w:rPr>
              <w:t>→</w:t>
            </w:r>
            <w:r>
              <w:rPr>
                <w:rFonts w:hint="eastAsia"/>
                <w:b/>
                <w:snapToGrid w:val="0"/>
                <w:color w:val="000000" w:themeColor="text1"/>
                <w:sz w:val="24"/>
                <w:szCs w:val="24"/>
                <w:bdr w:val="single" w:color="auto" w:sz="4" w:space="0"/>
                <w14:textFill>
                  <w14:solidFill>
                    <w14:schemeClr w14:val="tx1"/>
                  </w14:solidFill>
                </w14:textFill>
              </w:rPr>
              <w:t>模块捆扎</w:t>
            </w:r>
            <w:r>
              <w:rPr>
                <w:rFonts w:hint="eastAsia"/>
                <w:b/>
                <w:snapToGrid w:val="0"/>
                <w:color w:val="000000" w:themeColor="text1"/>
                <w:sz w:val="24"/>
                <w:szCs w:val="24"/>
                <w14:textFill>
                  <w14:solidFill>
                    <w14:schemeClr w14:val="tx1"/>
                  </w14:solidFill>
                </w14:textFill>
              </w:rPr>
              <w:t>→</w:t>
            </w:r>
            <w:r>
              <w:rPr>
                <w:rFonts w:hint="eastAsia"/>
                <w:b/>
                <w:snapToGrid w:val="0"/>
                <w:color w:val="000000" w:themeColor="text1"/>
                <w:sz w:val="24"/>
                <w:szCs w:val="24"/>
                <w:bdr w:val="single" w:color="auto" w:sz="4" w:space="0"/>
                <w14:textFill>
                  <w14:solidFill>
                    <w14:schemeClr w14:val="tx1"/>
                  </w14:solidFill>
                </w14:textFill>
              </w:rPr>
              <w:t>模块入箱</w:t>
            </w:r>
            <w:r>
              <w:rPr>
                <w:rFonts w:hint="eastAsia"/>
                <w:b/>
                <w:snapToGrid w:val="0"/>
                <w:color w:val="000000" w:themeColor="text1"/>
                <w:sz w:val="24"/>
                <w:szCs w:val="24"/>
                <w14:textFill>
                  <w14:solidFill>
                    <w14:schemeClr w14:val="tx1"/>
                  </w14:solidFill>
                </w14:textFill>
              </w:rPr>
              <w:t>→</w:t>
            </w:r>
            <w:r>
              <w:rPr>
                <w:rFonts w:hint="eastAsia"/>
                <w:b/>
                <w:snapToGrid w:val="0"/>
                <w:color w:val="000000" w:themeColor="text1"/>
                <w:sz w:val="24"/>
                <w:szCs w:val="24"/>
                <w:bdr w:val="single" w:color="auto" w:sz="4" w:space="0"/>
                <w14:textFill>
                  <w14:solidFill>
                    <w14:schemeClr w14:val="tx1"/>
                  </w14:solidFill>
                </w14:textFill>
              </w:rPr>
              <w:t>线束连接</w:t>
            </w:r>
            <w:r>
              <w:rPr>
                <w:b/>
                <w:snapToGrid w:val="0"/>
                <w:color w:val="000000" w:themeColor="text1"/>
                <w:sz w:val="24"/>
                <w:szCs w:val="24"/>
                <w:bdr w:val="single" w:color="auto" w:sz="4" w:space="0"/>
                <w14:textFill>
                  <w14:solidFill>
                    <w14:schemeClr w14:val="tx1"/>
                  </w14:solidFill>
                </w14:textFill>
              </w:rPr>
              <w:t>整理</w:t>
            </w:r>
            <w:r>
              <w:rPr>
                <w:rFonts w:hint="eastAsia"/>
                <w:b/>
                <w:snapToGrid w:val="0"/>
                <w:color w:val="000000" w:themeColor="text1"/>
                <w:sz w:val="24"/>
                <w:szCs w:val="24"/>
                <w14:textFill>
                  <w14:solidFill>
                    <w14:schemeClr w14:val="tx1"/>
                  </w14:solidFill>
                </w14:textFill>
              </w:rPr>
              <w:t>→</w:t>
            </w:r>
            <w:r>
              <w:rPr>
                <w:rFonts w:hint="eastAsia"/>
                <w:b/>
                <w:snapToGrid w:val="0"/>
                <w:color w:val="000000" w:themeColor="text1"/>
                <w:sz w:val="24"/>
                <w:szCs w:val="24"/>
                <w:bdr w:val="single" w:color="auto" w:sz="4" w:space="0"/>
                <w14:textFill>
                  <w14:solidFill>
                    <w14:schemeClr w14:val="tx1"/>
                  </w14:solidFill>
                </w14:textFill>
              </w:rPr>
              <w:t>质检</w:t>
            </w:r>
            <w:r>
              <w:rPr>
                <w:rFonts w:hint="eastAsia"/>
                <w:b/>
                <w:snapToGrid w:val="0"/>
                <w:color w:val="000000" w:themeColor="text1"/>
                <w:sz w:val="24"/>
                <w:szCs w:val="24"/>
                <w14:textFill>
                  <w14:solidFill>
                    <w14:schemeClr w14:val="tx1"/>
                  </w14:solidFill>
                </w14:textFill>
              </w:rPr>
              <w:t>→</w:t>
            </w:r>
            <w:r>
              <w:rPr>
                <w:rFonts w:hint="eastAsia"/>
                <w:b/>
                <w:snapToGrid w:val="0"/>
                <w:color w:val="000000" w:themeColor="text1"/>
                <w:sz w:val="24"/>
                <w:szCs w:val="24"/>
                <w:bdr w:val="single" w:color="auto" w:sz="4" w:space="0"/>
                <w14:textFill>
                  <w14:solidFill>
                    <w14:schemeClr w14:val="tx1"/>
                  </w14:solidFill>
                </w14:textFill>
              </w:rPr>
              <w:t>盖板安装</w:t>
            </w:r>
            <w:r>
              <w:rPr>
                <w:rFonts w:hint="eastAsia"/>
                <w:b/>
                <w:snapToGrid w:val="0"/>
                <w:color w:val="000000" w:themeColor="text1"/>
                <w:sz w:val="24"/>
                <w:szCs w:val="24"/>
                <w14:textFill>
                  <w14:solidFill>
                    <w14:schemeClr w14:val="tx1"/>
                  </w14:solidFill>
                </w14:textFill>
              </w:rPr>
              <w:t>→</w:t>
            </w:r>
            <w:r>
              <w:rPr>
                <w:rFonts w:hint="eastAsia"/>
                <w:snapToGrid w:val="0"/>
                <w:color w:val="000000" w:themeColor="text1"/>
                <w:sz w:val="24"/>
                <w:szCs w:val="24"/>
                <w14:textFill>
                  <w14:solidFill>
                    <w14:schemeClr w14:val="tx1"/>
                  </w14:solidFill>
                </w14:textFill>
              </w:rPr>
              <w:t>成品</w:t>
            </w:r>
          </w:p>
          <w:p w14:paraId="755D6577">
            <w:pPr>
              <w:pStyle w:val="66"/>
              <w:keepNext w:val="0"/>
              <w:keepLines w:val="0"/>
              <w:pageBreakBefore w:val="0"/>
              <w:widowControl w:val="0"/>
              <w:kinsoku/>
              <w:wordWrap/>
              <w:overflowPunct/>
              <w:topLinePunct w:val="0"/>
              <w:autoSpaceDE w:val="0"/>
              <w:autoSpaceDN w:val="0"/>
              <w:bidi w:val="0"/>
              <w:spacing w:line="360" w:lineRule="auto"/>
              <w:ind w:firstLine="422" w:firstLineChars="200"/>
              <w:jc w:val="center"/>
              <w:textAlignment w:val="auto"/>
              <w:rPr>
                <w:rFonts w:hint="eastAsia"/>
                <w:b/>
                <w:color w:val="000000" w:themeColor="text1"/>
                <w:sz w:val="21"/>
                <w:szCs w:val="21"/>
                <w14:textFill>
                  <w14:solidFill>
                    <w14:schemeClr w14:val="tx1"/>
                  </w14:solidFill>
                </w14:textFill>
              </w:rPr>
            </w:pPr>
            <w:r>
              <w:rPr>
                <w:b/>
                <w:color w:val="000000" w:themeColor="text1"/>
                <w:sz w:val="21"/>
                <w:szCs w:val="21"/>
                <w14:textFill>
                  <w14:solidFill>
                    <w14:schemeClr w14:val="tx1"/>
                  </w14:solidFill>
                </w14:textFill>
              </w:rPr>
              <w:t>图</w:t>
            </w:r>
            <w:r>
              <w:rPr>
                <w:rFonts w:hint="eastAsia"/>
                <w:b/>
                <w:color w:val="000000" w:themeColor="text1"/>
                <w:sz w:val="21"/>
                <w:szCs w:val="21"/>
                <w:lang w:val="en-US" w:eastAsia="zh-CN"/>
                <w14:textFill>
                  <w14:solidFill>
                    <w14:schemeClr w14:val="tx1"/>
                  </w14:solidFill>
                </w14:textFill>
              </w:rPr>
              <w:t>2-</w:t>
            </w:r>
            <w:r>
              <w:rPr>
                <w:b/>
                <w:color w:val="000000" w:themeColor="text1"/>
                <w:sz w:val="21"/>
                <w:szCs w:val="21"/>
                <w14:textFill>
                  <w14:solidFill>
                    <w14:schemeClr w14:val="tx1"/>
                  </w14:solidFill>
                </w14:textFill>
              </w:rPr>
              <w:t xml:space="preserve">7   </w:t>
            </w:r>
            <w:r>
              <w:rPr>
                <w:rFonts w:hint="eastAsia"/>
                <w:b/>
                <w:color w:val="000000" w:themeColor="text1"/>
                <w:sz w:val="21"/>
                <w:szCs w:val="21"/>
                <w:lang w:val="en-US" w:eastAsia="zh-CN"/>
                <w14:textFill>
                  <w14:solidFill>
                    <w14:schemeClr w14:val="tx1"/>
                  </w14:solidFill>
                </w14:textFill>
              </w:rPr>
              <w:t>储变电源系统</w:t>
            </w:r>
            <w:r>
              <w:rPr>
                <w:rFonts w:hint="eastAsia"/>
                <w:b/>
                <w:color w:val="000000" w:themeColor="text1"/>
                <w:sz w:val="21"/>
                <w:szCs w:val="21"/>
                <w14:textFill>
                  <w14:solidFill>
                    <w14:schemeClr w14:val="tx1"/>
                  </w14:solidFill>
                </w14:textFill>
              </w:rPr>
              <w:t>组</w:t>
            </w:r>
            <w:r>
              <w:rPr>
                <w:b/>
                <w:color w:val="000000" w:themeColor="text1"/>
                <w:sz w:val="21"/>
                <w:szCs w:val="21"/>
                <w14:textFill>
                  <w14:solidFill>
                    <w14:schemeClr w14:val="tx1"/>
                  </w14:solidFill>
                </w14:textFill>
              </w:rPr>
              <w:t>装配工艺流程及产污环节</w:t>
            </w:r>
            <w:r>
              <w:rPr>
                <w:rFonts w:hint="eastAsia"/>
                <w:b/>
                <w:color w:val="000000" w:themeColor="text1"/>
                <w:sz w:val="21"/>
                <w:szCs w:val="21"/>
                <w14:textFill>
                  <w14:solidFill>
                    <w14:schemeClr w14:val="tx1"/>
                  </w14:solidFill>
                </w14:textFill>
              </w:rPr>
              <w:t>图</w:t>
            </w:r>
          </w:p>
          <w:p w14:paraId="4D9C2047">
            <w:pPr>
              <w:pStyle w:val="66"/>
              <w:keepNext w:val="0"/>
              <w:keepLines w:val="0"/>
              <w:pageBreakBefore w:val="0"/>
              <w:widowControl w:val="0"/>
              <w:kinsoku/>
              <w:wordWrap/>
              <w:overflowPunct/>
              <w:topLinePunct w:val="0"/>
              <w:autoSpaceDE w:val="0"/>
              <w:autoSpaceDN w:val="0"/>
              <w:bidi w:val="0"/>
              <w:spacing w:line="360" w:lineRule="auto"/>
              <w:ind w:firstLine="482" w:firstLineChars="200"/>
              <w:textAlignment w:val="auto"/>
              <w:rPr>
                <w:rFonts w:hint="eastAsia" w:ascii="宋体" w:hAnsi="宋体" w:eastAsia="宋体" w:cs="宋体"/>
                <w:color w:val="000000" w:themeColor="text1"/>
                <w:sz w:val="24"/>
                <w:szCs w:val="24"/>
                <w:lang w:eastAsia="zh-CN"/>
                <w14:textFill>
                  <w14:solidFill>
                    <w14:schemeClr w14:val="tx1"/>
                  </w14:solidFill>
                </w14:textFill>
              </w:rPr>
            </w:pPr>
            <w:r>
              <w:rPr>
                <w:rFonts w:hint="eastAsia"/>
                <w:b/>
                <w:bCs/>
                <w:color w:val="000000" w:themeColor="text1"/>
                <w:sz w:val="24"/>
                <w:szCs w:val="24"/>
                <w:lang w:val="en-US" w:eastAsia="zh-CN"/>
                <w14:textFill>
                  <w14:solidFill>
                    <w14:schemeClr w14:val="tx1"/>
                  </w14:solidFill>
                </w14:textFill>
              </w:rPr>
              <w:t>极耳裁切：</w:t>
            </w:r>
            <w:r>
              <w:rPr>
                <w:rFonts w:ascii="Segoe UI" w:hAnsi="Segoe UI" w:eastAsia="Segoe UI" w:cs="Segoe UI"/>
                <w:i w:val="0"/>
                <w:iCs w:val="0"/>
                <w:caps w:val="0"/>
                <w:color w:val="000000" w:themeColor="text1"/>
                <w:spacing w:val="0"/>
                <w:sz w:val="24"/>
                <w:szCs w:val="24"/>
                <w:shd w:val="clear" w:fill="FFFFFF"/>
                <w14:textFill>
                  <w14:solidFill>
                    <w14:schemeClr w14:val="tx1"/>
                  </w14:solidFill>
                </w14:textFill>
              </w:rPr>
              <w:t>将成品单体电池的极耳（正负极端子）按照设计要求裁切至规定长度或形状，为后续焊接做准备。</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此过程主要产生</w:t>
            </w:r>
            <w:r>
              <w:rPr>
                <w:rFonts w:hint="eastAsia" w:cs="Times New Roman"/>
                <w:color w:val="000000" w:themeColor="text1"/>
                <w:lang w:val="en-US" w:eastAsia="zh-CN"/>
                <w14:textFill>
                  <w14:solidFill>
                    <w14:schemeClr w14:val="tx1"/>
                  </w14:solidFill>
                </w14:textFill>
              </w:rPr>
              <w:t>废边角料、噪声</w:t>
            </w:r>
            <w:r>
              <w:rPr>
                <w:rFonts w:hint="eastAsia" w:ascii="宋体" w:hAnsi="宋体" w:eastAsia="宋体" w:cs="宋体"/>
                <w:color w:val="000000" w:themeColor="text1"/>
                <w:sz w:val="24"/>
                <w:szCs w:val="24"/>
                <w:lang w:eastAsia="zh-CN"/>
                <w14:textFill>
                  <w14:solidFill>
                    <w14:schemeClr w14:val="tx1"/>
                  </w14:solidFill>
                </w14:textFill>
              </w:rPr>
              <w:t>）</w:t>
            </w:r>
          </w:p>
          <w:p w14:paraId="2EF3D7E5">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ascii="Segoe UI" w:hAnsi="Segoe UI" w:eastAsia="Segoe UI" w:cs="Segoe UI"/>
                <w:i w:val="0"/>
                <w:iCs w:val="0"/>
                <w:caps w:val="0"/>
                <w:color w:val="000000" w:themeColor="text1"/>
                <w:spacing w:val="0"/>
                <w:sz w:val="24"/>
                <w:szCs w:val="24"/>
                <w:shd w:val="clear" w:fill="FFFFFF"/>
                <w14:textFill>
                  <w14:solidFill>
                    <w14:schemeClr w14:val="tx1"/>
                  </w14:solidFill>
                </w14:textFill>
              </w:rPr>
            </w:pPr>
            <w:r>
              <w:rPr>
                <w:rFonts w:hint="default" w:ascii="Times New Roman" w:hAnsi="Times New Roman" w:eastAsia="Segoe UI" w:cs="Times New Roman"/>
                <w:b/>
                <w:bCs/>
                <w:i w:val="0"/>
                <w:iCs w:val="0"/>
                <w:caps w:val="0"/>
                <w:color w:val="000000" w:themeColor="text1"/>
                <w:spacing w:val="0"/>
                <w:sz w:val="24"/>
                <w:szCs w:val="24"/>
                <w:shd w:val="clear" w:fill="FFFFFF"/>
                <w14:textFill>
                  <w14:solidFill>
                    <w14:schemeClr w14:val="tx1"/>
                  </w14:solidFill>
                </w14:textFill>
              </w:rPr>
              <w:t>放置PCB板</w:t>
            </w:r>
            <w:r>
              <w:rPr>
                <w:rFonts w:hint="default" w:ascii="Times New Roman" w:hAnsi="Times New Roman" w:eastAsia="宋体" w:cs="Times New Roman"/>
                <w:b/>
                <w:bCs/>
                <w:i w:val="0"/>
                <w:iCs w:val="0"/>
                <w:caps w:val="0"/>
                <w:color w:val="000000" w:themeColor="text1"/>
                <w:spacing w:val="0"/>
                <w:sz w:val="24"/>
                <w:szCs w:val="24"/>
                <w:shd w:val="clear" w:fill="FFFFFF"/>
                <w:lang w:eastAsia="zh-CN"/>
                <w14:textFill>
                  <w14:solidFill>
                    <w14:schemeClr w14:val="tx1"/>
                  </w14:solidFill>
                </w14:textFill>
              </w:rPr>
              <w:t>：</w:t>
            </w:r>
            <w:r>
              <w:rPr>
                <w:rFonts w:hint="default" w:ascii="Times New Roman" w:hAnsi="Times New Roman" w:eastAsia="Segoe UI" w:cs="Times New Roman"/>
                <w:i w:val="0"/>
                <w:iCs w:val="0"/>
                <w:caps w:val="0"/>
                <w:color w:val="000000" w:themeColor="text1"/>
                <w:spacing w:val="0"/>
                <w:sz w:val="24"/>
                <w:szCs w:val="24"/>
                <w:shd w:val="clear" w:fill="FFFFFF"/>
                <w14:textFill>
                  <w14:solidFill>
                    <w14:schemeClr w14:val="tx1"/>
                  </w14:solidFill>
                </w14:textFill>
              </w:rPr>
              <w:t>将裁切好极耳的电池按照特定排列方式，放置到已安装好PCB板</w:t>
            </w:r>
            <w:r>
              <w:rPr>
                <w:rFonts w:ascii="Segoe UI" w:hAnsi="Segoe UI" w:eastAsia="Segoe UI" w:cs="Segoe UI"/>
                <w:i w:val="0"/>
                <w:iCs w:val="0"/>
                <w:caps w:val="0"/>
                <w:color w:val="000000" w:themeColor="text1"/>
                <w:spacing w:val="0"/>
                <w:sz w:val="24"/>
                <w:szCs w:val="24"/>
                <w:shd w:val="clear" w:fill="FFFFFF"/>
                <w14:textFill>
                  <w14:solidFill>
                    <w14:schemeClr w14:val="tx1"/>
                  </w14:solidFill>
                </w14:textFill>
              </w:rPr>
              <w:t>（印刷电路板，用于连接各电池单元并传递信号）的支架或夹具上。</w:t>
            </w:r>
          </w:p>
          <w:p w14:paraId="63BCD3D2">
            <w:pPr>
              <w:pStyle w:val="66"/>
              <w:keepNext w:val="0"/>
              <w:keepLines w:val="0"/>
              <w:pageBreakBefore w:val="0"/>
              <w:widowControl w:val="0"/>
              <w:kinsoku/>
              <w:wordWrap/>
              <w:overflowPunct/>
              <w:topLinePunct w:val="0"/>
              <w:autoSpaceDE w:val="0"/>
              <w:autoSpaceDN w:val="0"/>
              <w:bidi w:val="0"/>
              <w:spacing w:line="360" w:lineRule="auto"/>
              <w:ind w:firstLine="482" w:firstLineChars="200"/>
              <w:textAlignment w:val="auto"/>
              <w:rPr>
                <w:rFonts w:hint="eastAsia" w:ascii="Segoe UI" w:hAnsi="Segoe UI" w:eastAsia="宋体" w:cs="Segoe UI"/>
                <w:i w:val="0"/>
                <w:iCs w:val="0"/>
                <w:caps w:val="0"/>
                <w:color w:val="000000" w:themeColor="text1"/>
                <w:spacing w:val="0"/>
                <w:sz w:val="24"/>
                <w:szCs w:val="24"/>
                <w:shd w:val="clear" w:fill="FFFFFF"/>
                <w:lang w:eastAsia="zh-CN"/>
                <w14:textFill>
                  <w14:solidFill>
                    <w14:schemeClr w14:val="tx1"/>
                  </w14:solidFill>
                </w14:textFill>
              </w:rPr>
            </w:pPr>
            <w:r>
              <w:rPr>
                <w:rFonts w:hint="eastAsia" w:ascii="Segoe UI" w:hAnsi="Segoe UI" w:eastAsia="宋体" w:cs="Segoe UI"/>
                <w:b/>
                <w:bCs/>
                <w:i w:val="0"/>
                <w:iCs w:val="0"/>
                <w:caps w:val="0"/>
                <w:color w:val="000000" w:themeColor="text1"/>
                <w:spacing w:val="0"/>
                <w:sz w:val="24"/>
                <w:szCs w:val="24"/>
                <w:shd w:val="clear" w:fill="FFFFFF"/>
                <w:lang w:val="en-US" w:eastAsia="zh-CN"/>
                <w14:textFill>
                  <w14:solidFill>
                    <w14:schemeClr w14:val="tx1"/>
                  </w14:solidFill>
                </w14:textFill>
              </w:rPr>
              <w:t>激光焊：</w:t>
            </w:r>
            <w:r>
              <w:rPr>
                <w:rFonts w:ascii="Segoe UI" w:hAnsi="Segoe UI" w:eastAsia="Segoe UI" w:cs="Segoe UI"/>
                <w:i w:val="0"/>
                <w:iCs w:val="0"/>
                <w:caps w:val="0"/>
                <w:color w:val="000000" w:themeColor="text1"/>
                <w:spacing w:val="0"/>
                <w:sz w:val="24"/>
                <w:szCs w:val="24"/>
                <w:shd w:val="clear" w:fill="FFFFFF"/>
                <w14:textFill>
                  <w14:solidFill>
                    <w14:schemeClr w14:val="tx1"/>
                  </w14:solidFill>
                </w14:textFill>
              </w:rPr>
              <w:t>通过激光焊接工艺，将电</w:t>
            </w:r>
            <w:r>
              <w:rPr>
                <w:rFonts w:hint="default" w:ascii="Times New Roman" w:hAnsi="Times New Roman" w:eastAsia="Segoe UI" w:cs="Times New Roman"/>
                <w:i w:val="0"/>
                <w:iCs w:val="0"/>
                <w:caps w:val="0"/>
                <w:color w:val="000000" w:themeColor="text1"/>
                <w:spacing w:val="0"/>
                <w:sz w:val="24"/>
                <w:szCs w:val="24"/>
                <w:shd w:val="clear" w:fill="FFFFFF"/>
                <w14:textFill>
                  <w14:solidFill>
                    <w14:schemeClr w14:val="tx1"/>
                  </w14:solidFill>
                </w14:textFill>
              </w:rPr>
              <w:t>池极耳与PCB板</w:t>
            </w:r>
            <w:r>
              <w:rPr>
                <w:rFonts w:ascii="Segoe UI" w:hAnsi="Segoe UI" w:eastAsia="Segoe UI" w:cs="Segoe UI"/>
                <w:i w:val="0"/>
                <w:iCs w:val="0"/>
                <w:caps w:val="0"/>
                <w:color w:val="000000" w:themeColor="text1"/>
                <w:spacing w:val="0"/>
                <w:sz w:val="24"/>
                <w:szCs w:val="24"/>
                <w:shd w:val="clear" w:fill="FFFFFF"/>
                <w14:textFill>
                  <w14:solidFill>
                    <w14:schemeClr w14:val="tx1"/>
                  </w14:solidFill>
                </w14:textFill>
              </w:rPr>
              <w:t>上的连接片牢固焊接，形成稳定的电气连接。</w:t>
            </w:r>
            <w:r>
              <w:rPr>
                <w:rFonts w:hint="eastAsia" w:ascii="Segoe UI" w:hAnsi="Segoe UI" w:eastAsia="宋体" w:cs="Segoe UI"/>
                <w:i w:val="0"/>
                <w:iCs w:val="0"/>
                <w:caps w:val="0"/>
                <w:color w:val="000000" w:themeColor="text1"/>
                <w:spacing w:val="0"/>
                <w:sz w:val="24"/>
                <w:szCs w:val="24"/>
                <w:shd w:val="clear" w:fill="FFFFFF"/>
                <w:lang w:eastAsia="zh-CN"/>
                <w14:textFill>
                  <w14:solidFill>
                    <w14:schemeClr w14:val="tx1"/>
                  </w14:solidFill>
                </w14:textFill>
              </w:rPr>
              <w:t>（</w:t>
            </w:r>
            <w:r>
              <w:rPr>
                <w:rFonts w:hint="eastAsia" w:ascii="Segoe UI" w:hAnsi="Segoe UI" w:eastAsia="宋体" w:cs="Segoe UI"/>
                <w:i w:val="0"/>
                <w:iCs w:val="0"/>
                <w:caps w:val="0"/>
                <w:color w:val="000000" w:themeColor="text1"/>
                <w:spacing w:val="0"/>
                <w:sz w:val="24"/>
                <w:szCs w:val="24"/>
                <w:shd w:val="clear" w:fill="FFFFFF"/>
                <w:lang w:val="en-US" w:eastAsia="zh-CN"/>
                <w14:textFill>
                  <w14:solidFill>
                    <w14:schemeClr w14:val="tx1"/>
                  </w14:solidFill>
                </w14:textFill>
              </w:rPr>
              <w:t>此过程会产生焊接烟尘、噪声</w:t>
            </w:r>
            <w:r>
              <w:rPr>
                <w:rFonts w:hint="eastAsia" w:ascii="Segoe UI" w:hAnsi="Segoe UI" w:eastAsia="宋体" w:cs="Segoe UI"/>
                <w:i w:val="0"/>
                <w:iCs w:val="0"/>
                <w:caps w:val="0"/>
                <w:color w:val="000000" w:themeColor="text1"/>
                <w:spacing w:val="0"/>
                <w:sz w:val="24"/>
                <w:szCs w:val="24"/>
                <w:shd w:val="clear" w:fill="FFFFFF"/>
                <w:lang w:eastAsia="zh-CN"/>
                <w14:textFill>
                  <w14:solidFill>
                    <w14:schemeClr w14:val="tx1"/>
                  </w14:solidFill>
                </w14:textFill>
              </w:rPr>
              <w:t>）</w:t>
            </w:r>
          </w:p>
          <w:p w14:paraId="7487B817">
            <w:pPr>
              <w:pStyle w:val="66"/>
              <w:keepNext w:val="0"/>
              <w:keepLines w:val="0"/>
              <w:pageBreakBefore w:val="0"/>
              <w:widowControl w:val="0"/>
              <w:kinsoku/>
              <w:wordWrap/>
              <w:overflowPunct/>
              <w:topLinePunct w:val="0"/>
              <w:autoSpaceDE w:val="0"/>
              <w:autoSpaceDN w:val="0"/>
              <w:bidi w:val="0"/>
              <w:spacing w:line="360" w:lineRule="auto"/>
              <w:ind w:firstLine="482" w:firstLineChars="200"/>
              <w:textAlignment w:val="auto"/>
              <w:rPr>
                <w:rFonts w:ascii="Segoe UI" w:hAnsi="Segoe UI" w:eastAsia="Segoe UI" w:cs="Segoe UI"/>
                <w:i w:val="0"/>
                <w:iCs w:val="0"/>
                <w:caps w:val="0"/>
                <w:color w:val="000000" w:themeColor="text1"/>
                <w:spacing w:val="0"/>
                <w:sz w:val="24"/>
                <w:szCs w:val="24"/>
                <w:shd w:val="clear" w:fill="FFFFFF"/>
                <w14:textFill>
                  <w14:solidFill>
                    <w14:schemeClr w14:val="tx1"/>
                  </w14:solidFill>
                </w14:textFill>
              </w:rPr>
            </w:pPr>
            <w:r>
              <w:rPr>
                <w:rFonts w:hint="eastAsia" w:ascii="Segoe UI" w:hAnsi="Segoe UI" w:eastAsia="宋体" w:cs="Segoe UI"/>
                <w:b/>
                <w:bCs/>
                <w:i w:val="0"/>
                <w:iCs w:val="0"/>
                <w:caps w:val="0"/>
                <w:color w:val="000000" w:themeColor="text1"/>
                <w:spacing w:val="0"/>
                <w:sz w:val="24"/>
                <w:szCs w:val="24"/>
                <w:shd w:val="clear" w:fill="FFFFFF"/>
                <w:lang w:val="en-US" w:eastAsia="zh-CN"/>
                <w14:textFill>
                  <w14:solidFill>
                    <w14:schemeClr w14:val="tx1"/>
                  </w14:solidFill>
                </w14:textFill>
              </w:rPr>
              <w:t>模块捆扎：</w:t>
            </w:r>
            <w:r>
              <w:rPr>
                <w:rFonts w:ascii="Segoe UI" w:hAnsi="Segoe UI" w:eastAsia="Segoe UI" w:cs="Segoe UI"/>
                <w:i w:val="0"/>
                <w:iCs w:val="0"/>
                <w:caps w:val="0"/>
                <w:color w:val="000000" w:themeColor="text1"/>
                <w:spacing w:val="0"/>
                <w:sz w:val="24"/>
                <w:szCs w:val="24"/>
                <w:shd w:val="clear" w:fill="FFFFFF"/>
                <w14:textFill>
                  <w14:solidFill>
                    <w14:schemeClr w14:val="tx1"/>
                  </w14:solidFill>
                </w14:textFill>
              </w:rPr>
              <w:t>完成焊接的电池组进行捆扎固定，形成初步的</w:t>
            </w:r>
            <w:r>
              <w:rPr>
                <w:rFonts w:hint="eastAsia" w:ascii="Segoe UI" w:hAnsi="Segoe UI" w:eastAsia="宋体" w:cs="Segoe UI"/>
                <w:i w:val="0"/>
                <w:iCs w:val="0"/>
                <w:caps w:val="0"/>
                <w:color w:val="000000" w:themeColor="text1"/>
                <w:spacing w:val="0"/>
                <w:sz w:val="24"/>
                <w:szCs w:val="24"/>
                <w:shd w:val="clear" w:fill="FFFFFF"/>
                <w:lang w:eastAsia="zh-CN"/>
                <w14:textFill>
                  <w14:solidFill>
                    <w14:schemeClr w14:val="tx1"/>
                  </w14:solidFill>
                </w14:textFill>
              </w:rPr>
              <w:t>“</w:t>
            </w:r>
            <w:r>
              <w:rPr>
                <w:rFonts w:ascii="Segoe UI" w:hAnsi="Segoe UI" w:eastAsia="Segoe UI" w:cs="Segoe UI"/>
                <w:i w:val="0"/>
                <w:iCs w:val="0"/>
                <w:caps w:val="0"/>
                <w:color w:val="000000" w:themeColor="text1"/>
                <w:spacing w:val="0"/>
                <w:sz w:val="24"/>
                <w:szCs w:val="24"/>
                <w:shd w:val="clear" w:fill="FFFFFF"/>
                <w14:textFill>
                  <w14:solidFill>
                    <w14:schemeClr w14:val="tx1"/>
                  </w14:solidFill>
                </w14:textFill>
              </w:rPr>
              <w:t>电池模块</w:t>
            </w:r>
            <w:r>
              <w:rPr>
                <w:rFonts w:hint="eastAsia" w:ascii="Segoe UI" w:hAnsi="Segoe UI" w:eastAsia="宋体" w:cs="Segoe UI"/>
                <w:i w:val="0"/>
                <w:iCs w:val="0"/>
                <w:caps w:val="0"/>
                <w:color w:val="000000" w:themeColor="text1"/>
                <w:spacing w:val="0"/>
                <w:sz w:val="24"/>
                <w:szCs w:val="24"/>
                <w:shd w:val="clear" w:fill="FFFFFF"/>
                <w:lang w:eastAsia="zh-CN"/>
                <w14:textFill>
                  <w14:solidFill>
                    <w14:schemeClr w14:val="tx1"/>
                  </w14:solidFill>
                </w14:textFill>
              </w:rPr>
              <w:t>”</w:t>
            </w:r>
            <w:r>
              <w:rPr>
                <w:rFonts w:ascii="Segoe UI" w:hAnsi="Segoe UI" w:eastAsia="Segoe UI" w:cs="Segoe UI"/>
                <w:i w:val="0"/>
                <w:iCs w:val="0"/>
                <w:caps w:val="0"/>
                <w:color w:val="000000" w:themeColor="text1"/>
                <w:spacing w:val="0"/>
                <w:sz w:val="24"/>
                <w:szCs w:val="24"/>
                <w:shd w:val="clear" w:fill="FFFFFF"/>
                <w14:textFill>
                  <w14:solidFill>
                    <w14:schemeClr w14:val="tx1"/>
                  </w14:solidFill>
                </w14:textFill>
              </w:rPr>
              <w:t>。</w:t>
            </w:r>
          </w:p>
          <w:p w14:paraId="135320AE">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ascii="Segoe UI" w:hAnsi="Segoe UI" w:eastAsia="Segoe UI" w:cs="Segoe UI"/>
                <w:i w:val="0"/>
                <w:iCs w:val="0"/>
                <w:caps w:val="0"/>
                <w:color w:val="000000" w:themeColor="text1"/>
                <w:spacing w:val="0"/>
                <w:sz w:val="24"/>
                <w:szCs w:val="24"/>
                <w:shd w:val="clear" w:fill="FFFFFF"/>
                <w14:textFill>
                  <w14:solidFill>
                    <w14:schemeClr w14:val="tx1"/>
                  </w14:solidFill>
                </w14:textFill>
              </w:rPr>
            </w:pPr>
            <w:r>
              <w:rPr>
                <w:rFonts w:ascii="Segoe UI" w:hAnsi="Segoe UI" w:eastAsia="Segoe UI" w:cs="Segoe UI"/>
                <w:b/>
                <w:bCs/>
                <w:i w:val="0"/>
                <w:iCs w:val="0"/>
                <w:caps w:val="0"/>
                <w:color w:val="000000" w:themeColor="text1"/>
                <w:spacing w:val="0"/>
                <w:sz w:val="24"/>
                <w:szCs w:val="24"/>
                <w:shd w:val="clear" w:fill="FFFFFF"/>
                <w14:textFill>
                  <w14:solidFill>
                    <w14:schemeClr w14:val="tx1"/>
                  </w14:solidFill>
                </w14:textFill>
              </w:rPr>
              <w:t>模</w:t>
            </w:r>
            <w:r>
              <w:rPr>
                <w:rFonts w:hint="default" w:ascii="Times New Roman" w:hAnsi="Times New Roman" w:eastAsia="Segoe UI" w:cs="Times New Roman"/>
                <w:b/>
                <w:bCs/>
                <w:i w:val="0"/>
                <w:iCs w:val="0"/>
                <w:caps w:val="0"/>
                <w:color w:val="000000" w:themeColor="text1"/>
                <w:spacing w:val="0"/>
                <w:sz w:val="24"/>
                <w:szCs w:val="24"/>
                <w:shd w:val="clear" w:fill="FFFFFF"/>
                <w14:textFill>
                  <w14:solidFill>
                    <w14:schemeClr w14:val="tx1"/>
                  </w14:solidFill>
                </w14:textFill>
              </w:rPr>
              <w:t>块入箱</w:t>
            </w:r>
            <w:r>
              <w:rPr>
                <w:rFonts w:hint="default" w:ascii="Times New Roman" w:hAnsi="Times New Roman" w:eastAsia="宋体" w:cs="Times New Roman"/>
                <w:b/>
                <w:bCs/>
                <w:i w:val="0"/>
                <w:iCs w:val="0"/>
                <w:caps w:val="0"/>
                <w:color w:val="000000" w:themeColor="text1"/>
                <w:spacing w:val="0"/>
                <w:sz w:val="24"/>
                <w:szCs w:val="24"/>
                <w:shd w:val="clear" w:fill="FFFFFF"/>
                <w:lang w:eastAsia="zh-CN"/>
                <w14:textFill>
                  <w14:solidFill>
                    <w14:schemeClr w14:val="tx1"/>
                  </w14:solidFill>
                </w14:textFill>
              </w:rPr>
              <w:t>：</w:t>
            </w:r>
            <w:r>
              <w:rPr>
                <w:rFonts w:hint="default" w:ascii="Times New Roman" w:hAnsi="Times New Roman" w:eastAsia="Segoe UI" w:cs="Times New Roman"/>
                <w:i w:val="0"/>
                <w:iCs w:val="0"/>
                <w:caps w:val="0"/>
                <w:color w:val="000000" w:themeColor="text1"/>
                <w:spacing w:val="0"/>
                <w:sz w:val="24"/>
                <w:szCs w:val="24"/>
                <w:shd w:val="clear" w:fill="FFFFFF"/>
                <w14:textFill>
                  <w14:solidFill>
                    <w14:schemeClr w14:val="tx1"/>
                  </w14:solidFill>
                </w14:textFill>
              </w:rPr>
              <w:t>将捆扎好的电池模块整体吊装或推入预先准备好的电池箱体（PACK</w:t>
            </w:r>
            <w:r>
              <w:rPr>
                <w:rFonts w:ascii="Segoe UI" w:hAnsi="Segoe UI" w:eastAsia="Segoe UI" w:cs="Segoe UI"/>
                <w:i w:val="0"/>
                <w:iCs w:val="0"/>
                <w:caps w:val="0"/>
                <w:color w:val="000000" w:themeColor="text1"/>
                <w:spacing w:val="0"/>
                <w:sz w:val="24"/>
                <w:szCs w:val="24"/>
                <w:shd w:val="clear" w:fill="FFFFFF"/>
                <w14:textFill>
                  <w14:solidFill>
                    <w14:schemeClr w14:val="tx1"/>
                  </w14:solidFill>
                </w14:textFill>
              </w:rPr>
              <w:t>箱体）内并进行固定。</w:t>
            </w:r>
          </w:p>
          <w:p w14:paraId="7B168BB6">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ascii="Segoe UI" w:hAnsi="Segoe UI" w:eastAsia="Segoe UI" w:cs="Segoe UI"/>
                <w:i w:val="0"/>
                <w:iCs w:val="0"/>
                <w:caps w:val="0"/>
                <w:color w:val="000000" w:themeColor="text1"/>
                <w:spacing w:val="0"/>
                <w:sz w:val="24"/>
                <w:szCs w:val="24"/>
                <w:shd w:val="clear" w:fill="FFFFFF"/>
                <w14:textFill>
                  <w14:solidFill>
                    <w14:schemeClr w14:val="tx1"/>
                  </w14:solidFill>
                </w14:textFill>
              </w:rPr>
            </w:pPr>
            <w:r>
              <w:rPr>
                <w:rFonts w:ascii="Segoe UI" w:hAnsi="Segoe UI" w:eastAsia="Segoe UI" w:cs="Segoe UI"/>
                <w:b/>
                <w:bCs/>
                <w:i w:val="0"/>
                <w:iCs w:val="0"/>
                <w:caps w:val="0"/>
                <w:color w:val="000000" w:themeColor="text1"/>
                <w:spacing w:val="0"/>
                <w:sz w:val="24"/>
                <w:szCs w:val="24"/>
                <w:shd w:val="clear" w:fill="FFFFFF"/>
                <w14:textFill>
                  <w14:solidFill>
                    <w14:schemeClr w14:val="tx1"/>
                  </w14:solidFill>
                </w14:textFill>
              </w:rPr>
              <w:t>线束连接整理</w:t>
            </w:r>
            <w:r>
              <w:rPr>
                <w:rFonts w:hint="eastAsia" w:ascii="Segoe UI" w:hAnsi="Segoe UI" w:eastAsia="宋体" w:cs="Segoe UI"/>
                <w:b/>
                <w:bCs/>
                <w:i w:val="0"/>
                <w:iCs w:val="0"/>
                <w:caps w:val="0"/>
                <w:color w:val="000000" w:themeColor="text1"/>
                <w:spacing w:val="0"/>
                <w:sz w:val="24"/>
                <w:szCs w:val="24"/>
                <w:shd w:val="clear" w:fill="FFFFFF"/>
                <w:lang w:eastAsia="zh-CN"/>
                <w14:textFill>
                  <w14:solidFill>
                    <w14:schemeClr w14:val="tx1"/>
                  </w14:solidFill>
                </w14:textFill>
              </w:rPr>
              <w:t>、</w:t>
            </w:r>
            <w:r>
              <w:rPr>
                <w:rFonts w:hint="eastAsia" w:ascii="Segoe UI" w:hAnsi="Segoe UI" w:eastAsia="宋体" w:cs="Segoe UI"/>
                <w:b/>
                <w:bCs/>
                <w:i w:val="0"/>
                <w:iCs w:val="0"/>
                <w:caps w:val="0"/>
                <w:color w:val="000000" w:themeColor="text1"/>
                <w:spacing w:val="0"/>
                <w:sz w:val="24"/>
                <w:szCs w:val="24"/>
                <w:shd w:val="clear" w:fill="FFFFFF"/>
                <w:lang w:val="en-US" w:eastAsia="zh-CN"/>
                <w14:textFill>
                  <w14:solidFill>
                    <w14:schemeClr w14:val="tx1"/>
                  </w14:solidFill>
                </w14:textFill>
              </w:rPr>
              <w:t>质检：</w:t>
            </w:r>
            <w:r>
              <w:rPr>
                <w:rFonts w:ascii="Segoe UI" w:hAnsi="Segoe UI" w:eastAsia="Segoe UI" w:cs="Segoe UI"/>
                <w:i w:val="0"/>
                <w:iCs w:val="0"/>
                <w:caps w:val="0"/>
                <w:color w:val="000000" w:themeColor="text1"/>
                <w:spacing w:val="0"/>
                <w:sz w:val="24"/>
                <w:szCs w:val="24"/>
                <w:shd w:val="clear" w:fill="FFFFFF"/>
                <w14:textFill>
                  <w14:solidFill>
                    <w14:schemeClr w14:val="tx1"/>
                  </w14:solidFill>
                </w14:textFill>
              </w:rPr>
              <w:t>连接模块间的采集线束（电压、温度信号等），完成后对电气性能、绝缘性能、外观等各项指标进行质量检测。</w:t>
            </w:r>
          </w:p>
          <w:p w14:paraId="64B9BFE6">
            <w:pPr>
              <w:pStyle w:val="66"/>
              <w:keepNext w:val="0"/>
              <w:keepLines w:val="0"/>
              <w:pageBreakBefore w:val="0"/>
              <w:widowControl w:val="0"/>
              <w:kinsoku/>
              <w:wordWrap/>
              <w:overflowPunct/>
              <w:topLinePunct w:val="0"/>
              <w:autoSpaceDE w:val="0"/>
              <w:autoSpaceDN w:val="0"/>
              <w:bidi w:val="0"/>
              <w:spacing w:line="360" w:lineRule="auto"/>
              <w:ind w:firstLine="482" w:firstLineChars="200"/>
              <w:textAlignment w:val="auto"/>
              <w:rPr>
                <w:rFonts w:hint="default" w:ascii="Segoe UI" w:hAnsi="Segoe UI" w:eastAsia="宋体" w:cs="Segoe UI"/>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Segoe UI" w:hAnsi="Segoe UI" w:eastAsia="宋体" w:cs="Segoe UI"/>
                <w:b/>
                <w:bCs/>
                <w:i w:val="0"/>
                <w:iCs w:val="0"/>
                <w:caps w:val="0"/>
                <w:color w:val="000000" w:themeColor="text1"/>
                <w:spacing w:val="0"/>
                <w:sz w:val="24"/>
                <w:szCs w:val="24"/>
                <w:shd w:val="clear" w:fill="FFFFFF"/>
                <w:lang w:val="en-US" w:eastAsia="zh-CN"/>
                <w14:textFill>
                  <w14:solidFill>
                    <w14:schemeClr w14:val="tx1"/>
                  </w14:solidFill>
                </w14:textFill>
              </w:rPr>
              <w:t>盖板安装：</w:t>
            </w:r>
            <w:r>
              <w:rPr>
                <w:rFonts w:ascii="Segoe UI" w:hAnsi="Segoe UI" w:eastAsia="Segoe UI" w:cs="Segoe UI"/>
                <w:i w:val="0"/>
                <w:iCs w:val="0"/>
                <w:caps w:val="0"/>
                <w:color w:val="000000" w:themeColor="text1"/>
                <w:spacing w:val="0"/>
                <w:sz w:val="24"/>
                <w:szCs w:val="24"/>
                <w:shd w:val="clear" w:fill="FFFFFF"/>
                <w14:textFill>
                  <w14:solidFill>
                    <w14:schemeClr w14:val="tx1"/>
                  </w14:solidFill>
                </w14:textFill>
              </w:rPr>
              <w:t>质检合格后，安装电池箱体的上盖并密封紧固，最终得到完整的电池模组成品。</w:t>
            </w:r>
          </w:p>
          <w:p w14:paraId="3D6B524E">
            <w:pPr>
              <w:adjustRightInd w:val="0"/>
              <w:snapToGrid w:val="0"/>
              <w:spacing w:line="360" w:lineRule="auto"/>
              <w:ind w:firstLine="480" w:firstLineChars="200"/>
              <w:rPr>
                <w:rFonts w:ascii="Times New Roman" w:hAnsi="Times New Roman"/>
                <w:color w:val="000000" w:themeColor="text1"/>
                <w:sz w:val="24"/>
                <w:highlight w:val="none"/>
                <w14:textFill>
                  <w14:solidFill>
                    <w14:schemeClr w14:val="tx1"/>
                  </w14:solidFill>
                </w14:textFill>
              </w:rPr>
            </w:pPr>
            <w:r>
              <w:rPr>
                <w:rFonts w:hint="eastAsia" w:ascii="Times New Roman" w:hAnsi="Times New Roman"/>
                <w:color w:val="000000" w:themeColor="text1"/>
                <w:sz w:val="24"/>
                <w:highlight w:val="none"/>
                <w14:textFill>
                  <w14:solidFill>
                    <w14:schemeClr w14:val="tx1"/>
                  </w14:solidFill>
                </w14:textFill>
              </w:rPr>
              <w:t>根据工艺流程，本项目主要产污环节情况见下表。</w:t>
            </w:r>
          </w:p>
          <w:p w14:paraId="5EFD85FA">
            <w:pPr>
              <w:autoSpaceDE w:val="0"/>
              <w:autoSpaceDN w:val="0"/>
              <w:adjustRightInd w:val="0"/>
              <w:snapToGrid w:val="0"/>
              <w:spacing w:line="240" w:lineRule="auto"/>
              <w:jc w:val="center"/>
              <w:rPr>
                <w:rFonts w:ascii="宋体" w:hAnsi="宋体" w:cs="宋体"/>
                <w:b/>
                <w:bCs/>
                <w:color w:val="000000" w:themeColor="text1"/>
                <w:kern w:val="0"/>
                <w:sz w:val="21"/>
                <w:szCs w:val="21"/>
                <w:highlight w:val="none"/>
                <w14:textFill>
                  <w14:solidFill>
                    <w14:schemeClr w14:val="tx1"/>
                  </w14:solidFill>
                </w14:textFill>
              </w:rPr>
            </w:pPr>
            <w:r>
              <w:rPr>
                <w:rFonts w:ascii="Times New Roman" w:hAnsi="Times New Roman"/>
                <w:b/>
                <w:bCs/>
                <w:color w:val="000000" w:themeColor="text1"/>
                <w:kern w:val="0"/>
                <w:sz w:val="21"/>
                <w:szCs w:val="21"/>
                <w:highlight w:val="none"/>
                <w14:textFill>
                  <w14:solidFill>
                    <w14:schemeClr w14:val="tx1"/>
                  </w14:solidFill>
                </w14:textFill>
              </w:rPr>
              <w:t>表</w:t>
            </w:r>
            <w:r>
              <w:rPr>
                <w:rFonts w:hint="eastAsia" w:ascii="Times New Roman" w:hAnsi="Times New Roman"/>
                <w:b/>
                <w:bCs/>
                <w:color w:val="000000" w:themeColor="text1"/>
                <w:kern w:val="0"/>
                <w:sz w:val="21"/>
                <w:szCs w:val="21"/>
                <w:highlight w:val="none"/>
                <w14:textFill>
                  <w14:solidFill>
                    <w14:schemeClr w14:val="tx1"/>
                  </w14:solidFill>
                </w14:textFill>
              </w:rPr>
              <w:t>2-</w:t>
            </w:r>
            <w:r>
              <w:rPr>
                <w:rFonts w:hint="eastAsia"/>
                <w:b/>
                <w:bCs/>
                <w:color w:val="000000" w:themeColor="text1"/>
                <w:kern w:val="0"/>
                <w:sz w:val="21"/>
                <w:szCs w:val="21"/>
                <w:highlight w:val="none"/>
                <w:lang w:val="en-US" w:eastAsia="zh-CN"/>
                <w14:textFill>
                  <w14:solidFill>
                    <w14:schemeClr w14:val="tx1"/>
                  </w14:solidFill>
                </w14:textFill>
              </w:rPr>
              <w:t>11</w:t>
            </w:r>
            <w:r>
              <w:rPr>
                <w:rFonts w:hint="eastAsia" w:ascii="Times New Roman" w:hAnsi="Times New Roman"/>
                <w:b/>
                <w:bCs/>
                <w:color w:val="000000" w:themeColor="text1"/>
                <w:kern w:val="0"/>
                <w:sz w:val="21"/>
                <w:szCs w:val="21"/>
                <w:highlight w:val="none"/>
                <w14:textFill>
                  <w14:solidFill>
                    <w14:schemeClr w14:val="tx1"/>
                  </w14:solidFill>
                </w14:textFill>
              </w:rPr>
              <w:t xml:space="preserve"> 本项目产污环节一览表</w:t>
            </w:r>
          </w:p>
          <w:tbl>
            <w:tblPr>
              <w:tblStyle w:val="41"/>
              <w:tblW w:w="761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99"/>
              <w:gridCol w:w="2312"/>
              <w:gridCol w:w="1784"/>
              <w:gridCol w:w="2623"/>
            </w:tblGrid>
            <w:tr w14:paraId="11D2ED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899" w:type="dxa"/>
                  <w:shd w:val="clear" w:color="auto" w:fill="auto"/>
                  <w:noWrap w:val="0"/>
                  <w:vAlign w:val="center"/>
                </w:tcPr>
                <w:p w14:paraId="7747A76A">
                  <w:pPr>
                    <w:autoSpaceDE w:val="0"/>
                    <w:autoSpaceDN w:val="0"/>
                    <w:adjustRightInd w:val="0"/>
                    <w:snapToGrid w:val="0"/>
                    <w:spacing w:line="280" w:lineRule="exact"/>
                    <w:jc w:val="center"/>
                    <w:rPr>
                      <w:rFonts w:ascii="Times New Roman" w:hAnsi="Times New Roman"/>
                      <w:b/>
                      <w:bCs/>
                      <w:color w:val="000000" w:themeColor="text1"/>
                      <w:kern w:val="0"/>
                      <w:szCs w:val="21"/>
                      <w:highlight w:val="none"/>
                      <w14:textFill>
                        <w14:solidFill>
                          <w14:schemeClr w14:val="tx1"/>
                        </w14:solidFill>
                      </w14:textFill>
                    </w:rPr>
                  </w:pPr>
                  <w:r>
                    <w:rPr>
                      <w:rFonts w:ascii="Times New Roman" w:hAnsi="Times New Roman"/>
                      <w:b/>
                      <w:bCs/>
                      <w:color w:val="000000" w:themeColor="text1"/>
                      <w:kern w:val="0"/>
                      <w:szCs w:val="21"/>
                      <w:highlight w:val="none"/>
                      <w14:textFill>
                        <w14:solidFill>
                          <w14:schemeClr w14:val="tx1"/>
                        </w14:solidFill>
                      </w14:textFill>
                    </w:rPr>
                    <w:t>类型</w:t>
                  </w:r>
                </w:p>
              </w:tc>
              <w:tc>
                <w:tcPr>
                  <w:tcW w:w="2312" w:type="dxa"/>
                  <w:shd w:val="clear" w:color="auto" w:fill="auto"/>
                  <w:noWrap w:val="0"/>
                  <w:vAlign w:val="center"/>
                </w:tcPr>
                <w:p w14:paraId="70EA3B98">
                  <w:pPr>
                    <w:autoSpaceDE w:val="0"/>
                    <w:autoSpaceDN w:val="0"/>
                    <w:adjustRightInd w:val="0"/>
                    <w:snapToGrid w:val="0"/>
                    <w:spacing w:line="280" w:lineRule="exact"/>
                    <w:jc w:val="center"/>
                    <w:rPr>
                      <w:rFonts w:ascii="Times New Roman" w:hAnsi="Times New Roman"/>
                      <w:b/>
                      <w:bCs/>
                      <w:color w:val="000000" w:themeColor="text1"/>
                      <w:kern w:val="0"/>
                      <w:szCs w:val="21"/>
                      <w:highlight w:val="none"/>
                      <w14:textFill>
                        <w14:solidFill>
                          <w14:schemeClr w14:val="tx1"/>
                        </w14:solidFill>
                      </w14:textFill>
                    </w:rPr>
                  </w:pPr>
                  <w:r>
                    <w:rPr>
                      <w:rFonts w:ascii="Times New Roman" w:hAnsi="Times New Roman"/>
                      <w:b/>
                      <w:bCs/>
                      <w:color w:val="000000" w:themeColor="text1"/>
                      <w:kern w:val="0"/>
                      <w:szCs w:val="21"/>
                      <w:highlight w:val="none"/>
                      <w14:textFill>
                        <w14:solidFill>
                          <w14:schemeClr w14:val="tx1"/>
                        </w14:solidFill>
                      </w14:textFill>
                    </w:rPr>
                    <w:t>产排污环节</w:t>
                  </w:r>
                </w:p>
              </w:tc>
              <w:tc>
                <w:tcPr>
                  <w:tcW w:w="1784" w:type="dxa"/>
                  <w:shd w:val="clear" w:color="auto" w:fill="auto"/>
                  <w:noWrap w:val="0"/>
                  <w:vAlign w:val="center"/>
                </w:tcPr>
                <w:p w14:paraId="7032681A">
                  <w:pPr>
                    <w:autoSpaceDE w:val="0"/>
                    <w:autoSpaceDN w:val="0"/>
                    <w:adjustRightInd w:val="0"/>
                    <w:snapToGrid w:val="0"/>
                    <w:spacing w:line="280" w:lineRule="exact"/>
                    <w:jc w:val="center"/>
                    <w:rPr>
                      <w:rFonts w:hint="eastAsia" w:ascii="Times New Roman" w:hAnsi="Times New Roman" w:eastAsia="宋体"/>
                      <w:b/>
                      <w:bCs/>
                      <w:color w:val="000000" w:themeColor="text1"/>
                      <w:kern w:val="0"/>
                      <w:szCs w:val="21"/>
                      <w:highlight w:val="none"/>
                      <w:lang w:eastAsia="zh-CN"/>
                      <w14:textFill>
                        <w14:solidFill>
                          <w14:schemeClr w14:val="tx1"/>
                        </w14:solidFill>
                      </w14:textFill>
                    </w:rPr>
                  </w:pPr>
                  <w:r>
                    <w:rPr>
                      <w:rFonts w:ascii="Times New Roman" w:hAnsi="Times New Roman"/>
                      <w:b/>
                      <w:bCs/>
                      <w:color w:val="000000" w:themeColor="text1"/>
                      <w:kern w:val="0"/>
                      <w:szCs w:val="21"/>
                      <w:highlight w:val="none"/>
                      <w14:textFill>
                        <w14:solidFill>
                          <w14:schemeClr w14:val="tx1"/>
                        </w14:solidFill>
                      </w14:textFill>
                    </w:rPr>
                    <w:t>污染</w:t>
                  </w:r>
                  <w:r>
                    <w:rPr>
                      <w:rFonts w:hint="eastAsia" w:ascii="Times New Roman" w:hAnsi="Times New Roman"/>
                      <w:b/>
                      <w:bCs/>
                      <w:color w:val="000000" w:themeColor="text1"/>
                      <w:kern w:val="0"/>
                      <w:szCs w:val="21"/>
                      <w:highlight w:val="none"/>
                      <w:lang w:val="en-US" w:eastAsia="zh-CN"/>
                      <w14:textFill>
                        <w14:solidFill>
                          <w14:schemeClr w14:val="tx1"/>
                        </w14:solidFill>
                      </w14:textFill>
                    </w:rPr>
                    <w:t>源</w:t>
                  </w:r>
                </w:p>
              </w:tc>
              <w:tc>
                <w:tcPr>
                  <w:tcW w:w="2623" w:type="dxa"/>
                  <w:shd w:val="clear" w:color="auto" w:fill="auto"/>
                  <w:noWrap w:val="0"/>
                  <w:vAlign w:val="center"/>
                </w:tcPr>
                <w:p w14:paraId="7A2BCF65">
                  <w:pPr>
                    <w:autoSpaceDE w:val="0"/>
                    <w:autoSpaceDN w:val="0"/>
                    <w:adjustRightInd w:val="0"/>
                    <w:snapToGrid w:val="0"/>
                    <w:spacing w:line="280" w:lineRule="exact"/>
                    <w:jc w:val="center"/>
                    <w:rPr>
                      <w:rFonts w:ascii="Times New Roman" w:hAnsi="Times New Roman"/>
                      <w:b/>
                      <w:bCs/>
                      <w:color w:val="000000" w:themeColor="text1"/>
                      <w:kern w:val="0"/>
                      <w:szCs w:val="21"/>
                      <w:highlight w:val="none"/>
                      <w14:textFill>
                        <w14:solidFill>
                          <w14:schemeClr w14:val="tx1"/>
                        </w14:solidFill>
                      </w14:textFill>
                    </w:rPr>
                  </w:pPr>
                  <w:r>
                    <w:rPr>
                      <w:rFonts w:ascii="Times New Roman" w:hAnsi="Times New Roman"/>
                      <w:b/>
                      <w:bCs/>
                      <w:color w:val="000000" w:themeColor="text1"/>
                      <w:kern w:val="0"/>
                      <w:szCs w:val="21"/>
                      <w:highlight w:val="none"/>
                      <w14:textFill>
                        <w14:solidFill>
                          <w14:schemeClr w14:val="tx1"/>
                        </w14:solidFill>
                      </w14:textFill>
                    </w:rPr>
                    <w:t>污染物种类</w:t>
                  </w:r>
                </w:p>
              </w:tc>
            </w:tr>
            <w:tr w14:paraId="5E851A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899" w:type="dxa"/>
                  <w:vMerge w:val="restart"/>
                  <w:noWrap w:val="0"/>
                  <w:vAlign w:val="center"/>
                </w:tcPr>
                <w:p w14:paraId="65B27CB5">
                  <w:pPr>
                    <w:autoSpaceDE w:val="0"/>
                    <w:autoSpaceDN w:val="0"/>
                    <w:adjustRightInd w:val="0"/>
                    <w:snapToGrid w:val="0"/>
                    <w:spacing w:line="280" w:lineRule="exact"/>
                    <w:jc w:val="center"/>
                    <w:rPr>
                      <w:rFonts w:ascii="Times New Roman" w:hAnsi="Times New Roman"/>
                      <w:color w:val="000000" w:themeColor="text1"/>
                      <w:kern w:val="0"/>
                      <w:szCs w:val="21"/>
                      <w:highlight w:val="none"/>
                      <w14:textFill>
                        <w14:solidFill>
                          <w14:schemeClr w14:val="tx1"/>
                        </w14:solidFill>
                      </w14:textFill>
                    </w:rPr>
                  </w:pPr>
                  <w:r>
                    <w:rPr>
                      <w:rFonts w:ascii="Times New Roman" w:hAnsi="Times New Roman"/>
                      <w:color w:val="000000" w:themeColor="text1"/>
                      <w:kern w:val="0"/>
                      <w:szCs w:val="21"/>
                      <w:highlight w:val="none"/>
                      <w14:textFill>
                        <w14:solidFill>
                          <w14:schemeClr w14:val="tx1"/>
                        </w14:solidFill>
                      </w14:textFill>
                    </w:rPr>
                    <w:t>废气</w:t>
                  </w:r>
                </w:p>
              </w:tc>
              <w:tc>
                <w:tcPr>
                  <w:tcW w:w="2312" w:type="dxa"/>
                  <w:noWrap w:val="0"/>
                  <w:vAlign w:val="center"/>
                </w:tcPr>
                <w:p w14:paraId="135703EE">
                  <w:pPr>
                    <w:autoSpaceDE w:val="0"/>
                    <w:autoSpaceDN w:val="0"/>
                    <w:adjustRightInd w:val="0"/>
                    <w:snapToGrid w:val="0"/>
                    <w:spacing w:line="280" w:lineRule="exact"/>
                    <w:jc w:val="center"/>
                    <w:rPr>
                      <w:rFonts w:hint="default" w:ascii="Times New Roman" w:hAnsi="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color w:val="000000" w:themeColor="text1"/>
                      <w:kern w:val="0"/>
                      <w:szCs w:val="21"/>
                      <w:highlight w:val="none"/>
                      <w:lang w:val="en-US" w:eastAsia="zh-CN"/>
                      <w14:textFill>
                        <w14:solidFill>
                          <w14:schemeClr w14:val="tx1"/>
                        </w14:solidFill>
                      </w14:textFill>
                    </w:rPr>
                    <w:t>正、负极</w:t>
                  </w:r>
                  <w:r>
                    <w:rPr>
                      <w:rFonts w:hint="eastAsia"/>
                      <w:color w:val="000000" w:themeColor="text1"/>
                      <w:kern w:val="0"/>
                      <w:szCs w:val="21"/>
                      <w:highlight w:val="none"/>
                      <w:lang w:val="en-US" w:eastAsia="zh-CN"/>
                      <w14:textFill>
                        <w14:solidFill>
                          <w14:schemeClr w14:val="tx1"/>
                        </w14:solidFill>
                      </w14:textFill>
                    </w:rPr>
                    <w:t>匀浆</w:t>
                  </w:r>
                </w:p>
              </w:tc>
              <w:tc>
                <w:tcPr>
                  <w:tcW w:w="1784" w:type="dxa"/>
                  <w:noWrap w:val="0"/>
                  <w:vAlign w:val="center"/>
                </w:tcPr>
                <w:p w14:paraId="11415E96">
                  <w:pPr>
                    <w:autoSpaceDE w:val="0"/>
                    <w:autoSpaceDN w:val="0"/>
                    <w:adjustRightInd w:val="0"/>
                    <w:snapToGrid w:val="0"/>
                    <w:spacing w:line="280" w:lineRule="exact"/>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投料</w:t>
                  </w:r>
                  <w:r>
                    <w:rPr>
                      <w:rFonts w:hint="eastAsia" w:ascii="Times New Roman" w:hAnsi="Times New Roman"/>
                      <w:color w:val="000000" w:themeColor="text1"/>
                      <w:kern w:val="0"/>
                      <w:szCs w:val="21"/>
                      <w:highlight w:val="none"/>
                      <w:lang w:val="en-US" w:eastAsia="zh-CN"/>
                      <w14:textFill>
                        <w14:solidFill>
                          <w14:schemeClr w14:val="tx1"/>
                        </w14:solidFill>
                      </w14:textFill>
                    </w:rPr>
                    <w:t>粉尘</w:t>
                  </w:r>
                </w:p>
              </w:tc>
              <w:tc>
                <w:tcPr>
                  <w:tcW w:w="2623" w:type="dxa"/>
                  <w:noWrap w:val="0"/>
                  <w:vAlign w:val="center"/>
                </w:tcPr>
                <w:p w14:paraId="267AA893">
                  <w:pPr>
                    <w:autoSpaceDE w:val="0"/>
                    <w:autoSpaceDN w:val="0"/>
                    <w:adjustRightInd w:val="0"/>
                    <w:snapToGrid w:val="0"/>
                    <w:spacing w:line="280" w:lineRule="exact"/>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颗粒物</w:t>
                  </w:r>
                </w:p>
              </w:tc>
            </w:tr>
            <w:tr w14:paraId="780108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899" w:type="dxa"/>
                  <w:vMerge w:val="continue"/>
                  <w:noWrap w:val="0"/>
                  <w:vAlign w:val="center"/>
                </w:tcPr>
                <w:p w14:paraId="20AEA95F">
                  <w:pPr>
                    <w:autoSpaceDE w:val="0"/>
                    <w:autoSpaceDN w:val="0"/>
                    <w:adjustRightInd w:val="0"/>
                    <w:snapToGrid w:val="0"/>
                    <w:spacing w:line="280" w:lineRule="exact"/>
                    <w:jc w:val="center"/>
                    <w:rPr>
                      <w:rFonts w:ascii="Times New Roman" w:hAnsi="Times New Roman"/>
                      <w:color w:val="000000" w:themeColor="text1"/>
                      <w:kern w:val="0"/>
                      <w:szCs w:val="21"/>
                      <w:highlight w:val="none"/>
                      <w14:textFill>
                        <w14:solidFill>
                          <w14:schemeClr w14:val="tx1"/>
                        </w14:solidFill>
                      </w14:textFill>
                    </w:rPr>
                  </w:pPr>
                </w:p>
              </w:tc>
              <w:tc>
                <w:tcPr>
                  <w:tcW w:w="2312" w:type="dxa"/>
                  <w:noWrap w:val="0"/>
                  <w:vAlign w:val="center"/>
                </w:tcPr>
                <w:p w14:paraId="4F957368">
                  <w:pPr>
                    <w:autoSpaceDE w:val="0"/>
                    <w:autoSpaceDN w:val="0"/>
                    <w:adjustRightInd w:val="0"/>
                    <w:snapToGrid w:val="0"/>
                    <w:spacing w:line="280" w:lineRule="exact"/>
                    <w:jc w:val="center"/>
                    <w:rPr>
                      <w:rFonts w:hint="default" w:ascii="Times New Roman" w:hAnsi="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color w:val="000000" w:themeColor="text1"/>
                      <w:kern w:val="0"/>
                      <w:szCs w:val="21"/>
                      <w:highlight w:val="none"/>
                      <w:lang w:val="en-US" w:eastAsia="zh-CN"/>
                      <w14:textFill>
                        <w14:solidFill>
                          <w14:schemeClr w14:val="tx1"/>
                        </w14:solidFill>
                      </w14:textFill>
                    </w:rPr>
                    <w:t>涂布烘干</w:t>
                  </w:r>
                </w:p>
              </w:tc>
              <w:tc>
                <w:tcPr>
                  <w:tcW w:w="1784" w:type="dxa"/>
                  <w:noWrap w:val="0"/>
                  <w:vAlign w:val="center"/>
                </w:tcPr>
                <w:p w14:paraId="123CF145">
                  <w:pPr>
                    <w:autoSpaceDE w:val="0"/>
                    <w:autoSpaceDN w:val="0"/>
                    <w:adjustRightInd w:val="0"/>
                    <w:snapToGrid w:val="0"/>
                    <w:spacing w:line="280" w:lineRule="exact"/>
                    <w:jc w:val="center"/>
                    <w:rPr>
                      <w:rFonts w:hint="default" w:ascii="Times New Roman" w:hAnsi="Times New Roman" w:eastAsia="宋体"/>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color w:val="000000" w:themeColor="text1"/>
                      <w:kern w:val="0"/>
                      <w:sz w:val="21"/>
                      <w:szCs w:val="21"/>
                      <w:highlight w:val="none"/>
                      <w:lang w:val="en-US" w:eastAsia="zh-CN" w:bidi="ar-SA"/>
                      <w14:textFill>
                        <w14:solidFill>
                          <w14:schemeClr w14:val="tx1"/>
                        </w14:solidFill>
                      </w14:textFill>
                    </w:rPr>
                    <w:t>涂布烘干废气</w:t>
                  </w:r>
                </w:p>
              </w:tc>
              <w:tc>
                <w:tcPr>
                  <w:tcW w:w="2623" w:type="dxa"/>
                  <w:noWrap w:val="0"/>
                  <w:vAlign w:val="center"/>
                </w:tcPr>
                <w:p w14:paraId="240ADD50">
                  <w:pPr>
                    <w:autoSpaceDE w:val="0"/>
                    <w:autoSpaceDN w:val="0"/>
                    <w:adjustRightInd w:val="0"/>
                    <w:snapToGrid w:val="0"/>
                    <w:spacing w:line="280" w:lineRule="exact"/>
                    <w:jc w:val="center"/>
                    <w:rPr>
                      <w:rFonts w:hint="default" w:ascii="Times New Roman" w:hAnsi="Times New Roman" w:eastAsia="宋体"/>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NMP废气（以非甲烷总烃计）</w:t>
                  </w:r>
                </w:p>
              </w:tc>
            </w:tr>
            <w:tr w14:paraId="6EFB9A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899" w:type="dxa"/>
                  <w:vMerge w:val="continue"/>
                  <w:noWrap w:val="0"/>
                  <w:vAlign w:val="center"/>
                </w:tcPr>
                <w:p w14:paraId="74A12E96">
                  <w:pPr>
                    <w:autoSpaceDE w:val="0"/>
                    <w:autoSpaceDN w:val="0"/>
                    <w:adjustRightInd w:val="0"/>
                    <w:snapToGrid w:val="0"/>
                    <w:spacing w:line="280" w:lineRule="exact"/>
                    <w:jc w:val="center"/>
                    <w:rPr>
                      <w:rFonts w:ascii="Times New Roman" w:hAnsi="Times New Roman"/>
                      <w:color w:val="000000" w:themeColor="text1"/>
                      <w:kern w:val="0"/>
                      <w:szCs w:val="21"/>
                      <w:highlight w:val="none"/>
                      <w14:textFill>
                        <w14:solidFill>
                          <w14:schemeClr w14:val="tx1"/>
                        </w14:solidFill>
                      </w14:textFill>
                    </w:rPr>
                  </w:pPr>
                </w:p>
              </w:tc>
              <w:tc>
                <w:tcPr>
                  <w:tcW w:w="2312" w:type="dxa"/>
                  <w:noWrap w:val="0"/>
                  <w:vAlign w:val="center"/>
                </w:tcPr>
                <w:p w14:paraId="3BBE2E10">
                  <w:pPr>
                    <w:autoSpaceDE w:val="0"/>
                    <w:autoSpaceDN w:val="0"/>
                    <w:adjustRightInd w:val="0"/>
                    <w:snapToGrid w:val="0"/>
                    <w:spacing w:line="280" w:lineRule="exact"/>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电解液注液</w:t>
                  </w:r>
                </w:p>
              </w:tc>
              <w:tc>
                <w:tcPr>
                  <w:tcW w:w="1784" w:type="dxa"/>
                  <w:noWrap w:val="0"/>
                  <w:vAlign w:val="center"/>
                </w:tcPr>
                <w:p w14:paraId="1C1D9AC5">
                  <w:pPr>
                    <w:autoSpaceDE w:val="0"/>
                    <w:autoSpaceDN w:val="0"/>
                    <w:adjustRightInd w:val="0"/>
                    <w:snapToGrid w:val="0"/>
                    <w:spacing w:line="280" w:lineRule="exact"/>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注液废气</w:t>
                  </w:r>
                </w:p>
              </w:tc>
              <w:tc>
                <w:tcPr>
                  <w:tcW w:w="2623" w:type="dxa"/>
                  <w:noWrap w:val="0"/>
                  <w:vAlign w:val="center"/>
                </w:tcPr>
                <w:p w14:paraId="0FEBF179">
                  <w:pPr>
                    <w:autoSpaceDE w:val="0"/>
                    <w:autoSpaceDN w:val="0"/>
                    <w:adjustRightInd w:val="0"/>
                    <w:snapToGrid w:val="0"/>
                    <w:spacing w:line="280" w:lineRule="exact"/>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有机废气（</w:t>
                  </w:r>
                  <w:r>
                    <w:rPr>
                      <w:rFonts w:hint="default" w:ascii="Times New Roman" w:hAnsi="Times New Roman" w:cs="Times New Roman"/>
                      <w:color w:val="000000" w:themeColor="text1"/>
                      <w:sz w:val="21"/>
                      <w:szCs w:val="21"/>
                      <w14:textFill>
                        <w14:solidFill>
                          <w14:schemeClr w14:val="tx1"/>
                        </w14:solidFill>
                      </w14:textFill>
                    </w:rPr>
                    <w:t>以非甲烷总烃计</w:t>
                  </w:r>
                  <w:r>
                    <w:rPr>
                      <w:rFonts w:hint="eastAsia" w:ascii="Times New Roman" w:hAnsi="Times New Roman" w:cs="Times New Roman"/>
                      <w:color w:val="000000" w:themeColor="text1"/>
                      <w:sz w:val="21"/>
                      <w:szCs w:val="21"/>
                      <w:lang w:val="en-US" w:eastAsia="zh-CN"/>
                      <w14:textFill>
                        <w14:solidFill>
                          <w14:schemeClr w14:val="tx1"/>
                        </w14:solidFill>
                      </w14:textFill>
                    </w:rPr>
                    <w:t>）</w:t>
                  </w:r>
                </w:p>
              </w:tc>
            </w:tr>
            <w:tr w14:paraId="0B81AB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899" w:type="dxa"/>
                  <w:vMerge w:val="continue"/>
                  <w:noWrap w:val="0"/>
                  <w:vAlign w:val="center"/>
                </w:tcPr>
                <w:p w14:paraId="167ABC54">
                  <w:pPr>
                    <w:autoSpaceDE w:val="0"/>
                    <w:autoSpaceDN w:val="0"/>
                    <w:adjustRightInd w:val="0"/>
                    <w:snapToGrid w:val="0"/>
                    <w:spacing w:line="280" w:lineRule="exact"/>
                    <w:jc w:val="center"/>
                    <w:rPr>
                      <w:rFonts w:ascii="Times New Roman" w:hAnsi="Times New Roman"/>
                      <w:color w:val="000000" w:themeColor="text1"/>
                      <w:kern w:val="0"/>
                      <w:szCs w:val="21"/>
                      <w:highlight w:val="none"/>
                      <w14:textFill>
                        <w14:solidFill>
                          <w14:schemeClr w14:val="tx1"/>
                        </w14:solidFill>
                      </w14:textFill>
                    </w:rPr>
                  </w:pPr>
                </w:p>
              </w:tc>
              <w:tc>
                <w:tcPr>
                  <w:tcW w:w="2312" w:type="dxa"/>
                  <w:noWrap w:val="0"/>
                  <w:vAlign w:val="center"/>
                </w:tcPr>
                <w:p w14:paraId="4C1B70FF">
                  <w:pPr>
                    <w:autoSpaceDE w:val="0"/>
                    <w:autoSpaceDN w:val="0"/>
                    <w:adjustRightInd w:val="0"/>
                    <w:snapToGrid w:val="0"/>
                    <w:spacing w:line="280" w:lineRule="exact"/>
                    <w:jc w:val="center"/>
                    <w:rPr>
                      <w:rFonts w:hint="default" w:cs="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kern w:val="0"/>
                      <w:szCs w:val="21"/>
                      <w:highlight w:val="none"/>
                      <w:lang w:val="en-US" w:eastAsia="zh-CN"/>
                      <w14:textFill>
                        <w14:solidFill>
                          <w14:schemeClr w14:val="tx1"/>
                        </w14:solidFill>
                      </w14:textFill>
                    </w:rPr>
                    <w:t>分条、模切</w:t>
                  </w:r>
                </w:p>
              </w:tc>
              <w:tc>
                <w:tcPr>
                  <w:tcW w:w="1784" w:type="dxa"/>
                  <w:shd w:val="clear" w:color="auto" w:fill="auto"/>
                  <w:noWrap w:val="0"/>
                  <w:vAlign w:val="center"/>
                </w:tcPr>
                <w:p w14:paraId="112F6F8A">
                  <w:pPr>
                    <w:autoSpaceDE w:val="0"/>
                    <w:autoSpaceDN w:val="0"/>
                    <w:adjustRightInd w:val="0"/>
                    <w:snapToGrid w:val="0"/>
                    <w:spacing w:line="280" w:lineRule="exact"/>
                    <w:jc w:val="center"/>
                    <w:rPr>
                      <w:rFonts w:hint="eastAsia" w:cs="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color w:val="000000" w:themeColor="text1"/>
                      <w:kern w:val="0"/>
                      <w:szCs w:val="21"/>
                      <w:highlight w:val="none"/>
                      <w:lang w:val="en-US" w:eastAsia="zh-CN"/>
                      <w14:textFill>
                        <w14:solidFill>
                          <w14:schemeClr w14:val="tx1"/>
                        </w14:solidFill>
                      </w14:textFill>
                    </w:rPr>
                    <w:t>粉尘</w:t>
                  </w:r>
                </w:p>
              </w:tc>
              <w:tc>
                <w:tcPr>
                  <w:tcW w:w="2623" w:type="dxa"/>
                  <w:shd w:val="clear" w:color="auto" w:fill="auto"/>
                  <w:noWrap w:val="0"/>
                  <w:vAlign w:val="center"/>
                </w:tcPr>
                <w:p w14:paraId="7ADE39C8">
                  <w:pPr>
                    <w:autoSpaceDE w:val="0"/>
                    <w:autoSpaceDN w:val="0"/>
                    <w:adjustRightInd w:val="0"/>
                    <w:snapToGrid w:val="0"/>
                    <w:spacing w:line="280" w:lineRule="exact"/>
                    <w:jc w:val="center"/>
                    <w:rPr>
                      <w:rFonts w:hint="eastAsia" w:ascii="Times New Roman" w:hAnsi="Times New Roman"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颗粒物</w:t>
                  </w:r>
                </w:p>
              </w:tc>
            </w:tr>
            <w:tr w14:paraId="2B5480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899" w:type="dxa"/>
                  <w:vMerge w:val="continue"/>
                  <w:noWrap w:val="0"/>
                  <w:vAlign w:val="center"/>
                </w:tcPr>
                <w:p w14:paraId="157DE0FE">
                  <w:pPr>
                    <w:autoSpaceDE w:val="0"/>
                    <w:autoSpaceDN w:val="0"/>
                    <w:adjustRightInd w:val="0"/>
                    <w:snapToGrid w:val="0"/>
                    <w:spacing w:line="280" w:lineRule="exact"/>
                    <w:jc w:val="center"/>
                    <w:rPr>
                      <w:rFonts w:ascii="Times New Roman" w:hAnsi="Times New Roman"/>
                      <w:color w:val="000000" w:themeColor="text1"/>
                      <w:kern w:val="0"/>
                      <w:szCs w:val="21"/>
                      <w:highlight w:val="none"/>
                      <w14:textFill>
                        <w14:solidFill>
                          <w14:schemeClr w14:val="tx1"/>
                        </w14:solidFill>
                      </w14:textFill>
                    </w:rPr>
                  </w:pPr>
                </w:p>
              </w:tc>
              <w:tc>
                <w:tcPr>
                  <w:tcW w:w="2312" w:type="dxa"/>
                  <w:noWrap w:val="0"/>
                  <w:vAlign w:val="center"/>
                </w:tcPr>
                <w:p w14:paraId="319F57B5">
                  <w:pPr>
                    <w:autoSpaceDE w:val="0"/>
                    <w:autoSpaceDN w:val="0"/>
                    <w:adjustRightInd w:val="0"/>
                    <w:snapToGrid w:val="0"/>
                    <w:spacing w:line="280" w:lineRule="exact"/>
                    <w:jc w:val="center"/>
                    <w:rPr>
                      <w:rFonts w:hint="default" w:cs="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kern w:val="0"/>
                      <w:szCs w:val="21"/>
                      <w:highlight w:val="none"/>
                      <w:lang w:val="en-US" w:eastAsia="zh-CN"/>
                      <w14:textFill>
                        <w14:solidFill>
                          <w14:schemeClr w14:val="tx1"/>
                        </w14:solidFill>
                      </w14:textFill>
                    </w:rPr>
                    <w:t>二封</w:t>
                  </w:r>
                </w:p>
              </w:tc>
              <w:tc>
                <w:tcPr>
                  <w:tcW w:w="1784" w:type="dxa"/>
                  <w:shd w:val="clear" w:color="auto" w:fill="auto"/>
                  <w:noWrap w:val="0"/>
                  <w:vAlign w:val="center"/>
                </w:tcPr>
                <w:p w14:paraId="7E852473">
                  <w:pPr>
                    <w:autoSpaceDE w:val="0"/>
                    <w:autoSpaceDN w:val="0"/>
                    <w:adjustRightInd w:val="0"/>
                    <w:snapToGrid w:val="0"/>
                    <w:spacing w:line="280" w:lineRule="exact"/>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Cs w:val="21"/>
                      <w:highlight w:val="none"/>
                      <w:lang w:val="en-US" w:eastAsia="zh-CN"/>
                      <w14:textFill>
                        <w14:solidFill>
                          <w14:schemeClr w14:val="tx1"/>
                        </w14:solidFill>
                      </w14:textFill>
                    </w:rPr>
                    <w:t>二封废气</w:t>
                  </w:r>
                </w:p>
              </w:tc>
              <w:tc>
                <w:tcPr>
                  <w:tcW w:w="2623" w:type="dxa"/>
                  <w:shd w:val="clear" w:color="auto" w:fill="auto"/>
                  <w:noWrap w:val="0"/>
                  <w:vAlign w:val="center"/>
                </w:tcPr>
                <w:p w14:paraId="68EC594E">
                  <w:pPr>
                    <w:autoSpaceDE w:val="0"/>
                    <w:autoSpaceDN w:val="0"/>
                    <w:adjustRightInd w:val="0"/>
                    <w:snapToGrid w:val="0"/>
                    <w:spacing w:line="280" w:lineRule="exact"/>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有机废气（</w:t>
                  </w:r>
                  <w:r>
                    <w:rPr>
                      <w:rFonts w:hint="default" w:ascii="Times New Roman" w:hAnsi="Times New Roman" w:cs="Times New Roman"/>
                      <w:color w:val="000000" w:themeColor="text1"/>
                      <w:sz w:val="21"/>
                      <w:szCs w:val="21"/>
                      <w14:textFill>
                        <w14:solidFill>
                          <w14:schemeClr w14:val="tx1"/>
                        </w14:solidFill>
                      </w14:textFill>
                    </w:rPr>
                    <w:t>以非甲烷总烃计</w:t>
                  </w:r>
                  <w:r>
                    <w:rPr>
                      <w:rFonts w:hint="eastAsia" w:ascii="Times New Roman" w:hAnsi="Times New Roman" w:cs="Times New Roman"/>
                      <w:color w:val="000000" w:themeColor="text1"/>
                      <w:sz w:val="21"/>
                      <w:szCs w:val="21"/>
                      <w:lang w:val="en-US" w:eastAsia="zh-CN"/>
                      <w14:textFill>
                        <w14:solidFill>
                          <w14:schemeClr w14:val="tx1"/>
                        </w14:solidFill>
                      </w14:textFill>
                    </w:rPr>
                    <w:t>）</w:t>
                  </w:r>
                </w:p>
              </w:tc>
            </w:tr>
            <w:tr w14:paraId="582F57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899" w:type="dxa"/>
                  <w:vMerge w:val="continue"/>
                  <w:noWrap w:val="0"/>
                  <w:vAlign w:val="center"/>
                </w:tcPr>
                <w:p w14:paraId="3C497311">
                  <w:pPr>
                    <w:autoSpaceDE w:val="0"/>
                    <w:autoSpaceDN w:val="0"/>
                    <w:adjustRightInd w:val="0"/>
                    <w:snapToGrid w:val="0"/>
                    <w:spacing w:line="280" w:lineRule="exact"/>
                    <w:jc w:val="center"/>
                    <w:rPr>
                      <w:rFonts w:ascii="Times New Roman" w:hAnsi="Times New Roman"/>
                      <w:color w:val="000000" w:themeColor="text1"/>
                      <w:kern w:val="0"/>
                      <w:szCs w:val="21"/>
                      <w:highlight w:val="none"/>
                      <w14:textFill>
                        <w14:solidFill>
                          <w14:schemeClr w14:val="tx1"/>
                        </w14:solidFill>
                      </w14:textFill>
                    </w:rPr>
                  </w:pPr>
                </w:p>
              </w:tc>
              <w:tc>
                <w:tcPr>
                  <w:tcW w:w="2312" w:type="dxa"/>
                  <w:noWrap w:val="0"/>
                  <w:vAlign w:val="center"/>
                </w:tcPr>
                <w:p w14:paraId="7872B1BD">
                  <w:pPr>
                    <w:autoSpaceDE w:val="0"/>
                    <w:autoSpaceDN w:val="0"/>
                    <w:adjustRightInd w:val="0"/>
                    <w:snapToGrid w:val="0"/>
                    <w:spacing w:line="280" w:lineRule="exact"/>
                    <w:jc w:val="center"/>
                    <w:rPr>
                      <w:rFonts w:hint="default" w:cs="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kern w:val="0"/>
                      <w:szCs w:val="21"/>
                      <w:highlight w:val="none"/>
                      <w:lang w:val="en-US" w:eastAsia="zh-CN"/>
                      <w14:textFill>
                        <w14:solidFill>
                          <w14:schemeClr w14:val="tx1"/>
                        </w14:solidFill>
                      </w14:textFill>
                    </w:rPr>
                    <w:t>电池拆解</w:t>
                  </w:r>
                </w:p>
              </w:tc>
              <w:tc>
                <w:tcPr>
                  <w:tcW w:w="1784" w:type="dxa"/>
                  <w:shd w:val="clear" w:color="auto" w:fill="auto"/>
                  <w:noWrap w:val="0"/>
                  <w:vAlign w:val="center"/>
                </w:tcPr>
                <w:p w14:paraId="40569695">
                  <w:pPr>
                    <w:autoSpaceDE w:val="0"/>
                    <w:autoSpaceDN w:val="0"/>
                    <w:adjustRightInd w:val="0"/>
                    <w:snapToGrid w:val="0"/>
                    <w:spacing w:line="280" w:lineRule="exact"/>
                    <w:jc w:val="center"/>
                    <w:rPr>
                      <w:rFonts w:hint="default" w:cs="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kern w:val="0"/>
                      <w:szCs w:val="21"/>
                      <w:highlight w:val="none"/>
                      <w:lang w:val="en-US" w:eastAsia="zh-CN"/>
                      <w14:textFill>
                        <w14:solidFill>
                          <w14:schemeClr w14:val="tx1"/>
                        </w14:solidFill>
                      </w14:textFill>
                    </w:rPr>
                    <w:t>拆解废气</w:t>
                  </w:r>
                </w:p>
              </w:tc>
              <w:tc>
                <w:tcPr>
                  <w:tcW w:w="2623" w:type="dxa"/>
                  <w:shd w:val="clear" w:color="auto" w:fill="auto"/>
                  <w:noWrap w:val="0"/>
                  <w:vAlign w:val="center"/>
                </w:tcPr>
                <w:p w14:paraId="14207F3A">
                  <w:pPr>
                    <w:autoSpaceDE w:val="0"/>
                    <w:autoSpaceDN w:val="0"/>
                    <w:adjustRightInd w:val="0"/>
                    <w:snapToGrid w:val="0"/>
                    <w:spacing w:line="280" w:lineRule="exact"/>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有机废气（</w:t>
                  </w:r>
                  <w:r>
                    <w:rPr>
                      <w:rFonts w:hint="default" w:ascii="Times New Roman" w:hAnsi="Times New Roman" w:cs="Times New Roman"/>
                      <w:color w:val="000000" w:themeColor="text1"/>
                      <w:sz w:val="21"/>
                      <w:szCs w:val="21"/>
                      <w14:textFill>
                        <w14:solidFill>
                          <w14:schemeClr w14:val="tx1"/>
                        </w14:solidFill>
                      </w14:textFill>
                    </w:rPr>
                    <w:t>以非甲烷总烃计</w:t>
                  </w:r>
                  <w:r>
                    <w:rPr>
                      <w:rFonts w:hint="eastAsia" w:ascii="Times New Roman" w:hAnsi="Times New Roman" w:cs="Times New Roman"/>
                      <w:color w:val="000000" w:themeColor="text1"/>
                      <w:sz w:val="21"/>
                      <w:szCs w:val="21"/>
                      <w:lang w:val="en-US" w:eastAsia="zh-CN"/>
                      <w14:textFill>
                        <w14:solidFill>
                          <w14:schemeClr w14:val="tx1"/>
                        </w14:solidFill>
                      </w14:textFill>
                    </w:rPr>
                    <w:t>）</w:t>
                  </w:r>
                  <w:r>
                    <w:rPr>
                      <w:rFonts w:hint="eastAsia" w:cs="Times New Roman"/>
                      <w:color w:val="000000" w:themeColor="text1"/>
                      <w:sz w:val="21"/>
                      <w:szCs w:val="21"/>
                      <w:lang w:val="en-US" w:eastAsia="zh-CN"/>
                      <w14:textFill>
                        <w14:solidFill>
                          <w14:schemeClr w14:val="tx1"/>
                        </w14:solidFill>
                      </w14:textFill>
                    </w:rPr>
                    <w:t>、氟化物</w:t>
                  </w:r>
                </w:p>
              </w:tc>
            </w:tr>
            <w:tr w14:paraId="501EC0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899" w:type="dxa"/>
                  <w:vMerge w:val="continue"/>
                  <w:noWrap w:val="0"/>
                  <w:vAlign w:val="center"/>
                </w:tcPr>
                <w:p w14:paraId="48E9889F">
                  <w:pPr>
                    <w:autoSpaceDE w:val="0"/>
                    <w:autoSpaceDN w:val="0"/>
                    <w:adjustRightInd w:val="0"/>
                    <w:snapToGrid w:val="0"/>
                    <w:spacing w:line="280" w:lineRule="exact"/>
                    <w:jc w:val="center"/>
                    <w:rPr>
                      <w:rFonts w:ascii="Times New Roman" w:hAnsi="Times New Roman"/>
                      <w:color w:val="000000" w:themeColor="text1"/>
                      <w:kern w:val="0"/>
                      <w:szCs w:val="21"/>
                      <w:highlight w:val="none"/>
                      <w14:textFill>
                        <w14:solidFill>
                          <w14:schemeClr w14:val="tx1"/>
                        </w14:solidFill>
                      </w14:textFill>
                    </w:rPr>
                  </w:pPr>
                </w:p>
              </w:tc>
              <w:tc>
                <w:tcPr>
                  <w:tcW w:w="2312" w:type="dxa"/>
                  <w:noWrap w:val="0"/>
                  <w:vAlign w:val="center"/>
                </w:tcPr>
                <w:p w14:paraId="0229F545">
                  <w:pPr>
                    <w:autoSpaceDE w:val="0"/>
                    <w:autoSpaceDN w:val="0"/>
                    <w:adjustRightInd w:val="0"/>
                    <w:snapToGrid w:val="0"/>
                    <w:spacing w:line="280" w:lineRule="exact"/>
                    <w:jc w:val="center"/>
                    <w:rPr>
                      <w:rFonts w:hint="default" w:cs="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kern w:val="0"/>
                      <w:szCs w:val="21"/>
                      <w:highlight w:val="none"/>
                      <w:lang w:val="en-US" w:eastAsia="zh-CN"/>
                      <w14:textFill>
                        <w14:solidFill>
                          <w14:schemeClr w14:val="tx1"/>
                        </w14:solidFill>
                      </w14:textFill>
                    </w:rPr>
                    <w:t>NMP储罐（含NMP回收罐）</w:t>
                  </w:r>
                </w:p>
              </w:tc>
              <w:tc>
                <w:tcPr>
                  <w:tcW w:w="1784" w:type="dxa"/>
                  <w:shd w:val="clear" w:color="auto" w:fill="auto"/>
                  <w:noWrap w:val="0"/>
                  <w:vAlign w:val="center"/>
                </w:tcPr>
                <w:p w14:paraId="7EEBF2EC">
                  <w:pPr>
                    <w:autoSpaceDE w:val="0"/>
                    <w:autoSpaceDN w:val="0"/>
                    <w:adjustRightInd w:val="0"/>
                    <w:snapToGrid w:val="0"/>
                    <w:spacing w:line="280" w:lineRule="exact"/>
                    <w:jc w:val="center"/>
                    <w:rPr>
                      <w:rFonts w:hint="default" w:cs="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kern w:val="0"/>
                      <w:szCs w:val="21"/>
                      <w:highlight w:val="none"/>
                      <w:lang w:val="en-US" w:eastAsia="zh-CN"/>
                      <w14:textFill>
                        <w14:solidFill>
                          <w14:schemeClr w14:val="tx1"/>
                        </w14:solidFill>
                      </w14:textFill>
                    </w:rPr>
                    <w:t>储罐大小呼吸</w:t>
                  </w:r>
                </w:p>
              </w:tc>
              <w:tc>
                <w:tcPr>
                  <w:tcW w:w="2623" w:type="dxa"/>
                  <w:shd w:val="clear" w:color="auto" w:fill="auto"/>
                  <w:noWrap w:val="0"/>
                  <w:vAlign w:val="center"/>
                </w:tcPr>
                <w:p w14:paraId="5AE4467E">
                  <w:pPr>
                    <w:autoSpaceDE w:val="0"/>
                    <w:autoSpaceDN w:val="0"/>
                    <w:adjustRightInd w:val="0"/>
                    <w:snapToGrid w:val="0"/>
                    <w:spacing w:line="280" w:lineRule="exact"/>
                    <w:jc w:val="center"/>
                    <w:rPr>
                      <w:rFonts w:hint="eastAsia" w:ascii="Times New Roman" w:hAnsi="Times New Roman"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有机废气（</w:t>
                  </w:r>
                  <w:r>
                    <w:rPr>
                      <w:rFonts w:hint="default" w:ascii="Times New Roman" w:hAnsi="Times New Roman" w:cs="Times New Roman"/>
                      <w:color w:val="000000" w:themeColor="text1"/>
                      <w:sz w:val="21"/>
                      <w:szCs w:val="21"/>
                      <w14:textFill>
                        <w14:solidFill>
                          <w14:schemeClr w14:val="tx1"/>
                        </w14:solidFill>
                      </w14:textFill>
                    </w:rPr>
                    <w:t>以非甲烷总烃计</w:t>
                  </w:r>
                  <w:r>
                    <w:rPr>
                      <w:rFonts w:hint="eastAsia" w:ascii="Times New Roman" w:hAnsi="Times New Roman" w:cs="Times New Roman"/>
                      <w:color w:val="000000" w:themeColor="text1"/>
                      <w:sz w:val="21"/>
                      <w:szCs w:val="21"/>
                      <w:lang w:val="en-US" w:eastAsia="zh-CN"/>
                      <w14:textFill>
                        <w14:solidFill>
                          <w14:schemeClr w14:val="tx1"/>
                        </w14:solidFill>
                      </w14:textFill>
                    </w:rPr>
                    <w:t>）</w:t>
                  </w:r>
                </w:p>
              </w:tc>
            </w:tr>
            <w:tr w14:paraId="6371356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899" w:type="dxa"/>
                  <w:vMerge w:val="continue"/>
                  <w:noWrap w:val="0"/>
                  <w:vAlign w:val="center"/>
                </w:tcPr>
                <w:p w14:paraId="2A6C4563">
                  <w:pPr>
                    <w:autoSpaceDE w:val="0"/>
                    <w:autoSpaceDN w:val="0"/>
                    <w:adjustRightInd w:val="0"/>
                    <w:snapToGrid w:val="0"/>
                    <w:spacing w:line="280" w:lineRule="exact"/>
                    <w:jc w:val="center"/>
                    <w:rPr>
                      <w:rFonts w:ascii="Times New Roman" w:hAnsi="Times New Roman"/>
                      <w:color w:val="000000" w:themeColor="text1"/>
                      <w:kern w:val="0"/>
                      <w:szCs w:val="21"/>
                      <w:highlight w:val="none"/>
                      <w14:textFill>
                        <w14:solidFill>
                          <w14:schemeClr w14:val="tx1"/>
                        </w14:solidFill>
                      </w14:textFill>
                    </w:rPr>
                  </w:pPr>
                </w:p>
              </w:tc>
              <w:tc>
                <w:tcPr>
                  <w:tcW w:w="2312" w:type="dxa"/>
                  <w:noWrap w:val="0"/>
                  <w:vAlign w:val="center"/>
                </w:tcPr>
                <w:p w14:paraId="7C02A93E">
                  <w:pPr>
                    <w:autoSpaceDE w:val="0"/>
                    <w:autoSpaceDN w:val="0"/>
                    <w:adjustRightInd w:val="0"/>
                    <w:snapToGrid w:val="0"/>
                    <w:spacing w:line="280" w:lineRule="exact"/>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kern w:val="0"/>
                      <w:szCs w:val="21"/>
                      <w:highlight w:val="none"/>
                      <w:lang w:val="en-US" w:eastAsia="zh-CN"/>
                      <w14:textFill>
                        <w14:solidFill>
                          <w14:schemeClr w14:val="tx1"/>
                        </w14:solidFill>
                      </w14:textFill>
                    </w:rPr>
                    <w:t>危废库</w:t>
                  </w:r>
                </w:p>
              </w:tc>
              <w:tc>
                <w:tcPr>
                  <w:tcW w:w="1784" w:type="dxa"/>
                  <w:noWrap w:val="0"/>
                  <w:vAlign w:val="center"/>
                </w:tcPr>
                <w:p w14:paraId="73387AA4">
                  <w:pPr>
                    <w:autoSpaceDE w:val="0"/>
                    <w:autoSpaceDN w:val="0"/>
                    <w:adjustRightInd w:val="0"/>
                    <w:snapToGrid w:val="0"/>
                    <w:spacing w:line="280" w:lineRule="exact"/>
                    <w:jc w:val="cente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危废暂存废气</w:t>
                  </w:r>
                </w:p>
              </w:tc>
              <w:tc>
                <w:tcPr>
                  <w:tcW w:w="2623" w:type="dxa"/>
                  <w:noWrap w:val="0"/>
                  <w:vAlign w:val="center"/>
                </w:tcPr>
                <w:p w14:paraId="255CA7F5">
                  <w:pPr>
                    <w:autoSpaceDE w:val="0"/>
                    <w:autoSpaceDN w:val="0"/>
                    <w:adjustRightInd w:val="0"/>
                    <w:snapToGrid w:val="0"/>
                    <w:spacing w:line="280" w:lineRule="exact"/>
                    <w:jc w:val="cente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kern w:val="0"/>
                      <w:szCs w:val="21"/>
                      <w:highlight w:val="none"/>
                      <w:lang w:val="en-US" w:eastAsia="zh-CN"/>
                      <w14:textFill>
                        <w14:solidFill>
                          <w14:schemeClr w14:val="tx1"/>
                        </w14:solidFill>
                      </w14:textFill>
                    </w:rPr>
                    <w:t>危废库</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废气（以非甲烷总烃计）</w:t>
                  </w:r>
                </w:p>
              </w:tc>
            </w:tr>
            <w:tr w14:paraId="6FDDFF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899" w:type="dxa"/>
                  <w:vMerge w:val="continue"/>
                  <w:noWrap w:val="0"/>
                  <w:vAlign w:val="center"/>
                </w:tcPr>
                <w:p w14:paraId="44DAABE6">
                  <w:pPr>
                    <w:autoSpaceDE w:val="0"/>
                    <w:autoSpaceDN w:val="0"/>
                    <w:adjustRightInd w:val="0"/>
                    <w:snapToGrid w:val="0"/>
                    <w:spacing w:line="280" w:lineRule="exact"/>
                    <w:jc w:val="center"/>
                    <w:rPr>
                      <w:rFonts w:ascii="Times New Roman" w:hAnsi="Times New Roman"/>
                      <w:color w:val="000000" w:themeColor="text1"/>
                      <w:kern w:val="0"/>
                      <w:szCs w:val="21"/>
                      <w:highlight w:val="none"/>
                      <w14:textFill>
                        <w14:solidFill>
                          <w14:schemeClr w14:val="tx1"/>
                        </w14:solidFill>
                      </w14:textFill>
                    </w:rPr>
                  </w:pPr>
                </w:p>
              </w:tc>
              <w:tc>
                <w:tcPr>
                  <w:tcW w:w="2312" w:type="dxa"/>
                  <w:noWrap w:val="0"/>
                  <w:vAlign w:val="center"/>
                </w:tcPr>
                <w:p w14:paraId="70E6B793">
                  <w:pPr>
                    <w:autoSpaceDE w:val="0"/>
                    <w:autoSpaceDN w:val="0"/>
                    <w:adjustRightInd w:val="0"/>
                    <w:snapToGrid w:val="0"/>
                    <w:spacing w:line="280" w:lineRule="exact"/>
                    <w:jc w:val="cente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污水处理站</w:t>
                  </w:r>
                </w:p>
              </w:tc>
              <w:tc>
                <w:tcPr>
                  <w:tcW w:w="1784" w:type="dxa"/>
                  <w:noWrap w:val="0"/>
                  <w:vAlign w:val="center"/>
                </w:tcPr>
                <w:p w14:paraId="5102FF61">
                  <w:pPr>
                    <w:autoSpaceDE w:val="0"/>
                    <w:autoSpaceDN w:val="0"/>
                    <w:adjustRightInd w:val="0"/>
                    <w:snapToGrid w:val="0"/>
                    <w:spacing w:line="280" w:lineRule="exact"/>
                    <w:jc w:val="cente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污水处理</w:t>
                  </w:r>
                </w:p>
              </w:tc>
              <w:tc>
                <w:tcPr>
                  <w:tcW w:w="2623" w:type="dxa"/>
                  <w:noWrap w:val="0"/>
                  <w:vAlign w:val="center"/>
                </w:tcPr>
                <w:p w14:paraId="29707AC9">
                  <w:pPr>
                    <w:autoSpaceDE w:val="0"/>
                    <w:autoSpaceDN w:val="0"/>
                    <w:adjustRightInd w:val="0"/>
                    <w:snapToGrid w:val="0"/>
                    <w:spacing w:line="280" w:lineRule="exact"/>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氨、硫化氢、臭气</w:t>
                  </w:r>
                  <w:r>
                    <w:rPr>
                      <w:rFonts w:hint="eastAsia" w:cs="Times New Roman"/>
                      <w:color w:val="000000" w:themeColor="text1"/>
                      <w:kern w:val="0"/>
                      <w:szCs w:val="21"/>
                      <w:highlight w:val="none"/>
                      <w:lang w:val="en-US" w:eastAsia="zh-CN"/>
                      <w14:textFill>
                        <w14:solidFill>
                          <w14:schemeClr w14:val="tx1"/>
                        </w14:solidFill>
                      </w14:textFill>
                    </w:rPr>
                    <w:t>浓度</w:t>
                  </w:r>
                </w:p>
              </w:tc>
            </w:tr>
            <w:tr w14:paraId="3F7E50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899" w:type="dxa"/>
                  <w:vMerge w:val="continue"/>
                  <w:noWrap w:val="0"/>
                  <w:vAlign w:val="center"/>
                </w:tcPr>
                <w:p w14:paraId="1622DCED">
                  <w:pPr>
                    <w:autoSpaceDE w:val="0"/>
                    <w:autoSpaceDN w:val="0"/>
                    <w:adjustRightInd w:val="0"/>
                    <w:snapToGrid w:val="0"/>
                    <w:spacing w:line="280" w:lineRule="exact"/>
                    <w:jc w:val="center"/>
                    <w:rPr>
                      <w:rFonts w:ascii="Times New Roman" w:hAnsi="Times New Roman"/>
                      <w:color w:val="000000" w:themeColor="text1"/>
                      <w:kern w:val="0"/>
                      <w:szCs w:val="21"/>
                      <w:highlight w:val="none"/>
                      <w14:textFill>
                        <w14:solidFill>
                          <w14:schemeClr w14:val="tx1"/>
                        </w14:solidFill>
                      </w14:textFill>
                    </w:rPr>
                  </w:pPr>
                </w:p>
              </w:tc>
              <w:tc>
                <w:tcPr>
                  <w:tcW w:w="2312" w:type="dxa"/>
                  <w:noWrap w:val="0"/>
                  <w:vAlign w:val="center"/>
                </w:tcPr>
                <w:p w14:paraId="38F9126E">
                  <w:pPr>
                    <w:autoSpaceDE w:val="0"/>
                    <w:autoSpaceDN w:val="0"/>
                    <w:adjustRightInd w:val="0"/>
                    <w:snapToGrid w:val="0"/>
                    <w:spacing w:line="280" w:lineRule="exact"/>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kern w:val="0"/>
                      <w:szCs w:val="21"/>
                      <w:highlight w:val="none"/>
                      <w:lang w:val="en-US" w:eastAsia="zh-CN"/>
                      <w14:textFill>
                        <w14:solidFill>
                          <w14:schemeClr w14:val="tx1"/>
                        </w14:solidFill>
                      </w14:textFill>
                    </w:rPr>
                    <w:t>电源系统组装</w:t>
                  </w:r>
                </w:p>
              </w:tc>
              <w:tc>
                <w:tcPr>
                  <w:tcW w:w="1784" w:type="dxa"/>
                  <w:noWrap w:val="0"/>
                  <w:vAlign w:val="center"/>
                </w:tcPr>
                <w:p w14:paraId="602AFC1D">
                  <w:pPr>
                    <w:autoSpaceDE w:val="0"/>
                    <w:autoSpaceDN w:val="0"/>
                    <w:adjustRightInd w:val="0"/>
                    <w:snapToGrid w:val="0"/>
                    <w:spacing w:line="280" w:lineRule="exact"/>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kern w:val="0"/>
                      <w:szCs w:val="21"/>
                      <w:highlight w:val="none"/>
                      <w:lang w:val="en-US" w:eastAsia="zh-CN"/>
                      <w14:textFill>
                        <w14:solidFill>
                          <w14:schemeClr w14:val="tx1"/>
                        </w14:solidFill>
                      </w14:textFill>
                    </w:rPr>
                    <w:t>焊接烟尘</w:t>
                  </w:r>
                </w:p>
              </w:tc>
              <w:tc>
                <w:tcPr>
                  <w:tcW w:w="2623" w:type="dxa"/>
                  <w:noWrap w:val="0"/>
                  <w:vAlign w:val="center"/>
                </w:tcPr>
                <w:p w14:paraId="04E19017">
                  <w:pPr>
                    <w:autoSpaceDE w:val="0"/>
                    <w:autoSpaceDN w:val="0"/>
                    <w:adjustRightInd w:val="0"/>
                    <w:snapToGrid w:val="0"/>
                    <w:spacing w:line="280" w:lineRule="exact"/>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kern w:val="0"/>
                      <w:szCs w:val="21"/>
                      <w:highlight w:val="none"/>
                      <w:lang w:val="en-US" w:eastAsia="zh-CN"/>
                      <w14:textFill>
                        <w14:solidFill>
                          <w14:schemeClr w14:val="tx1"/>
                        </w14:solidFill>
                      </w14:textFill>
                    </w:rPr>
                    <w:t>颗粒物</w:t>
                  </w:r>
                </w:p>
              </w:tc>
            </w:tr>
            <w:tr w14:paraId="1592A6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899" w:type="dxa"/>
                  <w:noWrap w:val="0"/>
                  <w:vAlign w:val="center"/>
                </w:tcPr>
                <w:p w14:paraId="53194759">
                  <w:pPr>
                    <w:autoSpaceDE w:val="0"/>
                    <w:autoSpaceDN w:val="0"/>
                    <w:adjustRightInd w:val="0"/>
                    <w:snapToGrid w:val="0"/>
                    <w:spacing w:line="280" w:lineRule="exact"/>
                    <w:jc w:val="center"/>
                    <w:rPr>
                      <w:rFonts w:ascii="Times New Roman" w:hAnsi="Times New Roman"/>
                      <w:color w:val="000000" w:themeColor="text1"/>
                      <w:kern w:val="0"/>
                      <w:szCs w:val="21"/>
                      <w:highlight w:val="none"/>
                      <w14:textFill>
                        <w14:solidFill>
                          <w14:schemeClr w14:val="tx1"/>
                        </w14:solidFill>
                      </w14:textFill>
                    </w:rPr>
                  </w:pPr>
                  <w:r>
                    <w:rPr>
                      <w:rFonts w:hint="eastAsia" w:ascii="Times New Roman" w:hAnsi="Times New Roman"/>
                      <w:color w:val="000000" w:themeColor="text1"/>
                      <w:kern w:val="0"/>
                      <w:szCs w:val="21"/>
                      <w:highlight w:val="none"/>
                      <w14:textFill>
                        <w14:solidFill>
                          <w14:schemeClr w14:val="tx1"/>
                        </w14:solidFill>
                      </w14:textFill>
                    </w:rPr>
                    <w:t>噪声</w:t>
                  </w:r>
                </w:p>
              </w:tc>
              <w:tc>
                <w:tcPr>
                  <w:tcW w:w="2312" w:type="dxa"/>
                  <w:noWrap w:val="0"/>
                  <w:vAlign w:val="center"/>
                </w:tcPr>
                <w:p w14:paraId="011B5F17">
                  <w:pPr>
                    <w:autoSpaceDE w:val="0"/>
                    <w:autoSpaceDN w:val="0"/>
                    <w:adjustRightInd w:val="0"/>
                    <w:snapToGrid w:val="0"/>
                    <w:spacing w:line="280" w:lineRule="exact"/>
                    <w:jc w:val="center"/>
                    <w:rPr>
                      <w:rFonts w:ascii="Times New Roman" w:hAnsi="Times New Roman"/>
                      <w:color w:val="000000" w:themeColor="text1"/>
                      <w:kern w:val="0"/>
                      <w:szCs w:val="21"/>
                      <w:highlight w:val="none"/>
                      <w14:textFill>
                        <w14:solidFill>
                          <w14:schemeClr w14:val="tx1"/>
                        </w14:solidFill>
                      </w14:textFill>
                    </w:rPr>
                  </w:pPr>
                  <w:r>
                    <w:rPr>
                      <w:rFonts w:hint="eastAsia" w:ascii="Times New Roman" w:hAnsi="Times New Roman"/>
                      <w:color w:val="000000" w:themeColor="text1"/>
                      <w:kern w:val="0"/>
                      <w:szCs w:val="21"/>
                      <w:highlight w:val="none"/>
                      <w14:textFill>
                        <w14:solidFill>
                          <w14:schemeClr w14:val="tx1"/>
                        </w14:solidFill>
                      </w14:textFill>
                    </w:rPr>
                    <w:t>生产设备</w:t>
                  </w:r>
                </w:p>
              </w:tc>
              <w:tc>
                <w:tcPr>
                  <w:tcW w:w="1784" w:type="dxa"/>
                  <w:noWrap w:val="0"/>
                  <w:vAlign w:val="center"/>
                </w:tcPr>
                <w:p w14:paraId="30A21E34">
                  <w:pPr>
                    <w:autoSpaceDE w:val="0"/>
                    <w:autoSpaceDN w:val="0"/>
                    <w:adjustRightInd w:val="0"/>
                    <w:snapToGrid w:val="0"/>
                    <w:spacing w:line="280" w:lineRule="exact"/>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cs="Times New Roman"/>
                      <w:color w:val="000000" w:themeColor="text1"/>
                      <w:kern w:val="0"/>
                      <w:szCs w:val="21"/>
                      <w:highlight w:val="none"/>
                      <w:lang w:val="en-US" w:eastAsia="zh-CN"/>
                      <w14:textFill>
                        <w14:solidFill>
                          <w14:schemeClr w14:val="tx1"/>
                        </w14:solidFill>
                      </w14:textFill>
                    </w:rPr>
                    <w:t>设备噪声</w:t>
                  </w:r>
                </w:p>
              </w:tc>
              <w:tc>
                <w:tcPr>
                  <w:tcW w:w="2623" w:type="dxa"/>
                  <w:noWrap w:val="0"/>
                  <w:vAlign w:val="center"/>
                </w:tcPr>
                <w:p w14:paraId="4577F89B">
                  <w:pPr>
                    <w:autoSpaceDE w:val="0"/>
                    <w:autoSpaceDN w:val="0"/>
                    <w:adjustRightInd w:val="0"/>
                    <w:snapToGrid w:val="0"/>
                    <w:spacing w:line="280" w:lineRule="exact"/>
                    <w:jc w:val="cente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噪声Leq</w:t>
                  </w:r>
                  <w:r>
                    <w:rPr>
                      <w:rFonts w:hint="default" w:ascii="Times New Roman" w:hAnsi="Times New Roman" w:cs="Times New Roman"/>
                      <w:color w:val="000000" w:themeColor="text1"/>
                      <w:sz w:val="21"/>
                      <w:szCs w:val="21"/>
                      <w:lang w:eastAsia="zh-CN"/>
                      <w14:textFill>
                        <w14:solidFill>
                          <w14:schemeClr w14:val="tx1"/>
                        </w14:solidFill>
                      </w14:textFill>
                    </w:rPr>
                    <w:t>（</w:t>
                  </w:r>
                  <w:r>
                    <w:rPr>
                      <w:rFonts w:hint="default" w:ascii="Times New Roman" w:hAnsi="Times New Roman" w:cs="Times New Roman"/>
                      <w:color w:val="000000" w:themeColor="text1"/>
                      <w:sz w:val="21"/>
                      <w:szCs w:val="21"/>
                      <w14:textFill>
                        <w14:solidFill>
                          <w14:schemeClr w14:val="tx1"/>
                        </w14:solidFill>
                      </w14:textFill>
                    </w:rPr>
                    <w:t>A</w:t>
                  </w:r>
                  <w:r>
                    <w:rPr>
                      <w:rFonts w:hint="default" w:ascii="Times New Roman" w:hAnsi="Times New Roman" w:cs="Times New Roman"/>
                      <w:color w:val="000000" w:themeColor="text1"/>
                      <w:sz w:val="21"/>
                      <w:szCs w:val="21"/>
                      <w:lang w:eastAsia="zh-CN"/>
                      <w14:textFill>
                        <w14:solidFill>
                          <w14:schemeClr w14:val="tx1"/>
                        </w14:solidFill>
                      </w14:textFill>
                    </w:rPr>
                    <w:t>）</w:t>
                  </w:r>
                </w:p>
              </w:tc>
            </w:tr>
            <w:tr w14:paraId="2D56AA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899" w:type="dxa"/>
                  <w:vMerge w:val="restart"/>
                  <w:noWrap w:val="0"/>
                  <w:vAlign w:val="center"/>
                </w:tcPr>
                <w:p w14:paraId="5BB503CC">
                  <w:pPr>
                    <w:autoSpaceDE w:val="0"/>
                    <w:autoSpaceDN w:val="0"/>
                    <w:adjustRightInd w:val="0"/>
                    <w:snapToGrid w:val="0"/>
                    <w:spacing w:line="280" w:lineRule="exact"/>
                    <w:jc w:val="cente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废水</w:t>
                  </w:r>
                </w:p>
              </w:tc>
              <w:tc>
                <w:tcPr>
                  <w:tcW w:w="2312" w:type="dxa"/>
                  <w:noWrap w:val="0"/>
                  <w:vAlign w:val="center"/>
                </w:tcPr>
                <w:p w14:paraId="48B94CD0">
                  <w:pPr>
                    <w:autoSpaceDE w:val="0"/>
                    <w:autoSpaceDN w:val="0"/>
                    <w:adjustRightInd w:val="0"/>
                    <w:snapToGrid w:val="0"/>
                    <w:spacing w:line="280" w:lineRule="exact"/>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纯水制备</w:t>
                  </w:r>
                </w:p>
              </w:tc>
              <w:tc>
                <w:tcPr>
                  <w:tcW w:w="1784" w:type="dxa"/>
                  <w:noWrap w:val="0"/>
                  <w:vAlign w:val="center"/>
                </w:tcPr>
                <w:p w14:paraId="33B79395">
                  <w:pPr>
                    <w:autoSpaceDE w:val="0"/>
                    <w:autoSpaceDN w:val="0"/>
                    <w:adjustRightInd w:val="0"/>
                    <w:snapToGrid w:val="0"/>
                    <w:spacing w:line="280" w:lineRule="exact"/>
                    <w:jc w:val="cente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纯水制备浓水</w:t>
                  </w:r>
                </w:p>
              </w:tc>
              <w:tc>
                <w:tcPr>
                  <w:tcW w:w="2623" w:type="dxa"/>
                  <w:noWrap w:val="0"/>
                  <w:vAlign w:val="center"/>
                </w:tcPr>
                <w:p w14:paraId="73087534">
                  <w:pPr>
                    <w:autoSpaceDE w:val="0"/>
                    <w:autoSpaceDN w:val="0"/>
                    <w:adjustRightInd w:val="0"/>
                    <w:snapToGrid w:val="0"/>
                    <w:spacing w:line="280" w:lineRule="exact"/>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Cs w:val="21"/>
                      <w:highlight w:val="none"/>
                      <w14:textFill>
                        <w14:solidFill>
                          <w14:schemeClr w14:val="tx1"/>
                        </w14:solidFill>
                      </w14:textFill>
                    </w:rPr>
                    <w:t>COD、SS</w:t>
                  </w:r>
                </w:p>
              </w:tc>
            </w:tr>
            <w:tr w14:paraId="1EB993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899" w:type="dxa"/>
                  <w:vMerge w:val="continue"/>
                  <w:noWrap w:val="0"/>
                  <w:vAlign w:val="center"/>
                </w:tcPr>
                <w:p w14:paraId="45A84CFA">
                  <w:pPr>
                    <w:autoSpaceDE w:val="0"/>
                    <w:autoSpaceDN w:val="0"/>
                    <w:adjustRightInd w:val="0"/>
                    <w:snapToGrid w:val="0"/>
                    <w:spacing w:line="280" w:lineRule="exact"/>
                    <w:jc w:val="cente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p>
              </w:tc>
              <w:tc>
                <w:tcPr>
                  <w:tcW w:w="2312" w:type="dxa"/>
                  <w:noWrap w:val="0"/>
                  <w:vAlign w:val="center"/>
                </w:tcPr>
                <w:p w14:paraId="5EE7695B">
                  <w:pPr>
                    <w:autoSpaceDE w:val="0"/>
                    <w:autoSpaceDN w:val="0"/>
                    <w:adjustRightInd w:val="0"/>
                    <w:snapToGrid w:val="0"/>
                    <w:spacing w:line="280" w:lineRule="exact"/>
                    <w:jc w:val="cente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kern w:val="0"/>
                      <w:szCs w:val="21"/>
                      <w:highlight w:val="none"/>
                      <w:lang w:val="en-US" w:eastAsia="zh-CN"/>
                      <w14:textFill>
                        <w14:solidFill>
                          <w14:schemeClr w14:val="tx1"/>
                        </w14:solidFill>
                      </w14:textFill>
                    </w:rPr>
                    <w:t>匀浆系统、涂布机</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等设备</w:t>
                  </w:r>
                </w:p>
              </w:tc>
              <w:tc>
                <w:tcPr>
                  <w:tcW w:w="1784" w:type="dxa"/>
                  <w:noWrap w:val="0"/>
                  <w:vAlign w:val="center"/>
                </w:tcPr>
                <w:p w14:paraId="5C4223CC">
                  <w:pPr>
                    <w:autoSpaceDE w:val="0"/>
                    <w:autoSpaceDN w:val="0"/>
                    <w:adjustRightInd w:val="0"/>
                    <w:snapToGrid w:val="0"/>
                    <w:spacing w:line="280" w:lineRule="exact"/>
                    <w:jc w:val="cente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设备清洗废水</w:t>
                  </w:r>
                </w:p>
              </w:tc>
              <w:tc>
                <w:tcPr>
                  <w:tcW w:w="2623" w:type="dxa"/>
                  <w:noWrap w:val="0"/>
                  <w:vAlign w:val="center"/>
                </w:tcPr>
                <w:p w14:paraId="33A01E6D">
                  <w:pPr>
                    <w:autoSpaceDE w:val="0"/>
                    <w:autoSpaceDN w:val="0"/>
                    <w:adjustRightInd w:val="0"/>
                    <w:snapToGrid w:val="0"/>
                    <w:spacing w:line="280" w:lineRule="exact"/>
                    <w:jc w:val="center"/>
                    <w:rPr>
                      <w:rFonts w:hint="default" w:ascii="Times New Roman" w:hAnsi="Times New Roman" w:eastAsia="宋体"/>
                      <w:color w:val="000000" w:themeColor="text1"/>
                      <w:kern w:val="0"/>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COD、SS、NH</w:t>
                  </w:r>
                  <w:r>
                    <w:rPr>
                      <w:rFonts w:hint="default" w:ascii="Times New Roman" w:hAnsi="Times New Roman" w:eastAsia="宋体" w:cs="Times New Roman"/>
                      <w:color w:val="000000" w:themeColor="text1"/>
                      <w:sz w:val="21"/>
                      <w:szCs w:val="21"/>
                      <w:vertAlign w:val="subscript"/>
                      <w14:textFill>
                        <w14:solidFill>
                          <w14:schemeClr w14:val="tx1"/>
                        </w14:solidFill>
                      </w14:textFill>
                    </w:rPr>
                    <w:t>3</w:t>
                  </w:r>
                  <w:r>
                    <w:rPr>
                      <w:rFonts w:hint="default" w:ascii="Times New Roman" w:hAnsi="Times New Roman" w:eastAsia="宋体" w:cs="Times New Roman"/>
                      <w:color w:val="000000" w:themeColor="text1"/>
                      <w:sz w:val="21"/>
                      <w:szCs w:val="21"/>
                      <w14:textFill>
                        <w14:solidFill>
                          <w14:schemeClr w14:val="tx1"/>
                        </w14:solidFill>
                      </w14:textFill>
                    </w:rPr>
                    <w:t>-N、</w:t>
                  </w:r>
                  <w:r>
                    <w:rPr>
                      <w:rFonts w:hint="eastAsia" w:cs="Times New Roman"/>
                      <w:color w:val="000000" w:themeColor="text1"/>
                      <w:sz w:val="21"/>
                      <w:szCs w:val="21"/>
                      <w:lang w:val="en-US" w:eastAsia="zh-CN"/>
                      <w14:textFill>
                        <w14:solidFill>
                          <w14:schemeClr w14:val="tx1"/>
                        </w14:solidFill>
                      </w14:textFill>
                    </w:rPr>
                    <w:t>TP、TN、</w:t>
                  </w:r>
                  <w:r>
                    <w:rPr>
                      <w:rFonts w:hint="default" w:ascii="Times New Roman" w:hAnsi="Times New Roman" w:eastAsia="宋体" w:cs="Times New Roman"/>
                      <w:color w:val="000000" w:themeColor="text1"/>
                      <w:sz w:val="21"/>
                      <w:szCs w:val="21"/>
                      <w14:textFill>
                        <w14:solidFill>
                          <w14:schemeClr w14:val="tx1"/>
                        </w14:solidFill>
                      </w14:textFill>
                    </w:rPr>
                    <w:t>BOD</w:t>
                  </w:r>
                  <w:r>
                    <w:rPr>
                      <w:rFonts w:hint="default" w:ascii="Times New Roman" w:hAnsi="Times New Roman" w:eastAsia="宋体" w:cs="Times New Roman"/>
                      <w:color w:val="000000" w:themeColor="text1"/>
                      <w:sz w:val="21"/>
                      <w:szCs w:val="21"/>
                      <w:vertAlign w:val="subscript"/>
                      <w14:textFill>
                        <w14:solidFill>
                          <w14:schemeClr w14:val="tx1"/>
                        </w14:solidFill>
                      </w14:textFill>
                    </w:rPr>
                    <w:t>5</w:t>
                  </w:r>
                  <w:r>
                    <w:rPr>
                      <w:rFonts w:hint="eastAsia" w:cs="Times New Roman"/>
                      <w:color w:val="000000" w:themeColor="text1"/>
                      <w:sz w:val="21"/>
                      <w:szCs w:val="21"/>
                      <w:vertAlign w:val="baseline"/>
                      <w:lang w:eastAsia="zh-CN"/>
                      <w14:textFill>
                        <w14:solidFill>
                          <w14:schemeClr w14:val="tx1"/>
                        </w14:solidFill>
                      </w14:textFill>
                    </w:rPr>
                    <w:t>、</w:t>
                  </w:r>
                  <w:r>
                    <w:rPr>
                      <w:rFonts w:hint="eastAsia" w:cs="Times New Roman"/>
                      <w:color w:val="000000" w:themeColor="text1"/>
                      <w:sz w:val="21"/>
                      <w:szCs w:val="21"/>
                      <w:vertAlign w:val="baseline"/>
                      <w:lang w:val="en-US" w:eastAsia="zh-CN"/>
                      <w14:textFill>
                        <w14:solidFill>
                          <w14:schemeClr w14:val="tx1"/>
                        </w14:solidFill>
                      </w14:textFill>
                    </w:rPr>
                    <w:t>Ni、Co、Mn</w:t>
                  </w:r>
                </w:p>
              </w:tc>
            </w:tr>
            <w:tr w14:paraId="35E6BF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899" w:type="dxa"/>
                  <w:vMerge w:val="continue"/>
                  <w:noWrap w:val="0"/>
                  <w:vAlign w:val="center"/>
                </w:tcPr>
                <w:p w14:paraId="129D11E1">
                  <w:pPr>
                    <w:autoSpaceDE w:val="0"/>
                    <w:autoSpaceDN w:val="0"/>
                    <w:adjustRightInd w:val="0"/>
                    <w:snapToGrid w:val="0"/>
                    <w:spacing w:line="280" w:lineRule="exact"/>
                    <w:jc w:val="cente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p>
              </w:tc>
              <w:tc>
                <w:tcPr>
                  <w:tcW w:w="2312" w:type="dxa"/>
                  <w:noWrap w:val="0"/>
                  <w:vAlign w:val="center"/>
                </w:tcPr>
                <w:p w14:paraId="4797B0E4">
                  <w:pPr>
                    <w:autoSpaceDE w:val="0"/>
                    <w:autoSpaceDN w:val="0"/>
                    <w:adjustRightInd w:val="0"/>
                    <w:snapToGrid w:val="0"/>
                    <w:spacing w:line="280" w:lineRule="exact"/>
                    <w:jc w:val="center"/>
                    <w:rPr>
                      <w:rFonts w:hint="default" w:cs="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kern w:val="0"/>
                      <w:szCs w:val="21"/>
                      <w:highlight w:val="none"/>
                      <w:lang w:val="en-US" w:eastAsia="zh-CN"/>
                      <w14:textFill>
                        <w14:solidFill>
                          <w14:schemeClr w14:val="tx1"/>
                        </w14:solidFill>
                      </w14:textFill>
                    </w:rPr>
                    <w:t>压缩空气</w:t>
                  </w:r>
                </w:p>
              </w:tc>
              <w:tc>
                <w:tcPr>
                  <w:tcW w:w="1784" w:type="dxa"/>
                  <w:noWrap w:val="0"/>
                  <w:vAlign w:val="center"/>
                </w:tcPr>
                <w:p w14:paraId="7ADA24B7">
                  <w:pPr>
                    <w:autoSpaceDE w:val="0"/>
                    <w:autoSpaceDN w:val="0"/>
                    <w:adjustRightInd w:val="0"/>
                    <w:snapToGrid w:val="0"/>
                    <w:spacing w:line="280" w:lineRule="exact"/>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kern w:val="0"/>
                      <w:szCs w:val="21"/>
                      <w:highlight w:val="none"/>
                      <w:lang w:val="en-US" w:eastAsia="zh-CN"/>
                      <w14:textFill>
                        <w14:solidFill>
                          <w14:schemeClr w14:val="tx1"/>
                        </w14:solidFill>
                      </w14:textFill>
                    </w:rPr>
                    <w:t>空压机冷凝水</w:t>
                  </w:r>
                </w:p>
              </w:tc>
              <w:tc>
                <w:tcPr>
                  <w:tcW w:w="2623" w:type="dxa"/>
                  <w:noWrap w:val="0"/>
                  <w:vAlign w:val="center"/>
                </w:tcPr>
                <w:p w14:paraId="3CB23B58">
                  <w:pPr>
                    <w:autoSpaceDE w:val="0"/>
                    <w:autoSpaceDN w:val="0"/>
                    <w:adjustRightInd w:val="0"/>
                    <w:snapToGrid w:val="0"/>
                    <w:spacing w:line="280" w:lineRule="exact"/>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SS</w:t>
                  </w:r>
                </w:p>
              </w:tc>
            </w:tr>
            <w:tr w14:paraId="537EA7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899" w:type="dxa"/>
                  <w:vMerge w:val="continue"/>
                  <w:noWrap w:val="0"/>
                  <w:vAlign w:val="center"/>
                </w:tcPr>
                <w:p w14:paraId="3CB141E9">
                  <w:pPr>
                    <w:autoSpaceDE w:val="0"/>
                    <w:autoSpaceDN w:val="0"/>
                    <w:adjustRightInd w:val="0"/>
                    <w:snapToGrid w:val="0"/>
                    <w:spacing w:line="280" w:lineRule="exact"/>
                    <w:jc w:val="center"/>
                    <w:rPr>
                      <w:rFonts w:hint="eastAsia" w:ascii="Times New Roman" w:hAnsi="Times New Roman"/>
                      <w:color w:val="000000" w:themeColor="text1"/>
                      <w:kern w:val="0"/>
                      <w:szCs w:val="21"/>
                      <w:highlight w:val="none"/>
                      <w:lang w:val="en-US" w:eastAsia="zh-CN"/>
                      <w14:textFill>
                        <w14:solidFill>
                          <w14:schemeClr w14:val="tx1"/>
                        </w14:solidFill>
                      </w14:textFill>
                    </w:rPr>
                  </w:pPr>
                </w:p>
              </w:tc>
              <w:tc>
                <w:tcPr>
                  <w:tcW w:w="2312" w:type="dxa"/>
                  <w:noWrap w:val="0"/>
                  <w:vAlign w:val="center"/>
                </w:tcPr>
                <w:p w14:paraId="41FF2BE8">
                  <w:pPr>
                    <w:autoSpaceDE w:val="0"/>
                    <w:autoSpaceDN w:val="0"/>
                    <w:adjustRightInd w:val="0"/>
                    <w:snapToGrid w:val="0"/>
                    <w:spacing w:line="280" w:lineRule="exact"/>
                    <w:jc w:val="center"/>
                    <w:rPr>
                      <w:rFonts w:hint="default" w:ascii="Times New Roman" w:hAnsi="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color w:val="000000" w:themeColor="text1"/>
                      <w:kern w:val="0"/>
                      <w:szCs w:val="21"/>
                      <w:highlight w:val="none"/>
                      <w:lang w:val="en-US" w:eastAsia="zh-CN"/>
                      <w14:textFill>
                        <w14:solidFill>
                          <w14:schemeClr w14:val="tx1"/>
                        </w14:solidFill>
                      </w14:textFill>
                    </w:rPr>
                    <w:t>人员办公</w:t>
                  </w:r>
                </w:p>
              </w:tc>
              <w:tc>
                <w:tcPr>
                  <w:tcW w:w="1784" w:type="dxa"/>
                  <w:noWrap w:val="0"/>
                  <w:vAlign w:val="center"/>
                </w:tcPr>
                <w:p w14:paraId="04782CD5">
                  <w:pPr>
                    <w:autoSpaceDE w:val="0"/>
                    <w:autoSpaceDN w:val="0"/>
                    <w:adjustRightInd w:val="0"/>
                    <w:snapToGrid w:val="0"/>
                    <w:spacing w:line="280" w:lineRule="exact"/>
                    <w:jc w:val="center"/>
                    <w:rPr>
                      <w:rFonts w:hint="default" w:ascii="Times New Roman" w:hAnsi="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color w:val="000000" w:themeColor="text1"/>
                      <w:kern w:val="0"/>
                      <w:szCs w:val="21"/>
                      <w:highlight w:val="none"/>
                      <w:lang w:val="en-US" w:eastAsia="zh-CN"/>
                      <w14:textFill>
                        <w14:solidFill>
                          <w14:schemeClr w14:val="tx1"/>
                        </w14:solidFill>
                      </w14:textFill>
                    </w:rPr>
                    <w:t>生活污水</w:t>
                  </w:r>
                </w:p>
              </w:tc>
              <w:tc>
                <w:tcPr>
                  <w:tcW w:w="2623" w:type="dxa"/>
                  <w:noWrap w:val="0"/>
                  <w:vAlign w:val="center"/>
                </w:tcPr>
                <w:p w14:paraId="566D0F4B">
                  <w:pPr>
                    <w:autoSpaceDE w:val="0"/>
                    <w:autoSpaceDN w:val="0"/>
                    <w:adjustRightInd w:val="0"/>
                    <w:snapToGrid w:val="0"/>
                    <w:spacing w:line="280" w:lineRule="exact"/>
                    <w:jc w:val="center"/>
                    <w:rPr>
                      <w:rFonts w:hint="default" w:ascii="Times New Roman" w:hAnsi="Times New Roman"/>
                      <w:color w:val="000000" w:themeColor="text1"/>
                      <w:kern w:val="0"/>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COD、SS、NH</w:t>
                  </w:r>
                  <w:r>
                    <w:rPr>
                      <w:rFonts w:hint="default" w:ascii="Times New Roman" w:hAnsi="Times New Roman" w:eastAsia="宋体" w:cs="Times New Roman"/>
                      <w:color w:val="000000" w:themeColor="text1"/>
                      <w:sz w:val="21"/>
                      <w:szCs w:val="21"/>
                      <w:vertAlign w:val="subscript"/>
                      <w14:textFill>
                        <w14:solidFill>
                          <w14:schemeClr w14:val="tx1"/>
                        </w14:solidFill>
                      </w14:textFill>
                    </w:rPr>
                    <w:t>3</w:t>
                  </w:r>
                  <w:r>
                    <w:rPr>
                      <w:rFonts w:hint="default" w:ascii="Times New Roman" w:hAnsi="Times New Roman" w:eastAsia="宋体" w:cs="Times New Roman"/>
                      <w:color w:val="000000" w:themeColor="text1"/>
                      <w:sz w:val="21"/>
                      <w:szCs w:val="21"/>
                      <w14:textFill>
                        <w14:solidFill>
                          <w14:schemeClr w14:val="tx1"/>
                        </w14:solidFill>
                      </w14:textFill>
                    </w:rPr>
                    <w:t>-N、</w:t>
                  </w:r>
                  <w:r>
                    <w:rPr>
                      <w:rFonts w:hint="eastAsia" w:cs="Times New Roman"/>
                      <w:color w:val="000000" w:themeColor="text1"/>
                      <w:sz w:val="21"/>
                      <w:szCs w:val="21"/>
                      <w:lang w:val="en-US" w:eastAsia="zh-CN"/>
                      <w14:textFill>
                        <w14:solidFill>
                          <w14:schemeClr w14:val="tx1"/>
                        </w14:solidFill>
                      </w14:textFill>
                    </w:rPr>
                    <w:t>TP、TN、</w:t>
                  </w:r>
                  <w:r>
                    <w:rPr>
                      <w:rFonts w:hint="default" w:ascii="Times New Roman" w:hAnsi="Times New Roman" w:eastAsia="宋体" w:cs="Times New Roman"/>
                      <w:color w:val="000000" w:themeColor="text1"/>
                      <w:sz w:val="21"/>
                      <w:szCs w:val="21"/>
                      <w14:textFill>
                        <w14:solidFill>
                          <w14:schemeClr w14:val="tx1"/>
                        </w14:solidFill>
                      </w14:textFill>
                    </w:rPr>
                    <w:t>BOD</w:t>
                  </w:r>
                  <w:r>
                    <w:rPr>
                      <w:rFonts w:hint="default" w:ascii="Times New Roman" w:hAnsi="Times New Roman" w:eastAsia="宋体" w:cs="Times New Roman"/>
                      <w:color w:val="000000" w:themeColor="text1"/>
                      <w:sz w:val="21"/>
                      <w:szCs w:val="21"/>
                      <w:vertAlign w:val="subscript"/>
                      <w14:textFill>
                        <w14:solidFill>
                          <w14:schemeClr w14:val="tx1"/>
                        </w14:solidFill>
                      </w14:textFill>
                    </w:rPr>
                    <w:t>5</w:t>
                  </w:r>
                </w:p>
              </w:tc>
            </w:tr>
            <w:tr w14:paraId="0D7849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899" w:type="dxa"/>
                  <w:vMerge w:val="restart"/>
                  <w:noWrap w:val="0"/>
                  <w:vAlign w:val="center"/>
                </w:tcPr>
                <w:p w14:paraId="6616BF9F">
                  <w:pPr>
                    <w:autoSpaceDE w:val="0"/>
                    <w:autoSpaceDN w:val="0"/>
                    <w:adjustRightInd w:val="0"/>
                    <w:snapToGrid w:val="0"/>
                    <w:spacing w:line="280" w:lineRule="exact"/>
                    <w:jc w:val="center"/>
                    <w:rPr>
                      <w:rFonts w:hint="eastAsia" w:ascii="Times New Roman" w:hAnsi="Times New Roman" w:eastAsia="宋体"/>
                      <w:color w:val="000000" w:themeColor="text1"/>
                      <w:kern w:val="0"/>
                      <w:szCs w:val="21"/>
                      <w:highlight w:val="none"/>
                      <w:lang w:val="en-US" w:eastAsia="zh-CN"/>
                      <w14:textFill>
                        <w14:solidFill>
                          <w14:schemeClr w14:val="tx1"/>
                        </w14:solidFill>
                      </w14:textFill>
                    </w:rPr>
                  </w:pPr>
                  <w:r>
                    <w:rPr>
                      <w:rFonts w:hint="eastAsia" w:ascii="Times New Roman" w:hAnsi="Times New Roman"/>
                      <w:color w:val="000000" w:themeColor="text1"/>
                      <w:kern w:val="0"/>
                      <w:szCs w:val="21"/>
                      <w:highlight w:val="none"/>
                      <w:lang w:val="en-US" w:eastAsia="zh-CN"/>
                      <w14:textFill>
                        <w14:solidFill>
                          <w14:schemeClr w14:val="tx1"/>
                        </w14:solidFill>
                      </w14:textFill>
                    </w:rPr>
                    <w:t>固废</w:t>
                  </w:r>
                </w:p>
              </w:tc>
              <w:tc>
                <w:tcPr>
                  <w:tcW w:w="2312" w:type="dxa"/>
                  <w:noWrap w:val="0"/>
                  <w:vAlign w:val="center"/>
                </w:tcPr>
                <w:p w14:paraId="13658F7B">
                  <w:pPr>
                    <w:autoSpaceDE w:val="0"/>
                    <w:autoSpaceDN w:val="0"/>
                    <w:adjustRightInd w:val="0"/>
                    <w:snapToGrid w:val="0"/>
                    <w:spacing w:line="280" w:lineRule="exact"/>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职工生活</w:t>
                  </w:r>
                </w:p>
              </w:tc>
              <w:tc>
                <w:tcPr>
                  <w:tcW w:w="1784" w:type="dxa"/>
                  <w:noWrap w:val="0"/>
                  <w:vAlign w:val="center"/>
                </w:tcPr>
                <w:p w14:paraId="0ED94353">
                  <w:pPr>
                    <w:autoSpaceDE w:val="0"/>
                    <w:autoSpaceDN w:val="0"/>
                    <w:adjustRightInd w:val="0"/>
                    <w:snapToGrid w:val="0"/>
                    <w:spacing w:line="280" w:lineRule="exact"/>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生活垃圾</w:t>
                  </w:r>
                  <w:r>
                    <w:rPr>
                      <w:rFonts w:hint="eastAsia" w:cs="Times New Roman"/>
                      <w:color w:val="000000" w:themeColor="text1"/>
                      <w:kern w:val="0"/>
                      <w:szCs w:val="21"/>
                      <w:highlight w:val="none"/>
                      <w:lang w:val="en-US" w:eastAsia="zh-CN"/>
                      <w14:textFill>
                        <w14:solidFill>
                          <w14:schemeClr w14:val="tx1"/>
                        </w14:solidFill>
                      </w14:textFill>
                    </w:rPr>
                    <w:t>、预处理池污泥</w:t>
                  </w:r>
                </w:p>
              </w:tc>
              <w:tc>
                <w:tcPr>
                  <w:tcW w:w="2623" w:type="dxa"/>
                  <w:noWrap w:val="0"/>
                  <w:vAlign w:val="center"/>
                </w:tcPr>
                <w:p w14:paraId="720415C0">
                  <w:pPr>
                    <w:autoSpaceDE w:val="0"/>
                    <w:autoSpaceDN w:val="0"/>
                    <w:adjustRightInd w:val="0"/>
                    <w:snapToGrid w:val="0"/>
                    <w:spacing w:line="280" w:lineRule="exact"/>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w:t>
                  </w:r>
                </w:p>
              </w:tc>
            </w:tr>
            <w:tr w14:paraId="6787AF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899" w:type="dxa"/>
                  <w:vMerge w:val="continue"/>
                  <w:noWrap w:val="0"/>
                  <w:vAlign w:val="center"/>
                </w:tcPr>
                <w:p w14:paraId="1EA735AF">
                  <w:pPr>
                    <w:autoSpaceDE w:val="0"/>
                    <w:autoSpaceDN w:val="0"/>
                    <w:adjustRightInd w:val="0"/>
                    <w:snapToGrid w:val="0"/>
                    <w:spacing w:line="280" w:lineRule="exact"/>
                    <w:jc w:val="center"/>
                    <w:rPr>
                      <w:rFonts w:hint="eastAsia" w:ascii="Times New Roman" w:hAnsi="Times New Roman"/>
                      <w:color w:val="000000" w:themeColor="text1"/>
                      <w:kern w:val="0"/>
                      <w:szCs w:val="21"/>
                      <w:highlight w:val="none"/>
                      <w:lang w:val="en-US" w:eastAsia="zh-CN"/>
                      <w14:textFill>
                        <w14:solidFill>
                          <w14:schemeClr w14:val="tx1"/>
                        </w14:solidFill>
                      </w14:textFill>
                    </w:rPr>
                  </w:pPr>
                </w:p>
              </w:tc>
              <w:tc>
                <w:tcPr>
                  <w:tcW w:w="2312" w:type="dxa"/>
                  <w:noWrap w:val="0"/>
                  <w:vAlign w:val="center"/>
                </w:tcPr>
                <w:p w14:paraId="53BBD927">
                  <w:pPr>
                    <w:autoSpaceDE w:val="0"/>
                    <w:autoSpaceDN w:val="0"/>
                    <w:adjustRightInd w:val="0"/>
                    <w:snapToGrid w:val="0"/>
                    <w:spacing w:line="280" w:lineRule="exact"/>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kern w:val="0"/>
                      <w:szCs w:val="21"/>
                      <w:highlight w:val="none"/>
                      <w:lang w:val="en-US" w:eastAsia="zh-CN"/>
                      <w14:textFill>
                        <w14:solidFill>
                          <w14:schemeClr w14:val="tx1"/>
                        </w14:solidFill>
                      </w14:textFill>
                    </w:rPr>
                    <w:t>匀浆</w:t>
                  </w:r>
                </w:p>
              </w:tc>
              <w:tc>
                <w:tcPr>
                  <w:tcW w:w="1784" w:type="dxa"/>
                  <w:noWrap w:val="0"/>
                  <w:vAlign w:val="center"/>
                </w:tcPr>
                <w:p w14:paraId="29059FBF">
                  <w:pPr>
                    <w:autoSpaceDE w:val="0"/>
                    <w:autoSpaceDN w:val="0"/>
                    <w:adjustRightInd w:val="0"/>
                    <w:snapToGrid w:val="0"/>
                    <w:spacing w:line="280" w:lineRule="exact"/>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kern w:val="0"/>
                      <w:szCs w:val="21"/>
                      <w:highlight w:val="none"/>
                      <w:lang w:val="en-US" w:eastAsia="zh-CN"/>
                      <w14:textFill>
                        <w14:solidFill>
                          <w14:schemeClr w14:val="tx1"/>
                        </w14:solidFill>
                      </w14:textFill>
                    </w:rPr>
                    <w:t>沾染浆料的废手套</w:t>
                  </w:r>
                </w:p>
              </w:tc>
              <w:tc>
                <w:tcPr>
                  <w:tcW w:w="2623" w:type="dxa"/>
                  <w:noWrap w:val="0"/>
                  <w:vAlign w:val="center"/>
                </w:tcPr>
                <w:p w14:paraId="56F4E315">
                  <w:pPr>
                    <w:autoSpaceDE w:val="0"/>
                    <w:autoSpaceDN w:val="0"/>
                    <w:adjustRightInd w:val="0"/>
                    <w:snapToGrid w:val="0"/>
                    <w:spacing w:line="280" w:lineRule="exact"/>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kern w:val="0"/>
                      <w:szCs w:val="21"/>
                      <w:highlight w:val="none"/>
                      <w:lang w:val="en-US" w:eastAsia="zh-CN"/>
                      <w14:textFill>
                        <w14:solidFill>
                          <w14:schemeClr w14:val="tx1"/>
                        </w14:solidFill>
                      </w14:textFill>
                    </w:rPr>
                    <w:t>一般固废</w:t>
                  </w:r>
                </w:p>
              </w:tc>
            </w:tr>
            <w:tr w14:paraId="1CBDBD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99" w:type="dxa"/>
                  <w:vMerge w:val="continue"/>
                  <w:noWrap w:val="0"/>
                  <w:vAlign w:val="center"/>
                </w:tcPr>
                <w:p w14:paraId="4A7FDFF8">
                  <w:pPr>
                    <w:autoSpaceDE w:val="0"/>
                    <w:autoSpaceDN w:val="0"/>
                    <w:adjustRightInd w:val="0"/>
                    <w:snapToGrid w:val="0"/>
                    <w:spacing w:line="280" w:lineRule="exact"/>
                    <w:jc w:val="center"/>
                    <w:rPr>
                      <w:rFonts w:hint="eastAsia" w:ascii="Times New Roman" w:hAnsi="Times New Roman"/>
                      <w:color w:val="000000" w:themeColor="text1"/>
                      <w:kern w:val="0"/>
                      <w:szCs w:val="21"/>
                      <w:highlight w:val="none"/>
                      <w:lang w:val="en-US" w:eastAsia="zh-CN"/>
                      <w14:textFill>
                        <w14:solidFill>
                          <w14:schemeClr w14:val="tx1"/>
                        </w14:solidFill>
                      </w14:textFill>
                    </w:rPr>
                  </w:pPr>
                </w:p>
              </w:tc>
              <w:tc>
                <w:tcPr>
                  <w:tcW w:w="2312" w:type="dxa"/>
                  <w:noWrap w:val="0"/>
                  <w:vAlign w:val="center"/>
                </w:tcPr>
                <w:p w14:paraId="57F30295">
                  <w:pPr>
                    <w:autoSpaceDE w:val="0"/>
                    <w:autoSpaceDN w:val="0"/>
                    <w:adjustRightInd w:val="0"/>
                    <w:snapToGrid w:val="0"/>
                    <w:spacing w:line="280" w:lineRule="exact"/>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color w:val="000000" w:themeColor="text1"/>
                      <w:kern w:val="0"/>
                      <w:szCs w:val="21"/>
                      <w:highlight w:val="none"/>
                      <w:lang w:val="en-US" w:eastAsia="zh-CN"/>
                      <w14:textFill>
                        <w14:solidFill>
                          <w14:schemeClr w14:val="tx1"/>
                        </w14:solidFill>
                      </w14:textFill>
                    </w:rPr>
                    <w:t>分条、模切</w:t>
                  </w:r>
                </w:p>
              </w:tc>
              <w:tc>
                <w:tcPr>
                  <w:tcW w:w="1784" w:type="dxa"/>
                  <w:noWrap w:val="0"/>
                  <w:vAlign w:val="center"/>
                </w:tcPr>
                <w:p w14:paraId="3EB4F81A">
                  <w:pPr>
                    <w:autoSpaceDE w:val="0"/>
                    <w:autoSpaceDN w:val="0"/>
                    <w:adjustRightInd w:val="0"/>
                    <w:snapToGrid w:val="0"/>
                    <w:spacing w:line="280" w:lineRule="exact"/>
                    <w:jc w:val="center"/>
                    <w:rPr>
                      <w:rFonts w:hint="default" w:ascii="Times New Roman" w:hAnsi="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color w:val="000000" w:themeColor="text1"/>
                      <w:kern w:val="0"/>
                      <w:szCs w:val="21"/>
                      <w:highlight w:val="none"/>
                      <w:lang w:val="en-US" w:eastAsia="zh-CN"/>
                      <w14:textFill>
                        <w14:solidFill>
                          <w14:schemeClr w14:val="tx1"/>
                        </w14:solidFill>
                      </w14:textFill>
                    </w:rPr>
                    <w:t>废边角料</w:t>
                  </w:r>
                </w:p>
              </w:tc>
              <w:tc>
                <w:tcPr>
                  <w:tcW w:w="2623" w:type="dxa"/>
                  <w:noWrap w:val="0"/>
                  <w:vAlign w:val="center"/>
                </w:tcPr>
                <w:p w14:paraId="72F1D86F">
                  <w:pPr>
                    <w:autoSpaceDE w:val="0"/>
                    <w:autoSpaceDN w:val="0"/>
                    <w:adjustRightInd w:val="0"/>
                    <w:snapToGrid w:val="0"/>
                    <w:spacing w:line="280" w:lineRule="exact"/>
                    <w:jc w:val="center"/>
                    <w:rPr>
                      <w:rFonts w:hint="default" w:ascii="Times New Roman" w:hAnsi="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color w:val="000000" w:themeColor="text1"/>
                      <w:kern w:val="0"/>
                      <w:szCs w:val="21"/>
                      <w:highlight w:val="none"/>
                      <w:lang w:val="en-US" w:eastAsia="zh-CN"/>
                      <w14:textFill>
                        <w14:solidFill>
                          <w14:schemeClr w14:val="tx1"/>
                        </w14:solidFill>
                      </w14:textFill>
                    </w:rPr>
                    <w:t>一般固废</w:t>
                  </w:r>
                </w:p>
              </w:tc>
            </w:tr>
            <w:tr w14:paraId="710B08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99" w:type="dxa"/>
                  <w:vMerge w:val="continue"/>
                  <w:noWrap w:val="0"/>
                  <w:vAlign w:val="center"/>
                </w:tcPr>
                <w:p w14:paraId="3BF2B0D6">
                  <w:pPr>
                    <w:autoSpaceDE w:val="0"/>
                    <w:autoSpaceDN w:val="0"/>
                    <w:adjustRightInd w:val="0"/>
                    <w:snapToGrid w:val="0"/>
                    <w:spacing w:line="280" w:lineRule="exact"/>
                    <w:jc w:val="center"/>
                    <w:rPr>
                      <w:rFonts w:hint="eastAsia" w:ascii="Times New Roman" w:hAnsi="Times New Roman"/>
                      <w:color w:val="000000" w:themeColor="text1"/>
                      <w:kern w:val="0"/>
                      <w:szCs w:val="21"/>
                      <w:highlight w:val="none"/>
                      <w:lang w:val="en-US" w:eastAsia="zh-CN"/>
                      <w14:textFill>
                        <w14:solidFill>
                          <w14:schemeClr w14:val="tx1"/>
                        </w14:solidFill>
                      </w14:textFill>
                    </w:rPr>
                  </w:pPr>
                </w:p>
              </w:tc>
              <w:tc>
                <w:tcPr>
                  <w:tcW w:w="2312" w:type="dxa"/>
                  <w:noWrap w:val="0"/>
                  <w:vAlign w:val="center"/>
                </w:tcPr>
                <w:p w14:paraId="37F0DE59">
                  <w:pPr>
                    <w:autoSpaceDE w:val="0"/>
                    <w:autoSpaceDN w:val="0"/>
                    <w:adjustRightInd w:val="0"/>
                    <w:snapToGrid w:val="0"/>
                    <w:spacing w:line="280" w:lineRule="exact"/>
                    <w:jc w:val="center"/>
                    <w:rPr>
                      <w:rFonts w:hint="default" w:ascii="Times New Roman" w:hAnsi="Times New Roman"/>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OCV测试</w:t>
                  </w:r>
                </w:p>
              </w:tc>
              <w:tc>
                <w:tcPr>
                  <w:tcW w:w="1784" w:type="dxa"/>
                  <w:noWrap w:val="0"/>
                  <w:vAlign w:val="center"/>
                </w:tcPr>
                <w:p w14:paraId="27EBEAD6">
                  <w:pPr>
                    <w:autoSpaceDE w:val="0"/>
                    <w:autoSpaceDN w:val="0"/>
                    <w:adjustRightInd w:val="0"/>
                    <w:snapToGrid w:val="0"/>
                    <w:spacing w:line="280" w:lineRule="exact"/>
                    <w:jc w:val="center"/>
                    <w:rPr>
                      <w:rFonts w:hint="default" w:ascii="Times New Roman" w:hAnsi="Times New Roman"/>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不合格品</w:t>
                  </w:r>
                </w:p>
              </w:tc>
              <w:tc>
                <w:tcPr>
                  <w:tcW w:w="2623" w:type="dxa"/>
                  <w:noWrap w:val="0"/>
                  <w:vAlign w:val="center"/>
                </w:tcPr>
                <w:p w14:paraId="2AA9D0D7">
                  <w:pPr>
                    <w:autoSpaceDE w:val="0"/>
                    <w:autoSpaceDN w:val="0"/>
                    <w:adjustRightInd w:val="0"/>
                    <w:snapToGrid w:val="0"/>
                    <w:spacing w:line="280" w:lineRule="exact"/>
                    <w:jc w:val="center"/>
                    <w:rPr>
                      <w:rFonts w:hint="default" w:ascii="Times New Roman" w:hAnsi="Times New Roman"/>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一般固废</w:t>
                  </w:r>
                </w:p>
              </w:tc>
            </w:tr>
            <w:tr w14:paraId="5974EE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899" w:type="dxa"/>
                  <w:vMerge w:val="continue"/>
                  <w:noWrap w:val="0"/>
                  <w:vAlign w:val="center"/>
                </w:tcPr>
                <w:p w14:paraId="4592053A">
                  <w:pPr>
                    <w:autoSpaceDE w:val="0"/>
                    <w:autoSpaceDN w:val="0"/>
                    <w:adjustRightInd w:val="0"/>
                    <w:snapToGrid w:val="0"/>
                    <w:spacing w:line="280" w:lineRule="exact"/>
                    <w:jc w:val="center"/>
                    <w:rPr>
                      <w:rFonts w:hint="default" w:ascii="Times New Roman" w:hAnsi="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color w:val="000000" w:themeColor="text1"/>
                      <w:kern w:val="0"/>
                      <w:szCs w:val="21"/>
                      <w:highlight w:val="none"/>
                      <w:lang w:val="en-US" w:eastAsia="zh-CN"/>
                      <w14:textFill>
                        <w14:solidFill>
                          <w14:schemeClr w14:val="tx1"/>
                        </w14:solidFill>
                      </w14:textFill>
                    </w:rPr>
                    <w:t>纯水</w:t>
                  </w:r>
                </w:p>
              </w:tc>
              <w:tc>
                <w:tcPr>
                  <w:tcW w:w="2312" w:type="dxa"/>
                  <w:noWrap w:val="0"/>
                  <w:vAlign w:val="center"/>
                </w:tcPr>
                <w:p w14:paraId="0A4E8E36">
                  <w:pPr>
                    <w:autoSpaceDE w:val="0"/>
                    <w:autoSpaceDN w:val="0"/>
                    <w:adjustRightInd w:val="0"/>
                    <w:snapToGrid w:val="0"/>
                    <w:spacing w:line="280" w:lineRule="exact"/>
                    <w:jc w:val="center"/>
                    <w:rPr>
                      <w:rFonts w:hint="default" w:ascii="Times New Roman" w:hAnsi="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color w:val="000000" w:themeColor="text1"/>
                      <w:kern w:val="0"/>
                      <w:szCs w:val="21"/>
                      <w:highlight w:val="none"/>
                      <w:lang w:val="en-US" w:eastAsia="zh-CN"/>
                      <w14:textFill>
                        <w14:solidFill>
                          <w14:schemeClr w14:val="tx1"/>
                        </w14:solidFill>
                      </w14:textFill>
                    </w:rPr>
                    <w:t>正极涂布</w:t>
                  </w:r>
                </w:p>
              </w:tc>
              <w:tc>
                <w:tcPr>
                  <w:tcW w:w="1784" w:type="dxa"/>
                  <w:noWrap w:val="0"/>
                  <w:vAlign w:val="center"/>
                </w:tcPr>
                <w:p w14:paraId="64E2A92D">
                  <w:pPr>
                    <w:autoSpaceDE w:val="0"/>
                    <w:autoSpaceDN w:val="0"/>
                    <w:adjustRightInd w:val="0"/>
                    <w:snapToGrid w:val="0"/>
                    <w:spacing w:line="280" w:lineRule="exact"/>
                    <w:jc w:val="center"/>
                    <w:rPr>
                      <w:rFonts w:hint="default" w:ascii="Times New Roman" w:hAnsi="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color w:val="000000" w:themeColor="text1"/>
                      <w:kern w:val="0"/>
                      <w:szCs w:val="21"/>
                      <w:highlight w:val="none"/>
                      <w:lang w:val="en-US" w:eastAsia="zh-CN"/>
                      <w14:textFill>
                        <w14:solidFill>
                          <w14:schemeClr w14:val="tx1"/>
                        </w14:solidFill>
                      </w14:textFill>
                    </w:rPr>
                    <w:t>废铝箔</w:t>
                  </w:r>
                </w:p>
              </w:tc>
              <w:tc>
                <w:tcPr>
                  <w:tcW w:w="2623" w:type="dxa"/>
                  <w:noWrap w:val="0"/>
                  <w:vAlign w:val="center"/>
                </w:tcPr>
                <w:p w14:paraId="5896B54D">
                  <w:pPr>
                    <w:autoSpaceDE w:val="0"/>
                    <w:autoSpaceDN w:val="0"/>
                    <w:adjustRightInd w:val="0"/>
                    <w:snapToGrid w:val="0"/>
                    <w:spacing w:line="280" w:lineRule="exact"/>
                    <w:jc w:val="center"/>
                    <w:rPr>
                      <w:rFonts w:hint="default" w:ascii="Times New Roman" w:hAnsi="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color w:val="000000" w:themeColor="text1"/>
                      <w:kern w:val="0"/>
                      <w:szCs w:val="21"/>
                      <w:highlight w:val="none"/>
                      <w:lang w:val="en-US" w:eastAsia="zh-CN"/>
                      <w14:textFill>
                        <w14:solidFill>
                          <w14:schemeClr w14:val="tx1"/>
                        </w14:solidFill>
                      </w14:textFill>
                    </w:rPr>
                    <w:t>一般固废</w:t>
                  </w:r>
                </w:p>
              </w:tc>
            </w:tr>
            <w:tr w14:paraId="3E1D0A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899" w:type="dxa"/>
                  <w:vMerge w:val="continue"/>
                  <w:noWrap w:val="0"/>
                  <w:vAlign w:val="center"/>
                </w:tcPr>
                <w:p w14:paraId="792AF91B">
                  <w:pPr>
                    <w:autoSpaceDE w:val="0"/>
                    <w:autoSpaceDN w:val="0"/>
                    <w:adjustRightInd w:val="0"/>
                    <w:snapToGrid w:val="0"/>
                    <w:spacing w:line="280" w:lineRule="exact"/>
                    <w:jc w:val="center"/>
                    <w:rPr>
                      <w:rFonts w:hint="eastAsia" w:ascii="Times New Roman" w:hAnsi="Times New Roman"/>
                      <w:color w:val="000000" w:themeColor="text1"/>
                      <w:kern w:val="0"/>
                      <w:szCs w:val="21"/>
                      <w:highlight w:val="none"/>
                      <w14:textFill>
                        <w14:solidFill>
                          <w14:schemeClr w14:val="tx1"/>
                        </w14:solidFill>
                      </w14:textFill>
                    </w:rPr>
                  </w:pPr>
                </w:p>
              </w:tc>
              <w:tc>
                <w:tcPr>
                  <w:tcW w:w="2312" w:type="dxa"/>
                  <w:noWrap w:val="0"/>
                  <w:vAlign w:val="center"/>
                </w:tcPr>
                <w:p w14:paraId="35264ED6">
                  <w:pPr>
                    <w:autoSpaceDE w:val="0"/>
                    <w:autoSpaceDN w:val="0"/>
                    <w:adjustRightInd w:val="0"/>
                    <w:snapToGrid w:val="0"/>
                    <w:spacing w:line="280" w:lineRule="exact"/>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cs="Times New Roman"/>
                      <w:color w:val="000000" w:themeColor="text1"/>
                      <w:kern w:val="0"/>
                      <w:szCs w:val="21"/>
                      <w:highlight w:val="none"/>
                      <w:lang w:val="en-US" w:eastAsia="zh-CN"/>
                      <w14:textFill>
                        <w14:solidFill>
                          <w14:schemeClr w14:val="tx1"/>
                        </w14:solidFill>
                      </w14:textFill>
                    </w:rPr>
                    <w:t>负极涂布</w:t>
                  </w:r>
                </w:p>
              </w:tc>
              <w:tc>
                <w:tcPr>
                  <w:tcW w:w="1784" w:type="dxa"/>
                  <w:noWrap w:val="0"/>
                  <w:vAlign w:val="center"/>
                </w:tcPr>
                <w:p w14:paraId="2AF0C344">
                  <w:pPr>
                    <w:autoSpaceDE w:val="0"/>
                    <w:autoSpaceDN w:val="0"/>
                    <w:adjustRightInd w:val="0"/>
                    <w:snapToGrid w:val="0"/>
                    <w:spacing w:line="280" w:lineRule="exact"/>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color w:val="000000" w:themeColor="text1"/>
                      <w:kern w:val="0"/>
                      <w:szCs w:val="21"/>
                      <w:highlight w:val="none"/>
                      <w:lang w:val="en-US" w:eastAsia="zh-CN"/>
                      <w14:textFill>
                        <w14:solidFill>
                          <w14:schemeClr w14:val="tx1"/>
                        </w14:solidFill>
                      </w14:textFill>
                    </w:rPr>
                    <w:t>废铜箔</w:t>
                  </w:r>
                </w:p>
              </w:tc>
              <w:tc>
                <w:tcPr>
                  <w:tcW w:w="2623" w:type="dxa"/>
                  <w:noWrap w:val="0"/>
                  <w:vAlign w:val="center"/>
                </w:tcPr>
                <w:p w14:paraId="7AD686E9">
                  <w:pPr>
                    <w:autoSpaceDE w:val="0"/>
                    <w:autoSpaceDN w:val="0"/>
                    <w:adjustRightInd w:val="0"/>
                    <w:snapToGrid w:val="0"/>
                    <w:spacing w:line="280" w:lineRule="exact"/>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color w:val="000000" w:themeColor="text1"/>
                      <w:kern w:val="0"/>
                      <w:szCs w:val="21"/>
                      <w:highlight w:val="none"/>
                      <w:lang w:val="en-US" w:eastAsia="zh-CN"/>
                      <w14:textFill>
                        <w14:solidFill>
                          <w14:schemeClr w14:val="tx1"/>
                        </w14:solidFill>
                      </w14:textFill>
                    </w:rPr>
                    <w:t>一般固废</w:t>
                  </w:r>
                </w:p>
              </w:tc>
            </w:tr>
            <w:tr w14:paraId="333BA5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899" w:type="dxa"/>
                  <w:vMerge w:val="continue"/>
                  <w:noWrap w:val="0"/>
                  <w:vAlign w:val="center"/>
                </w:tcPr>
                <w:p w14:paraId="173823DB">
                  <w:pPr>
                    <w:autoSpaceDE w:val="0"/>
                    <w:autoSpaceDN w:val="0"/>
                    <w:adjustRightInd w:val="0"/>
                    <w:snapToGrid w:val="0"/>
                    <w:spacing w:line="280" w:lineRule="exact"/>
                    <w:jc w:val="center"/>
                    <w:rPr>
                      <w:rFonts w:hint="eastAsia" w:ascii="Times New Roman" w:hAnsi="Times New Roman"/>
                      <w:color w:val="000000" w:themeColor="text1"/>
                      <w:kern w:val="0"/>
                      <w:szCs w:val="21"/>
                      <w:highlight w:val="none"/>
                      <w14:textFill>
                        <w14:solidFill>
                          <w14:schemeClr w14:val="tx1"/>
                        </w14:solidFill>
                      </w14:textFill>
                    </w:rPr>
                  </w:pPr>
                </w:p>
              </w:tc>
              <w:tc>
                <w:tcPr>
                  <w:tcW w:w="2312" w:type="dxa"/>
                  <w:noWrap w:val="0"/>
                  <w:vAlign w:val="center"/>
                </w:tcPr>
                <w:p w14:paraId="20F69339">
                  <w:pPr>
                    <w:autoSpaceDE w:val="0"/>
                    <w:autoSpaceDN w:val="0"/>
                    <w:adjustRightInd w:val="0"/>
                    <w:snapToGrid w:val="0"/>
                    <w:spacing w:line="280" w:lineRule="exact"/>
                    <w:jc w:val="center"/>
                    <w:rPr>
                      <w:rFonts w:hint="default" w:ascii="Times New Roman" w:hAnsi="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color w:val="000000" w:themeColor="text1"/>
                      <w:kern w:val="0"/>
                      <w:szCs w:val="21"/>
                      <w:highlight w:val="none"/>
                      <w:lang w:val="en-US" w:eastAsia="zh-CN"/>
                      <w14:textFill>
                        <w14:solidFill>
                          <w14:schemeClr w14:val="tx1"/>
                        </w14:solidFill>
                      </w14:textFill>
                    </w:rPr>
                    <w:t>原辅料使用</w:t>
                  </w:r>
                </w:p>
              </w:tc>
              <w:tc>
                <w:tcPr>
                  <w:tcW w:w="1784" w:type="dxa"/>
                  <w:noWrap w:val="0"/>
                  <w:vAlign w:val="center"/>
                </w:tcPr>
                <w:p w14:paraId="017C0EC6">
                  <w:pPr>
                    <w:autoSpaceDE w:val="0"/>
                    <w:autoSpaceDN w:val="0"/>
                    <w:adjustRightInd w:val="0"/>
                    <w:snapToGrid w:val="0"/>
                    <w:spacing w:line="280" w:lineRule="exact"/>
                    <w:jc w:val="center"/>
                    <w:rPr>
                      <w:rFonts w:hint="default" w:ascii="Times New Roman" w:hAnsi="Times New Roman" w:eastAsia="宋体"/>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color w:val="000000" w:themeColor="text1"/>
                      <w:kern w:val="0"/>
                      <w:sz w:val="21"/>
                      <w:szCs w:val="21"/>
                      <w:highlight w:val="none"/>
                      <w:lang w:val="en-US" w:eastAsia="zh-CN" w:bidi="ar-SA"/>
                      <w14:textFill>
                        <w14:solidFill>
                          <w14:schemeClr w14:val="tx1"/>
                        </w14:solidFill>
                      </w14:textFill>
                    </w:rPr>
                    <w:t>废包装材料</w:t>
                  </w:r>
                  <w:r>
                    <w:rPr>
                      <w:rFonts w:hint="eastAsia"/>
                      <w:color w:val="000000" w:themeColor="text1"/>
                      <w:kern w:val="0"/>
                      <w:sz w:val="21"/>
                      <w:szCs w:val="21"/>
                      <w:highlight w:val="none"/>
                      <w:lang w:val="en-US" w:eastAsia="zh-CN" w:bidi="ar-SA"/>
                      <w14:textFill>
                        <w14:solidFill>
                          <w14:schemeClr w14:val="tx1"/>
                        </w14:solidFill>
                      </w14:textFill>
                    </w:rPr>
                    <w:t>、废NMP包装桶</w:t>
                  </w:r>
                </w:p>
              </w:tc>
              <w:tc>
                <w:tcPr>
                  <w:tcW w:w="2623" w:type="dxa"/>
                  <w:noWrap w:val="0"/>
                  <w:vAlign w:val="center"/>
                </w:tcPr>
                <w:p w14:paraId="3406169F">
                  <w:pPr>
                    <w:autoSpaceDE w:val="0"/>
                    <w:autoSpaceDN w:val="0"/>
                    <w:adjustRightInd w:val="0"/>
                    <w:snapToGrid w:val="0"/>
                    <w:spacing w:line="280" w:lineRule="exact"/>
                    <w:jc w:val="center"/>
                    <w:rPr>
                      <w:rFonts w:hint="default" w:ascii="Times New Roman" w:hAnsi="Times New Roman" w:eastAsia="宋体"/>
                      <w:color w:val="000000" w:themeColor="text1"/>
                      <w:kern w:val="0"/>
                      <w:szCs w:val="21"/>
                      <w:highlight w:val="none"/>
                      <w:lang w:val="en-US" w:eastAsia="zh-CN"/>
                      <w14:textFill>
                        <w14:solidFill>
                          <w14:schemeClr w14:val="tx1"/>
                        </w14:solidFill>
                      </w14:textFill>
                    </w:rPr>
                  </w:pPr>
                  <w:r>
                    <w:rPr>
                      <w:rFonts w:hint="eastAsia" w:ascii="Times New Roman" w:hAnsi="Times New Roman"/>
                      <w:color w:val="000000" w:themeColor="text1"/>
                      <w:kern w:val="0"/>
                      <w:szCs w:val="21"/>
                      <w:highlight w:val="none"/>
                      <w:lang w:val="en-US" w:eastAsia="zh-CN"/>
                      <w14:textFill>
                        <w14:solidFill>
                          <w14:schemeClr w14:val="tx1"/>
                        </w14:solidFill>
                      </w14:textFill>
                    </w:rPr>
                    <w:t>一般固废</w:t>
                  </w:r>
                </w:p>
              </w:tc>
            </w:tr>
            <w:tr w14:paraId="52A03D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899" w:type="dxa"/>
                  <w:vMerge w:val="continue"/>
                  <w:noWrap w:val="0"/>
                  <w:vAlign w:val="center"/>
                </w:tcPr>
                <w:p w14:paraId="36E4CBF4">
                  <w:pPr>
                    <w:autoSpaceDE w:val="0"/>
                    <w:autoSpaceDN w:val="0"/>
                    <w:adjustRightInd w:val="0"/>
                    <w:snapToGrid w:val="0"/>
                    <w:spacing w:line="280" w:lineRule="exact"/>
                    <w:jc w:val="center"/>
                    <w:rPr>
                      <w:rFonts w:hint="eastAsia" w:ascii="Times New Roman" w:hAnsi="Times New Roman"/>
                      <w:color w:val="000000" w:themeColor="text1"/>
                      <w:kern w:val="0"/>
                      <w:szCs w:val="21"/>
                      <w:highlight w:val="none"/>
                      <w14:textFill>
                        <w14:solidFill>
                          <w14:schemeClr w14:val="tx1"/>
                        </w14:solidFill>
                      </w14:textFill>
                    </w:rPr>
                  </w:pPr>
                </w:p>
              </w:tc>
              <w:tc>
                <w:tcPr>
                  <w:tcW w:w="2312" w:type="dxa"/>
                  <w:noWrap w:val="0"/>
                  <w:vAlign w:val="center"/>
                </w:tcPr>
                <w:p w14:paraId="355EDCC9">
                  <w:pPr>
                    <w:autoSpaceDE w:val="0"/>
                    <w:autoSpaceDN w:val="0"/>
                    <w:adjustRightInd w:val="0"/>
                    <w:snapToGrid w:val="0"/>
                    <w:spacing w:line="280" w:lineRule="exact"/>
                    <w:jc w:val="center"/>
                    <w:rPr>
                      <w:rFonts w:hint="default" w:ascii="Times New Roman" w:hAnsi="Times New Roman"/>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叠片</w:t>
                  </w:r>
                </w:p>
              </w:tc>
              <w:tc>
                <w:tcPr>
                  <w:tcW w:w="1784" w:type="dxa"/>
                  <w:noWrap w:val="0"/>
                  <w:vAlign w:val="center"/>
                </w:tcPr>
                <w:p w14:paraId="36C0D95B">
                  <w:pPr>
                    <w:autoSpaceDE w:val="0"/>
                    <w:autoSpaceDN w:val="0"/>
                    <w:adjustRightInd w:val="0"/>
                    <w:snapToGrid w:val="0"/>
                    <w:spacing w:line="280" w:lineRule="exact"/>
                    <w:jc w:val="center"/>
                    <w:rPr>
                      <w:rFonts w:hint="default" w:ascii="Times New Roman" w:hAnsi="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kern w:val="0"/>
                      <w:sz w:val="21"/>
                      <w:szCs w:val="21"/>
                      <w:highlight w:val="none"/>
                      <w:lang w:val="en-US" w:eastAsia="zh-CN" w:bidi="ar-SA"/>
                      <w14:textFill>
                        <w14:solidFill>
                          <w14:schemeClr w14:val="tx1"/>
                        </w14:solidFill>
                      </w14:textFill>
                    </w:rPr>
                    <w:t>废隔膜、废极片</w:t>
                  </w:r>
                </w:p>
              </w:tc>
              <w:tc>
                <w:tcPr>
                  <w:tcW w:w="2623" w:type="dxa"/>
                  <w:noWrap w:val="0"/>
                  <w:vAlign w:val="center"/>
                </w:tcPr>
                <w:p w14:paraId="7E9D7E19">
                  <w:pPr>
                    <w:autoSpaceDE w:val="0"/>
                    <w:autoSpaceDN w:val="0"/>
                    <w:adjustRightInd w:val="0"/>
                    <w:snapToGrid w:val="0"/>
                    <w:spacing w:line="280" w:lineRule="exact"/>
                    <w:jc w:val="center"/>
                    <w:rPr>
                      <w:rFonts w:hint="eastAsia" w:ascii="Times New Roman" w:hAnsi="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color w:val="000000" w:themeColor="text1"/>
                      <w:kern w:val="0"/>
                      <w:szCs w:val="21"/>
                      <w:highlight w:val="none"/>
                      <w:lang w:val="en-US" w:eastAsia="zh-CN"/>
                      <w14:textFill>
                        <w14:solidFill>
                          <w14:schemeClr w14:val="tx1"/>
                        </w14:solidFill>
                      </w14:textFill>
                    </w:rPr>
                    <w:t>一般固废</w:t>
                  </w:r>
                </w:p>
              </w:tc>
            </w:tr>
            <w:tr w14:paraId="74628E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899" w:type="dxa"/>
                  <w:vMerge w:val="continue"/>
                  <w:noWrap w:val="0"/>
                  <w:vAlign w:val="center"/>
                </w:tcPr>
                <w:p w14:paraId="0AED9E80">
                  <w:pPr>
                    <w:autoSpaceDE w:val="0"/>
                    <w:autoSpaceDN w:val="0"/>
                    <w:adjustRightInd w:val="0"/>
                    <w:snapToGrid w:val="0"/>
                    <w:spacing w:line="280" w:lineRule="exact"/>
                    <w:jc w:val="center"/>
                    <w:rPr>
                      <w:rFonts w:hint="eastAsia" w:ascii="Times New Roman" w:hAnsi="Times New Roman"/>
                      <w:color w:val="000000" w:themeColor="text1"/>
                      <w:kern w:val="0"/>
                      <w:szCs w:val="21"/>
                      <w:highlight w:val="none"/>
                      <w14:textFill>
                        <w14:solidFill>
                          <w14:schemeClr w14:val="tx1"/>
                        </w14:solidFill>
                      </w14:textFill>
                    </w:rPr>
                  </w:pPr>
                </w:p>
              </w:tc>
              <w:tc>
                <w:tcPr>
                  <w:tcW w:w="2312" w:type="dxa"/>
                  <w:vMerge w:val="restart"/>
                  <w:noWrap w:val="0"/>
                  <w:vAlign w:val="center"/>
                </w:tcPr>
                <w:p w14:paraId="7F0E20FA">
                  <w:pPr>
                    <w:autoSpaceDE w:val="0"/>
                    <w:autoSpaceDN w:val="0"/>
                    <w:adjustRightInd w:val="0"/>
                    <w:snapToGrid w:val="0"/>
                    <w:spacing w:line="280" w:lineRule="exact"/>
                    <w:jc w:val="cente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压缩空气</w:t>
                  </w:r>
                </w:p>
              </w:tc>
              <w:tc>
                <w:tcPr>
                  <w:tcW w:w="1784" w:type="dxa"/>
                  <w:noWrap w:val="0"/>
                  <w:vAlign w:val="center"/>
                </w:tcPr>
                <w:p w14:paraId="549531E3">
                  <w:pPr>
                    <w:autoSpaceDE w:val="0"/>
                    <w:autoSpaceDN w:val="0"/>
                    <w:adjustRightInd w:val="0"/>
                    <w:snapToGrid w:val="0"/>
                    <w:spacing w:line="280" w:lineRule="exact"/>
                    <w:jc w:val="cente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滤渣</w:t>
                  </w:r>
                </w:p>
              </w:tc>
              <w:tc>
                <w:tcPr>
                  <w:tcW w:w="2623" w:type="dxa"/>
                  <w:noWrap w:val="0"/>
                  <w:vAlign w:val="center"/>
                </w:tcPr>
                <w:p w14:paraId="71DD3EA4">
                  <w:pPr>
                    <w:autoSpaceDE w:val="0"/>
                    <w:autoSpaceDN w:val="0"/>
                    <w:adjustRightInd w:val="0"/>
                    <w:snapToGrid w:val="0"/>
                    <w:spacing w:line="280" w:lineRule="exact"/>
                    <w:jc w:val="center"/>
                    <w:rPr>
                      <w:rFonts w:hint="eastAsia" w:ascii="Times New Roman" w:hAnsi="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color w:val="000000" w:themeColor="text1"/>
                      <w:kern w:val="0"/>
                      <w:szCs w:val="21"/>
                      <w:highlight w:val="none"/>
                      <w:lang w:val="en-US" w:eastAsia="zh-CN"/>
                      <w14:textFill>
                        <w14:solidFill>
                          <w14:schemeClr w14:val="tx1"/>
                        </w14:solidFill>
                      </w14:textFill>
                    </w:rPr>
                    <w:t>一般固废</w:t>
                  </w:r>
                </w:p>
              </w:tc>
            </w:tr>
            <w:tr w14:paraId="2F07EA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899" w:type="dxa"/>
                  <w:vMerge w:val="continue"/>
                  <w:noWrap w:val="0"/>
                  <w:vAlign w:val="center"/>
                </w:tcPr>
                <w:p w14:paraId="0C3D6785">
                  <w:pPr>
                    <w:autoSpaceDE w:val="0"/>
                    <w:autoSpaceDN w:val="0"/>
                    <w:adjustRightInd w:val="0"/>
                    <w:snapToGrid w:val="0"/>
                    <w:spacing w:line="280" w:lineRule="exact"/>
                    <w:jc w:val="center"/>
                    <w:rPr>
                      <w:rFonts w:hint="eastAsia" w:ascii="Times New Roman" w:hAnsi="Times New Roman"/>
                      <w:color w:val="000000" w:themeColor="text1"/>
                      <w:kern w:val="0"/>
                      <w:szCs w:val="21"/>
                      <w:highlight w:val="none"/>
                      <w14:textFill>
                        <w14:solidFill>
                          <w14:schemeClr w14:val="tx1"/>
                        </w14:solidFill>
                      </w14:textFill>
                    </w:rPr>
                  </w:pPr>
                </w:p>
              </w:tc>
              <w:tc>
                <w:tcPr>
                  <w:tcW w:w="2312" w:type="dxa"/>
                  <w:vMerge w:val="continue"/>
                  <w:noWrap w:val="0"/>
                  <w:vAlign w:val="center"/>
                </w:tcPr>
                <w:p w14:paraId="53035266">
                  <w:pPr>
                    <w:autoSpaceDE w:val="0"/>
                    <w:autoSpaceDN w:val="0"/>
                    <w:adjustRightInd w:val="0"/>
                    <w:snapToGrid w:val="0"/>
                    <w:spacing w:line="280" w:lineRule="exact"/>
                    <w:jc w:val="cente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p>
              </w:tc>
              <w:tc>
                <w:tcPr>
                  <w:tcW w:w="1784" w:type="dxa"/>
                  <w:noWrap w:val="0"/>
                  <w:vAlign w:val="center"/>
                </w:tcPr>
                <w:p w14:paraId="5F654421">
                  <w:pPr>
                    <w:autoSpaceDE w:val="0"/>
                    <w:autoSpaceDN w:val="0"/>
                    <w:adjustRightInd w:val="0"/>
                    <w:snapToGrid w:val="0"/>
                    <w:spacing w:line="280" w:lineRule="exact"/>
                    <w:jc w:val="cente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废滤芯</w:t>
                  </w:r>
                </w:p>
              </w:tc>
              <w:tc>
                <w:tcPr>
                  <w:tcW w:w="2623" w:type="dxa"/>
                  <w:noWrap w:val="0"/>
                  <w:vAlign w:val="center"/>
                </w:tcPr>
                <w:p w14:paraId="5757D9D2">
                  <w:pPr>
                    <w:autoSpaceDE w:val="0"/>
                    <w:autoSpaceDN w:val="0"/>
                    <w:adjustRightInd w:val="0"/>
                    <w:snapToGrid w:val="0"/>
                    <w:spacing w:line="280" w:lineRule="exact"/>
                    <w:jc w:val="center"/>
                    <w:rPr>
                      <w:rFonts w:hint="eastAsia" w:ascii="Times New Roman" w:hAnsi="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color w:val="000000" w:themeColor="text1"/>
                      <w:kern w:val="0"/>
                      <w:szCs w:val="21"/>
                      <w:highlight w:val="none"/>
                      <w:lang w:val="en-US" w:eastAsia="zh-CN"/>
                      <w14:textFill>
                        <w14:solidFill>
                          <w14:schemeClr w14:val="tx1"/>
                        </w14:solidFill>
                      </w14:textFill>
                    </w:rPr>
                    <w:t>一般固废</w:t>
                  </w:r>
                </w:p>
              </w:tc>
            </w:tr>
            <w:tr w14:paraId="12B62E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899" w:type="dxa"/>
                  <w:vMerge w:val="continue"/>
                  <w:noWrap w:val="0"/>
                  <w:vAlign w:val="center"/>
                </w:tcPr>
                <w:p w14:paraId="0C6A117D">
                  <w:pPr>
                    <w:autoSpaceDE w:val="0"/>
                    <w:autoSpaceDN w:val="0"/>
                    <w:adjustRightInd w:val="0"/>
                    <w:snapToGrid w:val="0"/>
                    <w:spacing w:line="280" w:lineRule="exact"/>
                    <w:jc w:val="center"/>
                    <w:rPr>
                      <w:rFonts w:hint="eastAsia" w:ascii="Times New Roman" w:hAnsi="Times New Roman"/>
                      <w:color w:val="000000" w:themeColor="text1"/>
                      <w:kern w:val="0"/>
                      <w:szCs w:val="21"/>
                      <w:highlight w:val="none"/>
                      <w14:textFill>
                        <w14:solidFill>
                          <w14:schemeClr w14:val="tx1"/>
                        </w14:solidFill>
                      </w14:textFill>
                    </w:rPr>
                  </w:pPr>
                </w:p>
              </w:tc>
              <w:tc>
                <w:tcPr>
                  <w:tcW w:w="2312" w:type="dxa"/>
                  <w:noWrap w:val="0"/>
                  <w:vAlign w:val="center"/>
                </w:tcPr>
                <w:p w14:paraId="256DB8CC">
                  <w:pPr>
                    <w:autoSpaceDE w:val="0"/>
                    <w:autoSpaceDN w:val="0"/>
                    <w:adjustRightInd w:val="0"/>
                    <w:snapToGrid w:val="0"/>
                    <w:spacing w:line="280" w:lineRule="exact"/>
                    <w:jc w:val="cente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制氮</w:t>
                  </w:r>
                </w:p>
              </w:tc>
              <w:tc>
                <w:tcPr>
                  <w:tcW w:w="1784" w:type="dxa"/>
                  <w:noWrap w:val="0"/>
                  <w:vAlign w:val="center"/>
                </w:tcPr>
                <w:p w14:paraId="1C2BBB64">
                  <w:pPr>
                    <w:autoSpaceDE w:val="0"/>
                    <w:autoSpaceDN w:val="0"/>
                    <w:adjustRightInd w:val="0"/>
                    <w:snapToGrid w:val="0"/>
                    <w:spacing w:line="280" w:lineRule="exact"/>
                    <w:jc w:val="cente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废</w:t>
                  </w:r>
                  <w:r>
                    <w:rPr>
                      <w:rFonts w:hint="eastAsia" w:cs="Times New Roman"/>
                      <w:color w:val="000000" w:themeColor="text1"/>
                      <w:kern w:val="0"/>
                      <w:szCs w:val="21"/>
                      <w:highlight w:val="none"/>
                      <w:lang w:val="en-US" w:eastAsia="zh-CN"/>
                      <w14:textFill>
                        <w14:solidFill>
                          <w14:schemeClr w14:val="tx1"/>
                        </w14:solidFill>
                      </w14:textFill>
                    </w:rPr>
                    <w:t>分子筛</w:t>
                  </w:r>
                </w:p>
              </w:tc>
              <w:tc>
                <w:tcPr>
                  <w:tcW w:w="2623" w:type="dxa"/>
                  <w:noWrap w:val="0"/>
                  <w:vAlign w:val="center"/>
                </w:tcPr>
                <w:p w14:paraId="2A6CEC3E">
                  <w:pPr>
                    <w:autoSpaceDE w:val="0"/>
                    <w:autoSpaceDN w:val="0"/>
                    <w:adjustRightInd w:val="0"/>
                    <w:snapToGrid w:val="0"/>
                    <w:spacing w:line="280" w:lineRule="exact"/>
                    <w:jc w:val="center"/>
                    <w:rPr>
                      <w:rFonts w:hint="eastAsia" w:ascii="Times New Roman" w:hAnsi="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color w:val="000000" w:themeColor="text1"/>
                      <w:kern w:val="0"/>
                      <w:szCs w:val="21"/>
                      <w:highlight w:val="none"/>
                      <w:lang w:val="en-US" w:eastAsia="zh-CN"/>
                      <w14:textFill>
                        <w14:solidFill>
                          <w14:schemeClr w14:val="tx1"/>
                        </w14:solidFill>
                      </w14:textFill>
                    </w:rPr>
                    <w:t>一般固废</w:t>
                  </w:r>
                </w:p>
              </w:tc>
            </w:tr>
            <w:tr w14:paraId="487F39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99" w:type="dxa"/>
                  <w:vMerge w:val="continue"/>
                  <w:noWrap w:val="0"/>
                  <w:vAlign w:val="center"/>
                </w:tcPr>
                <w:p w14:paraId="56DD37A0">
                  <w:pPr>
                    <w:autoSpaceDE w:val="0"/>
                    <w:autoSpaceDN w:val="0"/>
                    <w:adjustRightInd w:val="0"/>
                    <w:snapToGrid w:val="0"/>
                    <w:spacing w:line="280" w:lineRule="exact"/>
                    <w:jc w:val="center"/>
                    <w:rPr>
                      <w:rFonts w:hint="eastAsia" w:ascii="Times New Roman" w:hAnsi="Times New Roman"/>
                      <w:color w:val="000000" w:themeColor="text1"/>
                      <w:kern w:val="0"/>
                      <w:szCs w:val="21"/>
                      <w:highlight w:val="none"/>
                      <w14:textFill>
                        <w14:solidFill>
                          <w14:schemeClr w14:val="tx1"/>
                        </w14:solidFill>
                      </w14:textFill>
                    </w:rPr>
                  </w:pPr>
                </w:p>
              </w:tc>
              <w:tc>
                <w:tcPr>
                  <w:tcW w:w="2312" w:type="dxa"/>
                  <w:shd w:val="clear" w:color="auto" w:fill="auto"/>
                  <w:noWrap w:val="0"/>
                  <w:vAlign w:val="center"/>
                </w:tcPr>
                <w:p w14:paraId="38846340">
                  <w:pPr>
                    <w:autoSpaceDE w:val="0"/>
                    <w:autoSpaceDN w:val="0"/>
                    <w:adjustRightInd w:val="0"/>
                    <w:snapToGrid w:val="0"/>
                    <w:spacing w:line="280" w:lineRule="exact"/>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kern w:val="0"/>
                      <w:szCs w:val="21"/>
                      <w:highlight w:val="none"/>
                      <w:lang w:val="en-US" w:eastAsia="zh-CN"/>
                      <w14:textFill>
                        <w14:solidFill>
                          <w14:schemeClr w14:val="tx1"/>
                        </w14:solidFill>
                      </w14:textFill>
                    </w:rPr>
                    <w:t>纯水制备</w:t>
                  </w:r>
                </w:p>
              </w:tc>
              <w:tc>
                <w:tcPr>
                  <w:tcW w:w="1784" w:type="dxa"/>
                  <w:shd w:val="clear" w:color="auto" w:fill="auto"/>
                  <w:noWrap w:val="0"/>
                  <w:vAlign w:val="center"/>
                </w:tcPr>
                <w:p w14:paraId="15DF1B0F">
                  <w:pPr>
                    <w:autoSpaceDE w:val="0"/>
                    <w:autoSpaceDN w:val="0"/>
                    <w:adjustRightInd w:val="0"/>
                    <w:snapToGrid w:val="0"/>
                    <w:spacing w:line="280" w:lineRule="exact"/>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kern w:val="0"/>
                      <w:szCs w:val="21"/>
                      <w:highlight w:val="none"/>
                      <w:lang w:val="en-US" w:eastAsia="zh-CN"/>
                      <w14:textFill>
                        <w14:solidFill>
                          <w14:schemeClr w14:val="tx1"/>
                        </w14:solidFill>
                      </w14:textFill>
                    </w:rPr>
                    <w:t>废过滤材料</w:t>
                  </w:r>
                </w:p>
              </w:tc>
              <w:tc>
                <w:tcPr>
                  <w:tcW w:w="2623" w:type="dxa"/>
                  <w:shd w:val="clear" w:color="auto" w:fill="auto"/>
                  <w:noWrap w:val="0"/>
                  <w:vAlign w:val="center"/>
                </w:tcPr>
                <w:p w14:paraId="3BEFB7DE">
                  <w:pPr>
                    <w:autoSpaceDE w:val="0"/>
                    <w:autoSpaceDN w:val="0"/>
                    <w:adjustRightInd w:val="0"/>
                    <w:snapToGrid w:val="0"/>
                    <w:spacing w:line="280" w:lineRule="exact"/>
                    <w:jc w:val="center"/>
                    <w:rPr>
                      <w:rFonts w:hint="default" w:ascii="Times New Roman" w:hAnsi="Times New Roman" w:eastAsia="宋体"/>
                      <w:color w:val="000000" w:themeColor="text1"/>
                      <w:kern w:val="0"/>
                      <w:szCs w:val="21"/>
                      <w:highlight w:val="none"/>
                      <w:lang w:val="en-US" w:eastAsia="zh-CN"/>
                      <w14:textFill>
                        <w14:solidFill>
                          <w14:schemeClr w14:val="tx1"/>
                        </w14:solidFill>
                      </w14:textFill>
                    </w:rPr>
                  </w:pPr>
                  <w:r>
                    <w:rPr>
                      <w:rFonts w:hint="eastAsia" w:ascii="Times New Roman" w:hAnsi="Times New Roman"/>
                      <w:color w:val="000000" w:themeColor="text1"/>
                      <w:kern w:val="0"/>
                      <w:szCs w:val="21"/>
                      <w:highlight w:val="none"/>
                      <w:lang w:val="en-US" w:eastAsia="zh-CN"/>
                      <w14:textFill>
                        <w14:solidFill>
                          <w14:schemeClr w14:val="tx1"/>
                        </w14:solidFill>
                      </w14:textFill>
                    </w:rPr>
                    <w:t>一般固废</w:t>
                  </w:r>
                </w:p>
              </w:tc>
            </w:tr>
            <w:tr w14:paraId="4C2DAD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99" w:type="dxa"/>
                  <w:vMerge w:val="continue"/>
                  <w:noWrap w:val="0"/>
                  <w:vAlign w:val="center"/>
                </w:tcPr>
                <w:p w14:paraId="104F9B21">
                  <w:pPr>
                    <w:autoSpaceDE w:val="0"/>
                    <w:autoSpaceDN w:val="0"/>
                    <w:adjustRightInd w:val="0"/>
                    <w:snapToGrid w:val="0"/>
                    <w:spacing w:line="280" w:lineRule="exact"/>
                    <w:jc w:val="center"/>
                    <w:rPr>
                      <w:rFonts w:hint="eastAsia" w:ascii="Times New Roman" w:hAnsi="Times New Roman"/>
                      <w:color w:val="000000" w:themeColor="text1"/>
                      <w:kern w:val="0"/>
                      <w:sz w:val="21"/>
                      <w:szCs w:val="21"/>
                      <w:highlight w:val="none"/>
                      <w14:textFill>
                        <w14:solidFill>
                          <w14:schemeClr w14:val="tx1"/>
                        </w14:solidFill>
                      </w14:textFill>
                    </w:rPr>
                  </w:pPr>
                </w:p>
              </w:tc>
              <w:tc>
                <w:tcPr>
                  <w:tcW w:w="2312" w:type="dxa"/>
                  <w:shd w:val="clear" w:color="auto" w:fill="auto"/>
                  <w:noWrap w:val="0"/>
                  <w:vAlign w:val="center"/>
                </w:tcPr>
                <w:p w14:paraId="2CA1D656">
                  <w:pPr>
                    <w:autoSpaceDE w:val="0"/>
                    <w:autoSpaceDN w:val="0"/>
                    <w:adjustRightInd w:val="0"/>
                    <w:snapToGrid w:val="0"/>
                    <w:spacing w:line="280" w:lineRule="exact"/>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投料</w:t>
                  </w:r>
                </w:p>
              </w:tc>
              <w:tc>
                <w:tcPr>
                  <w:tcW w:w="1784" w:type="dxa"/>
                  <w:shd w:val="clear" w:color="auto" w:fill="auto"/>
                  <w:noWrap w:val="0"/>
                  <w:vAlign w:val="center"/>
                </w:tcPr>
                <w:p w14:paraId="6EFBC7CB">
                  <w:pPr>
                    <w:autoSpaceDE w:val="0"/>
                    <w:autoSpaceDN w:val="0"/>
                    <w:adjustRightInd w:val="0"/>
                    <w:snapToGrid w:val="0"/>
                    <w:spacing w:line="280" w:lineRule="exact"/>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除尘器收集粉尘</w:t>
                  </w:r>
                </w:p>
              </w:tc>
              <w:tc>
                <w:tcPr>
                  <w:tcW w:w="2623" w:type="dxa"/>
                  <w:shd w:val="clear" w:color="auto" w:fill="auto"/>
                  <w:noWrap w:val="0"/>
                  <w:vAlign w:val="center"/>
                </w:tcPr>
                <w:p w14:paraId="17BF20FA">
                  <w:pPr>
                    <w:autoSpaceDE w:val="0"/>
                    <w:autoSpaceDN w:val="0"/>
                    <w:adjustRightInd w:val="0"/>
                    <w:snapToGrid w:val="0"/>
                    <w:spacing w:line="280" w:lineRule="exact"/>
                    <w:jc w:val="center"/>
                    <w:rPr>
                      <w:rFonts w:hint="eastAsia" w:ascii="Times New Roman" w:hAnsi="Times New Roman"/>
                      <w:color w:val="000000" w:themeColor="text1"/>
                      <w:kern w:val="0"/>
                      <w:sz w:val="21"/>
                      <w:szCs w:val="21"/>
                      <w:highlight w:val="none"/>
                      <w:lang w:val="en-US" w:eastAsia="zh-CN"/>
                      <w14:textFill>
                        <w14:solidFill>
                          <w14:schemeClr w14:val="tx1"/>
                        </w14:solidFill>
                      </w14:textFill>
                    </w:rPr>
                  </w:pPr>
                  <w:r>
                    <w:rPr>
                      <w:rFonts w:hint="eastAsia" w:ascii="Times New Roman" w:hAnsi="Times New Roman"/>
                      <w:color w:val="000000" w:themeColor="text1"/>
                      <w:kern w:val="0"/>
                      <w:sz w:val="21"/>
                      <w:szCs w:val="21"/>
                      <w:highlight w:val="none"/>
                      <w:lang w:val="en-US" w:eastAsia="zh-CN"/>
                      <w14:textFill>
                        <w14:solidFill>
                          <w14:schemeClr w14:val="tx1"/>
                        </w14:solidFill>
                      </w14:textFill>
                    </w:rPr>
                    <w:t>一般固废</w:t>
                  </w:r>
                </w:p>
              </w:tc>
            </w:tr>
            <w:tr w14:paraId="5F893F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99" w:type="dxa"/>
                  <w:vMerge w:val="continue"/>
                  <w:noWrap w:val="0"/>
                  <w:vAlign w:val="center"/>
                </w:tcPr>
                <w:p w14:paraId="7A612AC8">
                  <w:pPr>
                    <w:autoSpaceDE w:val="0"/>
                    <w:autoSpaceDN w:val="0"/>
                    <w:adjustRightInd w:val="0"/>
                    <w:snapToGrid w:val="0"/>
                    <w:spacing w:line="280" w:lineRule="exact"/>
                    <w:jc w:val="center"/>
                    <w:rPr>
                      <w:rFonts w:hint="eastAsia" w:ascii="Times New Roman" w:hAnsi="Times New Roman"/>
                      <w:color w:val="000000" w:themeColor="text1"/>
                      <w:kern w:val="0"/>
                      <w:sz w:val="21"/>
                      <w:szCs w:val="21"/>
                      <w:highlight w:val="none"/>
                      <w14:textFill>
                        <w14:solidFill>
                          <w14:schemeClr w14:val="tx1"/>
                        </w14:solidFill>
                      </w14:textFill>
                    </w:rPr>
                  </w:pPr>
                </w:p>
              </w:tc>
              <w:tc>
                <w:tcPr>
                  <w:tcW w:w="2312" w:type="dxa"/>
                  <w:shd w:val="clear" w:color="auto" w:fill="auto"/>
                  <w:noWrap w:val="0"/>
                  <w:vAlign w:val="center"/>
                </w:tcPr>
                <w:p w14:paraId="1E75BC77">
                  <w:pPr>
                    <w:autoSpaceDE w:val="0"/>
                    <w:autoSpaceDN w:val="0"/>
                    <w:adjustRightInd w:val="0"/>
                    <w:snapToGrid w:val="0"/>
                    <w:spacing w:line="280" w:lineRule="exact"/>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NMP回收</w:t>
                  </w:r>
                </w:p>
              </w:tc>
              <w:tc>
                <w:tcPr>
                  <w:tcW w:w="1784" w:type="dxa"/>
                  <w:shd w:val="clear" w:color="auto" w:fill="auto"/>
                  <w:noWrap w:val="0"/>
                  <w:vAlign w:val="center"/>
                </w:tcPr>
                <w:p w14:paraId="0A5FF5A6">
                  <w:pPr>
                    <w:autoSpaceDE w:val="0"/>
                    <w:autoSpaceDN w:val="0"/>
                    <w:adjustRightInd w:val="0"/>
                    <w:snapToGrid w:val="0"/>
                    <w:spacing w:line="280" w:lineRule="exact"/>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NMP回收液</w:t>
                  </w:r>
                </w:p>
              </w:tc>
              <w:tc>
                <w:tcPr>
                  <w:tcW w:w="2623" w:type="dxa"/>
                  <w:shd w:val="clear" w:color="auto" w:fill="auto"/>
                  <w:noWrap w:val="0"/>
                  <w:vAlign w:val="center"/>
                </w:tcPr>
                <w:p w14:paraId="75EB16CB">
                  <w:pPr>
                    <w:autoSpaceDE w:val="0"/>
                    <w:autoSpaceDN w:val="0"/>
                    <w:adjustRightInd w:val="0"/>
                    <w:snapToGrid w:val="0"/>
                    <w:spacing w:line="280" w:lineRule="exact"/>
                    <w:jc w:val="center"/>
                    <w:rPr>
                      <w:rFonts w:hint="eastAsia" w:ascii="Times New Roman" w:hAnsi="Times New Roman"/>
                      <w:color w:val="000000" w:themeColor="text1"/>
                      <w:kern w:val="0"/>
                      <w:sz w:val="21"/>
                      <w:szCs w:val="21"/>
                      <w:highlight w:val="none"/>
                      <w:lang w:val="en-US" w:eastAsia="zh-CN"/>
                      <w14:textFill>
                        <w14:solidFill>
                          <w14:schemeClr w14:val="tx1"/>
                        </w14:solidFill>
                      </w14:textFill>
                    </w:rPr>
                  </w:pPr>
                  <w:r>
                    <w:rPr>
                      <w:rFonts w:hint="eastAsia" w:ascii="Times New Roman" w:hAnsi="Times New Roman"/>
                      <w:color w:val="000000" w:themeColor="text1"/>
                      <w:kern w:val="0"/>
                      <w:sz w:val="21"/>
                      <w:szCs w:val="21"/>
                      <w:highlight w:val="none"/>
                      <w:lang w:val="en-US" w:eastAsia="zh-CN"/>
                      <w14:textFill>
                        <w14:solidFill>
                          <w14:schemeClr w14:val="tx1"/>
                        </w14:solidFill>
                      </w14:textFill>
                    </w:rPr>
                    <w:t>一般固废</w:t>
                  </w:r>
                </w:p>
              </w:tc>
            </w:tr>
            <w:tr w14:paraId="73389E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99" w:type="dxa"/>
                  <w:vMerge w:val="continue"/>
                  <w:noWrap w:val="0"/>
                  <w:vAlign w:val="center"/>
                </w:tcPr>
                <w:p w14:paraId="0CDB5B33">
                  <w:pPr>
                    <w:autoSpaceDE w:val="0"/>
                    <w:autoSpaceDN w:val="0"/>
                    <w:adjustRightInd w:val="0"/>
                    <w:snapToGrid w:val="0"/>
                    <w:spacing w:line="280" w:lineRule="exact"/>
                    <w:jc w:val="center"/>
                    <w:rPr>
                      <w:rFonts w:hint="eastAsia" w:ascii="Times New Roman" w:hAnsi="Times New Roman"/>
                      <w:color w:val="000000" w:themeColor="text1"/>
                      <w:kern w:val="0"/>
                      <w:sz w:val="21"/>
                      <w:szCs w:val="21"/>
                      <w:highlight w:val="none"/>
                      <w14:textFill>
                        <w14:solidFill>
                          <w14:schemeClr w14:val="tx1"/>
                        </w14:solidFill>
                      </w14:textFill>
                    </w:rPr>
                  </w:pPr>
                </w:p>
              </w:tc>
              <w:tc>
                <w:tcPr>
                  <w:tcW w:w="2312" w:type="dxa"/>
                  <w:noWrap w:val="0"/>
                  <w:vAlign w:val="center"/>
                </w:tcPr>
                <w:p w14:paraId="51C105DC">
                  <w:pPr>
                    <w:autoSpaceDE w:val="0"/>
                    <w:autoSpaceDN w:val="0"/>
                    <w:adjustRightInd w:val="0"/>
                    <w:snapToGrid w:val="0"/>
                    <w:spacing w:line="280" w:lineRule="exact"/>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活性炭吸附装置</w:t>
                  </w:r>
                </w:p>
              </w:tc>
              <w:tc>
                <w:tcPr>
                  <w:tcW w:w="1784" w:type="dxa"/>
                  <w:noWrap w:val="0"/>
                  <w:vAlign w:val="center"/>
                </w:tcPr>
                <w:p w14:paraId="375F059A">
                  <w:pPr>
                    <w:autoSpaceDE w:val="0"/>
                    <w:autoSpaceDN w:val="0"/>
                    <w:adjustRightInd w:val="0"/>
                    <w:snapToGrid w:val="0"/>
                    <w:spacing w:line="280" w:lineRule="exact"/>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废活性炭</w:t>
                  </w:r>
                </w:p>
              </w:tc>
              <w:tc>
                <w:tcPr>
                  <w:tcW w:w="2623" w:type="dxa"/>
                  <w:noWrap w:val="0"/>
                  <w:vAlign w:val="center"/>
                </w:tcPr>
                <w:p w14:paraId="20A9C0B3">
                  <w:pPr>
                    <w:autoSpaceDE w:val="0"/>
                    <w:autoSpaceDN w:val="0"/>
                    <w:adjustRightInd w:val="0"/>
                    <w:snapToGrid w:val="0"/>
                    <w:spacing w:line="280" w:lineRule="exact"/>
                    <w:jc w:val="center"/>
                    <w:rPr>
                      <w:rFonts w:hint="eastAsia" w:ascii="Times New Roman" w:hAnsi="Times New Roman"/>
                      <w:color w:val="000000" w:themeColor="text1"/>
                      <w:kern w:val="0"/>
                      <w:sz w:val="21"/>
                      <w:szCs w:val="21"/>
                      <w:highlight w:val="none"/>
                      <w:lang w:val="en-US" w:eastAsia="zh-CN"/>
                      <w14:textFill>
                        <w14:solidFill>
                          <w14:schemeClr w14:val="tx1"/>
                        </w14:solidFill>
                      </w14:textFill>
                    </w:rPr>
                  </w:pPr>
                  <w:r>
                    <w:rPr>
                      <w:rFonts w:hint="eastAsia" w:ascii="Times New Roman" w:hAnsi="Times New Roman"/>
                      <w:color w:val="000000" w:themeColor="text1"/>
                      <w:kern w:val="0"/>
                      <w:sz w:val="21"/>
                      <w:szCs w:val="21"/>
                      <w:highlight w:val="none"/>
                      <w:lang w:val="en-US" w:eastAsia="zh-CN"/>
                      <w14:textFill>
                        <w14:solidFill>
                          <w14:schemeClr w14:val="tx1"/>
                        </w14:solidFill>
                      </w14:textFill>
                    </w:rPr>
                    <w:t>危险废物</w:t>
                  </w:r>
                </w:p>
              </w:tc>
            </w:tr>
            <w:tr w14:paraId="4BA19F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99" w:type="dxa"/>
                  <w:vMerge w:val="continue"/>
                  <w:noWrap w:val="0"/>
                  <w:vAlign w:val="center"/>
                </w:tcPr>
                <w:p w14:paraId="0EC18CD4">
                  <w:pPr>
                    <w:autoSpaceDE w:val="0"/>
                    <w:autoSpaceDN w:val="0"/>
                    <w:adjustRightInd w:val="0"/>
                    <w:snapToGrid w:val="0"/>
                    <w:spacing w:line="280" w:lineRule="exact"/>
                    <w:jc w:val="center"/>
                    <w:rPr>
                      <w:rFonts w:hint="eastAsia" w:ascii="Times New Roman" w:hAnsi="Times New Roman"/>
                      <w:color w:val="000000" w:themeColor="text1"/>
                      <w:kern w:val="0"/>
                      <w:sz w:val="21"/>
                      <w:szCs w:val="21"/>
                      <w:highlight w:val="none"/>
                      <w14:textFill>
                        <w14:solidFill>
                          <w14:schemeClr w14:val="tx1"/>
                        </w14:solidFill>
                      </w14:textFill>
                    </w:rPr>
                  </w:pPr>
                </w:p>
              </w:tc>
              <w:tc>
                <w:tcPr>
                  <w:tcW w:w="2312" w:type="dxa"/>
                  <w:noWrap w:val="0"/>
                  <w:vAlign w:val="center"/>
                </w:tcPr>
                <w:p w14:paraId="6CC0A0DF">
                  <w:pPr>
                    <w:autoSpaceDE w:val="0"/>
                    <w:autoSpaceDN w:val="0"/>
                    <w:adjustRightInd w:val="0"/>
                    <w:snapToGrid w:val="0"/>
                    <w:spacing w:line="280" w:lineRule="exact"/>
                    <w:jc w:val="center"/>
                    <w:rPr>
                      <w:rFonts w:hint="default"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电池拆解</w:t>
                  </w:r>
                </w:p>
              </w:tc>
              <w:tc>
                <w:tcPr>
                  <w:tcW w:w="1784" w:type="dxa"/>
                  <w:noWrap w:val="0"/>
                  <w:vAlign w:val="center"/>
                </w:tcPr>
                <w:p w14:paraId="0B104995">
                  <w:pPr>
                    <w:autoSpaceDE w:val="0"/>
                    <w:autoSpaceDN w:val="0"/>
                    <w:adjustRightInd w:val="0"/>
                    <w:snapToGrid w:val="0"/>
                    <w:spacing w:line="280" w:lineRule="exact"/>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沾染危险物质的废组件</w:t>
                  </w:r>
                </w:p>
              </w:tc>
              <w:tc>
                <w:tcPr>
                  <w:tcW w:w="2623" w:type="dxa"/>
                  <w:noWrap w:val="0"/>
                  <w:vAlign w:val="center"/>
                </w:tcPr>
                <w:p w14:paraId="32990DEA">
                  <w:pPr>
                    <w:autoSpaceDE w:val="0"/>
                    <w:autoSpaceDN w:val="0"/>
                    <w:adjustRightInd w:val="0"/>
                    <w:snapToGrid w:val="0"/>
                    <w:spacing w:line="280" w:lineRule="exact"/>
                    <w:jc w:val="center"/>
                    <w:rPr>
                      <w:rFonts w:hint="default" w:ascii="Times New Roman" w:hAnsi="Times New Roman"/>
                      <w:color w:val="000000" w:themeColor="text1"/>
                      <w:kern w:val="0"/>
                      <w:sz w:val="21"/>
                      <w:szCs w:val="21"/>
                      <w:highlight w:val="none"/>
                      <w:lang w:val="en-US" w:eastAsia="zh-CN"/>
                      <w14:textFill>
                        <w14:solidFill>
                          <w14:schemeClr w14:val="tx1"/>
                        </w14:solidFill>
                      </w14:textFill>
                    </w:rPr>
                  </w:pPr>
                  <w:r>
                    <w:rPr>
                      <w:rFonts w:hint="eastAsia"/>
                      <w:color w:val="000000" w:themeColor="text1"/>
                      <w:kern w:val="0"/>
                      <w:sz w:val="21"/>
                      <w:szCs w:val="21"/>
                      <w:highlight w:val="none"/>
                      <w:lang w:val="en-US" w:eastAsia="zh-CN"/>
                      <w14:textFill>
                        <w14:solidFill>
                          <w14:schemeClr w14:val="tx1"/>
                        </w14:solidFill>
                      </w14:textFill>
                    </w:rPr>
                    <w:t>危险废物</w:t>
                  </w:r>
                </w:p>
              </w:tc>
            </w:tr>
            <w:tr w14:paraId="5DE994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99" w:type="dxa"/>
                  <w:vMerge w:val="continue"/>
                  <w:noWrap w:val="0"/>
                  <w:vAlign w:val="center"/>
                </w:tcPr>
                <w:p w14:paraId="3C4584CD">
                  <w:pPr>
                    <w:autoSpaceDE w:val="0"/>
                    <w:autoSpaceDN w:val="0"/>
                    <w:adjustRightInd w:val="0"/>
                    <w:snapToGrid w:val="0"/>
                    <w:spacing w:line="280" w:lineRule="exact"/>
                    <w:jc w:val="center"/>
                    <w:rPr>
                      <w:rFonts w:hint="eastAsia" w:ascii="Times New Roman" w:hAnsi="Times New Roman"/>
                      <w:color w:val="000000" w:themeColor="text1"/>
                      <w:kern w:val="0"/>
                      <w:sz w:val="21"/>
                      <w:szCs w:val="21"/>
                      <w:highlight w:val="none"/>
                      <w14:textFill>
                        <w14:solidFill>
                          <w14:schemeClr w14:val="tx1"/>
                        </w14:solidFill>
                      </w14:textFill>
                    </w:rPr>
                  </w:pPr>
                </w:p>
              </w:tc>
              <w:tc>
                <w:tcPr>
                  <w:tcW w:w="2312" w:type="dxa"/>
                  <w:noWrap w:val="0"/>
                  <w:vAlign w:val="center"/>
                </w:tcPr>
                <w:p w14:paraId="4653D720">
                  <w:pPr>
                    <w:autoSpaceDE w:val="0"/>
                    <w:autoSpaceDN w:val="0"/>
                    <w:adjustRightInd w:val="0"/>
                    <w:snapToGrid w:val="0"/>
                    <w:spacing w:line="280" w:lineRule="exact"/>
                    <w:jc w:val="center"/>
                    <w:rPr>
                      <w:rFonts w:hint="eastAsia"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废水处理</w:t>
                  </w:r>
                </w:p>
              </w:tc>
              <w:tc>
                <w:tcPr>
                  <w:tcW w:w="1784" w:type="dxa"/>
                  <w:noWrap w:val="0"/>
                  <w:vAlign w:val="center"/>
                </w:tcPr>
                <w:p w14:paraId="03147427">
                  <w:pPr>
                    <w:autoSpaceDE w:val="0"/>
                    <w:autoSpaceDN w:val="0"/>
                    <w:adjustRightInd w:val="0"/>
                    <w:snapToGrid w:val="0"/>
                    <w:spacing w:line="280" w:lineRule="exact"/>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污泥</w:t>
                  </w:r>
                </w:p>
              </w:tc>
              <w:tc>
                <w:tcPr>
                  <w:tcW w:w="2623" w:type="dxa"/>
                  <w:noWrap w:val="0"/>
                  <w:vAlign w:val="center"/>
                </w:tcPr>
                <w:p w14:paraId="1E7C16F7">
                  <w:pPr>
                    <w:autoSpaceDE w:val="0"/>
                    <w:autoSpaceDN w:val="0"/>
                    <w:adjustRightInd w:val="0"/>
                    <w:snapToGrid w:val="0"/>
                    <w:spacing w:line="280" w:lineRule="exact"/>
                    <w:jc w:val="center"/>
                    <w:rPr>
                      <w:rFonts w:hint="eastAsia"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ascii="Times New Roman" w:hAnsi="Times New Roman"/>
                      <w:color w:val="000000" w:themeColor="text1"/>
                      <w:kern w:val="0"/>
                      <w:sz w:val="21"/>
                      <w:szCs w:val="21"/>
                      <w:highlight w:val="none"/>
                      <w:lang w:val="en-US" w:eastAsia="zh-CN"/>
                      <w14:textFill>
                        <w14:solidFill>
                          <w14:schemeClr w14:val="tx1"/>
                        </w14:solidFill>
                      </w14:textFill>
                    </w:rPr>
                    <w:t>危险废物</w:t>
                  </w:r>
                </w:p>
              </w:tc>
            </w:tr>
            <w:tr w14:paraId="3324E9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99" w:type="dxa"/>
                  <w:vMerge w:val="continue"/>
                  <w:noWrap w:val="0"/>
                  <w:vAlign w:val="center"/>
                </w:tcPr>
                <w:p w14:paraId="33744582">
                  <w:pPr>
                    <w:autoSpaceDE w:val="0"/>
                    <w:autoSpaceDN w:val="0"/>
                    <w:adjustRightInd w:val="0"/>
                    <w:snapToGrid w:val="0"/>
                    <w:spacing w:line="280" w:lineRule="exact"/>
                    <w:jc w:val="center"/>
                    <w:rPr>
                      <w:rFonts w:hint="eastAsia" w:ascii="Times New Roman" w:hAnsi="Times New Roman"/>
                      <w:color w:val="000000" w:themeColor="text1"/>
                      <w:kern w:val="0"/>
                      <w:sz w:val="21"/>
                      <w:szCs w:val="21"/>
                      <w:highlight w:val="none"/>
                      <w14:textFill>
                        <w14:solidFill>
                          <w14:schemeClr w14:val="tx1"/>
                        </w14:solidFill>
                      </w14:textFill>
                    </w:rPr>
                  </w:pPr>
                </w:p>
              </w:tc>
              <w:tc>
                <w:tcPr>
                  <w:tcW w:w="2312" w:type="dxa"/>
                  <w:noWrap w:val="0"/>
                  <w:vAlign w:val="center"/>
                </w:tcPr>
                <w:p w14:paraId="7C8E0EF4">
                  <w:pPr>
                    <w:autoSpaceDE w:val="0"/>
                    <w:autoSpaceDN w:val="0"/>
                    <w:adjustRightInd w:val="0"/>
                    <w:snapToGrid w:val="0"/>
                    <w:spacing w:line="280" w:lineRule="exact"/>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电池拆解、清理注液机</w:t>
                  </w:r>
                </w:p>
              </w:tc>
              <w:tc>
                <w:tcPr>
                  <w:tcW w:w="1784" w:type="dxa"/>
                  <w:noWrap w:val="0"/>
                  <w:vAlign w:val="center"/>
                </w:tcPr>
                <w:p w14:paraId="6BDF8EE6">
                  <w:pPr>
                    <w:autoSpaceDE w:val="0"/>
                    <w:autoSpaceDN w:val="0"/>
                    <w:adjustRightInd w:val="0"/>
                    <w:snapToGrid w:val="0"/>
                    <w:spacing w:line="280" w:lineRule="exact"/>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废电解液</w:t>
                  </w:r>
                </w:p>
              </w:tc>
              <w:tc>
                <w:tcPr>
                  <w:tcW w:w="2623" w:type="dxa"/>
                  <w:noWrap w:val="0"/>
                  <w:vAlign w:val="center"/>
                </w:tcPr>
                <w:p w14:paraId="2C20B14F">
                  <w:pPr>
                    <w:autoSpaceDE w:val="0"/>
                    <w:autoSpaceDN w:val="0"/>
                    <w:adjustRightInd w:val="0"/>
                    <w:snapToGrid w:val="0"/>
                    <w:spacing w:line="280" w:lineRule="exact"/>
                    <w:jc w:val="center"/>
                    <w:rPr>
                      <w:rFonts w:hint="eastAsia" w:ascii="Times New Roman" w:hAnsi="Times New Roman"/>
                      <w:color w:val="000000" w:themeColor="text1"/>
                      <w:kern w:val="0"/>
                      <w:sz w:val="21"/>
                      <w:szCs w:val="21"/>
                      <w:highlight w:val="none"/>
                      <w:lang w:val="en-US" w:eastAsia="zh-CN"/>
                      <w14:textFill>
                        <w14:solidFill>
                          <w14:schemeClr w14:val="tx1"/>
                        </w14:solidFill>
                      </w14:textFill>
                    </w:rPr>
                  </w:pPr>
                  <w:r>
                    <w:rPr>
                      <w:rFonts w:hint="eastAsia" w:ascii="Times New Roman" w:hAnsi="Times New Roman"/>
                      <w:color w:val="000000" w:themeColor="text1"/>
                      <w:kern w:val="0"/>
                      <w:sz w:val="21"/>
                      <w:szCs w:val="21"/>
                      <w:highlight w:val="none"/>
                      <w:lang w:val="en-US" w:eastAsia="zh-CN"/>
                      <w14:textFill>
                        <w14:solidFill>
                          <w14:schemeClr w14:val="tx1"/>
                        </w14:solidFill>
                      </w14:textFill>
                    </w:rPr>
                    <w:t>危险废物</w:t>
                  </w:r>
                </w:p>
              </w:tc>
            </w:tr>
            <w:tr w14:paraId="77A501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99" w:type="dxa"/>
                  <w:vMerge w:val="continue"/>
                  <w:noWrap w:val="0"/>
                  <w:vAlign w:val="center"/>
                </w:tcPr>
                <w:p w14:paraId="26D64F6C">
                  <w:pPr>
                    <w:autoSpaceDE w:val="0"/>
                    <w:autoSpaceDN w:val="0"/>
                    <w:adjustRightInd w:val="0"/>
                    <w:snapToGrid w:val="0"/>
                    <w:spacing w:line="280" w:lineRule="exact"/>
                    <w:jc w:val="center"/>
                    <w:rPr>
                      <w:rFonts w:hint="eastAsia" w:ascii="Times New Roman" w:hAnsi="Times New Roman"/>
                      <w:color w:val="000000" w:themeColor="text1"/>
                      <w:kern w:val="0"/>
                      <w:sz w:val="21"/>
                      <w:szCs w:val="21"/>
                      <w:highlight w:val="none"/>
                      <w14:textFill>
                        <w14:solidFill>
                          <w14:schemeClr w14:val="tx1"/>
                        </w14:solidFill>
                      </w14:textFill>
                    </w:rPr>
                  </w:pPr>
                </w:p>
              </w:tc>
              <w:tc>
                <w:tcPr>
                  <w:tcW w:w="2312" w:type="dxa"/>
                  <w:noWrap w:val="0"/>
                  <w:vAlign w:val="center"/>
                </w:tcPr>
                <w:p w14:paraId="21CF5B8A">
                  <w:pPr>
                    <w:autoSpaceDE w:val="0"/>
                    <w:autoSpaceDN w:val="0"/>
                    <w:adjustRightInd w:val="0"/>
                    <w:snapToGrid w:val="0"/>
                    <w:spacing w:line="280" w:lineRule="exact"/>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设备维护</w:t>
                  </w:r>
                </w:p>
              </w:tc>
              <w:tc>
                <w:tcPr>
                  <w:tcW w:w="1784" w:type="dxa"/>
                  <w:noWrap w:val="0"/>
                  <w:vAlign w:val="center"/>
                </w:tcPr>
                <w:p w14:paraId="4A28E4AB">
                  <w:pPr>
                    <w:autoSpaceDE w:val="0"/>
                    <w:autoSpaceDN w:val="0"/>
                    <w:adjustRightInd w:val="0"/>
                    <w:snapToGrid w:val="0"/>
                    <w:spacing w:line="280" w:lineRule="exact"/>
                    <w:jc w:val="center"/>
                    <w:rPr>
                      <w:rFonts w:hint="eastAsia"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含油抹布、手套、废油桶、废机油</w:t>
                  </w:r>
                </w:p>
              </w:tc>
              <w:tc>
                <w:tcPr>
                  <w:tcW w:w="2623" w:type="dxa"/>
                  <w:noWrap w:val="0"/>
                  <w:vAlign w:val="center"/>
                </w:tcPr>
                <w:p w14:paraId="550ECA21">
                  <w:pPr>
                    <w:autoSpaceDE w:val="0"/>
                    <w:autoSpaceDN w:val="0"/>
                    <w:adjustRightInd w:val="0"/>
                    <w:snapToGrid w:val="0"/>
                    <w:spacing w:line="280" w:lineRule="exact"/>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ascii="Times New Roman" w:hAnsi="Times New Roman"/>
                      <w:color w:val="000000" w:themeColor="text1"/>
                      <w:kern w:val="0"/>
                      <w:sz w:val="21"/>
                      <w:szCs w:val="21"/>
                      <w:highlight w:val="none"/>
                      <w:lang w:val="en-US" w:eastAsia="zh-CN"/>
                      <w14:textFill>
                        <w14:solidFill>
                          <w14:schemeClr w14:val="tx1"/>
                        </w14:solidFill>
                      </w14:textFill>
                    </w:rPr>
                    <w:t>危险废物</w:t>
                  </w:r>
                </w:p>
              </w:tc>
            </w:tr>
            <w:tr w14:paraId="3B229D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99" w:type="dxa"/>
                  <w:vMerge w:val="continue"/>
                  <w:noWrap w:val="0"/>
                  <w:vAlign w:val="center"/>
                </w:tcPr>
                <w:p w14:paraId="1BB58817">
                  <w:pPr>
                    <w:autoSpaceDE w:val="0"/>
                    <w:autoSpaceDN w:val="0"/>
                    <w:adjustRightInd w:val="0"/>
                    <w:snapToGrid w:val="0"/>
                    <w:spacing w:line="280" w:lineRule="exact"/>
                    <w:jc w:val="center"/>
                    <w:rPr>
                      <w:rFonts w:hint="eastAsia" w:ascii="Times New Roman" w:hAnsi="Times New Roman"/>
                      <w:color w:val="000000" w:themeColor="text1"/>
                      <w:kern w:val="0"/>
                      <w:szCs w:val="21"/>
                      <w:highlight w:val="none"/>
                      <w14:textFill>
                        <w14:solidFill>
                          <w14:schemeClr w14:val="tx1"/>
                        </w14:solidFill>
                      </w14:textFill>
                    </w:rPr>
                  </w:pPr>
                </w:p>
              </w:tc>
              <w:tc>
                <w:tcPr>
                  <w:tcW w:w="2312" w:type="dxa"/>
                  <w:noWrap w:val="0"/>
                  <w:vAlign w:val="center"/>
                </w:tcPr>
                <w:p w14:paraId="3A2787A8">
                  <w:pPr>
                    <w:autoSpaceDE w:val="0"/>
                    <w:autoSpaceDN w:val="0"/>
                    <w:adjustRightInd w:val="0"/>
                    <w:snapToGrid w:val="0"/>
                    <w:spacing w:line="280" w:lineRule="exact"/>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原辅料使用</w:t>
                  </w:r>
                </w:p>
              </w:tc>
              <w:tc>
                <w:tcPr>
                  <w:tcW w:w="1784" w:type="dxa"/>
                  <w:noWrap w:val="0"/>
                  <w:vAlign w:val="center"/>
                </w:tcPr>
                <w:p w14:paraId="22A9F9A4">
                  <w:pPr>
                    <w:autoSpaceDE w:val="0"/>
                    <w:autoSpaceDN w:val="0"/>
                    <w:adjustRightInd w:val="0"/>
                    <w:snapToGrid w:val="0"/>
                    <w:spacing w:line="280" w:lineRule="exact"/>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废危化品包装桶</w:t>
                  </w:r>
                </w:p>
              </w:tc>
              <w:tc>
                <w:tcPr>
                  <w:tcW w:w="2623" w:type="dxa"/>
                  <w:noWrap w:val="0"/>
                  <w:vAlign w:val="center"/>
                </w:tcPr>
                <w:p w14:paraId="1063EBFA">
                  <w:pPr>
                    <w:autoSpaceDE w:val="0"/>
                    <w:autoSpaceDN w:val="0"/>
                    <w:adjustRightInd w:val="0"/>
                    <w:snapToGrid w:val="0"/>
                    <w:spacing w:line="280" w:lineRule="exact"/>
                    <w:jc w:val="cente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color w:val="000000" w:themeColor="text1"/>
                      <w:kern w:val="0"/>
                      <w:szCs w:val="21"/>
                      <w:highlight w:val="none"/>
                      <w:lang w:val="en-US" w:eastAsia="zh-CN"/>
                      <w14:textFill>
                        <w14:solidFill>
                          <w14:schemeClr w14:val="tx1"/>
                        </w14:solidFill>
                      </w14:textFill>
                    </w:rPr>
                    <w:t>危险废物</w:t>
                  </w:r>
                </w:p>
              </w:tc>
            </w:tr>
          </w:tbl>
          <w:p w14:paraId="4927761B">
            <w:pPr>
              <w:pStyle w:val="34"/>
              <w:ind w:left="840" w:leftChars="200" w:hanging="420" w:hangingChars="200"/>
              <w:rPr>
                <w:rFonts w:hint="eastAsia"/>
                <w:color w:val="000000" w:themeColor="text1"/>
                <w:lang w:eastAsia="zh-CN"/>
                <w14:textFill>
                  <w14:solidFill>
                    <w14:schemeClr w14:val="tx1"/>
                  </w14:solidFill>
                </w14:textFill>
              </w:rPr>
            </w:pPr>
          </w:p>
        </w:tc>
      </w:tr>
      <w:tr w14:paraId="7B3ED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2" w:type="dxa"/>
            <w:vAlign w:val="center"/>
          </w:tcPr>
          <w:p w14:paraId="5737E55B">
            <w:pPr>
              <w:pStyle w:val="37"/>
              <w:adjustRightInd w:val="0"/>
              <w:snapToGrid w:val="0"/>
              <w:spacing w:before="0" w:beforeAutospacing="0" w:after="0" w:afterAutospacing="0"/>
              <w:jc w:val="center"/>
              <w:rPr>
                <w:rFonts w:hint="eastAsia" w:ascii="黑体" w:hAnsi="黑体" w:eastAsia="黑体"/>
                <w:snapToGrid w:val="0"/>
                <w:color w:val="000000" w:themeColor="text1"/>
                <w:sz w:val="36"/>
                <w:szCs w:val="36"/>
                <w:vertAlign w:val="baseline"/>
                <w14:textFill>
                  <w14:solidFill>
                    <w14:schemeClr w14:val="tx1"/>
                  </w14:solidFill>
                </w14:textFill>
              </w:rPr>
            </w:pPr>
            <w:r>
              <w:rPr>
                <w:rFonts w:hint="eastAsia" w:ascii="Times New Roman" w:hAnsi="Times New Roman" w:cs="宋体"/>
                <w:b/>
                <w:bCs w:val="0"/>
                <w:color w:val="000000" w:themeColor="text1"/>
                <w:kern w:val="2"/>
                <w:sz w:val="24"/>
                <w:szCs w:val="24"/>
                <w14:textFill>
                  <w14:solidFill>
                    <w14:schemeClr w14:val="tx1"/>
                  </w14:solidFill>
                </w14:textFill>
              </w:rPr>
              <w:t>与项目有关的原有环境污染问题</w:t>
            </w:r>
          </w:p>
        </w:tc>
        <w:tc>
          <w:tcPr>
            <w:tcW w:w="8088" w:type="dxa"/>
            <w:vAlign w:val="top"/>
          </w:tcPr>
          <w:p w14:paraId="063ED277">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项目选址于四川巴中经济开发区核心片区，建设性质为新建，生产场所租赁四川秦巴瑞耀产业园经营管理有限公司在建标准厂房。该厂房建设主体前身为巴中名嘉物业管理有限公司（企业更名前后为同一法人主体），其所属《四川巴中经济开发区数字经济产业园区基础设施建设项目》已于2023年11月16日取得四川巴中经济开发区生态环境局出具的无需办理环评手续说明。经现场实地踏勘，项目所租厂房现阶段尚在土建施工阶段，厂房场地无原有生产历史，不存在原有遗留污染源、无历史环境污染问题</w:t>
            </w:r>
            <w:r>
              <w:rPr>
                <w:rFonts w:hint="default" w:cs="Times New Roman"/>
                <w:color w:val="000000" w:themeColor="text1"/>
                <w:lang w:val="en-US" w:eastAsia="zh-CN"/>
                <w14:textFill>
                  <w14:solidFill>
                    <w14:schemeClr w14:val="tx1"/>
                  </w14:solidFill>
                </w14:textFill>
              </w:rPr>
              <w:t>。</w:t>
            </w:r>
          </w:p>
          <w:p w14:paraId="3F72C501">
            <w:pPr>
              <w:pStyle w:val="66"/>
              <w:spacing w:line="360" w:lineRule="auto"/>
              <w:ind w:firstLine="0" w:firstLineChars="0"/>
              <w:jc w:val="center"/>
              <w:rPr>
                <w:rFonts w:eastAsiaTheme="minorEastAsia"/>
                <w:snapToGrid w:val="0"/>
                <w:color w:val="000000" w:themeColor="text1"/>
                <w:w w:val="0"/>
                <w:sz w:val="0"/>
                <w:szCs w:val="0"/>
                <w:u w:color="000000"/>
                <w:shd w:val="clear" w:color="000000" w:fill="000000"/>
                <w:lang w:val="zh-CN" w:bidi="zh-CN"/>
                <w14:textFill>
                  <w14:solidFill>
                    <w14:schemeClr w14:val="tx1"/>
                  </w14:solidFill>
                </w14:textFill>
              </w:rPr>
            </w:pPr>
            <w:r>
              <w:rPr>
                <w:rFonts w:eastAsia="Times New Roman"/>
                <w:snapToGrid w:val="0"/>
                <w:color w:val="000000" w:themeColor="text1"/>
                <w:w w:val="0"/>
                <w:sz w:val="0"/>
                <w:szCs w:val="0"/>
                <w:u w:color="000000"/>
                <w:shd w:val="clear" w:color="000000" w:fill="000000"/>
                <w:lang w:val="zh-CN" w:bidi="zh-CN"/>
                <w14:textFill>
                  <w14:solidFill>
                    <w14:schemeClr w14:val="tx1"/>
                  </w14:solidFill>
                </w14:textFill>
              </w:rPr>
              <w:t xml:space="preserve"> </w:t>
            </w:r>
          </w:p>
          <w:p w14:paraId="691EF735">
            <w:pPr>
              <w:pStyle w:val="66"/>
              <w:spacing w:line="360" w:lineRule="auto"/>
              <w:ind w:firstLine="0" w:firstLineChars="0"/>
              <w:jc w:val="center"/>
              <w:rPr>
                <w:rFonts w:eastAsiaTheme="minorEastAsia"/>
                <w:snapToGrid w:val="0"/>
                <w:color w:val="000000" w:themeColor="text1"/>
                <w:w w:val="0"/>
                <w:sz w:val="0"/>
                <w:szCs w:val="0"/>
                <w:u w:color="000000"/>
                <w:shd w:val="clear" w:color="000000" w:fill="000000"/>
                <w:lang w:val="zh-CN" w:bidi="zh-CN"/>
                <w14:textFill>
                  <w14:solidFill>
                    <w14:schemeClr w14:val="tx1"/>
                  </w14:solidFill>
                </w14:textFill>
              </w:rPr>
            </w:pPr>
          </w:p>
          <w:p w14:paraId="471A9CD3">
            <w:pPr>
              <w:pStyle w:val="66"/>
              <w:spacing w:line="360" w:lineRule="auto"/>
              <w:ind w:firstLine="0" w:firstLineChars="0"/>
              <w:jc w:val="center"/>
              <w:rPr>
                <w:rFonts w:eastAsiaTheme="minorEastAsia"/>
                <w:snapToGrid w:val="0"/>
                <w:color w:val="000000" w:themeColor="text1"/>
                <w:w w:val="0"/>
                <w:sz w:val="0"/>
                <w:szCs w:val="0"/>
                <w:u w:color="000000"/>
                <w:shd w:val="clear" w:color="000000" w:fill="000000"/>
                <w:lang w:val="zh-CN" w:bidi="zh-CN"/>
                <w14:textFill>
                  <w14:solidFill>
                    <w14:schemeClr w14:val="tx1"/>
                  </w14:solidFill>
                </w14:textFill>
              </w:rPr>
            </w:pPr>
          </w:p>
          <w:p w14:paraId="6CB367D1">
            <w:pPr>
              <w:pStyle w:val="66"/>
              <w:spacing w:line="360" w:lineRule="auto"/>
              <w:ind w:firstLine="0" w:firstLineChars="0"/>
              <w:jc w:val="center"/>
              <w:rPr>
                <w:rFonts w:eastAsiaTheme="minorEastAsia"/>
                <w:snapToGrid w:val="0"/>
                <w:color w:val="000000" w:themeColor="text1"/>
                <w:w w:val="0"/>
                <w:sz w:val="0"/>
                <w:szCs w:val="0"/>
                <w:u w:color="000000"/>
                <w:shd w:val="clear" w:color="000000" w:fill="000000"/>
                <w:lang w:val="zh-CN" w:bidi="zh-CN"/>
                <w14:textFill>
                  <w14:solidFill>
                    <w14:schemeClr w14:val="tx1"/>
                  </w14:solidFill>
                </w14:textFill>
              </w:rPr>
            </w:pPr>
          </w:p>
          <w:p w14:paraId="56545B33">
            <w:pPr>
              <w:pStyle w:val="66"/>
              <w:spacing w:line="360" w:lineRule="auto"/>
              <w:ind w:firstLine="0" w:firstLineChars="0"/>
              <w:jc w:val="center"/>
              <w:rPr>
                <w:rFonts w:eastAsiaTheme="minorEastAsia"/>
                <w:snapToGrid w:val="0"/>
                <w:color w:val="000000" w:themeColor="text1"/>
                <w:w w:val="0"/>
                <w:sz w:val="0"/>
                <w:szCs w:val="0"/>
                <w:u w:color="000000"/>
                <w:shd w:val="clear" w:color="000000" w:fill="000000"/>
                <w:lang w:val="zh-CN" w:bidi="zh-CN"/>
                <w14:textFill>
                  <w14:solidFill>
                    <w14:schemeClr w14:val="tx1"/>
                  </w14:solidFill>
                </w14:textFill>
              </w:rPr>
            </w:pPr>
          </w:p>
          <w:p w14:paraId="056EB420">
            <w:pPr>
              <w:pStyle w:val="66"/>
              <w:spacing w:line="360" w:lineRule="auto"/>
              <w:ind w:firstLine="0" w:firstLineChars="0"/>
              <w:jc w:val="center"/>
              <w:rPr>
                <w:rFonts w:eastAsiaTheme="minorEastAsia"/>
                <w:snapToGrid w:val="0"/>
                <w:color w:val="000000" w:themeColor="text1"/>
                <w:w w:val="0"/>
                <w:sz w:val="0"/>
                <w:szCs w:val="0"/>
                <w:u w:color="000000"/>
                <w:shd w:val="clear" w:color="000000" w:fill="000000"/>
                <w:lang w:val="zh-CN" w:bidi="zh-CN"/>
                <w14:textFill>
                  <w14:solidFill>
                    <w14:schemeClr w14:val="tx1"/>
                  </w14:solidFill>
                </w14:textFill>
              </w:rPr>
            </w:pPr>
          </w:p>
          <w:p w14:paraId="40A42220">
            <w:pPr>
              <w:pStyle w:val="66"/>
              <w:spacing w:line="360" w:lineRule="auto"/>
              <w:ind w:firstLine="0" w:firstLineChars="0"/>
              <w:jc w:val="center"/>
              <w:rPr>
                <w:rFonts w:eastAsiaTheme="minorEastAsia"/>
                <w:snapToGrid w:val="0"/>
                <w:color w:val="000000" w:themeColor="text1"/>
                <w:w w:val="0"/>
                <w:sz w:val="0"/>
                <w:szCs w:val="0"/>
                <w:u w:color="000000"/>
                <w:shd w:val="clear" w:color="000000" w:fill="000000"/>
                <w:lang w:val="zh-CN" w:bidi="zh-CN"/>
                <w14:textFill>
                  <w14:solidFill>
                    <w14:schemeClr w14:val="tx1"/>
                  </w14:solidFill>
                </w14:textFill>
              </w:rPr>
            </w:pPr>
          </w:p>
          <w:p w14:paraId="0463D820">
            <w:pPr>
              <w:pStyle w:val="66"/>
              <w:spacing w:line="360" w:lineRule="auto"/>
              <w:ind w:firstLine="0" w:firstLineChars="0"/>
              <w:jc w:val="center"/>
              <w:rPr>
                <w:snapToGrid w:val="0"/>
                <w:color w:val="000000" w:themeColor="text1"/>
                <w:w w:val="0"/>
                <w:sz w:val="0"/>
                <w:szCs w:val="0"/>
                <w:u w:color="000000"/>
                <w:shd w:val="clear" w:color="000000" w:fill="000000"/>
                <w:lang w:val="zh-CN" w:bidi="zh-CN"/>
                <w14:textFill>
                  <w14:solidFill>
                    <w14:schemeClr w14:val="tx1"/>
                  </w14:solidFill>
                </w14:textFill>
              </w:rPr>
            </w:pPr>
          </w:p>
          <w:tbl>
            <w:tblPr>
              <w:tblStyle w:val="42"/>
              <w:tblW w:w="77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80"/>
              <w:gridCol w:w="3880"/>
            </w:tblGrid>
            <w:tr w14:paraId="28997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6" w:hRule="atLeast"/>
              </w:trPr>
              <w:tc>
                <w:tcPr>
                  <w:tcW w:w="3880" w:type="dxa"/>
                </w:tcPr>
                <w:p w14:paraId="1E2162CB">
                  <w:pPr>
                    <w:pStyle w:val="66"/>
                    <w:spacing w:line="240" w:lineRule="auto"/>
                    <w:ind w:left="0" w:leftChars="0" w:firstLine="0" w:firstLineChars="0"/>
                    <w:rPr>
                      <w:rFonts w:hint="eastAsia" w:eastAsia="宋体"/>
                      <w:color w:val="000000" w:themeColor="text1"/>
                      <w:vertAlign w:val="baseline"/>
                      <w:lang w:eastAsia="zh-CN"/>
                      <w14:textFill>
                        <w14:solidFill>
                          <w14:schemeClr w14:val="tx1"/>
                        </w14:solidFill>
                      </w14:textFill>
                    </w:rPr>
                  </w:pPr>
                  <w:r>
                    <w:rPr>
                      <w:rFonts w:hint="eastAsia" w:eastAsia="宋体"/>
                      <w:color w:val="000000" w:themeColor="text1"/>
                      <w:vertAlign w:val="baseline"/>
                      <w:lang w:eastAsia="zh-CN"/>
                      <w14:textFill>
                        <w14:solidFill>
                          <w14:schemeClr w14:val="tx1"/>
                        </w14:solidFill>
                      </w14:textFill>
                    </w:rPr>
                    <w:drawing>
                      <wp:anchor distT="0" distB="0" distL="114300" distR="114300" simplePos="0" relativeHeight="251660288" behindDoc="1" locked="0" layoutInCell="1" allowOverlap="1">
                        <wp:simplePos x="0" y="0"/>
                        <wp:positionH relativeFrom="column">
                          <wp:posOffset>50165</wp:posOffset>
                        </wp:positionH>
                        <wp:positionV relativeFrom="paragraph">
                          <wp:posOffset>69215</wp:posOffset>
                        </wp:positionV>
                        <wp:extent cx="2228850" cy="1671955"/>
                        <wp:effectExtent l="0" t="0" r="0" b="4445"/>
                        <wp:wrapNone/>
                        <wp:docPr id="35" name="图片 35" descr="f3e2c686cbbf97f2aee68252267817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f3e2c686cbbf97f2aee68252267817bd"/>
                                <pic:cNvPicPr>
                                  <a:picLocks noChangeAspect="1"/>
                                </pic:cNvPicPr>
                              </pic:nvPicPr>
                              <pic:blipFill>
                                <a:blip r:embed="rId27"/>
                                <a:stretch>
                                  <a:fillRect/>
                                </a:stretch>
                              </pic:blipFill>
                              <pic:spPr>
                                <a:xfrm>
                                  <a:off x="0" y="0"/>
                                  <a:ext cx="2228850" cy="1671955"/>
                                </a:xfrm>
                                <a:prstGeom prst="rect">
                                  <a:avLst/>
                                </a:prstGeom>
                              </pic:spPr>
                            </pic:pic>
                          </a:graphicData>
                        </a:graphic>
                      </wp:anchor>
                    </w:drawing>
                  </w:r>
                </w:p>
                <w:p w14:paraId="3AE3E05F">
                  <w:pPr>
                    <w:pStyle w:val="66"/>
                    <w:spacing w:line="240" w:lineRule="auto"/>
                    <w:ind w:left="0" w:leftChars="0" w:firstLine="0" w:firstLineChars="0"/>
                    <w:rPr>
                      <w:rFonts w:hint="eastAsia" w:eastAsia="宋体"/>
                      <w:color w:val="000000" w:themeColor="text1"/>
                      <w:vertAlign w:val="baseline"/>
                      <w:lang w:eastAsia="zh-CN"/>
                      <w14:textFill>
                        <w14:solidFill>
                          <w14:schemeClr w14:val="tx1"/>
                        </w14:solidFill>
                      </w14:textFill>
                    </w:rPr>
                  </w:pPr>
                </w:p>
                <w:p w14:paraId="523DF5B3">
                  <w:pPr>
                    <w:pStyle w:val="66"/>
                    <w:spacing w:line="240" w:lineRule="auto"/>
                    <w:ind w:left="0" w:leftChars="0" w:firstLine="0" w:firstLineChars="0"/>
                    <w:rPr>
                      <w:rFonts w:hint="eastAsia" w:eastAsia="宋体"/>
                      <w:color w:val="000000" w:themeColor="text1"/>
                      <w:vertAlign w:val="baseline"/>
                      <w:lang w:eastAsia="zh-CN"/>
                      <w14:textFill>
                        <w14:solidFill>
                          <w14:schemeClr w14:val="tx1"/>
                        </w14:solidFill>
                      </w14:textFill>
                    </w:rPr>
                  </w:pPr>
                </w:p>
                <w:p w14:paraId="123B0D00">
                  <w:pPr>
                    <w:pStyle w:val="66"/>
                    <w:spacing w:line="240" w:lineRule="auto"/>
                    <w:ind w:left="0" w:leftChars="0" w:firstLine="0" w:firstLineChars="0"/>
                    <w:rPr>
                      <w:rFonts w:hint="eastAsia" w:eastAsia="宋体"/>
                      <w:color w:val="000000" w:themeColor="text1"/>
                      <w:vertAlign w:val="baseline"/>
                      <w:lang w:eastAsia="zh-CN"/>
                      <w14:textFill>
                        <w14:solidFill>
                          <w14:schemeClr w14:val="tx1"/>
                        </w14:solidFill>
                      </w14:textFill>
                    </w:rPr>
                  </w:pPr>
                </w:p>
                <w:p w14:paraId="14EEC3A6">
                  <w:pPr>
                    <w:pStyle w:val="66"/>
                    <w:spacing w:line="240" w:lineRule="auto"/>
                    <w:ind w:left="0" w:leftChars="0" w:firstLine="0" w:firstLineChars="0"/>
                    <w:rPr>
                      <w:rFonts w:hint="eastAsia" w:eastAsia="宋体"/>
                      <w:color w:val="000000" w:themeColor="text1"/>
                      <w:vertAlign w:val="baseline"/>
                      <w:lang w:eastAsia="zh-CN"/>
                      <w14:textFill>
                        <w14:solidFill>
                          <w14:schemeClr w14:val="tx1"/>
                        </w14:solidFill>
                      </w14:textFill>
                    </w:rPr>
                  </w:pPr>
                </w:p>
                <w:p w14:paraId="203625D7">
                  <w:pPr>
                    <w:pStyle w:val="66"/>
                    <w:spacing w:line="240" w:lineRule="auto"/>
                    <w:ind w:left="0" w:leftChars="0" w:firstLine="0" w:firstLineChars="0"/>
                    <w:rPr>
                      <w:rFonts w:hint="eastAsia" w:eastAsia="宋体"/>
                      <w:color w:val="000000" w:themeColor="text1"/>
                      <w:vertAlign w:val="baseline"/>
                      <w:lang w:eastAsia="zh-CN"/>
                      <w14:textFill>
                        <w14:solidFill>
                          <w14:schemeClr w14:val="tx1"/>
                        </w14:solidFill>
                      </w14:textFill>
                    </w:rPr>
                  </w:pPr>
                </w:p>
                <w:p w14:paraId="336188AE">
                  <w:pPr>
                    <w:pStyle w:val="66"/>
                    <w:spacing w:line="240" w:lineRule="auto"/>
                    <w:ind w:left="0" w:leftChars="0" w:firstLine="0" w:firstLineChars="0"/>
                    <w:rPr>
                      <w:rFonts w:hint="eastAsia" w:eastAsia="宋体"/>
                      <w:color w:val="000000" w:themeColor="text1"/>
                      <w:vertAlign w:val="baseline"/>
                      <w:lang w:eastAsia="zh-CN"/>
                      <w14:textFill>
                        <w14:solidFill>
                          <w14:schemeClr w14:val="tx1"/>
                        </w14:solidFill>
                      </w14:textFill>
                    </w:rPr>
                  </w:pPr>
                </w:p>
                <w:p w14:paraId="637EF1B4">
                  <w:pPr>
                    <w:pStyle w:val="66"/>
                    <w:spacing w:line="240" w:lineRule="auto"/>
                    <w:ind w:left="0" w:leftChars="0" w:firstLine="0" w:firstLineChars="0"/>
                    <w:rPr>
                      <w:rFonts w:hint="eastAsia" w:eastAsia="宋体"/>
                      <w:color w:val="000000" w:themeColor="text1"/>
                      <w:vertAlign w:val="baseline"/>
                      <w:lang w:eastAsia="zh-CN"/>
                      <w14:textFill>
                        <w14:solidFill>
                          <w14:schemeClr w14:val="tx1"/>
                        </w14:solidFill>
                      </w14:textFill>
                    </w:rPr>
                  </w:pPr>
                </w:p>
                <w:p w14:paraId="65BD99A9">
                  <w:pPr>
                    <w:pStyle w:val="66"/>
                    <w:ind w:left="0" w:leftChars="0" w:firstLine="0" w:firstLineChars="0"/>
                    <w:rPr>
                      <w:rFonts w:hint="eastAsia" w:eastAsia="宋体"/>
                      <w:color w:val="000000" w:themeColor="text1"/>
                      <w:vertAlign w:val="baseline"/>
                      <w:lang w:eastAsia="zh-CN"/>
                      <w14:textFill>
                        <w14:solidFill>
                          <w14:schemeClr w14:val="tx1"/>
                        </w14:solidFill>
                      </w14:textFill>
                    </w:rPr>
                  </w:pPr>
                </w:p>
              </w:tc>
              <w:tc>
                <w:tcPr>
                  <w:tcW w:w="3880" w:type="dxa"/>
                </w:tcPr>
                <w:p w14:paraId="16CC2008">
                  <w:pPr>
                    <w:pStyle w:val="66"/>
                    <w:rPr>
                      <w:rFonts w:hint="eastAsia" w:eastAsia="宋体"/>
                      <w:color w:val="000000" w:themeColor="text1"/>
                      <w:vertAlign w:val="baseline"/>
                      <w:lang w:eastAsia="zh-CN"/>
                      <w14:textFill>
                        <w14:solidFill>
                          <w14:schemeClr w14:val="tx1"/>
                        </w14:solidFill>
                      </w14:textFill>
                    </w:rPr>
                  </w:pPr>
                  <w:r>
                    <w:rPr>
                      <w:rFonts w:hint="eastAsia" w:eastAsia="宋体"/>
                      <w:color w:val="000000" w:themeColor="text1"/>
                      <w:vertAlign w:val="baseline"/>
                      <w:lang w:eastAsia="zh-CN"/>
                      <w14:textFill>
                        <w14:solidFill>
                          <w14:schemeClr w14:val="tx1"/>
                        </w14:solidFill>
                      </w14:textFill>
                    </w:rPr>
                    <w:drawing>
                      <wp:anchor distT="0" distB="0" distL="114300" distR="114300" simplePos="0" relativeHeight="251661312" behindDoc="1" locked="0" layoutInCell="1" allowOverlap="1">
                        <wp:simplePos x="0" y="0"/>
                        <wp:positionH relativeFrom="column">
                          <wp:posOffset>106045</wp:posOffset>
                        </wp:positionH>
                        <wp:positionV relativeFrom="paragraph">
                          <wp:posOffset>67310</wp:posOffset>
                        </wp:positionV>
                        <wp:extent cx="2132330" cy="1650365"/>
                        <wp:effectExtent l="0" t="0" r="1270" b="6985"/>
                        <wp:wrapNone/>
                        <wp:docPr id="36" name="图片 36" descr="630c09233285930b8f29b7b55aeddcc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630c09233285930b8f29b7b55aeddcc9"/>
                                <pic:cNvPicPr>
                                  <a:picLocks noChangeAspect="1"/>
                                </pic:cNvPicPr>
                              </pic:nvPicPr>
                              <pic:blipFill>
                                <a:blip r:embed="rId28"/>
                                <a:stretch>
                                  <a:fillRect/>
                                </a:stretch>
                              </pic:blipFill>
                              <pic:spPr>
                                <a:xfrm>
                                  <a:off x="0" y="0"/>
                                  <a:ext cx="2132330" cy="1650365"/>
                                </a:xfrm>
                                <a:prstGeom prst="rect">
                                  <a:avLst/>
                                </a:prstGeom>
                              </pic:spPr>
                            </pic:pic>
                          </a:graphicData>
                        </a:graphic>
                      </wp:anchor>
                    </w:drawing>
                  </w:r>
                </w:p>
              </w:tc>
            </w:tr>
            <w:tr w14:paraId="77F54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60" w:type="dxa"/>
                  <w:gridSpan w:val="2"/>
                </w:tcPr>
                <w:p w14:paraId="614565C4">
                  <w:pPr>
                    <w:pStyle w:val="66"/>
                    <w:keepNext w:val="0"/>
                    <w:keepLines w:val="0"/>
                    <w:pageBreakBefore w:val="0"/>
                    <w:widowControl w:val="0"/>
                    <w:kinsoku/>
                    <w:wordWrap/>
                    <w:overflowPunct/>
                    <w:topLinePunct w:val="0"/>
                    <w:autoSpaceDE w:val="0"/>
                    <w:autoSpaceDN w:val="0"/>
                    <w:bidi w:val="0"/>
                    <w:adjustRightInd w:val="0"/>
                    <w:snapToGrid w:val="0"/>
                    <w:spacing w:line="240" w:lineRule="auto"/>
                    <w:ind w:left="0" w:leftChars="0" w:firstLine="0" w:firstLineChars="0"/>
                    <w:jc w:val="center"/>
                    <w:textAlignment w:val="auto"/>
                    <w:rPr>
                      <w:rFonts w:hint="default" w:eastAsia="宋体"/>
                      <w:b/>
                      <w:bCs/>
                      <w:color w:val="000000" w:themeColor="text1"/>
                      <w:vertAlign w:val="baseline"/>
                      <w:lang w:val="en-US" w:eastAsia="zh-CN"/>
                      <w14:textFill>
                        <w14:solidFill>
                          <w14:schemeClr w14:val="tx1"/>
                        </w14:solidFill>
                      </w14:textFill>
                    </w:rPr>
                  </w:pPr>
                  <w:r>
                    <w:rPr>
                      <w:rFonts w:hint="eastAsia"/>
                      <w:b/>
                      <w:bCs/>
                      <w:color w:val="000000" w:themeColor="text1"/>
                      <w:sz w:val="21"/>
                      <w:szCs w:val="21"/>
                      <w:vertAlign w:val="baseline"/>
                      <w:lang w:val="en-US" w:eastAsia="zh-CN"/>
                      <w14:textFill>
                        <w14:solidFill>
                          <w14:schemeClr w14:val="tx1"/>
                        </w14:solidFill>
                      </w14:textFill>
                    </w:rPr>
                    <w:t>现场照片</w:t>
                  </w:r>
                </w:p>
              </w:tc>
            </w:tr>
          </w:tbl>
          <w:p w14:paraId="3FDEB1EF">
            <w:pPr>
              <w:pStyle w:val="66"/>
              <w:ind w:left="0" w:leftChars="0" w:firstLine="0" w:firstLineChars="0"/>
              <w:rPr>
                <w:rFonts w:hint="eastAsia" w:ascii="黑体" w:hAnsi="黑体" w:eastAsia="黑体"/>
                <w:snapToGrid w:val="0"/>
                <w:color w:val="000000" w:themeColor="text1"/>
                <w:sz w:val="36"/>
                <w:szCs w:val="36"/>
                <w:vertAlign w:val="baseline"/>
                <w14:textFill>
                  <w14:solidFill>
                    <w14:schemeClr w14:val="tx1"/>
                  </w14:solidFill>
                </w14:textFill>
              </w:rPr>
            </w:pPr>
          </w:p>
          <w:p w14:paraId="352D6EBF">
            <w:pPr>
              <w:pStyle w:val="66"/>
              <w:ind w:left="0" w:leftChars="0" w:firstLine="0" w:firstLineChars="0"/>
              <w:rPr>
                <w:rFonts w:hint="eastAsia" w:ascii="黑体" w:hAnsi="黑体" w:eastAsia="黑体"/>
                <w:snapToGrid w:val="0"/>
                <w:color w:val="000000" w:themeColor="text1"/>
                <w:sz w:val="36"/>
                <w:szCs w:val="36"/>
                <w:vertAlign w:val="baseline"/>
                <w14:textFill>
                  <w14:solidFill>
                    <w14:schemeClr w14:val="tx1"/>
                  </w14:solidFill>
                </w14:textFill>
              </w:rPr>
            </w:pPr>
          </w:p>
          <w:p w14:paraId="167BB62E">
            <w:pPr>
              <w:pStyle w:val="66"/>
              <w:ind w:left="0" w:leftChars="0" w:firstLine="0" w:firstLineChars="0"/>
              <w:rPr>
                <w:rFonts w:hint="eastAsia" w:ascii="黑体" w:hAnsi="黑体" w:eastAsia="黑体"/>
                <w:snapToGrid w:val="0"/>
                <w:color w:val="000000" w:themeColor="text1"/>
                <w:sz w:val="36"/>
                <w:szCs w:val="36"/>
                <w:vertAlign w:val="baseline"/>
                <w14:textFill>
                  <w14:solidFill>
                    <w14:schemeClr w14:val="tx1"/>
                  </w14:solidFill>
                </w14:textFill>
              </w:rPr>
            </w:pPr>
          </w:p>
          <w:p w14:paraId="724862FF">
            <w:pPr>
              <w:pStyle w:val="66"/>
              <w:ind w:left="0" w:leftChars="0" w:firstLine="0" w:firstLineChars="0"/>
              <w:rPr>
                <w:rFonts w:hint="eastAsia" w:ascii="黑体" w:hAnsi="黑体" w:eastAsia="黑体"/>
                <w:snapToGrid w:val="0"/>
                <w:color w:val="000000" w:themeColor="text1"/>
                <w:sz w:val="36"/>
                <w:szCs w:val="36"/>
                <w:vertAlign w:val="baseline"/>
                <w14:textFill>
                  <w14:solidFill>
                    <w14:schemeClr w14:val="tx1"/>
                  </w14:solidFill>
                </w14:textFill>
              </w:rPr>
            </w:pPr>
          </w:p>
          <w:p w14:paraId="54E4D629">
            <w:pPr>
              <w:pStyle w:val="66"/>
              <w:ind w:left="0" w:leftChars="0" w:firstLine="0" w:firstLineChars="0"/>
              <w:rPr>
                <w:rFonts w:hint="eastAsia" w:ascii="黑体" w:hAnsi="黑体" w:eastAsia="黑体"/>
                <w:snapToGrid w:val="0"/>
                <w:color w:val="000000" w:themeColor="text1"/>
                <w:sz w:val="36"/>
                <w:szCs w:val="36"/>
                <w:vertAlign w:val="baseline"/>
                <w14:textFill>
                  <w14:solidFill>
                    <w14:schemeClr w14:val="tx1"/>
                  </w14:solidFill>
                </w14:textFill>
              </w:rPr>
            </w:pPr>
          </w:p>
          <w:p w14:paraId="6213CF38">
            <w:pPr>
              <w:pStyle w:val="66"/>
              <w:ind w:left="0" w:leftChars="0" w:firstLine="0" w:firstLineChars="0"/>
              <w:rPr>
                <w:rFonts w:hint="eastAsia" w:ascii="黑体" w:hAnsi="黑体" w:eastAsia="黑体"/>
                <w:snapToGrid w:val="0"/>
                <w:color w:val="000000" w:themeColor="text1"/>
                <w:sz w:val="36"/>
                <w:szCs w:val="36"/>
                <w:vertAlign w:val="baseline"/>
                <w14:textFill>
                  <w14:solidFill>
                    <w14:schemeClr w14:val="tx1"/>
                  </w14:solidFill>
                </w14:textFill>
              </w:rPr>
            </w:pPr>
          </w:p>
          <w:p w14:paraId="0CE65F43">
            <w:pPr>
              <w:pStyle w:val="66"/>
              <w:ind w:left="0" w:leftChars="0" w:firstLine="0" w:firstLineChars="0"/>
              <w:rPr>
                <w:rFonts w:hint="eastAsia" w:ascii="黑体" w:hAnsi="黑体" w:eastAsia="黑体"/>
                <w:snapToGrid w:val="0"/>
                <w:color w:val="000000" w:themeColor="text1"/>
                <w:sz w:val="36"/>
                <w:szCs w:val="36"/>
                <w:vertAlign w:val="baseline"/>
                <w14:textFill>
                  <w14:solidFill>
                    <w14:schemeClr w14:val="tx1"/>
                  </w14:solidFill>
                </w14:textFill>
              </w:rPr>
            </w:pPr>
          </w:p>
          <w:p w14:paraId="7E9B4D7A">
            <w:pPr>
              <w:pStyle w:val="66"/>
              <w:ind w:left="0" w:leftChars="0" w:firstLine="0" w:firstLineChars="0"/>
              <w:rPr>
                <w:rFonts w:hint="eastAsia" w:ascii="黑体" w:hAnsi="黑体" w:eastAsia="黑体"/>
                <w:snapToGrid w:val="0"/>
                <w:color w:val="000000" w:themeColor="text1"/>
                <w:sz w:val="36"/>
                <w:szCs w:val="36"/>
                <w:vertAlign w:val="baseline"/>
                <w14:textFill>
                  <w14:solidFill>
                    <w14:schemeClr w14:val="tx1"/>
                  </w14:solidFill>
                </w14:textFill>
              </w:rPr>
            </w:pPr>
          </w:p>
          <w:p w14:paraId="051307AF">
            <w:pPr>
              <w:pStyle w:val="66"/>
              <w:ind w:left="0" w:leftChars="0" w:firstLine="0" w:firstLineChars="0"/>
              <w:rPr>
                <w:rFonts w:hint="eastAsia" w:ascii="黑体" w:hAnsi="黑体" w:eastAsia="黑体"/>
                <w:snapToGrid w:val="0"/>
                <w:color w:val="000000" w:themeColor="text1"/>
                <w:sz w:val="36"/>
                <w:szCs w:val="36"/>
                <w:vertAlign w:val="baseline"/>
                <w14:textFill>
                  <w14:solidFill>
                    <w14:schemeClr w14:val="tx1"/>
                  </w14:solidFill>
                </w14:textFill>
              </w:rPr>
            </w:pPr>
          </w:p>
          <w:p w14:paraId="069E0F6D">
            <w:pPr>
              <w:pStyle w:val="66"/>
              <w:ind w:left="0" w:leftChars="0" w:firstLine="0" w:firstLineChars="0"/>
              <w:rPr>
                <w:rFonts w:hint="eastAsia" w:ascii="黑体" w:hAnsi="黑体" w:eastAsia="黑体"/>
                <w:snapToGrid w:val="0"/>
                <w:color w:val="000000" w:themeColor="text1"/>
                <w:sz w:val="36"/>
                <w:szCs w:val="36"/>
                <w:vertAlign w:val="baseline"/>
                <w14:textFill>
                  <w14:solidFill>
                    <w14:schemeClr w14:val="tx1"/>
                  </w14:solidFill>
                </w14:textFill>
              </w:rPr>
            </w:pPr>
          </w:p>
          <w:p w14:paraId="794279E9">
            <w:pPr>
              <w:pStyle w:val="66"/>
              <w:ind w:left="0" w:leftChars="0" w:firstLine="0" w:firstLineChars="0"/>
              <w:rPr>
                <w:rFonts w:hint="eastAsia" w:ascii="黑体" w:hAnsi="黑体" w:eastAsia="黑体"/>
                <w:snapToGrid w:val="0"/>
                <w:color w:val="000000" w:themeColor="text1"/>
                <w:sz w:val="36"/>
                <w:szCs w:val="36"/>
                <w:vertAlign w:val="baseline"/>
                <w14:textFill>
                  <w14:solidFill>
                    <w14:schemeClr w14:val="tx1"/>
                  </w14:solidFill>
                </w14:textFill>
              </w:rPr>
            </w:pPr>
          </w:p>
          <w:p w14:paraId="2AFF4C8B">
            <w:pPr>
              <w:pStyle w:val="66"/>
              <w:ind w:left="0" w:leftChars="0" w:firstLine="0" w:firstLineChars="0"/>
              <w:rPr>
                <w:rFonts w:hint="eastAsia" w:ascii="黑体" w:hAnsi="黑体" w:eastAsia="黑体"/>
                <w:snapToGrid w:val="0"/>
                <w:color w:val="000000" w:themeColor="text1"/>
                <w:sz w:val="36"/>
                <w:szCs w:val="36"/>
                <w:vertAlign w:val="baseline"/>
                <w14:textFill>
                  <w14:solidFill>
                    <w14:schemeClr w14:val="tx1"/>
                  </w14:solidFill>
                </w14:textFill>
              </w:rPr>
            </w:pPr>
          </w:p>
          <w:p w14:paraId="24513AD9">
            <w:pPr>
              <w:pStyle w:val="66"/>
              <w:ind w:left="0" w:leftChars="0" w:firstLine="0" w:firstLineChars="0"/>
              <w:rPr>
                <w:rFonts w:hint="eastAsia" w:ascii="黑体" w:hAnsi="黑体" w:eastAsia="黑体"/>
                <w:snapToGrid w:val="0"/>
                <w:color w:val="000000" w:themeColor="text1"/>
                <w:sz w:val="36"/>
                <w:szCs w:val="36"/>
                <w:vertAlign w:val="baseline"/>
                <w14:textFill>
                  <w14:solidFill>
                    <w14:schemeClr w14:val="tx1"/>
                  </w14:solidFill>
                </w14:textFill>
              </w:rPr>
            </w:pPr>
          </w:p>
          <w:p w14:paraId="76986796">
            <w:pPr>
              <w:pStyle w:val="66"/>
              <w:ind w:left="0" w:leftChars="0" w:firstLine="0" w:firstLineChars="0"/>
              <w:rPr>
                <w:rFonts w:hint="eastAsia" w:ascii="黑体" w:hAnsi="黑体" w:eastAsia="黑体"/>
                <w:snapToGrid w:val="0"/>
                <w:color w:val="000000" w:themeColor="text1"/>
                <w:sz w:val="36"/>
                <w:szCs w:val="36"/>
                <w:vertAlign w:val="baseline"/>
                <w14:textFill>
                  <w14:solidFill>
                    <w14:schemeClr w14:val="tx1"/>
                  </w14:solidFill>
                </w14:textFill>
              </w:rPr>
            </w:pPr>
          </w:p>
        </w:tc>
      </w:tr>
    </w:tbl>
    <w:p w14:paraId="43796398">
      <w:pPr>
        <w:pStyle w:val="37"/>
        <w:jc w:val="center"/>
        <w:rPr>
          <w:rFonts w:hint="eastAsia" w:ascii="黑体" w:hAnsi="黑体" w:eastAsia="黑体"/>
          <w:snapToGrid w:val="0"/>
          <w:color w:val="auto"/>
          <w:sz w:val="36"/>
          <w:szCs w:val="36"/>
        </w:rPr>
        <w:sectPr>
          <w:pgSz w:w="11906" w:h="16838"/>
          <w:pgMar w:top="1701" w:right="1531" w:bottom="1701" w:left="1531" w:header="851" w:footer="1021" w:gutter="0"/>
          <w:cols w:space="720" w:num="1"/>
          <w:docGrid w:linePitch="312" w:charSpace="0"/>
        </w:sectPr>
      </w:pPr>
    </w:p>
    <w:p w14:paraId="0016E5BB">
      <w:pPr>
        <w:pStyle w:val="37"/>
        <w:jc w:val="center"/>
        <w:outlineLvl w:val="0"/>
        <w:rPr>
          <w:rFonts w:hint="eastAsia" w:ascii="黑体" w:hAnsi="黑体" w:eastAsia="黑体"/>
          <w:snapToGrid w:val="0"/>
          <w:color w:val="auto"/>
          <w:sz w:val="30"/>
          <w:szCs w:val="30"/>
        </w:rPr>
      </w:pPr>
      <w:bookmarkStart w:id="11" w:name="_Toc24591"/>
      <w:bookmarkStart w:id="12" w:name="_Toc186098079"/>
      <w:bookmarkStart w:id="13" w:name="_Toc18033"/>
      <w:r>
        <w:rPr>
          <w:rFonts w:hint="eastAsia" w:ascii="黑体" w:hAnsi="黑体" w:eastAsia="黑体"/>
          <w:snapToGrid w:val="0"/>
          <w:color w:val="auto"/>
          <w:sz w:val="30"/>
          <w:szCs w:val="30"/>
        </w:rPr>
        <w:t>三、区域环境质量现状、环境保护目标及评价标准</w:t>
      </w:r>
      <w:bookmarkEnd w:id="11"/>
      <w:bookmarkEnd w:id="12"/>
      <w:bookmarkEnd w:id="13"/>
    </w:p>
    <w:tbl>
      <w:tblPr>
        <w:tblStyle w:val="41"/>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99"/>
        <w:gridCol w:w="8491"/>
      </w:tblGrid>
      <w:tr w14:paraId="3F6034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3" w:hRule="atLeast"/>
          <w:jc w:val="center"/>
        </w:trPr>
        <w:tc>
          <w:tcPr>
            <w:tcW w:w="499" w:type="dxa"/>
            <w:vAlign w:val="center"/>
          </w:tcPr>
          <w:p w14:paraId="5FA48E80">
            <w:pPr>
              <w:adjustRightInd w:val="0"/>
              <w:snapToGrid w:val="0"/>
              <w:jc w:val="center"/>
              <w:rPr>
                <w:rFonts w:cs="宋体"/>
                <w:color w:val="auto"/>
                <w:kern w:val="0"/>
                <w:szCs w:val="21"/>
              </w:rPr>
            </w:pPr>
            <w:r>
              <w:rPr>
                <w:rFonts w:hint="eastAsia" w:cs="宋体"/>
                <w:b/>
                <w:bCs/>
                <w:color w:val="auto"/>
                <w:kern w:val="0"/>
                <w:sz w:val="24"/>
                <w:szCs w:val="24"/>
              </w:rPr>
              <w:t>区域环境质量现状</w:t>
            </w:r>
          </w:p>
        </w:tc>
        <w:tc>
          <w:tcPr>
            <w:tcW w:w="8491" w:type="dxa"/>
          </w:tcPr>
          <w:p w14:paraId="44315E85">
            <w:pPr>
              <w:autoSpaceDE w:val="0"/>
              <w:autoSpaceDN w:val="0"/>
              <w:spacing w:line="360" w:lineRule="auto"/>
              <w:ind w:firstLine="482" w:firstLineChars="200"/>
              <w:rPr>
                <w:rFonts w:ascii="Times New Roman" w:hAnsi="Times New Roman"/>
                <w:b/>
                <w:bCs/>
                <w:color w:val="auto"/>
                <w:sz w:val="24"/>
                <w:highlight w:val="none"/>
              </w:rPr>
            </w:pPr>
            <w:r>
              <w:rPr>
                <w:rFonts w:ascii="Times New Roman" w:hAnsi="Times New Roman"/>
                <w:b/>
                <w:bCs/>
                <w:color w:val="auto"/>
                <w:sz w:val="24"/>
                <w:highlight w:val="none"/>
              </w:rPr>
              <w:t>1、环境空气质量现状调查与评价</w:t>
            </w:r>
          </w:p>
          <w:p w14:paraId="41B4D1A3">
            <w:pPr>
              <w:keepNext w:val="0"/>
              <w:keepLines w:val="0"/>
              <w:pageBreakBefore w:val="0"/>
              <w:widowControl w:val="0"/>
              <w:kinsoku/>
              <w:overflowPunct/>
              <w:topLinePunct w:val="0"/>
              <w:bidi w:val="0"/>
              <w:adjustRightInd w:val="0"/>
              <w:snapToGrid w:val="0"/>
              <w:spacing w:line="360" w:lineRule="auto"/>
              <w:ind w:firstLine="480" w:firstLineChars="200"/>
              <w:jc w:val="both"/>
              <w:textAlignment w:val="auto"/>
              <w:rPr>
                <w:rFonts w:ascii="Times New Roman" w:hAnsi="Times New Roman"/>
                <w:snapToGrid w:val="0"/>
                <w:color w:val="auto"/>
                <w:sz w:val="24"/>
                <w:highlight w:val="none"/>
              </w:rPr>
            </w:pPr>
            <w:r>
              <w:rPr>
                <w:rFonts w:hint="eastAsia" w:ascii="Times New Roman" w:hAnsi="Times New Roman"/>
                <w:color w:val="auto"/>
                <w:sz w:val="24"/>
                <w:szCs w:val="24"/>
                <w:highlight w:val="none"/>
              </w:rPr>
              <w:t>根据《建设项目环境影响报告表编制技术指南（污染影响类）（试行》要求，大气环境质量现状评价时，常规污染物引用与建设项目距离近的有效数据，包括近3年的规划环境影响评价的监测数据，国家、地方环境空气质量监测网数据或生态环境主管部门公开发布的质量数据等。排放国家、地方环境空气质量标准中有标准限值要求的特征污染物时，引用建设项目周边5千米范围内近3年的现有监测数据，无相关数据的选择当季主导风向下风向1个点位补充不少于3天的监测数据。根据建设项目所在环境功能区及适用的国家、地方环境质量标准，以及地方环境质量管理要求评价大气环境质量现状达标情况</w:t>
            </w:r>
            <w:r>
              <w:rPr>
                <w:rFonts w:ascii="Times New Roman" w:hAnsi="Times New Roman"/>
                <w:color w:val="auto"/>
                <w:sz w:val="24"/>
                <w:highlight w:val="none"/>
              </w:rPr>
              <w:t>。</w:t>
            </w:r>
          </w:p>
          <w:p w14:paraId="5DDC3ECF">
            <w:pPr>
              <w:pStyle w:val="119"/>
              <w:keepNext w:val="0"/>
              <w:keepLines w:val="0"/>
              <w:pageBreakBefore w:val="0"/>
              <w:widowControl w:val="0"/>
              <w:kinsoku/>
              <w:overflowPunct/>
              <w:topLinePunct w:val="0"/>
              <w:bidi w:val="0"/>
              <w:spacing w:line="360" w:lineRule="auto"/>
              <w:ind w:firstLineChars="200"/>
              <w:textAlignment w:val="auto"/>
              <w:rPr>
                <w:rFonts w:hint="default" w:ascii="Times New Roman" w:hAnsi="Times New Roman"/>
                <w:b/>
                <w:bCs/>
                <w:color w:val="auto"/>
                <w:sz w:val="24"/>
                <w:szCs w:val="24"/>
                <w:highlight w:val="none"/>
                <w:lang w:val="en-US" w:eastAsia="zh-CN"/>
              </w:rPr>
            </w:pPr>
            <w:r>
              <w:rPr>
                <w:rFonts w:hint="eastAsia" w:ascii="Times New Roman" w:hAnsi="Times New Roman"/>
                <w:b/>
                <w:bCs/>
                <w:color w:val="auto"/>
                <w:sz w:val="24"/>
                <w:szCs w:val="24"/>
                <w:highlight w:val="none"/>
                <w:lang w:val="en-US" w:eastAsia="zh-CN"/>
              </w:rPr>
              <w:t>（1）环境空气质量达标区判定</w:t>
            </w:r>
          </w:p>
          <w:p w14:paraId="6D29D98A">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kern w:val="0"/>
                <w:sz w:val="24"/>
              </w:rPr>
            </w:pPr>
            <w:r>
              <w:rPr>
                <w:color w:val="auto"/>
                <w:kern w:val="0"/>
                <w:sz w:val="24"/>
              </w:rPr>
              <w:t>为了解项目所在区域环境空气质量状况，本次评价采用巴中市生态环境局于20</w:t>
            </w:r>
            <w:r>
              <w:rPr>
                <w:rFonts w:hint="eastAsia"/>
                <w:color w:val="auto"/>
                <w:kern w:val="0"/>
                <w:sz w:val="24"/>
                <w:lang w:val="en-US" w:eastAsia="zh-CN"/>
              </w:rPr>
              <w:t>26</w:t>
            </w:r>
            <w:r>
              <w:rPr>
                <w:color w:val="auto"/>
                <w:kern w:val="0"/>
                <w:sz w:val="24"/>
              </w:rPr>
              <w:t>年</w:t>
            </w:r>
            <w:r>
              <w:rPr>
                <w:rFonts w:hint="eastAsia"/>
                <w:color w:val="auto"/>
                <w:kern w:val="0"/>
                <w:sz w:val="24"/>
              </w:rPr>
              <w:t>6</w:t>
            </w:r>
            <w:r>
              <w:rPr>
                <w:color w:val="auto"/>
                <w:kern w:val="0"/>
                <w:sz w:val="24"/>
              </w:rPr>
              <w:t>月</w:t>
            </w:r>
            <w:r>
              <w:rPr>
                <w:rFonts w:hint="eastAsia"/>
                <w:color w:val="auto"/>
                <w:kern w:val="0"/>
                <w:sz w:val="24"/>
                <w:lang w:val="en-US" w:eastAsia="zh-CN"/>
              </w:rPr>
              <w:t>4</w:t>
            </w:r>
            <w:r>
              <w:rPr>
                <w:color w:val="auto"/>
                <w:kern w:val="0"/>
                <w:sz w:val="24"/>
              </w:rPr>
              <w:t>日发布的《</w:t>
            </w:r>
            <w:r>
              <w:rPr>
                <w:rFonts w:hint="eastAsia"/>
                <w:color w:val="auto"/>
                <w:kern w:val="0"/>
                <w:sz w:val="24"/>
                <w:lang w:val="en-US" w:eastAsia="zh-CN"/>
              </w:rPr>
              <w:t>2025巴中市生态环境状况公报</w:t>
            </w:r>
            <w:r>
              <w:rPr>
                <w:color w:val="auto"/>
                <w:kern w:val="0"/>
                <w:sz w:val="24"/>
              </w:rPr>
              <w:t>》相关数据</w:t>
            </w:r>
            <w:r>
              <w:rPr>
                <w:rFonts w:hint="default" w:ascii="Times New Roman" w:hAnsi="Times New Roman" w:eastAsia="宋体" w:cs="Times New Roman"/>
                <w:color w:val="auto"/>
                <w:kern w:val="0"/>
                <w:sz w:val="24"/>
              </w:rPr>
              <w:t>。</w:t>
            </w:r>
          </w:p>
          <w:p w14:paraId="4D6FC735">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kern w:val="0"/>
                <w:sz w:val="24"/>
              </w:rPr>
            </w:pPr>
            <w:r>
              <w:rPr>
                <w:rFonts w:cs="Times New Roman"/>
                <w:color w:val="auto"/>
                <w:sz w:val="24"/>
                <w:szCs w:val="24"/>
              </w:rPr>
              <w:t>本项目位于巴中市</w:t>
            </w:r>
            <w:r>
              <w:rPr>
                <w:rFonts w:hint="eastAsia" w:cs="Times New Roman"/>
                <w:color w:val="auto"/>
                <w:sz w:val="24"/>
                <w:szCs w:val="24"/>
                <w:lang w:val="en-US" w:eastAsia="zh-CN"/>
              </w:rPr>
              <w:t>经开区</w:t>
            </w:r>
            <w:r>
              <w:rPr>
                <w:rFonts w:cs="Times New Roman"/>
                <w:color w:val="auto"/>
                <w:sz w:val="24"/>
                <w:szCs w:val="24"/>
              </w:rPr>
              <w:t>，区域环境空气质量</w:t>
            </w:r>
            <w:r>
              <w:rPr>
                <w:rFonts w:hint="eastAsia" w:cs="Times New Roman"/>
                <w:color w:val="auto"/>
                <w:sz w:val="24"/>
                <w:szCs w:val="24"/>
                <w:lang w:eastAsia="zh-CN"/>
              </w:rPr>
              <w:t>现状</w:t>
            </w:r>
            <w:r>
              <w:rPr>
                <w:rFonts w:cs="Times New Roman"/>
                <w:color w:val="auto"/>
                <w:sz w:val="24"/>
                <w:szCs w:val="24"/>
              </w:rPr>
              <w:t>情况如下：</w:t>
            </w:r>
          </w:p>
          <w:p w14:paraId="69BA757C">
            <w:pPr>
              <w:pStyle w:val="4"/>
              <w:keepNext w:val="0"/>
              <w:keepLines w:val="0"/>
              <w:pageBreakBefore w:val="0"/>
              <w:widowControl/>
              <w:numPr>
                <w:ilvl w:val="0"/>
                <w:numId w:val="0"/>
              </w:numPr>
              <w:tabs>
                <w:tab w:val="left" w:pos="352"/>
              </w:tabs>
              <w:kinsoku/>
              <w:wordWrap/>
              <w:overflowPunct/>
              <w:topLinePunct w:val="0"/>
              <w:autoSpaceDE/>
              <w:autoSpaceDN/>
              <w:bidi w:val="0"/>
              <w:adjustRightInd w:val="0"/>
              <w:snapToGrid/>
              <w:spacing w:before="0" w:after="0" w:line="240" w:lineRule="auto"/>
              <w:ind w:left="0" w:leftChars="0" w:firstLine="0" w:firstLineChars="0"/>
              <w:jc w:val="center"/>
              <w:textAlignment w:val="baseline"/>
              <w:outlineLvl w:val="9"/>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lang w:val="en-US" w:eastAsia="zh-CN"/>
              </w:rPr>
              <w:t>表3-</w:t>
            </w:r>
            <w:r>
              <w:rPr>
                <w:rFonts w:hint="eastAsia" w:ascii="Times New Roman" w:hAnsi="Times New Roman" w:cs="Times New Roman"/>
                <w:b/>
                <w:bCs w:val="0"/>
                <w:color w:val="auto"/>
                <w:sz w:val="21"/>
                <w:szCs w:val="21"/>
                <w:lang w:val="en-US" w:eastAsia="zh-CN"/>
              </w:rPr>
              <w:t>1</w:t>
            </w:r>
            <w:r>
              <w:rPr>
                <w:rFonts w:hint="default" w:ascii="Times New Roman" w:hAnsi="Times New Roman" w:eastAsia="宋体" w:cs="Times New Roman"/>
                <w:b/>
                <w:bCs w:val="0"/>
                <w:color w:val="auto"/>
                <w:sz w:val="21"/>
                <w:szCs w:val="21"/>
                <w:lang w:val="en-US" w:eastAsia="zh-CN"/>
              </w:rPr>
              <w:t xml:space="preserve"> </w:t>
            </w:r>
            <w:r>
              <w:rPr>
                <w:rFonts w:hint="default" w:ascii="Times New Roman" w:hAnsi="Times New Roman" w:eastAsia="宋体" w:cs="Times New Roman"/>
                <w:b/>
                <w:bCs w:val="0"/>
                <w:color w:val="auto"/>
                <w:sz w:val="21"/>
                <w:szCs w:val="21"/>
              </w:rPr>
              <w:t>202</w:t>
            </w:r>
            <w:r>
              <w:rPr>
                <w:rFonts w:hint="eastAsia" w:ascii="Times New Roman" w:hAnsi="Times New Roman" w:cs="Times New Roman"/>
                <w:b/>
                <w:bCs w:val="0"/>
                <w:color w:val="auto"/>
                <w:sz w:val="21"/>
                <w:szCs w:val="21"/>
                <w:lang w:val="en-US" w:eastAsia="zh-CN"/>
              </w:rPr>
              <w:t>4</w:t>
            </w:r>
            <w:r>
              <w:rPr>
                <w:rFonts w:hint="default" w:ascii="Times New Roman" w:hAnsi="Times New Roman" w:eastAsia="宋体" w:cs="Times New Roman"/>
                <w:b/>
                <w:bCs w:val="0"/>
                <w:color w:val="auto"/>
                <w:sz w:val="21"/>
                <w:szCs w:val="21"/>
              </w:rPr>
              <w:t>年巴中市环境空气质量主要污染物浓度评价表</w:t>
            </w:r>
          </w:p>
          <w:tbl>
            <w:tblPr>
              <w:tblStyle w:val="41"/>
              <w:tblW w:w="8316"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75"/>
              <w:gridCol w:w="2022"/>
              <w:gridCol w:w="1776"/>
              <w:gridCol w:w="1565"/>
              <w:gridCol w:w="1039"/>
              <w:gridCol w:w="1039"/>
            </w:tblGrid>
            <w:tr w14:paraId="1C974C3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526" w:type="pct"/>
                  <w:noWrap w:val="0"/>
                  <w:vAlign w:val="center"/>
                </w:tcPr>
                <w:p w14:paraId="045EE660">
                  <w:pPr>
                    <w:pStyle w:val="16"/>
                    <w:overflowPunct w:val="0"/>
                    <w:autoSpaceDE w:val="0"/>
                    <w:autoSpaceDN w:val="0"/>
                    <w:snapToGrid/>
                    <w:spacing w:before="0" w:after="0" w:line="240" w:lineRule="auto"/>
                    <w:ind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污染物</w:t>
                  </w:r>
                </w:p>
              </w:tc>
              <w:tc>
                <w:tcPr>
                  <w:tcW w:w="1215" w:type="pct"/>
                  <w:noWrap w:val="0"/>
                  <w:vAlign w:val="center"/>
                </w:tcPr>
                <w:p w14:paraId="0A8F9C87">
                  <w:pPr>
                    <w:pStyle w:val="16"/>
                    <w:overflowPunct w:val="0"/>
                    <w:autoSpaceDE w:val="0"/>
                    <w:autoSpaceDN w:val="0"/>
                    <w:snapToGrid/>
                    <w:spacing w:before="0" w:after="0" w:line="240" w:lineRule="auto"/>
                    <w:ind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年评价指标</w:t>
                  </w:r>
                </w:p>
              </w:tc>
              <w:tc>
                <w:tcPr>
                  <w:tcW w:w="1067" w:type="pct"/>
                  <w:noWrap w:val="0"/>
                  <w:vAlign w:val="center"/>
                </w:tcPr>
                <w:p w14:paraId="0BF70A4D">
                  <w:pPr>
                    <w:pStyle w:val="16"/>
                    <w:overflowPunct w:val="0"/>
                    <w:autoSpaceDE w:val="0"/>
                    <w:autoSpaceDN w:val="0"/>
                    <w:snapToGrid/>
                    <w:spacing w:before="0" w:after="0" w:line="240" w:lineRule="auto"/>
                    <w:ind w:right="0"/>
                    <w:jc w:val="center"/>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现状浓度</w:t>
                  </w:r>
                  <w:r>
                    <w:rPr>
                      <w:rFonts w:cs="Times New Roman"/>
                      <w:b/>
                      <w:bCs w:val="0"/>
                      <w:color w:val="auto"/>
                      <w:sz w:val="21"/>
                      <w:szCs w:val="21"/>
                    </w:rPr>
                    <w:t>（µg/m</w:t>
                  </w:r>
                  <w:r>
                    <w:rPr>
                      <w:rFonts w:cs="Times New Roman"/>
                      <w:b/>
                      <w:bCs w:val="0"/>
                      <w:color w:val="auto"/>
                      <w:sz w:val="21"/>
                      <w:szCs w:val="21"/>
                      <w:vertAlign w:val="superscript"/>
                    </w:rPr>
                    <w:t>3</w:t>
                  </w:r>
                  <w:r>
                    <w:rPr>
                      <w:rFonts w:cs="Times New Roman"/>
                      <w:b/>
                      <w:bCs w:val="0"/>
                      <w:color w:val="auto"/>
                      <w:sz w:val="21"/>
                      <w:szCs w:val="21"/>
                    </w:rPr>
                    <w:t>）</w:t>
                  </w:r>
                </w:p>
              </w:tc>
              <w:tc>
                <w:tcPr>
                  <w:tcW w:w="940" w:type="pct"/>
                  <w:noWrap w:val="0"/>
                  <w:vAlign w:val="center"/>
                </w:tcPr>
                <w:p w14:paraId="602D6F26">
                  <w:pPr>
                    <w:pStyle w:val="16"/>
                    <w:overflowPunct w:val="0"/>
                    <w:autoSpaceDE w:val="0"/>
                    <w:autoSpaceDN w:val="0"/>
                    <w:snapToGrid/>
                    <w:spacing w:before="0" w:after="0" w:line="240" w:lineRule="auto"/>
                    <w:ind w:right="0"/>
                    <w:jc w:val="center"/>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标准值</w:t>
                  </w:r>
                  <w:r>
                    <w:rPr>
                      <w:rFonts w:cs="Times New Roman"/>
                      <w:b/>
                      <w:bCs w:val="0"/>
                      <w:color w:val="auto"/>
                      <w:sz w:val="21"/>
                      <w:szCs w:val="21"/>
                    </w:rPr>
                    <w:t>（µg/m</w:t>
                  </w:r>
                  <w:r>
                    <w:rPr>
                      <w:rFonts w:cs="Times New Roman"/>
                      <w:b/>
                      <w:bCs w:val="0"/>
                      <w:color w:val="auto"/>
                      <w:sz w:val="21"/>
                      <w:szCs w:val="21"/>
                      <w:vertAlign w:val="superscript"/>
                    </w:rPr>
                    <w:t>3</w:t>
                  </w:r>
                  <w:r>
                    <w:rPr>
                      <w:rFonts w:cs="Times New Roman"/>
                      <w:b/>
                      <w:bCs w:val="0"/>
                      <w:color w:val="auto"/>
                      <w:sz w:val="21"/>
                      <w:szCs w:val="21"/>
                    </w:rPr>
                    <w:t>）</w:t>
                  </w:r>
                </w:p>
              </w:tc>
              <w:tc>
                <w:tcPr>
                  <w:tcW w:w="624" w:type="pct"/>
                  <w:noWrap w:val="0"/>
                  <w:vAlign w:val="center"/>
                </w:tcPr>
                <w:p w14:paraId="406FDB5D">
                  <w:pPr>
                    <w:pStyle w:val="16"/>
                    <w:overflowPunct w:val="0"/>
                    <w:autoSpaceDE w:val="0"/>
                    <w:autoSpaceDN w:val="0"/>
                    <w:snapToGrid/>
                    <w:spacing w:before="0" w:after="0" w:line="240" w:lineRule="auto"/>
                    <w:ind w:right="0"/>
                    <w:jc w:val="center"/>
                    <w:rPr>
                      <w:rFonts w:hint="eastAsia" w:ascii="Times New Roman" w:hAnsi="Times New Roman" w:eastAsia="宋体" w:cs="Times New Roman"/>
                      <w:b/>
                      <w:bCs w:val="0"/>
                      <w:color w:val="auto"/>
                      <w:sz w:val="21"/>
                      <w:szCs w:val="21"/>
                      <w:lang w:val="en-US" w:eastAsia="zh-CN"/>
                    </w:rPr>
                  </w:pPr>
                  <w:r>
                    <w:rPr>
                      <w:rFonts w:hint="eastAsia" w:eastAsia="宋体" w:cs="Times New Roman"/>
                      <w:b/>
                      <w:bCs w:val="0"/>
                      <w:color w:val="auto"/>
                      <w:sz w:val="21"/>
                      <w:szCs w:val="21"/>
                      <w:lang w:val="en-US" w:eastAsia="zh-CN"/>
                    </w:rPr>
                    <w:t>占标率（%）</w:t>
                  </w:r>
                </w:p>
              </w:tc>
              <w:tc>
                <w:tcPr>
                  <w:tcW w:w="624" w:type="pct"/>
                  <w:noWrap w:val="0"/>
                  <w:vAlign w:val="center"/>
                </w:tcPr>
                <w:p w14:paraId="490194F3">
                  <w:pPr>
                    <w:pStyle w:val="16"/>
                    <w:overflowPunct w:val="0"/>
                    <w:autoSpaceDE w:val="0"/>
                    <w:autoSpaceDN w:val="0"/>
                    <w:snapToGrid/>
                    <w:spacing w:before="0" w:after="0" w:line="240" w:lineRule="auto"/>
                    <w:ind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达标情况</w:t>
                  </w:r>
                </w:p>
              </w:tc>
            </w:tr>
            <w:tr w14:paraId="64B134E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526" w:type="pct"/>
                  <w:noWrap w:val="0"/>
                  <w:vAlign w:val="center"/>
                </w:tcPr>
                <w:p w14:paraId="00FB0477">
                  <w:pPr>
                    <w:pStyle w:val="16"/>
                    <w:overflowPunct w:val="0"/>
                    <w:autoSpaceDE w:val="0"/>
                    <w:autoSpaceDN w:val="0"/>
                    <w:snapToGrid/>
                    <w:spacing w:before="0" w:after="0" w:line="240" w:lineRule="auto"/>
                    <w:ind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SO</w:t>
                  </w:r>
                  <w:r>
                    <w:rPr>
                      <w:rFonts w:hint="default" w:ascii="Times New Roman" w:hAnsi="Times New Roman" w:eastAsia="宋体" w:cs="Times New Roman"/>
                      <w:bCs/>
                      <w:color w:val="auto"/>
                      <w:sz w:val="21"/>
                      <w:szCs w:val="21"/>
                      <w:vertAlign w:val="subscript"/>
                    </w:rPr>
                    <w:t>2</w:t>
                  </w:r>
                </w:p>
              </w:tc>
              <w:tc>
                <w:tcPr>
                  <w:tcW w:w="1215" w:type="pct"/>
                  <w:noWrap w:val="0"/>
                  <w:vAlign w:val="center"/>
                </w:tcPr>
                <w:p w14:paraId="6D982FB0">
                  <w:pPr>
                    <w:pStyle w:val="16"/>
                    <w:overflowPunct w:val="0"/>
                    <w:autoSpaceDE w:val="0"/>
                    <w:autoSpaceDN w:val="0"/>
                    <w:snapToGrid/>
                    <w:spacing w:before="0" w:after="0" w:line="240" w:lineRule="auto"/>
                    <w:ind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年平均质量浓度</w:t>
                  </w:r>
                </w:p>
              </w:tc>
              <w:tc>
                <w:tcPr>
                  <w:tcW w:w="1067" w:type="pct"/>
                  <w:noWrap w:val="0"/>
                  <w:vAlign w:val="center"/>
                </w:tcPr>
                <w:p w14:paraId="2A81449F">
                  <w:pPr>
                    <w:pStyle w:val="16"/>
                    <w:overflowPunct w:val="0"/>
                    <w:autoSpaceDE w:val="0"/>
                    <w:autoSpaceDN w:val="0"/>
                    <w:snapToGrid/>
                    <w:spacing w:before="0" w:after="0" w:line="240" w:lineRule="auto"/>
                    <w:ind w:right="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6.2</w:t>
                  </w:r>
                </w:p>
              </w:tc>
              <w:tc>
                <w:tcPr>
                  <w:tcW w:w="940" w:type="pct"/>
                  <w:noWrap w:val="0"/>
                  <w:vAlign w:val="center"/>
                </w:tcPr>
                <w:p w14:paraId="7D7A5BA4">
                  <w:pPr>
                    <w:pStyle w:val="16"/>
                    <w:overflowPunct w:val="0"/>
                    <w:autoSpaceDE w:val="0"/>
                    <w:autoSpaceDN w:val="0"/>
                    <w:snapToGrid/>
                    <w:spacing w:before="0" w:after="0" w:line="240" w:lineRule="auto"/>
                    <w:ind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60</w:t>
                  </w:r>
                </w:p>
              </w:tc>
              <w:tc>
                <w:tcPr>
                  <w:tcW w:w="624" w:type="pct"/>
                  <w:noWrap w:val="0"/>
                  <w:vAlign w:val="center"/>
                </w:tcPr>
                <w:p w14:paraId="761B3B44">
                  <w:pPr>
                    <w:pStyle w:val="16"/>
                    <w:overflowPunct w:val="0"/>
                    <w:autoSpaceDE w:val="0"/>
                    <w:autoSpaceDN w:val="0"/>
                    <w:snapToGrid/>
                    <w:spacing w:before="0" w:after="0" w:line="240" w:lineRule="auto"/>
                    <w:ind w:right="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10.3</w:t>
                  </w:r>
                </w:p>
              </w:tc>
              <w:tc>
                <w:tcPr>
                  <w:tcW w:w="624" w:type="pct"/>
                  <w:noWrap w:val="0"/>
                  <w:vAlign w:val="center"/>
                </w:tcPr>
                <w:p w14:paraId="71C77AD6">
                  <w:pPr>
                    <w:pStyle w:val="16"/>
                    <w:overflowPunct w:val="0"/>
                    <w:autoSpaceDE w:val="0"/>
                    <w:autoSpaceDN w:val="0"/>
                    <w:snapToGrid/>
                    <w:spacing w:before="0" w:after="0" w:line="240" w:lineRule="auto"/>
                    <w:ind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达标</w:t>
                  </w:r>
                </w:p>
              </w:tc>
            </w:tr>
            <w:tr w14:paraId="40D98A5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526" w:type="pct"/>
                  <w:noWrap w:val="0"/>
                  <w:vAlign w:val="center"/>
                </w:tcPr>
                <w:p w14:paraId="6939CAB2">
                  <w:pPr>
                    <w:pStyle w:val="16"/>
                    <w:overflowPunct w:val="0"/>
                    <w:autoSpaceDE w:val="0"/>
                    <w:autoSpaceDN w:val="0"/>
                    <w:snapToGrid/>
                    <w:spacing w:before="0" w:after="0" w:line="240" w:lineRule="auto"/>
                    <w:ind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NO</w:t>
                  </w:r>
                  <w:r>
                    <w:rPr>
                      <w:rFonts w:hint="default" w:ascii="Times New Roman" w:hAnsi="Times New Roman" w:eastAsia="宋体" w:cs="Times New Roman"/>
                      <w:bCs/>
                      <w:color w:val="auto"/>
                      <w:sz w:val="21"/>
                      <w:szCs w:val="21"/>
                      <w:vertAlign w:val="subscript"/>
                    </w:rPr>
                    <w:t>2</w:t>
                  </w:r>
                </w:p>
              </w:tc>
              <w:tc>
                <w:tcPr>
                  <w:tcW w:w="1215" w:type="pct"/>
                  <w:noWrap w:val="0"/>
                  <w:vAlign w:val="center"/>
                </w:tcPr>
                <w:p w14:paraId="2918D748">
                  <w:pPr>
                    <w:pStyle w:val="16"/>
                    <w:overflowPunct w:val="0"/>
                    <w:autoSpaceDE w:val="0"/>
                    <w:autoSpaceDN w:val="0"/>
                    <w:snapToGrid/>
                    <w:spacing w:before="0" w:after="0" w:line="240" w:lineRule="auto"/>
                    <w:ind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年平均质量浓度</w:t>
                  </w:r>
                </w:p>
              </w:tc>
              <w:tc>
                <w:tcPr>
                  <w:tcW w:w="1067" w:type="pct"/>
                  <w:noWrap w:val="0"/>
                  <w:vAlign w:val="center"/>
                </w:tcPr>
                <w:p w14:paraId="4AE36645">
                  <w:pPr>
                    <w:pStyle w:val="16"/>
                    <w:overflowPunct w:val="0"/>
                    <w:autoSpaceDE w:val="0"/>
                    <w:autoSpaceDN w:val="0"/>
                    <w:snapToGrid/>
                    <w:spacing w:before="0" w:after="0" w:line="240" w:lineRule="auto"/>
                    <w:ind w:right="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17.6</w:t>
                  </w:r>
                </w:p>
              </w:tc>
              <w:tc>
                <w:tcPr>
                  <w:tcW w:w="940" w:type="pct"/>
                  <w:noWrap w:val="0"/>
                  <w:vAlign w:val="center"/>
                </w:tcPr>
                <w:p w14:paraId="2C1CFD0A">
                  <w:pPr>
                    <w:pStyle w:val="16"/>
                    <w:overflowPunct w:val="0"/>
                    <w:autoSpaceDE w:val="0"/>
                    <w:autoSpaceDN w:val="0"/>
                    <w:snapToGrid/>
                    <w:spacing w:before="0" w:after="0" w:line="240" w:lineRule="auto"/>
                    <w:ind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40</w:t>
                  </w:r>
                </w:p>
              </w:tc>
              <w:tc>
                <w:tcPr>
                  <w:tcW w:w="624" w:type="pct"/>
                  <w:noWrap w:val="0"/>
                  <w:vAlign w:val="center"/>
                </w:tcPr>
                <w:p w14:paraId="4C541C63">
                  <w:pPr>
                    <w:pStyle w:val="16"/>
                    <w:overflowPunct w:val="0"/>
                    <w:autoSpaceDE w:val="0"/>
                    <w:autoSpaceDN w:val="0"/>
                    <w:snapToGrid/>
                    <w:spacing w:before="0" w:after="0" w:line="240" w:lineRule="auto"/>
                    <w:ind w:right="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44</w:t>
                  </w:r>
                </w:p>
              </w:tc>
              <w:tc>
                <w:tcPr>
                  <w:tcW w:w="624" w:type="pct"/>
                  <w:noWrap w:val="0"/>
                  <w:vAlign w:val="center"/>
                </w:tcPr>
                <w:p w14:paraId="4503E6AC">
                  <w:pPr>
                    <w:pStyle w:val="16"/>
                    <w:overflowPunct w:val="0"/>
                    <w:autoSpaceDE w:val="0"/>
                    <w:autoSpaceDN w:val="0"/>
                    <w:snapToGrid/>
                    <w:spacing w:before="0" w:after="0" w:line="240" w:lineRule="auto"/>
                    <w:ind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达标</w:t>
                  </w:r>
                </w:p>
              </w:tc>
            </w:tr>
            <w:tr w14:paraId="0A6302C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526" w:type="pct"/>
                  <w:noWrap w:val="0"/>
                  <w:vAlign w:val="center"/>
                </w:tcPr>
                <w:p w14:paraId="71114003">
                  <w:pPr>
                    <w:pStyle w:val="16"/>
                    <w:overflowPunct w:val="0"/>
                    <w:autoSpaceDE w:val="0"/>
                    <w:autoSpaceDN w:val="0"/>
                    <w:snapToGrid/>
                    <w:spacing w:before="0" w:after="0" w:line="240" w:lineRule="auto"/>
                    <w:ind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PM</w:t>
                  </w:r>
                  <w:r>
                    <w:rPr>
                      <w:rFonts w:hint="default" w:ascii="Times New Roman" w:hAnsi="Times New Roman" w:eastAsia="宋体" w:cs="Times New Roman"/>
                      <w:bCs/>
                      <w:color w:val="auto"/>
                      <w:sz w:val="21"/>
                      <w:szCs w:val="21"/>
                      <w:vertAlign w:val="subscript"/>
                    </w:rPr>
                    <w:t>10</w:t>
                  </w:r>
                </w:p>
              </w:tc>
              <w:tc>
                <w:tcPr>
                  <w:tcW w:w="1215" w:type="pct"/>
                  <w:noWrap w:val="0"/>
                  <w:vAlign w:val="center"/>
                </w:tcPr>
                <w:p w14:paraId="4A090F35">
                  <w:pPr>
                    <w:pStyle w:val="16"/>
                    <w:overflowPunct w:val="0"/>
                    <w:autoSpaceDE w:val="0"/>
                    <w:autoSpaceDN w:val="0"/>
                    <w:snapToGrid/>
                    <w:spacing w:before="0" w:after="0" w:line="240" w:lineRule="auto"/>
                    <w:ind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年平均质量浓度</w:t>
                  </w:r>
                </w:p>
              </w:tc>
              <w:tc>
                <w:tcPr>
                  <w:tcW w:w="1067" w:type="pct"/>
                  <w:noWrap w:val="0"/>
                  <w:vAlign w:val="center"/>
                </w:tcPr>
                <w:p w14:paraId="493D70C4">
                  <w:pPr>
                    <w:pStyle w:val="16"/>
                    <w:overflowPunct w:val="0"/>
                    <w:autoSpaceDE w:val="0"/>
                    <w:autoSpaceDN w:val="0"/>
                    <w:snapToGrid/>
                    <w:spacing w:before="0" w:after="0" w:line="240" w:lineRule="auto"/>
                    <w:ind w:right="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40.9</w:t>
                  </w:r>
                </w:p>
              </w:tc>
              <w:tc>
                <w:tcPr>
                  <w:tcW w:w="940" w:type="pct"/>
                  <w:noWrap w:val="0"/>
                  <w:vAlign w:val="center"/>
                </w:tcPr>
                <w:p w14:paraId="79F6D541">
                  <w:pPr>
                    <w:pStyle w:val="16"/>
                    <w:overflowPunct w:val="0"/>
                    <w:autoSpaceDE w:val="0"/>
                    <w:autoSpaceDN w:val="0"/>
                    <w:snapToGrid/>
                    <w:spacing w:before="0" w:after="0" w:line="240" w:lineRule="auto"/>
                    <w:ind w:right="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60</w:t>
                  </w:r>
                </w:p>
              </w:tc>
              <w:tc>
                <w:tcPr>
                  <w:tcW w:w="624" w:type="pct"/>
                  <w:noWrap w:val="0"/>
                  <w:vAlign w:val="center"/>
                </w:tcPr>
                <w:p w14:paraId="3A4E577A">
                  <w:pPr>
                    <w:pStyle w:val="16"/>
                    <w:overflowPunct w:val="0"/>
                    <w:autoSpaceDE w:val="0"/>
                    <w:autoSpaceDN w:val="0"/>
                    <w:snapToGrid/>
                    <w:spacing w:before="0" w:after="0" w:line="240" w:lineRule="auto"/>
                    <w:ind w:right="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68.17</w:t>
                  </w:r>
                </w:p>
              </w:tc>
              <w:tc>
                <w:tcPr>
                  <w:tcW w:w="624" w:type="pct"/>
                  <w:noWrap w:val="0"/>
                  <w:vAlign w:val="center"/>
                </w:tcPr>
                <w:p w14:paraId="2E468E61">
                  <w:pPr>
                    <w:pStyle w:val="16"/>
                    <w:overflowPunct w:val="0"/>
                    <w:autoSpaceDE w:val="0"/>
                    <w:autoSpaceDN w:val="0"/>
                    <w:snapToGrid/>
                    <w:spacing w:before="0" w:after="0" w:line="240" w:lineRule="auto"/>
                    <w:ind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达标</w:t>
                  </w:r>
                </w:p>
              </w:tc>
            </w:tr>
            <w:tr w14:paraId="79369D7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526" w:type="pct"/>
                  <w:noWrap w:val="0"/>
                  <w:vAlign w:val="center"/>
                </w:tcPr>
                <w:p w14:paraId="118284D1">
                  <w:pPr>
                    <w:pStyle w:val="16"/>
                    <w:overflowPunct w:val="0"/>
                    <w:autoSpaceDE w:val="0"/>
                    <w:autoSpaceDN w:val="0"/>
                    <w:snapToGrid/>
                    <w:spacing w:before="0" w:after="0" w:line="240" w:lineRule="auto"/>
                    <w:ind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PM</w:t>
                  </w:r>
                  <w:r>
                    <w:rPr>
                      <w:rFonts w:hint="default" w:ascii="Times New Roman" w:hAnsi="Times New Roman" w:eastAsia="宋体" w:cs="Times New Roman"/>
                      <w:bCs/>
                      <w:color w:val="auto"/>
                      <w:sz w:val="21"/>
                      <w:szCs w:val="21"/>
                      <w:vertAlign w:val="subscript"/>
                    </w:rPr>
                    <w:t>2.5</w:t>
                  </w:r>
                </w:p>
              </w:tc>
              <w:tc>
                <w:tcPr>
                  <w:tcW w:w="1215" w:type="pct"/>
                  <w:noWrap w:val="0"/>
                  <w:vAlign w:val="center"/>
                </w:tcPr>
                <w:p w14:paraId="777161F1">
                  <w:pPr>
                    <w:pStyle w:val="16"/>
                    <w:overflowPunct w:val="0"/>
                    <w:autoSpaceDE w:val="0"/>
                    <w:autoSpaceDN w:val="0"/>
                    <w:snapToGrid/>
                    <w:spacing w:before="0" w:after="0" w:line="240" w:lineRule="auto"/>
                    <w:ind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年平均质量浓度</w:t>
                  </w:r>
                </w:p>
              </w:tc>
              <w:tc>
                <w:tcPr>
                  <w:tcW w:w="1067" w:type="pct"/>
                  <w:noWrap w:val="0"/>
                  <w:vAlign w:val="center"/>
                </w:tcPr>
                <w:p w14:paraId="7FE056F9">
                  <w:pPr>
                    <w:pStyle w:val="16"/>
                    <w:overflowPunct w:val="0"/>
                    <w:autoSpaceDE w:val="0"/>
                    <w:autoSpaceDN w:val="0"/>
                    <w:snapToGrid/>
                    <w:spacing w:before="0" w:after="0" w:line="240" w:lineRule="auto"/>
                    <w:ind w:right="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27.8</w:t>
                  </w:r>
                </w:p>
              </w:tc>
              <w:tc>
                <w:tcPr>
                  <w:tcW w:w="940" w:type="pct"/>
                  <w:noWrap w:val="0"/>
                  <w:vAlign w:val="center"/>
                </w:tcPr>
                <w:p w14:paraId="38A78D45">
                  <w:pPr>
                    <w:pStyle w:val="16"/>
                    <w:overflowPunct w:val="0"/>
                    <w:autoSpaceDE w:val="0"/>
                    <w:autoSpaceDN w:val="0"/>
                    <w:snapToGrid/>
                    <w:spacing w:before="0" w:after="0" w:line="240" w:lineRule="auto"/>
                    <w:ind w:right="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30</w:t>
                  </w:r>
                </w:p>
              </w:tc>
              <w:tc>
                <w:tcPr>
                  <w:tcW w:w="624" w:type="pct"/>
                  <w:noWrap w:val="0"/>
                  <w:vAlign w:val="center"/>
                </w:tcPr>
                <w:p w14:paraId="23A8431E">
                  <w:pPr>
                    <w:pStyle w:val="16"/>
                    <w:overflowPunct w:val="0"/>
                    <w:autoSpaceDE w:val="0"/>
                    <w:autoSpaceDN w:val="0"/>
                    <w:snapToGrid/>
                    <w:spacing w:before="0" w:after="0" w:line="240" w:lineRule="auto"/>
                    <w:ind w:right="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92.67</w:t>
                  </w:r>
                </w:p>
              </w:tc>
              <w:tc>
                <w:tcPr>
                  <w:tcW w:w="624" w:type="pct"/>
                  <w:noWrap w:val="0"/>
                  <w:vAlign w:val="center"/>
                </w:tcPr>
                <w:p w14:paraId="6EB054D2">
                  <w:pPr>
                    <w:pStyle w:val="16"/>
                    <w:overflowPunct w:val="0"/>
                    <w:autoSpaceDE w:val="0"/>
                    <w:autoSpaceDN w:val="0"/>
                    <w:snapToGrid/>
                    <w:spacing w:before="0" w:after="0" w:line="240" w:lineRule="auto"/>
                    <w:ind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达标</w:t>
                  </w:r>
                </w:p>
              </w:tc>
            </w:tr>
            <w:tr w14:paraId="23E54F2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526" w:type="pct"/>
                  <w:noWrap w:val="0"/>
                  <w:vAlign w:val="center"/>
                </w:tcPr>
                <w:p w14:paraId="4F4CA8D8">
                  <w:pPr>
                    <w:pStyle w:val="16"/>
                    <w:overflowPunct w:val="0"/>
                    <w:autoSpaceDE w:val="0"/>
                    <w:autoSpaceDN w:val="0"/>
                    <w:snapToGrid/>
                    <w:spacing w:before="0" w:after="0" w:line="240" w:lineRule="auto"/>
                    <w:ind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CO</w:t>
                  </w:r>
                </w:p>
              </w:tc>
              <w:tc>
                <w:tcPr>
                  <w:tcW w:w="1215" w:type="pct"/>
                  <w:noWrap w:val="0"/>
                  <w:vAlign w:val="center"/>
                </w:tcPr>
                <w:p w14:paraId="4EDD618D">
                  <w:pPr>
                    <w:pStyle w:val="16"/>
                    <w:overflowPunct w:val="0"/>
                    <w:autoSpaceDE w:val="0"/>
                    <w:autoSpaceDN w:val="0"/>
                    <w:snapToGrid/>
                    <w:spacing w:before="0" w:after="0" w:line="240" w:lineRule="auto"/>
                    <w:ind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日均第95百分位数</w:t>
                  </w:r>
                </w:p>
              </w:tc>
              <w:tc>
                <w:tcPr>
                  <w:tcW w:w="1067" w:type="pct"/>
                  <w:noWrap w:val="0"/>
                  <w:vAlign w:val="center"/>
                </w:tcPr>
                <w:p w14:paraId="0C75FD81">
                  <w:pPr>
                    <w:pStyle w:val="16"/>
                    <w:overflowPunct w:val="0"/>
                    <w:autoSpaceDE w:val="0"/>
                    <w:autoSpaceDN w:val="0"/>
                    <w:snapToGrid/>
                    <w:spacing w:before="0" w:after="0" w:line="240" w:lineRule="auto"/>
                    <w:ind w:right="0"/>
                    <w:jc w:val="center"/>
                    <w:rPr>
                      <w:rFonts w:hint="default" w:ascii="Times New Roman" w:hAnsi="Times New Roman" w:eastAsia="宋体" w:cs="Times New Roman"/>
                      <w:bCs/>
                      <w:color w:val="auto"/>
                      <w:sz w:val="21"/>
                      <w:szCs w:val="21"/>
                    </w:rPr>
                  </w:pPr>
                  <w:r>
                    <w:rPr>
                      <w:rFonts w:hint="eastAsia" w:cs="Times New Roman"/>
                      <w:bCs/>
                      <w:color w:val="auto"/>
                      <w:sz w:val="21"/>
                      <w:szCs w:val="21"/>
                      <w:lang w:val="en-US" w:eastAsia="zh-CN"/>
                    </w:rPr>
                    <w:t>0.1</w:t>
                  </w:r>
                  <w:r>
                    <w:rPr>
                      <w:rFonts w:hint="default" w:ascii="Times New Roman" w:hAnsi="Times New Roman" w:eastAsia="宋体" w:cs="Times New Roman"/>
                      <w:bCs/>
                      <w:color w:val="auto"/>
                      <w:sz w:val="21"/>
                      <w:szCs w:val="21"/>
                    </w:rPr>
                    <w:t>mg/m</w:t>
                  </w:r>
                  <w:r>
                    <w:rPr>
                      <w:rFonts w:hint="default" w:ascii="Times New Roman" w:hAnsi="Times New Roman" w:eastAsia="宋体" w:cs="Times New Roman"/>
                      <w:bCs/>
                      <w:color w:val="auto"/>
                      <w:sz w:val="21"/>
                      <w:szCs w:val="21"/>
                      <w:vertAlign w:val="superscript"/>
                    </w:rPr>
                    <w:t>3</w:t>
                  </w:r>
                </w:p>
              </w:tc>
              <w:tc>
                <w:tcPr>
                  <w:tcW w:w="940" w:type="pct"/>
                  <w:noWrap w:val="0"/>
                  <w:vAlign w:val="center"/>
                </w:tcPr>
                <w:p w14:paraId="27438EA7">
                  <w:pPr>
                    <w:pStyle w:val="16"/>
                    <w:overflowPunct w:val="0"/>
                    <w:autoSpaceDE w:val="0"/>
                    <w:autoSpaceDN w:val="0"/>
                    <w:snapToGrid/>
                    <w:spacing w:before="0" w:after="0" w:line="240" w:lineRule="auto"/>
                    <w:ind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4mg/m</w:t>
                  </w:r>
                  <w:r>
                    <w:rPr>
                      <w:rFonts w:hint="default" w:ascii="Times New Roman" w:hAnsi="Times New Roman" w:eastAsia="宋体" w:cs="Times New Roman"/>
                      <w:bCs/>
                      <w:color w:val="auto"/>
                      <w:sz w:val="21"/>
                      <w:szCs w:val="21"/>
                      <w:vertAlign w:val="superscript"/>
                    </w:rPr>
                    <w:t>3</w:t>
                  </w:r>
                </w:p>
              </w:tc>
              <w:tc>
                <w:tcPr>
                  <w:tcW w:w="624" w:type="pct"/>
                  <w:noWrap w:val="0"/>
                  <w:vAlign w:val="center"/>
                </w:tcPr>
                <w:p w14:paraId="5FF90D9E">
                  <w:pPr>
                    <w:pStyle w:val="16"/>
                    <w:overflowPunct w:val="0"/>
                    <w:autoSpaceDE w:val="0"/>
                    <w:autoSpaceDN w:val="0"/>
                    <w:snapToGrid/>
                    <w:spacing w:before="0" w:after="0" w:line="240" w:lineRule="auto"/>
                    <w:ind w:right="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2.5</w:t>
                  </w:r>
                </w:p>
              </w:tc>
              <w:tc>
                <w:tcPr>
                  <w:tcW w:w="624" w:type="pct"/>
                  <w:noWrap w:val="0"/>
                  <w:vAlign w:val="center"/>
                </w:tcPr>
                <w:p w14:paraId="15EFA695">
                  <w:pPr>
                    <w:pStyle w:val="16"/>
                    <w:overflowPunct w:val="0"/>
                    <w:autoSpaceDE w:val="0"/>
                    <w:autoSpaceDN w:val="0"/>
                    <w:snapToGrid/>
                    <w:spacing w:before="0" w:after="0" w:line="240" w:lineRule="auto"/>
                    <w:ind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达标</w:t>
                  </w:r>
                </w:p>
              </w:tc>
            </w:tr>
            <w:tr w14:paraId="286F308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526" w:type="pct"/>
                  <w:noWrap w:val="0"/>
                  <w:vAlign w:val="center"/>
                </w:tcPr>
                <w:p w14:paraId="7D464DE7">
                  <w:pPr>
                    <w:pStyle w:val="16"/>
                    <w:overflowPunct w:val="0"/>
                    <w:autoSpaceDE w:val="0"/>
                    <w:autoSpaceDN w:val="0"/>
                    <w:snapToGrid/>
                    <w:spacing w:before="0" w:after="0" w:line="240" w:lineRule="auto"/>
                    <w:ind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O</w:t>
                  </w:r>
                  <w:r>
                    <w:rPr>
                      <w:rFonts w:hint="default" w:ascii="Times New Roman" w:hAnsi="Times New Roman" w:eastAsia="宋体" w:cs="Times New Roman"/>
                      <w:bCs/>
                      <w:color w:val="auto"/>
                      <w:sz w:val="21"/>
                      <w:szCs w:val="21"/>
                      <w:vertAlign w:val="subscript"/>
                    </w:rPr>
                    <w:t>3</w:t>
                  </w:r>
                </w:p>
              </w:tc>
              <w:tc>
                <w:tcPr>
                  <w:tcW w:w="1215" w:type="pct"/>
                  <w:noWrap w:val="0"/>
                  <w:vAlign w:val="center"/>
                </w:tcPr>
                <w:p w14:paraId="434CD695">
                  <w:pPr>
                    <w:pStyle w:val="16"/>
                    <w:overflowPunct w:val="0"/>
                    <w:autoSpaceDE w:val="0"/>
                    <w:autoSpaceDN w:val="0"/>
                    <w:snapToGrid/>
                    <w:spacing w:before="0" w:after="0" w:line="240" w:lineRule="auto"/>
                    <w:ind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日最大8小时均值</w:t>
                  </w:r>
                </w:p>
              </w:tc>
              <w:tc>
                <w:tcPr>
                  <w:tcW w:w="1067" w:type="pct"/>
                  <w:noWrap w:val="0"/>
                  <w:vAlign w:val="center"/>
                </w:tcPr>
                <w:p w14:paraId="18327F11">
                  <w:pPr>
                    <w:pStyle w:val="16"/>
                    <w:overflowPunct w:val="0"/>
                    <w:autoSpaceDE w:val="0"/>
                    <w:autoSpaceDN w:val="0"/>
                    <w:snapToGrid/>
                    <w:spacing w:before="0" w:after="0" w:line="240" w:lineRule="auto"/>
                    <w:ind w:right="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131.0</w:t>
                  </w:r>
                </w:p>
              </w:tc>
              <w:tc>
                <w:tcPr>
                  <w:tcW w:w="940" w:type="pct"/>
                  <w:noWrap w:val="0"/>
                  <w:vAlign w:val="center"/>
                </w:tcPr>
                <w:p w14:paraId="3B50930F">
                  <w:pPr>
                    <w:pStyle w:val="16"/>
                    <w:overflowPunct w:val="0"/>
                    <w:autoSpaceDE w:val="0"/>
                    <w:autoSpaceDN w:val="0"/>
                    <w:snapToGrid/>
                    <w:spacing w:before="0" w:after="0" w:line="240" w:lineRule="auto"/>
                    <w:ind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160</w:t>
                  </w:r>
                </w:p>
              </w:tc>
              <w:tc>
                <w:tcPr>
                  <w:tcW w:w="624" w:type="pct"/>
                  <w:noWrap w:val="0"/>
                  <w:vAlign w:val="center"/>
                </w:tcPr>
                <w:p w14:paraId="476D0454">
                  <w:pPr>
                    <w:pStyle w:val="16"/>
                    <w:overflowPunct w:val="0"/>
                    <w:autoSpaceDE w:val="0"/>
                    <w:autoSpaceDN w:val="0"/>
                    <w:snapToGrid/>
                    <w:spacing w:before="0" w:after="0" w:line="240" w:lineRule="auto"/>
                    <w:ind w:right="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81.88</w:t>
                  </w:r>
                </w:p>
              </w:tc>
              <w:tc>
                <w:tcPr>
                  <w:tcW w:w="624" w:type="pct"/>
                  <w:noWrap w:val="0"/>
                  <w:vAlign w:val="center"/>
                </w:tcPr>
                <w:p w14:paraId="6598575C">
                  <w:pPr>
                    <w:pStyle w:val="16"/>
                    <w:overflowPunct w:val="0"/>
                    <w:autoSpaceDE w:val="0"/>
                    <w:autoSpaceDN w:val="0"/>
                    <w:snapToGrid/>
                    <w:spacing w:before="0" w:after="0" w:line="240" w:lineRule="auto"/>
                    <w:ind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达标</w:t>
                  </w:r>
                </w:p>
              </w:tc>
            </w:tr>
          </w:tbl>
          <w:p w14:paraId="71B2F72B">
            <w:pPr>
              <w:spacing w:line="360" w:lineRule="auto"/>
              <w:ind w:firstLine="480" w:firstLineChars="20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bidi="ar"/>
                <w14:textFill>
                  <w14:solidFill>
                    <w14:schemeClr w14:val="tx1"/>
                  </w14:solidFill>
                </w14:textFill>
              </w:rPr>
              <w:t>根据上表可知，202</w:t>
            </w:r>
            <w:r>
              <w:rPr>
                <w:rFonts w:hint="eastAsia" w:cs="Times New Roman"/>
                <w:color w:val="000000" w:themeColor="text1"/>
                <w:sz w:val="24"/>
                <w:szCs w:val="24"/>
                <w:lang w:val="en-US" w:eastAsia="zh-CN" w:bidi="ar"/>
                <w14:textFill>
                  <w14:solidFill>
                    <w14:schemeClr w14:val="tx1"/>
                  </w14:solidFill>
                </w14:textFill>
              </w:rPr>
              <w:t>5</w:t>
            </w:r>
            <w:r>
              <w:rPr>
                <w:rFonts w:hint="default" w:ascii="Times New Roman" w:hAnsi="Times New Roman" w:eastAsia="宋体" w:cs="Times New Roman"/>
                <w:color w:val="000000" w:themeColor="text1"/>
                <w:sz w:val="24"/>
                <w:szCs w:val="24"/>
                <w:lang w:bidi="ar"/>
                <w14:textFill>
                  <w14:solidFill>
                    <w14:schemeClr w14:val="tx1"/>
                  </w14:solidFill>
                </w14:textFill>
              </w:rPr>
              <w:t>年巴中市环境空气质量现状</w:t>
            </w:r>
            <w:r>
              <w:rPr>
                <w:rFonts w:hint="default" w:ascii="Times New Roman" w:hAnsi="Times New Roman" w:eastAsia="宋体" w:cs="Times New Roman"/>
                <w:color w:val="000000" w:themeColor="text1"/>
                <w:kern w:val="0"/>
                <w:sz w:val="24"/>
                <w:szCs w:val="24"/>
                <w14:textFill>
                  <w14:solidFill>
                    <w14:schemeClr w14:val="tx1"/>
                  </w14:solidFill>
                </w14:textFill>
              </w:rPr>
              <w:t>PM</w:t>
            </w:r>
            <w:r>
              <w:rPr>
                <w:rFonts w:hint="default" w:ascii="Times New Roman" w:hAnsi="Times New Roman" w:eastAsia="宋体" w:cs="Times New Roman"/>
                <w:color w:val="000000" w:themeColor="text1"/>
                <w:kern w:val="0"/>
                <w:sz w:val="24"/>
                <w:szCs w:val="24"/>
                <w:vertAlign w:val="subscript"/>
                <w14:textFill>
                  <w14:solidFill>
                    <w14:schemeClr w14:val="tx1"/>
                  </w14:solidFill>
                </w14:textFill>
              </w:rPr>
              <w:t>10</w:t>
            </w:r>
            <w:r>
              <w:rPr>
                <w:rFonts w:hint="default" w:ascii="Times New Roman" w:hAnsi="Times New Roman" w:eastAsia="宋体" w:cs="Times New Roman"/>
                <w:color w:val="000000" w:themeColor="text1"/>
                <w:kern w:val="0"/>
                <w:sz w:val="24"/>
                <w:szCs w:val="24"/>
                <w14:textFill>
                  <w14:solidFill>
                    <w14:schemeClr w14:val="tx1"/>
                  </w14:solidFill>
                </w14:textFill>
              </w:rPr>
              <w:t>、PM</w:t>
            </w:r>
            <w:r>
              <w:rPr>
                <w:rFonts w:hint="default" w:ascii="Times New Roman" w:hAnsi="Times New Roman" w:eastAsia="宋体" w:cs="Times New Roman"/>
                <w:color w:val="000000" w:themeColor="text1"/>
                <w:kern w:val="0"/>
                <w:sz w:val="24"/>
                <w:szCs w:val="24"/>
                <w:vertAlign w:val="subscript"/>
                <w14:textFill>
                  <w14:solidFill>
                    <w14:schemeClr w14:val="tx1"/>
                  </w14:solidFill>
                </w14:textFill>
              </w:rPr>
              <w:t>2.5</w:t>
            </w:r>
            <w:r>
              <w:rPr>
                <w:rFonts w:hint="default" w:ascii="Times New Roman" w:hAnsi="Times New Roman" w:eastAsia="宋体" w:cs="Times New Roman"/>
                <w:color w:val="000000" w:themeColor="text1"/>
                <w:kern w:val="0"/>
                <w:sz w:val="24"/>
                <w:szCs w:val="24"/>
                <w14:textFill>
                  <w14:solidFill>
                    <w14:schemeClr w14:val="tx1"/>
                  </w14:solidFill>
                </w14:textFill>
              </w:rPr>
              <w:t>、SO</w:t>
            </w:r>
            <w:r>
              <w:rPr>
                <w:rFonts w:hint="default" w:ascii="Times New Roman" w:hAnsi="Times New Roman" w:eastAsia="宋体" w:cs="Times New Roman"/>
                <w:color w:val="000000" w:themeColor="text1"/>
                <w:kern w:val="0"/>
                <w:sz w:val="24"/>
                <w:szCs w:val="24"/>
                <w:vertAlign w:val="subscript"/>
                <w14:textFill>
                  <w14:solidFill>
                    <w14:schemeClr w14:val="tx1"/>
                  </w14:solidFill>
                </w14:textFill>
              </w:rPr>
              <w:t>2</w:t>
            </w:r>
            <w:r>
              <w:rPr>
                <w:rFonts w:hint="default" w:ascii="Times New Roman" w:hAnsi="Times New Roman" w:eastAsia="宋体" w:cs="Times New Roman"/>
                <w:color w:val="000000" w:themeColor="text1"/>
                <w:kern w:val="0"/>
                <w:sz w:val="24"/>
                <w:szCs w:val="24"/>
                <w14:textFill>
                  <w14:solidFill>
                    <w14:schemeClr w14:val="tx1"/>
                  </w14:solidFill>
                </w14:textFill>
              </w:rPr>
              <w:t>、NO</w:t>
            </w:r>
            <w:r>
              <w:rPr>
                <w:rFonts w:hint="default" w:ascii="Times New Roman" w:hAnsi="Times New Roman" w:eastAsia="宋体" w:cs="Times New Roman"/>
                <w:color w:val="000000" w:themeColor="text1"/>
                <w:kern w:val="0"/>
                <w:sz w:val="24"/>
                <w:szCs w:val="24"/>
                <w:vertAlign w:val="subscript"/>
                <w14:textFill>
                  <w14:solidFill>
                    <w14:schemeClr w14:val="tx1"/>
                  </w14:solidFill>
                </w14:textFill>
              </w:rPr>
              <w:t>2</w:t>
            </w:r>
            <w:r>
              <w:rPr>
                <w:rFonts w:hint="default" w:ascii="Times New Roman" w:hAnsi="Times New Roman" w:eastAsia="宋体" w:cs="Times New Roman"/>
                <w:color w:val="000000" w:themeColor="text1"/>
                <w:kern w:val="0"/>
                <w:sz w:val="24"/>
                <w:szCs w:val="24"/>
                <w14:textFill>
                  <w14:solidFill>
                    <w14:schemeClr w14:val="tx1"/>
                  </w14:solidFill>
                </w14:textFill>
              </w:rPr>
              <w:t>、O</w:t>
            </w:r>
            <w:r>
              <w:rPr>
                <w:rFonts w:hint="default" w:ascii="Times New Roman" w:hAnsi="Times New Roman" w:eastAsia="宋体" w:cs="Times New Roman"/>
                <w:color w:val="000000" w:themeColor="text1"/>
                <w:kern w:val="0"/>
                <w:sz w:val="24"/>
                <w:szCs w:val="24"/>
                <w:vertAlign w:val="subscript"/>
                <w14:textFill>
                  <w14:solidFill>
                    <w14:schemeClr w14:val="tx1"/>
                  </w14:solidFill>
                </w14:textFill>
              </w:rPr>
              <w:t>3</w:t>
            </w:r>
            <w:r>
              <w:rPr>
                <w:rFonts w:hint="default" w:ascii="Times New Roman" w:hAnsi="Times New Roman" w:eastAsia="宋体" w:cs="Times New Roman"/>
                <w:color w:val="000000" w:themeColor="text1"/>
                <w:kern w:val="0"/>
                <w:sz w:val="24"/>
                <w:szCs w:val="24"/>
                <w14:textFill>
                  <w14:solidFill>
                    <w14:schemeClr w14:val="tx1"/>
                  </w14:solidFill>
                </w14:textFill>
              </w:rPr>
              <w:t>和CO的</w:t>
            </w:r>
            <w:r>
              <w:rPr>
                <w:rFonts w:hint="default" w:ascii="Times New Roman" w:hAnsi="Times New Roman" w:eastAsia="宋体" w:cs="Times New Roman"/>
                <w:color w:val="000000" w:themeColor="text1"/>
                <w:sz w:val="24"/>
                <w:szCs w:val="24"/>
                <w:lang w:bidi="ar"/>
                <w14:textFill>
                  <w14:solidFill>
                    <w14:schemeClr w14:val="tx1"/>
                  </w14:solidFill>
                </w14:textFill>
              </w:rPr>
              <w:t>年均浓度均达到《环境空气质量标准》（GB3095-</w:t>
            </w:r>
            <w:r>
              <w:rPr>
                <w:rFonts w:hint="eastAsia" w:eastAsia="宋体" w:cs="Times New Roman"/>
                <w:color w:val="000000" w:themeColor="text1"/>
                <w:sz w:val="24"/>
                <w:szCs w:val="24"/>
                <w:lang w:val="en-US" w:eastAsia="zh-CN" w:bidi="ar"/>
                <w14:textFill>
                  <w14:solidFill>
                    <w14:schemeClr w14:val="tx1"/>
                  </w14:solidFill>
                </w14:textFill>
              </w:rPr>
              <w:t>2026</w:t>
            </w:r>
            <w:r>
              <w:rPr>
                <w:rFonts w:hint="default" w:ascii="Times New Roman" w:hAnsi="Times New Roman" w:eastAsia="宋体" w:cs="Times New Roman"/>
                <w:color w:val="000000" w:themeColor="text1"/>
                <w:sz w:val="24"/>
                <w:szCs w:val="24"/>
                <w:lang w:bidi="ar"/>
                <w14:textFill>
                  <w14:solidFill>
                    <w14:schemeClr w14:val="tx1"/>
                  </w14:solidFill>
                </w14:textFill>
              </w:rPr>
              <w:t>）二级标准要求，项目所在区域为达标区，环境空气质量良好。</w:t>
            </w:r>
          </w:p>
          <w:p w14:paraId="1C473B83">
            <w:pPr>
              <w:spacing w:line="360" w:lineRule="auto"/>
              <w:ind w:firstLine="482" w:firstLineChars="200"/>
              <w:jc w:val="left"/>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（2）</w:t>
            </w:r>
            <w:r>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评价范围内环境质量现状</w:t>
            </w:r>
          </w:p>
          <w:p w14:paraId="199249EF">
            <w:pPr>
              <w:keepNext w:val="0"/>
              <w:keepLines w:val="0"/>
              <w:pageBreakBefore w:val="0"/>
              <w:widowControl w:val="0"/>
              <w:kinsoku/>
              <w:wordWrap/>
              <w:overflowPunct/>
              <w:topLinePunct w:val="0"/>
              <w:bidi w:val="0"/>
              <w:adjustRightInd w:val="0"/>
              <w:snapToGrid w:val="0"/>
              <w:spacing w:line="360" w:lineRule="auto"/>
              <w:ind w:firstLine="480" w:firstLineChars="200"/>
              <w:jc w:val="both"/>
              <w:textAlignment w:val="auto"/>
              <w:rPr>
                <w:rFonts w:hint="eastAsia" w:ascii="Times New Roman" w:hAnsi="Times New Roman" w:eastAsia="宋体"/>
                <w:color w:val="000000" w:themeColor="text1"/>
                <w:kern w:val="0"/>
                <w:sz w:val="24"/>
                <w:highlight w:val="none"/>
                <w:lang w:val="en-US" w:eastAsia="zh-CN"/>
                <w14:textFill>
                  <w14:solidFill>
                    <w14:schemeClr w14:val="tx1"/>
                  </w14:solidFill>
                </w14:textFill>
              </w:rPr>
            </w:pPr>
            <w:r>
              <w:rPr>
                <w:rFonts w:hint="eastAsia" w:ascii="Times New Roman" w:hAnsi="Times New Roman"/>
                <w:color w:val="auto"/>
                <w:kern w:val="0"/>
                <w:sz w:val="24"/>
                <w:highlight w:val="none"/>
              </w:rPr>
              <w:t>根据</w:t>
            </w:r>
            <w:r>
              <w:rPr>
                <w:rFonts w:hint="eastAsia" w:ascii="Times New Roman" w:hAnsi="Times New Roman"/>
                <w:color w:val="auto"/>
                <w:kern w:val="0"/>
                <w:sz w:val="24"/>
                <w:highlight w:val="none"/>
                <w:lang w:val="en-US" w:eastAsia="zh-CN"/>
              </w:rPr>
              <w:t>生态环境部环境工程评估中心对《建设项目环境影响报告表》内容、格式及编制技术指南常见问题解答中第7条对大气特征污染物现状监测的回复：技术指南中提到“排放国家、地方环境空气质量标准中有标准限值要求的特征污染物”，其中环境空气质量标准指《环境空气质量标</w:t>
            </w:r>
            <w:r>
              <w:rPr>
                <w:rFonts w:hint="eastAsia" w:ascii="宋体" w:hAnsi="宋体" w:eastAsia="宋体" w:cs="宋体"/>
                <w:color w:val="auto"/>
                <w:kern w:val="0"/>
                <w:sz w:val="24"/>
                <w:highlight w:val="none"/>
                <w:lang w:val="en-US" w:eastAsia="zh-CN"/>
              </w:rPr>
              <w:t>准》</w:t>
            </w:r>
            <w:r>
              <w:rPr>
                <w:rFonts w:hint="eastAsia" w:ascii="宋体" w:hAnsi="宋体" w:cs="宋体"/>
                <w:color w:val="auto"/>
                <w:kern w:val="0"/>
                <w:sz w:val="24"/>
                <w:highlight w:val="none"/>
                <w:lang w:val="en-US" w:eastAsia="zh-CN"/>
              </w:rPr>
              <w:t>（</w:t>
            </w:r>
            <w:r>
              <w:rPr>
                <w:rFonts w:hint="eastAsia" w:ascii="Times New Roman" w:hAnsi="Times New Roman"/>
                <w:color w:val="auto"/>
                <w:kern w:val="0"/>
                <w:sz w:val="24"/>
                <w:highlight w:val="none"/>
                <w:lang w:val="en-US" w:eastAsia="zh-CN"/>
              </w:rPr>
              <w:t>GB3095</w:t>
            </w:r>
            <w:r>
              <w:rPr>
                <w:rFonts w:hint="eastAsia"/>
                <w:color w:val="auto"/>
                <w:kern w:val="0"/>
                <w:sz w:val="24"/>
                <w:highlight w:val="none"/>
                <w:lang w:val="en-US" w:eastAsia="zh-CN"/>
              </w:rPr>
              <w:t>）</w:t>
            </w:r>
            <w:r>
              <w:rPr>
                <w:rFonts w:hint="eastAsia" w:ascii="宋体" w:hAnsi="宋体" w:eastAsia="宋体" w:cs="宋体"/>
                <w:color w:val="auto"/>
                <w:kern w:val="0"/>
                <w:sz w:val="24"/>
                <w:highlight w:val="none"/>
                <w:lang w:val="en-US" w:eastAsia="zh-CN"/>
              </w:rPr>
              <w:t>和</w:t>
            </w:r>
            <w:r>
              <w:rPr>
                <w:rFonts w:hint="eastAsia" w:ascii="Times New Roman" w:hAnsi="Times New Roman"/>
                <w:color w:val="auto"/>
                <w:kern w:val="0"/>
                <w:sz w:val="24"/>
                <w:highlight w:val="none"/>
                <w:lang w:val="en-US" w:eastAsia="zh-CN"/>
              </w:rPr>
              <w:t>地方的</w:t>
            </w:r>
            <w:r>
              <w:rPr>
                <w:rFonts w:hint="eastAsia" w:ascii="Times New Roman" w:hAnsi="Times New Roman"/>
                <w:color w:val="000000" w:themeColor="text1"/>
                <w:kern w:val="0"/>
                <w:sz w:val="24"/>
                <w:highlight w:val="none"/>
                <w:lang w:val="en-US" w:eastAsia="zh-CN"/>
                <w14:textFill>
                  <w14:solidFill>
                    <w14:schemeClr w14:val="tx1"/>
                  </w14:solidFill>
                </w14:textFill>
              </w:rPr>
              <w:t>环境空气质量标准，不包括《环境影响评价技术导则 大气环境</w:t>
            </w:r>
            <w:r>
              <w:rPr>
                <w:rFonts w:hint="eastAsia" w:ascii="宋体" w:hAnsi="宋体" w:eastAsia="宋体" w:cs="宋体"/>
                <w:color w:val="000000" w:themeColor="text1"/>
                <w:kern w:val="0"/>
                <w:sz w:val="24"/>
                <w:highlight w:val="none"/>
                <w:lang w:val="en-US" w:eastAsia="zh-CN"/>
                <w14:textFill>
                  <w14:solidFill>
                    <w14:schemeClr w14:val="tx1"/>
                  </w14:solidFill>
                </w14:textFill>
              </w:rPr>
              <w:t>》</w:t>
            </w:r>
            <w:r>
              <w:rPr>
                <w:rFonts w:hint="eastAsia" w:ascii="宋体" w:hAnsi="宋体" w:cs="宋体"/>
                <w:color w:val="000000" w:themeColor="text1"/>
                <w:kern w:val="0"/>
                <w:sz w:val="24"/>
                <w:highlight w:val="none"/>
                <w:lang w:val="en-US" w:eastAsia="zh-CN"/>
                <w14:textFill>
                  <w14:solidFill>
                    <w14:schemeClr w14:val="tx1"/>
                  </w14:solidFill>
                </w14:textFill>
              </w:rPr>
              <w:t>（</w:t>
            </w:r>
            <w:r>
              <w:rPr>
                <w:rFonts w:hint="eastAsia" w:ascii="Times New Roman" w:hAnsi="Times New Roman"/>
                <w:color w:val="000000" w:themeColor="text1"/>
                <w:kern w:val="0"/>
                <w:sz w:val="24"/>
                <w:highlight w:val="none"/>
                <w:lang w:val="en-US" w:eastAsia="zh-CN"/>
                <w14:textFill>
                  <w14:solidFill>
                    <w14:schemeClr w14:val="tx1"/>
                  </w14:solidFill>
                </w14:textFill>
              </w:rPr>
              <w:t>HJ2.2-2018</w:t>
            </w:r>
            <w:r>
              <w:rPr>
                <w:rFonts w:hint="eastAsia"/>
                <w:color w:val="000000" w:themeColor="text1"/>
                <w:kern w:val="0"/>
                <w:sz w:val="24"/>
                <w:highlight w:val="none"/>
                <w:lang w:val="en-US" w:eastAsia="zh-CN"/>
                <w14:textFill>
                  <w14:solidFill>
                    <w14:schemeClr w14:val="tx1"/>
                  </w14:solidFill>
                </w14:textFill>
              </w:rPr>
              <w:t>）</w:t>
            </w:r>
            <w:r>
              <w:rPr>
                <w:rFonts w:hint="eastAsia" w:ascii="宋体" w:hAnsi="宋体" w:eastAsia="宋体" w:cs="宋体"/>
                <w:color w:val="000000" w:themeColor="text1"/>
                <w:kern w:val="0"/>
                <w:sz w:val="24"/>
                <w:highlight w:val="none"/>
                <w:lang w:val="en-US" w:eastAsia="zh-CN"/>
                <w14:textFill>
                  <w14:solidFill>
                    <w14:schemeClr w14:val="tx1"/>
                  </w14:solidFill>
                </w14:textFill>
              </w:rPr>
              <w:t>附录</w:t>
            </w:r>
            <w:r>
              <w:rPr>
                <w:rFonts w:hint="eastAsia" w:ascii="Times New Roman" w:hAnsi="Times New Roman"/>
                <w:color w:val="000000" w:themeColor="text1"/>
                <w:kern w:val="0"/>
                <w:sz w:val="24"/>
                <w:highlight w:val="none"/>
                <w:lang w:val="en-US" w:eastAsia="zh-CN"/>
                <w14:textFill>
                  <w14:solidFill>
                    <w14:schemeClr w14:val="tx1"/>
                  </w14:solidFill>
                </w14:textFill>
              </w:rPr>
              <w:t>D。</w:t>
            </w:r>
          </w:p>
          <w:p w14:paraId="28664E12">
            <w:pPr>
              <w:pStyle w:val="66"/>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ascii="Times New Roman" w:hAnsi="Times New Roman" w:eastAsia="宋体" w:cs="Times New Roman"/>
                <w:color w:val="000000" w:themeColor="text1"/>
                <w14:textFill>
                  <w14:solidFill>
                    <w14:schemeClr w14:val="tx1"/>
                  </w14:solidFill>
                </w14:textFill>
              </w:rPr>
            </w:pPr>
            <w:r>
              <w:rPr>
                <w:rFonts w:hint="eastAsia" w:ascii="Times New Roman" w:hAnsi="Times New Roman"/>
                <w:color w:val="000000" w:themeColor="text1"/>
                <w:kern w:val="0"/>
                <w:sz w:val="24"/>
                <w:highlight w:val="none"/>
                <w:lang w:val="en-US" w:eastAsia="zh-CN"/>
                <w14:textFill>
                  <w14:solidFill>
                    <w14:schemeClr w14:val="tx1"/>
                  </w14:solidFill>
                </w14:textFill>
              </w:rPr>
              <w:t>根据《环境空气质量标</w:t>
            </w:r>
            <w:r>
              <w:rPr>
                <w:rFonts w:hint="eastAsia" w:ascii="宋体" w:hAnsi="宋体" w:eastAsia="宋体" w:cs="宋体"/>
                <w:color w:val="000000" w:themeColor="text1"/>
                <w:kern w:val="0"/>
                <w:sz w:val="24"/>
                <w:highlight w:val="none"/>
                <w:lang w:val="en-US" w:eastAsia="zh-CN"/>
                <w14:textFill>
                  <w14:solidFill>
                    <w14:schemeClr w14:val="tx1"/>
                  </w14:solidFill>
                </w14:textFill>
              </w:rPr>
              <w:t>准》</w:t>
            </w:r>
            <w:r>
              <w:rPr>
                <w:rFonts w:hint="eastAsia" w:ascii="宋体" w:hAnsi="宋体" w:cs="宋体"/>
                <w:color w:val="000000" w:themeColor="text1"/>
                <w:kern w:val="0"/>
                <w:sz w:val="24"/>
                <w:highlight w:val="none"/>
                <w:lang w:val="en-US" w:eastAsia="zh-CN"/>
                <w14:textFill>
                  <w14:solidFill>
                    <w14:schemeClr w14:val="tx1"/>
                  </w14:solidFill>
                </w14:textFill>
              </w:rPr>
              <w:t>（</w:t>
            </w:r>
            <w:r>
              <w:rPr>
                <w:rFonts w:hint="eastAsia" w:ascii="Times New Roman" w:hAnsi="Times New Roman"/>
                <w:color w:val="000000" w:themeColor="text1"/>
                <w:kern w:val="0"/>
                <w:sz w:val="24"/>
                <w:highlight w:val="none"/>
                <w:lang w:val="en-US" w:eastAsia="zh-CN"/>
                <w14:textFill>
                  <w14:solidFill>
                    <w14:schemeClr w14:val="tx1"/>
                  </w14:solidFill>
                </w14:textFill>
              </w:rPr>
              <w:t>GB3095-2026</w:t>
            </w:r>
            <w:r>
              <w:rPr>
                <w:rFonts w:hint="eastAsia"/>
                <w:color w:val="000000" w:themeColor="text1"/>
                <w:kern w:val="0"/>
                <w:sz w:val="24"/>
                <w:highlight w:val="none"/>
                <w:lang w:val="en-US" w:eastAsia="zh-CN"/>
                <w14:textFill>
                  <w14:solidFill>
                    <w14:schemeClr w14:val="tx1"/>
                  </w14:solidFill>
                </w14:textFill>
              </w:rPr>
              <w:t>）</w:t>
            </w:r>
            <w:r>
              <w:rPr>
                <w:rFonts w:hint="eastAsia" w:ascii="宋体" w:hAnsi="宋体" w:eastAsia="宋体" w:cs="宋体"/>
                <w:color w:val="000000" w:themeColor="text1"/>
                <w:kern w:val="0"/>
                <w:sz w:val="24"/>
                <w:highlight w:val="none"/>
                <w:lang w:val="en-US" w:eastAsia="zh-CN"/>
                <w14:textFill>
                  <w14:solidFill>
                    <w14:schemeClr w14:val="tx1"/>
                  </w14:solidFill>
                </w14:textFill>
              </w:rPr>
              <w:t>，</w:t>
            </w:r>
            <w:r>
              <w:rPr>
                <w:rFonts w:ascii="Times New Roman" w:hAnsi="Times New Roman"/>
                <w:color w:val="000000" w:themeColor="text1"/>
                <w:kern w:val="0"/>
                <w:sz w:val="24"/>
                <w:highlight w:val="none"/>
                <w14:textFill>
                  <w14:solidFill>
                    <w14:schemeClr w14:val="tx1"/>
                  </w14:solidFill>
                </w14:textFill>
              </w:rPr>
              <w:t>本项目</w:t>
            </w:r>
            <w:r>
              <w:rPr>
                <w:rFonts w:hint="eastAsia" w:ascii="Times New Roman" w:hAnsi="Times New Roman"/>
                <w:color w:val="000000" w:themeColor="text1"/>
                <w:kern w:val="0"/>
                <w:sz w:val="24"/>
                <w:highlight w:val="none"/>
                <w:lang w:val="en-US" w:eastAsia="zh-CN"/>
                <w14:textFill>
                  <w14:solidFill>
                    <w14:schemeClr w14:val="tx1"/>
                  </w14:solidFill>
                </w14:textFill>
              </w:rPr>
              <w:t>涉及的</w:t>
            </w:r>
            <w:r>
              <w:rPr>
                <w:rFonts w:ascii="Times New Roman" w:hAnsi="Times New Roman"/>
                <w:color w:val="000000" w:themeColor="text1"/>
                <w:kern w:val="0"/>
                <w:sz w:val="24"/>
                <w:highlight w:val="none"/>
                <w14:textFill>
                  <w14:solidFill>
                    <w14:schemeClr w14:val="tx1"/>
                  </w14:solidFill>
                </w14:textFill>
              </w:rPr>
              <w:t>特征污染物为</w:t>
            </w:r>
            <w:r>
              <w:rPr>
                <w:rFonts w:hint="eastAsia" w:ascii="Times New Roman" w:hAnsi="Times New Roman"/>
                <w:color w:val="000000" w:themeColor="text1"/>
                <w:kern w:val="0"/>
                <w:sz w:val="24"/>
                <w:highlight w:val="none"/>
                <w:lang w:val="en-US" w:eastAsia="zh-CN"/>
                <w14:textFill>
                  <w14:solidFill>
                    <w14:schemeClr w14:val="tx1"/>
                  </w14:solidFill>
                </w14:textFill>
              </w:rPr>
              <w:t>总悬浮颗粒物</w:t>
            </w:r>
            <w:r>
              <w:rPr>
                <w:rFonts w:hint="eastAsia"/>
                <w:color w:val="000000" w:themeColor="text1"/>
                <w:kern w:val="0"/>
                <w:sz w:val="24"/>
                <w:highlight w:val="none"/>
                <w:lang w:val="en-US" w:eastAsia="zh-CN"/>
                <w14:textFill>
                  <w14:solidFill>
                    <w14:schemeClr w14:val="tx1"/>
                  </w14:solidFill>
                </w14:textFill>
              </w:rPr>
              <w:t>、氟化物</w:t>
            </w:r>
            <w:r>
              <w:rPr>
                <w:rFonts w:hint="eastAsia"/>
                <w:color w:val="000000" w:themeColor="text1"/>
                <w:kern w:val="0"/>
                <w:lang w:val="en-US" w:eastAsia="zh-CN"/>
                <w14:textFill>
                  <w14:solidFill>
                    <w14:schemeClr w14:val="tx1"/>
                  </w14:solidFill>
                </w14:textFill>
              </w:rPr>
              <w:t>，本次评价</w:t>
            </w:r>
            <w:r>
              <w:rPr>
                <w:rFonts w:hint="eastAsia"/>
                <w:color w:val="000000" w:themeColor="text1"/>
                <w:kern w:val="0"/>
                <w14:textFill>
                  <w14:solidFill>
                    <w14:schemeClr w14:val="tx1"/>
                  </w14:solidFill>
                </w14:textFill>
              </w:rPr>
              <w:t>引用</w:t>
            </w:r>
            <w:r>
              <w:rPr>
                <w:rFonts w:hint="eastAsia"/>
                <w:color w:val="000000" w:themeColor="text1"/>
                <w:kern w:val="0"/>
                <w:lang w:val="en-US" w:eastAsia="zh-CN"/>
                <w14:textFill>
                  <w14:solidFill>
                    <w14:schemeClr w14:val="tx1"/>
                  </w14:solidFill>
                </w14:textFill>
              </w:rPr>
              <w:t>四川省环科源科技有限公司</w:t>
            </w:r>
            <w:r>
              <w:rPr>
                <w:rFonts w:hint="eastAsia"/>
                <w:color w:val="000000" w:themeColor="text1"/>
                <w:kern w:val="0"/>
                <w14:textFill>
                  <w14:solidFill>
                    <w14:schemeClr w14:val="tx1"/>
                  </w14:solidFill>
                </w14:textFill>
              </w:rPr>
              <w:t>委托</w:t>
            </w:r>
            <w:r>
              <w:rPr>
                <w:rFonts w:hint="eastAsia"/>
                <w:color w:val="000000" w:themeColor="text1"/>
                <w:kern w:val="0"/>
                <w:lang w:val="en-US" w:eastAsia="zh-CN"/>
                <w14:textFill>
                  <w14:solidFill>
                    <w14:schemeClr w14:val="tx1"/>
                  </w14:solidFill>
                </w14:textFill>
              </w:rPr>
              <w:t>四川省川环源创检测科技有限公司</w:t>
            </w:r>
            <w:r>
              <w:rPr>
                <w:rFonts w:hint="eastAsia"/>
                <w:color w:val="000000" w:themeColor="text1"/>
                <w:kern w:val="0"/>
                <w14:textFill>
                  <w14:solidFill>
                    <w14:schemeClr w14:val="tx1"/>
                  </w14:solidFill>
                </w14:textFill>
              </w:rPr>
              <w:t>于20</w:t>
            </w:r>
            <w:r>
              <w:rPr>
                <w:rFonts w:hint="eastAsia"/>
                <w:color w:val="000000" w:themeColor="text1"/>
                <w:kern w:val="0"/>
                <w:lang w:val="en-US" w:eastAsia="zh-CN"/>
                <w14:textFill>
                  <w14:solidFill>
                    <w14:schemeClr w14:val="tx1"/>
                  </w14:solidFill>
                </w14:textFill>
              </w:rPr>
              <w:t>24</w:t>
            </w:r>
            <w:r>
              <w:rPr>
                <w:rFonts w:hint="eastAsia"/>
                <w:color w:val="000000" w:themeColor="text1"/>
                <w:kern w:val="0"/>
                <w14:textFill>
                  <w14:solidFill>
                    <w14:schemeClr w14:val="tx1"/>
                  </w14:solidFill>
                </w14:textFill>
              </w:rPr>
              <w:t>年</w:t>
            </w:r>
            <w:r>
              <w:rPr>
                <w:rFonts w:hint="eastAsia"/>
                <w:color w:val="000000" w:themeColor="text1"/>
                <w:kern w:val="0"/>
                <w:lang w:val="en-US" w:eastAsia="zh-CN"/>
                <w14:textFill>
                  <w14:solidFill>
                    <w14:schemeClr w14:val="tx1"/>
                  </w14:solidFill>
                </w14:textFill>
              </w:rPr>
              <w:t>8</w:t>
            </w:r>
            <w:r>
              <w:rPr>
                <w:rFonts w:hint="eastAsia"/>
                <w:color w:val="000000" w:themeColor="text1"/>
                <w:kern w:val="0"/>
                <w14:textFill>
                  <w14:solidFill>
                    <w14:schemeClr w14:val="tx1"/>
                  </w14:solidFill>
                </w14:textFill>
              </w:rPr>
              <w:t>月</w:t>
            </w:r>
            <w:r>
              <w:rPr>
                <w:rFonts w:hint="eastAsia" w:ascii="Times New Roman" w:hAnsi="Times New Roman" w:eastAsia="宋体" w:cs="Times New Roman"/>
                <w:color w:val="000000" w:themeColor="text1"/>
                <w:lang w:val="en-US" w:eastAsia="zh-CN"/>
                <w14:textFill>
                  <w14:solidFill>
                    <w14:schemeClr w14:val="tx1"/>
                  </w14:solidFill>
                </w14:textFill>
              </w:rPr>
              <w:t>9</w:t>
            </w:r>
            <w:r>
              <w:rPr>
                <w:rFonts w:hint="eastAsia" w:ascii="Times New Roman" w:hAnsi="Times New Roman" w:eastAsia="宋体" w:cs="Times New Roman"/>
                <w:color w:val="000000" w:themeColor="text1"/>
                <w14:textFill>
                  <w14:solidFill>
                    <w14:schemeClr w14:val="tx1"/>
                  </w14:solidFill>
                </w14:textFill>
              </w:rPr>
              <w:t>日~</w:t>
            </w:r>
            <w:r>
              <w:rPr>
                <w:rFonts w:hint="eastAsia" w:ascii="Times New Roman" w:hAnsi="Times New Roman" w:eastAsia="宋体" w:cs="Times New Roman"/>
                <w:color w:val="000000" w:themeColor="text1"/>
                <w:lang w:val="en-US" w:eastAsia="zh-CN"/>
                <w14:textFill>
                  <w14:solidFill>
                    <w14:schemeClr w14:val="tx1"/>
                  </w14:solidFill>
                </w14:textFill>
              </w:rPr>
              <w:t>16</w:t>
            </w:r>
            <w:r>
              <w:rPr>
                <w:rFonts w:hint="eastAsia" w:ascii="Times New Roman" w:hAnsi="Times New Roman" w:eastAsia="宋体" w:cs="Times New Roman"/>
                <w:color w:val="000000" w:themeColor="text1"/>
                <w14:textFill>
                  <w14:solidFill>
                    <w14:schemeClr w14:val="tx1"/>
                  </w14:solidFill>
                </w14:textFill>
              </w:rPr>
              <w:t>日监测的“</w:t>
            </w:r>
            <w:r>
              <w:rPr>
                <w:rFonts w:hint="eastAsia" w:ascii="Times New Roman" w:hAnsi="Times New Roman" w:eastAsia="宋体" w:cs="Times New Roman"/>
                <w:color w:val="000000" w:themeColor="text1"/>
                <w:lang w:val="en-US" w:eastAsia="zh-CN"/>
                <w14:textFill>
                  <w14:solidFill>
                    <w14:schemeClr w14:val="tx1"/>
                  </w14:solidFill>
                </w14:textFill>
              </w:rPr>
              <w:t>四川佰思格新材料科技有限公司钠离子电池硬碳负极材料生产项目监测</w:t>
            </w:r>
            <w:r>
              <w:rPr>
                <w:rFonts w:hint="eastAsia" w:ascii="Times New Roman" w:hAnsi="Times New Roman" w:eastAsia="宋体" w:cs="Times New Roman"/>
                <w:color w:val="000000" w:themeColor="text1"/>
                <w14:textFill>
                  <w14:solidFill>
                    <w14:schemeClr w14:val="tx1"/>
                  </w14:solidFill>
                </w14:textFill>
              </w:rPr>
              <w:t>（报告编号：</w:t>
            </w:r>
            <w:r>
              <w:rPr>
                <w:rFonts w:hint="eastAsia" w:ascii="Times New Roman" w:hAnsi="Times New Roman" w:eastAsia="宋体" w:cs="Times New Roman"/>
                <w:color w:val="000000" w:themeColor="text1"/>
                <w:lang w:val="en-US" w:eastAsia="zh-CN"/>
                <w14:textFill>
                  <w14:solidFill>
                    <w14:schemeClr w14:val="tx1"/>
                  </w14:solidFill>
                </w14:textFill>
              </w:rPr>
              <w:t>川环源创检字（2024）第CHYC/24H10801-1号</w:t>
            </w:r>
            <w:r>
              <w:rPr>
                <w:rFonts w:hint="eastAsia" w:ascii="Times New Roman" w:hAnsi="Times New Roman" w:eastAsia="宋体" w:cs="Times New Roman"/>
                <w:color w:val="000000" w:themeColor="text1"/>
                <w14:textFill>
                  <w14:solidFill>
                    <w14:schemeClr w14:val="tx1"/>
                  </w14:solidFill>
                </w14:textFill>
              </w:rPr>
              <w:t>）”，</w:t>
            </w:r>
            <w:r>
              <w:rPr>
                <w:rFonts w:hint="eastAsia" w:ascii="Times New Roman" w:hAnsi="Times New Roman" w:eastAsia="宋体" w:cs="Times New Roman"/>
                <w:color w:val="000000" w:themeColor="text1"/>
                <w:lang w:val="en-US" w:eastAsia="zh-CN"/>
                <w14:textFill>
                  <w14:solidFill>
                    <w14:schemeClr w14:val="tx1"/>
                  </w14:solidFill>
                </w14:textFill>
              </w:rPr>
              <w:t>该</w:t>
            </w:r>
            <w:r>
              <w:rPr>
                <w:rFonts w:hint="eastAsia" w:ascii="Times New Roman" w:hAnsi="Times New Roman" w:eastAsia="宋体" w:cs="Times New Roman"/>
                <w:color w:val="000000" w:themeColor="text1"/>
                <w14:textFill>
                  <w14:solidFill>
                    <w14:schemeClr w14:val="tx1"/>
                  </w14:solidFill>
                </w14:textFill>
              </w:rPr>
              <w:t>项目</w:t>
            </w:r>
            <w:r>
              <w:rPr>
                <w:rFonts w:hint="eastAsia" w:ascii="Times New Roman" w:hAnsi="Times New Roman" w:eastAsia="宋体" w:cs="Times New Roman"/>
                <w:color w:val="000000" w:themeColor="text1"/>
                <w:lang w:val="en-US" w:eastAsia="zh-CN"/>
                <w14:textFill>
                  <w14:solidFill>
                    <w14:schemeClr w14:val="tx1"/>
                  </w14:solidFill>
                </w14:textFill>
              </w:rPr>
              <w:t>点位</w:t>
            </w:r>
            <w:r>
              <w:rPr>
                <w:rFonts w:hint="eastAsia" w:ascii="Times New Roman" w:hAnsi="Times New Roman" w:eastAsia="宋体" w:cs="Times New Roman"/>
                <w:color w:val="000000" w:themeColor="text1"/>
                <w14:textFill>
                  <w14:solidFill>
                    <w14:schemeClr w14:val="tx1"/>
                  </w14:solidFill>
                </w14:textFill>
              </w:rPr>
              <w:t>位于本项目</w:t>
            </w:r>
            <w:r>
              <w:rPr>
                <w:rFonts w:hint="eastAsia" w:ascii="Times New Roman" w:hAnsi="Times New Roman" w:eastAsia="宋体" w:cs="Times New Roman"/>
                <w:color w:val="000000" w:themeColor="text1"/>
                <w:lang w:val="en-US" w:eastAsia="zh-CN"/>
                <w14:textFill>
                  <w14:solidFill>
                    <w14:schemeClr w14:val="tx1"/>
                  </w14:solidFill>
                </w14:textFill>
              </w:rPr>
              <w:t>东北</w:t>
            </w:r>
            <w:r>
              <w:rPr>
                <w:rFonts w:hint="eastAsia" w:ascii="Times New Roman" w:hAnsi="Times New Roman" w:eastAsia="宋体" w:cs="Times New Roman"/>
                <w:color w:val="000000" w:themeColor="text1"/>
                <w14:textFill>
                  <w14:solidFill>
                    <w14:schemeClr w14:val="tx1"/>
                  </w14:solidFill>
                </w14:textFill>
              </w:rPr>
              <w:t>侧</w:t>
            </w:r>
            <w:r>
              <w:rPr>
                <w:rFonts w:hint="eastAsia" w:ascii="Times New Roman" w:hAnsi="Times New Roman" w:eastAsia="宋体" w:cs="Times New Roman"/>
                <w:color w:val="000000" w:themeColor="text1"/>
                <w:lang w:val="en-US" w:eastAsia="zh-CN"/>
                <w14:textFill>
                  <w14:solidFill>
                    <w14:schemeClr w14:val="tx1"/>
                  </w14:solidFill>
                </w14:textFill>
              </w:rPr>
              <w:t>约</w:t>
            </w:r>
            <w:r>
              <w:rPr>
                <w:rFonts w:hint="eastAsia" w:cs="Times New Roman"/>
                <w:color w:val="000000" w:themeColor="text1"/>
                <w:lang w:val="en-US" w:eastAsia="zh-CN"/>
                <w14:textFill>
                  <w14:solidFill>
                    <w14:schemeClr w14:val="tx1"/>
                  </w14:solidFill>
                </w14:textFill>
              </w:rPr>
              <w:t>1.797</w:t>
            </w:r>
            <w:r>
              <w:rPr>
                <w:rFonts w:hint="eastAsia" w:ascii="Times New Roman" w:hAnsi="Times New Roman" w:eastAsia="宋体" w:cs="Times New Roman"/>
                <w:color w:val="000000" w:themeColor="text1"/>
                <w:lang w:val="en-US" w:eastAsia="zh-CN"/>
                <w14:textFill>
                  <w14:solidFill>
                    <w14:schemeClr w14:val="tx1"/>
                  </w14:solidFill>
                </w14:textFill>
              </w:rPr>
              <w:t>k</w:t>
            </w:r>
            <w:r>
              <w:rPr>
                <w:rFonts w:hint="eastAsia" w:ascii="Times New Roman" w:hAnsi="Times New Roman" w:eastAsia="宋体" w:cs="Times New Roman"/>
                <w:color w:val="000000" w:themeColor="text1"/>
                <w14:textFill>
                  <w14:solidFill>
                    <w14:schemeClr w14:val="tx1"/>
                  </w14:solidFill>
                </w14:textFill>
              </w:rPr>
              <w:t>m处</w:t>
            </w:r>
            <w:r>
              <w:rPr>
                <w:rFonts w:hint="eastAsia" w:ascii="Times New Roman" w:hAnsi="Times New Roman" w:eastAsia="宋体" w:cs="Times New Roman"/>
                <w:color w:val="000000" w:themeColor="text1"/>
                <w:lang w:eastAsia="zh-CN"/>
                <w14:textFill>
                  <w14:solidFill>
                    <w14:schemeClr w14:val="tx1"/>
                  </w14:solidFill>
                </w14:textFill>
              </w:rPr>
              <w:t>，</w:t>
            </w:r>
            <w:r>
              <w:rPr>
                <w:rFonts w:hint="eastAsia" w:ascii="Times New Roman" w:hAnsi="Times New Roman" w:eastAsia="宋体" w:cs="Times New Roman"/>
                <w:color w:val="000000" w:themeColor="text1"/>
                <w14:textFill>
                  <w14:solidFill>
                    <w14:schemeClr w14:val="tx1"/>
                  </w14:solidFill>
                </w14:textFill>
              </w:rPr>
              <w:t>因此，引用具有时效性和有效性。</w:t>
            </w:r>
          </w:p>
          <w:p w14:paraId="458012CE">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left"/>
              <w:textAlignment w:val="auto"/>
              <w:rPr>
                <w:rFonts w:ascii="Times New Roman" w:hAnsi="Times New Roman"/>
                <w:b/>
                <w:bCs/>
                <w:color w:val="000000" w:themeColor="text1"/>
                <w:kern w:val="0"/>
                <w:sz w:val="24"/>
                <w:highlight w:val="none"/>
                <w14:textFill>
                  <w14:solidFill>
                    <w14:schemeClr w14:val="tx1"/>
                  </w14:solidFill>
                </w14:textFill>
              </w:rPr>
            </w:pPr>
            <w:r>
              <w:rPr>
                <w:rFonts w:ascii="Times New Roman" w:hAnsi="Times New Roman"/>
                <w:b/>
                <w:bCs/>
                <w:color w:val="000000" w:themeColor="text1"/>
                <w:kern w:val="0"/>
                <w:sz w:val="24"/>
                <w:highlight w:val="none"/>
                <w14:textFill>
                  <w14:solidFill>
                    <w14:schemeClr w14:val="tx1"/>
                  </w14:solidFill>
                </w14:textFill>
              </w:rPr>
              <w:t>①调查因子</w:t>
            </w:r>
          </w:p>
          <w:p w14:paraId="429F33D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ascii="Times New Roman" w:hAnsi="Times New Roman" w:eastAsia="宋体" w:cs="Times New Roman"/>
                <w:color w:val="000000" w:themeColor="text1"/>
                <w:kern w:val="0"/>
                <w:sz w:val="24"/>
                <w:highlight w:val="none"/>
                <w14:textFill>
                  <w14:solidFill>
                    <w14:schemeClr w14:val="tx1"/>
                  </w14:solidFill>
                </w14:textFill>
              </w:rPr>
            </w:pPr>
            <w:r>
              <w:rPr>
                <w:rFonts w:ascii="Times New Roman" w:hAnsi="Times New Roman" w:eastAsia="宋体" w:cs="Times New Roman"/>
                <w:color w:val="000000" w:themeColor="text1"/>
                <w:kern w:val="0"/>
                <w:sz w:val="24"/>
                <w:highlight w:val="none"/>
                <w14:textFill>
                  <w14:solidFill>
                    <w14:schemeClr w14:val="tx1"/>
                  </w14:solidFill>
                </w14:textFill>
              </w:rPr>
              <w:t>监测因子：</w:t>
            </w:r>
            <w:r>
              <w:rPr>
                <w:rFonts w:hint="eastAsia" w:ascii="Times New Roman" w:hAnsi="Times New Roman" w:eastAsia="宋体" w:cs="Times New Roman"/>
                <w:color w:val="000000" w:themeColor="text1"/>
                <w:kern w:val="0"/>
                <w:sz w:val="24"/>
                <w:highlight w:val="none"/>
                <w:lang w:val="en-US" w:eastAsia="zh-CN"/>
                <w14:textFill>
                  <w14:solidFill>
                    <w14:schemeClr w14:val="tx1"/>
                  </w14:solidFill>
                </w14:textFill>
              </w:rPr>
              <w:t>TSP</w:t>
            </w:r>
            <w:r>
              <w:rPr>
                <w:rFonts w:hint="eastAsia" w:cs="Times New Roman"/>
                <w:color w:val="000000" w:themeColor="text1"/>
                <w:kern w:val="0"/>
                <w:sz w:val="24"/>
                <w:highlight w:val="none"/>
                <w:lang w:val="en-US" w:eastAsia="zh-CN"/>
                <w14:textFill>
                  <w14:solidFill>
                    <w14:schemeClr w14:val="tx1"/>
                  </w14:solidFill>
                </w14:textFill>
              </w:rPr>
              <w:t>、氟化物</w:t>
            </w:r>
            <w:r>
              <w:rPr>
                <w:rFonts w:ascii="Times New Roman" w:hAnsi="Times New Roman" w:eastAsia="宋体" w:cs="Times New Roman"/>
                <w:color w:val="000000" w:themeColor="text1"/>
                <w:kern w:val="0"/>
                <w:sz w:val="24"/>
                <w:highlight w:val="none"/>
                <w14:textFill>
                  <w14:solidFill>
                    <w14:schemeClr w14:val="tx1"/>
                  </w14:solidFill>
                </w14:textFill>
              </w:rPr>
              <w:t>；</w:t>
            </w:r>
          </w:p>
          <w:p w14:paraId="07B4D2FE">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left"/>
              <w:textAlignment w:val="auto"/>
              <w:rPr>
                <w:rFonts w:ascii="Times New Roman" w:hAnsi="Times New Roman"/>
                <w:b/>
                <w:bCs/>
                <w:color w:val="auto"/>
                <w:kern w:val="0"/>
                <w:sz w:val="24"/>
                <w:highlight w:val="none"/>
              </w:rPr>
            </w:pPr>
            <w:r>
              <w:rPr>
                <w:rFonts w:ascii="Times New Roman" w:hAnsi="Times New Roman"/>
                <w:b/>
                <w:bCs/>
                <w:color w:val="auto"/>
                <w:kern w:val="0"/>
                <w:sz w:val="24"/>
                <w:highlight w:val="none"/>
              </w:rPr>
              <w:t>②监测点位</w:t>
            </w:r>
          </w:p>
          <w:p w14:paraId="76B2903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lang w:val="en-US" w:eastAsia="zh-CN"/>
              </w:rPr>
              <w:t>四川佰思格新材料科技有限公司钠离子电池硬碳负极材料生产项目所在地。</w:t>
            </w:r>
          </w:p>
          <w:p w14:paraId="25C10E1D">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left"/>
              <w:textAlignment w:val="auto"/>
              <w:rPr>
                <w:rFonts w:ascii="Times New Roman" w:hAnsi="Times New Roman"/>
                <w:b/>
                <w:bCs/>
                <w:color w:val="auto"/>
                <w:kern w:val="0"/>
                <w:sz w:val="24"/>
                <w:highlight w:val="none"/>
              </w:rPr>
            </w:pPr>
            <w:r>
              <w:rPr>
                <w:rFonts w:ascii="Times New Roman" w:hAnsi="Times New Roman"/>
                <w:b/>
                <w:bCs/>
                <w:color w:val="auto"/>
                <w:kern w:val="0"/>
                <w:sz w:val="24"/>
                <w:highlight w:val="none"/>
              </w:rPr>
              <w:t>③监测数据的监测时间</w:t>
            </w:r>
          </w:p>
          <w:p w14:paraId="5FACDDF9">
            <w:pPr>
              <w:adjustRightInd w:val="0"/>
              <w:snapToGrid w:val="0"/>
              <w:spacing w:line="360" w:lineRule="auto"/>
              <w:ind w:firstLine="480" w:firstLineChars="200"/>
              <w:jc w:val="left"/>
              <w:rPr>
                <w:rFonts w:ascii="Times New Roman" w:hAnsi="Times New Roman"/>
                <w:color w:val="auto"/>
                <w:kern w:val="0"/>
                <w:sz w:val="24"/>
                <w:highlight w:val="none"/>
              </w:rPr>
            </w:pPr>
            <w:r>
              <w:rPr>
                <w:rFonts w:hint="eastAsia" w:ascii="Times New Roman" w:hAnsi="Times New Roman"/>
                <w:color w:val="auto"/>
                <w:kern w:val="0"/>
                <w:sz w:val="24"/>
                <w:highlight w:val="none"/>
                <w:lang w:val="en-US" w:eastAsia="zh-CN"/>
              </w:rPr>
              <w:t>2024.8.9</w:t>
            </w:r>
            <w:r>
              <w:rPr>
                <w:rFonts w:ascii="Times New Roman" w:hAnsi="Times New Roman"/>
                <w:color w:val="auto"/>
                <w:kern w:val="0"/>
                <w:sz w:val="24"/>
                <w:highlight w:val="none"/>
              </w:rPr>
              <w:t>~</w:t>
            </w:r>
            <w:r>
              <w:rPr>
                <w:rFonts w:hint="eastAsia" w:ascii="Times New Roman" w:hAnsi="Times New Roman"/>
                <w:color w:val="auto"/>
                <w:kern w:val="0"/>
                <w:sz w:val="24"/>
                <w:highlight w:val="none"/>
                <w:lang w:val="en-US" w:eastAsia="zh-CN"/>
              </w:rPr>
              <w:t>2024.8.16</w:t>
            </w:r>
            <w:r>
              <w:rPr>
                <w:rFonts w:ascii="Times New Roman" w:hAnsi="Times New Roman"/>
                <w:color w:val="auto"/>
                <w:kern w:val="0"/>
                <w:sz w:val="24"/>
                <w:highlight w:val="none"/>
              </w:rPr>
              <w:t>；连续监测</w:t>
            </w:r>
            <w:r>
              <w:rPr>
                <w:rFonts w:hint="eastAsia" w:ascii="Times New Roman" w:hAnsi="Times New Roman"/>
                <w:color w:val="auto"/>
                <w:kern w:val="0"/>
                <w:sz w:val="24"/>
                <w:highlight w:val="none"/>
                <w:lang w:val="en-US" w:eastAsia="zh-CN"/>
              </w:rPr>
              <w:t>7</w:t>
            </w:r>
            <w:r>
              <w:rPr>
                <w:rFonts w:ascii="Times New Roman" w:hAnsi="Times New Roman"/>
                <w:color w:val="auto"/>
                <w:kern w:val="0"/>
                <w:sz w:val="24"/>
                <w:highlight w:val="none"/>
              </w:rPr>
              <w:t>天。</w:t>
            </w:r>
          </w:p>
          <w:p w14:paraId="7937013B">
            <w:pPr>
              <w:pStyle w:val="119"/>
              <w:spacing w:line="360" w:lineRule="auto"/>
              <w:ind w:firstLineChars="200"/>
              <w:rPr>
                <w:rFonts w:hint="default" w:ascii="Times New Roman" w:hAnsi="Times New Roman" w:eastAsia="宋体" w:cs="Times New Roman"/>
                <w:b/>
                <w:bCs/>
                <w:color w:val="auto"/>
                <w:sz w:val="24"/>
                <w:szCs w:val="24"/>
                <w:lang w:val="en-US" w:eastAsia="zh-CN"/>
              </w:rPr>
            </w:pPr>
            <w:r>
              <w:rPr>
                <w:rFonts w:ascii="Times New Roman" w:hAnsi="Times New Roman"/>
                <w:b/>
                <w:bCs/>
                <w:color w:val="auto"/>
                <w:kern w:val="0"/>
                <w:sz w:val="24"/>
                <w:highlight w:val="none"/>
              </w:rPr>
              <w:t>④</w:t>
            </w:r>
            <w:r>
              <w:rPr>
                <w:rFonts w:hint="default" w:ascii="Times New Roman" w:hAnsi="Times New Roman" w:eastAsia="宋体" w:cs="Times New Roman"/>
                <w:b/>
                <w:bCs/>
                <w:color w:val="auto"/>
                <w:sz w:val="24"/>
                <w:szCs w:val="24"/>
                <w:lang w:val="en-US" w:eastAsia="zh-CN"/>
              </w:rPr>
              <w:t>评价方法</w:t>
            </w:r>
          </w:p>
          <w:p w14:paraId="47C661D1">
            <w:pPr>
              <w:keepNext w:val="0"/>
              <w:keepLines w:val="0"/>
              <w:pageBreakBefore w:val="0"/>
              <w:kinsoku/>
              <w:wordWrap/>
              <w:overflowPunct/>
              <w:topLinePunct w:val="0"/>
              <w:autoSpaceDE/>
              <w:autoSpaceDN/>
              <w:bidi w:val="0"/>
              <w:adjustRightInd/>
              <w:spacing w:line="360" w:lineRule="auto"/>
              <w:ind w:right="0" w:firstLine="480" w:firstLineChars="200"/>
              <w:jc w:val="left"/>
              <w:textAlignment w:val="auto"/>
              <w:rPr>
                <w:rFonts w:ascii="Times New Roman" w:hAnsi="Times New Roman"/>
                <w:color w:val="auto"/>
                <w:kern w:val="1"/>
                <w:sz w:val="24"/>
                <w:szCs w:val="24"/>
              </w:rPr>
            </w:pPr>
            <w:r>
              <w:rPr>
                <w:rFonts w:hint="eastAsia" w:ascii="Times New Roman" w:hAnsi="Times New Roman"/>
                <w:color w:val="auto"/>
                <w:kern w:val="1"/>
                <w:sz w:val="24"/>
                <w:szCs w:val="24"/>
              </w:rPr>
              <w:t>采用单项因子质量指数法进行评价，其公式为</w:t>
            </w:r>
            <w:r>
              <w:rPr>
                <w:rFonts w:ascii="Times New Roman" w:hAnsi="Times New Roman"/>
                <w:color w:val="auto"/>
                <w:kern w:val="1"/>
                <w:sz w:val="24"/>
                <w:szCs w:val="24"/>
              </w:rPr>
              <w:t>：</w:t>
            </w:r>
          </w:p>
          <w:p w14:paraId="39D231FB">
            <w:pPr>
              <w:keepNext w:val="0"/>
              <w:keepLines w:val="0"/>
              <w:pageBreakBefore w:val="0"/>
              <w:kinsoku/>
              <w:wordWrap/>
              <w:overflowPunct/>
              <w:topLinePunct w:val="0"/>
              <w:autoSpaceDE/>
              <w:autoSpaceDN/>
              <w:bidi w:val="0"/>
              <w:adjustRightInd/>
              <w:spacing w:line="360" w:lineRule="auto"/>
              <w:ind w:right="0" w:firstLine="480" w:firstLineChars="200"/>
              <w:jc w:val="center"/>
              <w:textAlignment w:val="auto"/>
              <w:rPr>
                <w:rFonts w:ascii="Times New Roman" w:hAnsi="Times New Roman"/>
                <w:color w:val="auto"/>
                <w:kern w:val="1"/>
                <w:sz w:val="24"/>
                <w:szCs w:val="24"/>
              </w:rPr>
            </w:pPr>
            <w:r>
              <w:rPr>
                <w:rFonts w:ascii="Times New Roman" w:hAnsi="Times New Roman"/>
                <w:color w:val="auto"/>
                <w:position w:val="-30"/>
                <w:sz w:val="24"/>
                <w:szCs w:val="24"/>
              </w:rPr>
              <w:object>
                <v:shape id="_x0000_i1031" o:spt="75" type="#_x0000_t75" style="height:34.1pt;width:38.15pt;" o:ole="t" filled="f" o:preferrelative="f" stroked="f" coordsize="21600,21600">
                  <v:path/>
                  <v:fill on="f" focussize="0,0"/>
                  <v:stroke on="f"/>
                  <v:imagedata r:id="rId30" o:title=""/>
                  <o:lock v:ext="edit" rotation="t" aspectratio="f"/>
                  <w10:wrap type="none"/>
                  <w10:anchorlock/>
                </v:shape>
                <o:OLEObject Type="Embed" ProgID="Equation.3" ShapeID="_x0000_i1031" DrawAspect="Content" ObjectID="_1468075731" r:id="rId29">
                  <o:LockedField>false</o:LockedField>
                </o:OLEObject>
              </w:object>
            </w:r>
          </w:p>
          <w:p w14:paraId="4C06F43B">
            <w:pPr>
              <w:keepNext w:val="0"/>
              <w:keepLines w:val="0"/>
              <w:pageBreakBefore w:val="0"/>
              <w:kinsoku/>
              <w:wordWrap/>
              <w:overflowPunct/>
              <w:topLinePunct w:val="0"/>
              <w:autoSpaceDE/>
              <w:autoSpaceDN/>
              <w:bidi w:val="0"/>
              <w:adjustRightInd/>
              <w:spacing w:line="360" w:lineRule="auto"/>
              <w:ind w:right="0" w:firstLine="480" w:firstLineChars="200"/>
              <w:textAlignment w:val="auto"/>
              <w:rPr>
                <w:rFonts w:ascii="Times New Roman" w:hAnsi="Times New Roman"/>
                <w:color w:val="auto"/>
                <w:sz w:val="24"/>
                <w:szCs w:val="24"/>
              </w:rPr>
            </w:pPr>
            <w:r>
              <w:rPr>
                <w:rFonts w:ascii="Times New Roman" w:hAnsi="Times New Roman"/>
                <w:color w:val="auto"/>
                <w:kern w:val="1"/>
                <w:sz w:val="24"/>
                <w:szCs w:val="24"/>
              </w:rPr>
              <w:t>式中：</w:t>
            </w:r>
            <w:r>
              <w:rPr>
                <w:rFonts w:hint="eastAsia" w:ascii="Times New Roman" w:hAnsi="Times New Roman"/>
                <w:color w:val="auto"/>
                <w:kern w:val="1"/>
                <w:sz w:val="24"/>
                <w:szCs w:val="24"/>
                <w:lang w:val="en-US" w:eastAsia="zh-CN"/>
              </w:rPr>
              <w:t>P</w:t>
            </w:r>
            <w:r>
              <w:rPr>
                <w:rFonts w:ascii="Times New Roman" w:hAnsi="Times New Roman"/>
                <w:color w:val="auto"/>
                <w:sz w:val="24"/>
                <w:szCs w:val="24"/>
                <w:vertAlign w:val="subscript"/>
              </w:rPr>
              <w:t>i</w:t>
            </w:r>
            <w:r>
              <w:rPr>
                <w:rFonts w:ascii="Times New Roman" w:hAnsi="Times New Roman"/>
                <w:color w:val="auto"/>
                <w:sz w:val="24"/>
                <w:szCs w:val="24"/>
              </w:rPr>
              <w:t>——</w:t>
            </w:r>
            <w:r>
              <w:rPr>
                <w:rFonts w:hint="eastAsia" w:ascii="Times New Roman" w:hAnsi="Times New Roman"/>
                <w:color w:val="auto"/>
                <w:sz w:val="24"/>
                <w:szCs w:val="24"/>
              </w:rPr>
              <w:t>第i种污染物的最大质量浓度占标率</w:t>
            </w:r>
            <w:r>
              <w:rPr>
                <w:rFonts w:ascii="Times New Roman" w:hAnsi="Times New Roman"/>
                <w:color w:val="auto"/>
                <w:sz w:val="24"/>
                <w:szCs w:val="24"/>
              </w:rPr>
              <w:t>；</w:t>
            </w:r>
          </w:p>
          <w:p w14:paraId="57A09EC5">
            <w:pPr>
              <w:keepNext w:val="0"/>
              <w:keepLines w:val="0"/>
              <w:pageBreakBefore w:val="0"/>
              <w:kinsoku/>
              <w:wordWrap/>
              <w:overflowPunct/>
              <w:topLinePunct w:val="0"/>
              <w:autoSpaceDE/>
              <w:autoSpaceDN/>
              <w:bidi w:val="0"/>
              <w:adjustRightInd/>
              <w:spacing w:line="360" w:lineRule="auto"/>
              <w:ind w:right="0" w:firstLine="480" w:firstLineChars="200"/>
              <w:textAlignment w:val="auto"/>
              <w:rPr>
                <w:rFonts w:ascii="Times New Roman" w:hAnsi="Times New Roman"/>
                <w:color w:val="auto"/>
                <w:sz w:val="24"/>
                <w:szCs w:val="24"/>
              </w:rPr>
            </w:pPr>
            <w:r>
              <w:rPr>
                <w:rFonts w:ascii="Times New Roman" w:hAnsi="Times New Roman"/>
                <w:color w:val="auto"/>
                <w:sz w:val="24"/>
                <w:szCs w:val="24"/>
              </w:rPr>
              <w:t>C</w:t>
            </w:r>
            <w:r>
              <w:rPr>
                <w:rFonts w:ascii="Times New Roman" w:hAnsi="Times New Roman"/>
                <w:color w:val="auto"/>
                <w:sz w:val="24"/>
                <w:szCs w:val="24"/>
                <w:vertAlign w:val="subscript"/>
              </w:rPr>
              <w:t>i</w:t>
            </w:r>
            <w:r>
              <w:rPr>
                <w:rFonts w:ascii="Times New Roman" w:hAnsi="Times New Roman"/>
                <w:color w:val="auto"/>
                <w:sz w:val="24"/>
                <w:szCs w:val="24"/>
              </w:rPr>
              <w:t>——第i个污染物</w:t>
            </w:r>
            <w:r>
              <w:rPr>
                <w:rFonts w:hint="eastAsia" w:ascii="Times New Roman" w:hAnsi="Times New Roman"/>
                <w:color w:val="auto"/>
                <w:sz w:val="24"/>
                <w:szCs w:val="24"/>
              </w:rPr>
              <w:t>实测最大质量浓度</w:t>
            </w:r>
            <w:r>
              <w:rPr>
                <w:rFonts w:ascii="Times New Roman" w:hAnsi="Times New Roman"/>
                <w:color w:val="auto"/>
                <w:sz w:val="24"/>
                <w:szCs w:val="24"/>
              </w:rPr>
              <w:t>，</w:t>
            </w:r>
            <w:r>
              <w:rPr>
                <w:rFonts w:hint="eastAsia" w:ascii="Times New Roman" w:hAnsi="Times New Roman"/>
                <w:color w:val="auto"/>
                <w:sz w:val="24"/>
                <w:szCs w:val="24"/>
                <w:lang w:val="en-US" w:eastAsia="zh-CN"/>
              </w:rPr>
              <w:t>m</w:t>
            </w:r>
            <w:r>
              <w:rPr>
                <w:rFonts w:ascii="Times New Roman" w:hAnsi="Times New Roman"/>
                <w:color w:val="auto"/>
                <w:sz w:val="24"/>
                <w:szCs w:val="24"/>
              </w:rPr>
              <w:t>g/m</w:t>
            </w:r>
            <w:r>
              <w:rPr>
                <w:rFonts w:ascii="Times New Roman" w:hAnsi="Times New Roman"/>
                <w:color w:val="auto"/>
                <w:sz w:val="24"/>
                <w:szCs w:val="24"/>
                <w:vertAlign w:val="superscript"/>
              </w:rPr>
              <w:t>3</w:t>
            </w:r>
            <w:r>
              <w:rPr>
                <w:rFonts w:ascii="Times New Roman" w:hAnsi="Times New Roman"/>
                <w:color w:val="auto"/>
                <w:sz w:val="24"/>
                <w:szCs w:val="24"/>
              </w:rPr>
              <w:t>；</w:t>
            </w:r>
          </w:p>
          <w:p w14:paraId="52148F2F">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ascii="Times New Roman" w:hAnsi="Times New Roman"/>
                <w:color w:val="auto"/>
                <w:sz w:val="24"/>
                <w:szCs w:val="24"/>
              </w:rPr>
            </w:pPr>
            <w:r>
              <w:rPr>
                <w:rFonts w:hint="eastAsia" w:ascii="Times New Roman" w:hAnsi="Times New Roman"/>
                <w:color w:val="auto"/>
                <w:sz w:val="24"/>
                <w:szCs w:val="24"/>
                <w:lang w:val="en-US" w:eastAsia="zh-CN"/>
              </w:rPr>
              <w:t>S</w:t>
            </w:r>
            <w:r>
              <w:rPr>
                <w:rFonts w:ascii="Times New Roman" w:hAnsi="Times New Roman"/>
                <w:color w:val="auto"/>
                <w:sz w:val="24"/>
                <w:szCs w:val="24"/>
                <w:vertAlign w:val="subscript"/>
              </w:rPr>
              <w:t>i</w:t>
            </w:r>
            <w:r>
              <w:rPr>
                <w:rFonts w:ascii="Times New Roman" w:hAnsi="Times New Roman"/>
                <w:color w:val="auto"/>
                <w:sz w:val="24"/>
                <w:szCs w:val="24"/>
              </w:rPr>
              <w:t>——第i个污染物的环境空气质量标准，</w:t>
            </w:r>
            <w:r>
              <w:rPr>
                <w:rFonts w:hint="eastAsia" w:ascii="Times New Roman" w:hAnsi="Times New Roman"/>
                <w:color w:val="auto"/>
                <w:sz w:val="24"/>
                <w:szCs w:val="24"/>
                <w:lang w:val="en-US" w:eastAsia="zh-CN"/>
              </w:rPr>
              <w:t>m</w:t>
            </w:r>
            <w:r>
              <w:rPr>
                <w:rFonts w:ascii="Times New Roman" w:hAnsi="Times New Roman"/>
                <w:color w:val="auto"/>
                <w:sz w:val="24"/>
                <w:szCs w:val="24"/>
              </w:rPr>
              <w:t>g/m</w:t>
            </w:r>
            <w:r>
              <w:rPr>
                <w:rFonts w:ascii="Times New Roman" w:hAnsi="Times New Roman"/>
                <w:color w:val="auto"/>
                <w:sz w:val="24"/>
                <w:szCs w:val="24"/>
                <w:vertAlign w:val="superscript"/>
              </w:rPr>
              <w:t>3</w:t>
            </w:r>
            <w:r>
              <w:rPr>
                <w:rFonts w:ascii="Times New Roman" w:hAnsi="Times New Roman"/>
                <w:color w:val="auto"/>
                <w:sz w:val="24"/>
                <w:szCs w:val="24"/>
              </w:rPr>
              <w:t>。</w:t>
            </w:r>
          </w:p>
          <w:p w14:paraId="3956A920">
            <w:pPr>
              <w:pStyle w:val="119"/>
              <w:ind w:firstLineChars="200"/>
              <w:rPr>
                <w:rFonts w:hint="eastAsia" w:ascii="Times New Roman" w:hAnsi="Times New Roman"/>
                <w:b/>
                <w:bCs/>
                <w:color w:val="auto"/>
                <w:sz w:val="24"/>
                <w:szCs w:val="24"/>
                <w:lang w:val="en-US" w:eastAsia="zh-CN"/>
              </w:rPr>
            </w:pPr>
            <w:r>
              <w:rPr>
                <w:rFonts w:hint="eastAsia" w:ascii="Times New Roman" w:hAnsi="Times New Roman"/>
                <w:b/>
                <w:bCs/>
                <w:color w:val="auto"/>
                <w:sz w:val="24"/>
                <w:szCs w:val="24"/>
                <w:lang w:val="en-US" w:eastAsia="zh-CN"/>
              </w:rPr>
              <w:t>⑤评价结果</w:t>
            </w:r>
          </w:p>
          <w:p w14:paraId="4FD30BEF">
            <w:pPr>
              <w:pStyle w:val="119"/>
              <w:ind w:firstLineChars="200"/>
              <w:rPr>
                <w:rFonts w:hint="default" w:ascii="Times New Roman" w:hAnsi="Times New Roman"/>
                <w:color w:val="auto"/>
                <w:sz w:val="24"/>
                <w:szCs w:val="24"/>
                <w:lang w:val="en-US" w:eastAsia="zh-CN"/>
              </w:rPr>
            </w:pPr>
            <w:r>
              <w:rPr>
                <w:rFonts w:hint="eastAsia" w:ascii="Times New Roman" w:hAnsi="Times New Roman"/>
                <w:color w:val="auto"/>
                <w:sz w:val="24"/>
                <w:szCs w:val="24"/>
                <w:lang w:val="en-US" w:eastAsia="zh-CN"/>
              </w:rPr>
              <w:t>项目所在区域环境空气质量（其他污染物）评价结果见下表。</w:t>
            </w:r>
          </w:p>
          <w:p w14:paraId="7623E338">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1"/>
                <w:highlight w:val="none"/>
                <w:lang w:val="en-US" w:eastAsia="zh-CN"/>
              </w:rPr>
            </w:pPr>
            <w:r>
              <w:rPr>
                <w:rFonts w:ascii="Times New Roman" w:hAnsi="Times New Roman" w:eastAsia="宋体" w:cs="Times New Roman"/>
                <w:b/>
                <w:bCs/>
                <w:color w:val="auto"/>
                <w:kern w:val="0"/>
                <w:sz w:val="21"/>
                <w:szCs w:val="21"/>
                <w:highlight w:val="none"/>
              </w:rPr>
              <w:t>表</w:t>
            </w:r>
            <w:r>
              <w:rPr>
                <w:rFonts w:hint="eastAsia" w:ascii="Times New Roman" w:hAnsi="Times New Roman" w:eastAsia="宋体" w:cs="Times New Roman"/>
                <w:b/>
                <w:bCs/>
                <w:color w:val="auto"/>
                <w:kern w:val="0"/>
                <w:sz w:val="21"/>
                <w:szCs w:val="21"/>
                <w:highlight w:val="none"/>
              </w:rPr>
              <w:t>3-</w:t>
            </w:r>
            <w:r>
              <w:rPr>
                <w:rFonts w:hint="eastAsia" w:ascii="Times New Roman" w:hAnsi="Times New Roman" w:cs="Times New Roman"/>
                <w:b/>
                <w:bCs/>
                <w:color w:val="auto"/>
                <w:kern w:val="0"/>
                <w:sz w:val="21"/>
                <w:szCs w:val="21"/>
                <w:highlight w:val="none"/>
                <w:lang w:val="en-US" w:eastAsia="zh-CN"/>
              </w:rPr>
              <w:t>2</w:t>
            </w:r>
            <w:r>
              <w:rPr>
                <w:rFonts w:hint="eastAsia" w:ascii="Times New Roman" w:hAnsi="Times New Roman" w:eastAsia="宋体" w:cs="Times New Roman"/>
                <w:b/>
                <w:bCs/>
                <w:color w:val="auto"/>
                <w:kern w:val="0"/>
                <w:sz w:val="21"/>
                <w:szCs w:val="21"/>
                <w:highlight w:val="none"/>
                <w:lang w:val="en-US" w:eastAsia="zh-CN"/>
              </w:rPr>
              <w:t xml:space="preserve"> 环境空气质量评价结果表</w:t>
            </w:r>
          </w:p>
          <w:tbl>
            <w:tblPr>
              <w:tblStyle w:val="42"/>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711"/>
              <w:gridCol w:w="1414"/>
              <w:gridCol w:w="1854"/>
              <w:gridCol w:w="1324"/>
              <w:gridCol w:w="1514"/>
            </w:tblGrid>
            <w:tr w14:paraId="5789B3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11" w:type="dxa"/>
                  <w:tcBorders>
                    <w:tl2br w:val="nil"/>
                    <w:tr2bl w:val="nil"/>
                  </w:tcBorders>
                  <w:shd w:val="clear" w:color="auto" w:fill="auto"/>
                  <w:noWrap w:val="0"/>
                  <w:vAlign w:val="center"/>
                </w:tcPr>
                <w:p w14:paraId="1D80F09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b/>
                      <w:color w:val="000000" w:themeColor="text1"/>
                      <w:sz w:val="21"/>
                      <w:szCs w:val="21"/>
                      <w:vertAlign w:val="baseline"/>
                      <w:lang w:val="en-US" w:eastAsia="zh-CN"/>
                      <w14:textFill>
                        <w14:solidFill>
                          <w14:schemeClr w14:val="tx1"/>
                        </w14:solidFill>
                      </w14:textFill>
                    </w:rPr>
                  </w:pPr>
                  <w:r>
                    <w:rPr>
                      <w:rFonts w:hint="eastAsia" w:ascii="Times New Roman" w:hAnsi="Times New Roman"/>
                      <w:b/>
                      <w:color w:val="000000" w:themeColor="text1"/>
                      <w:sz w:val="21"/>
                      <w:szCs w:val="21"/>
                      <w:vertAlign w:val="baseline"/>
                      <w:lang w:val="en-US" w:eastAsia="zh-CN"/>
                      <w14:textFill>
                        <w14:solidFill>
                          <w14:schemeClr w14:val="tx1"/>
                        </w14:solidFill>
                      </w14:textFill>
                    </w:rPr>
                    <w:t>监测项目</w:t>
                  </w:r>
                </w:p>
              </w:tc>
              <w:tc>
                <w:tcPr>
                  <w:tcW w:w="1414" w:type="dxa"/>
                  <w:tcBorders>
                    <w:tl2br w:val="nil"/>
                    <w:tr2bl w:val="nil"/>
                  </w:tcBorders>
                  <w:shd w:val="clear" w:color="auto" w:fill="auto"/>
                  <w:noWrap w:val="0"/>
                  <w:vAlign w:val="center"/>
                </w:tcPr>
                <w:p w14:paraId="223C82D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b/>
                      <w:color w:val="000000" w:themeColor="text1"/>
                      <w:sz w:val="21"/>
                      <w:szCs w:val="21"/>
                      <w:vertAlign w:val="baseline"/>
                      <w:lang w:val="en-US" w:eastAsia="zh-CN"/>
                      <w14:textFill>
                        <w14:solidFill>
                          <w14:schemeClr w14:val="tx1"/>
                        </w14:solidFill>
                      </w14:textFill>
                    </w:rPr>
                  </w:pPr>
                  <w:r>
                    <w:rPr>
                      <w:rFonts w:hint="eastAsia" w:ascii="Times New Roman" w:hAnsi="Times New Roman"/>
                      <w:b/>
                      <w:color w:val="000000" w:themeColor="text1"/>
                      <w:sz w:val="21"/>
                      <w:szCs w:val="21"/>
                      <w:vertAlign w:val="baseline"/>
                      <w:lang w:val="en-US" w:eastAsia="zh-CN"/>
                      <w14:textFill>
                        <w14:solidFill>
                          <w14:schemeClr w14:val="tx1"/>
                        </w14:solidFill>
                      </w14:textFill>
                    </w:rPr>
                    <w:t>浓度范围</w:t>
                  </w:r>
                  <w:r>
                    <w:rPr>
                      <w:rFonts w:hint="eastAsia" w:ascii="Times New Roman" w:hAnsi="Times New Roman"/>
                      <w:b/>
                      <w:bCs w:val="0"/>
                      <w:color w:val="000000" w:themeColor="text1"/>
                      <w:sz w:val="21"/>
                      <w:szCs w:val="21"/>
                      <w:vertAlign w:val="baseline"/>
                      <w:lang w:val="en-US" w:eastAsia="zh-CN"/>
                      <w14:textFill>
                        <w14:solidFill>
                          <w14:schemeClr w14:val="tx1"/>
                        </w14:solidFill>
                      </w14:textFill>
                    </w:rPr>
                    <w:t>（μ</w:t>
                  </w:r>
                  <w:r>
                    <w:rPr>
                      <w:rFonts w:hint="eastAsia" w:ascii="Times New Roman" w:hAnsi="Times New Roman"/>
                      <w:b/>
                      <w:bCs w:val="0"/>
                      <w:color w:val="000000" w:themeColor="text1"/>
                      <w:sz w:val="21"/>
                      <w:szCs w:val="21"/>
                      <w:lang w:val="en-US" w:eastAsia="zh-CN"/>
                      <w14:textFill>
                        <w14:solidFill>
                          <w14:schemeClr w14:val="tx1"/>
                        </w14:solidFill>
                      </w14:textFill>
                    </w:rPr>
                    <w:t>g/m</w:t>
                  </w:r>
                  <w:r>
                    <w:rPr>
                      <w:rFonts w:hint="eastAsia" w:ascii="Times New Roman" w:hAnsi="Times New Roman"/>
                      <w:b/>
                      <w:bCs w:val="0"/>
                      <w:color w:val="000000" w:themeColor="text1"/>
                      <w:sz w:val="21"/>
                      <w:szCs w:val="21"/>
                      <w:vertAlign w:val="superscript"/>
                      <w:lang w:val="en-US" w:eastAsia="zh-CN"/>
                      <w14:textFill>
                        <w14:solidFill>
                          <w14:schemeClr w14:val="tx1"/>
                        </w14:solidFill>
                      </w14:textFill>
                    </w:rPr>
                    <w:t>3</w:t>
                  </w:r>
                  <w:r>
                    <w:rPr>
                      <w:rFonts w:hint="eastAsia" w:ascii="Times New Roman" w:hAnsi="Times New Roman"/>
                      <w:b/>
                      <w:bCs w:val="0"/>
                      <w:color w:val="000000" w:themeColor="text1"/>
                      <w:sz w:val="21"/>
                      <w:szCs w:val="21"/>
                      <w:vertAlign w:val="baseline"/>
                      <w:lang w:val="en-US" w:eastAsia="zh-CN"/>
                      <w14:textFill>
                        <w14:solidFill>
                          <w14:schemeClr w14:val="tx1"/>
                        </w14:solidFill>
                      </w14:textFill>
                    </w:rPr>
                    <w:t>）</w:t>
                  </w:r>
                </w:p>
              </w:tc>
              <w:tc>
                <w:tcPr>
                  <w:tcW w:w="1854" w:type="dxa"/>
                  <w:tcBorders>
                    <w:tl2br w:val="nil"/>
                    <w:tr2bl w:val="nil"/>
                  </w:tcBorders>
                  <w:shd w:val="clear" w:color="auto" w:fill="auto"/>
                  <w:noWrap w:val="0"/>
                  <w:vAlign w:val="center"/>
                </w:tcPr>
                <w:p w14:paraId="4678C4E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b/>
                      <w:color w:val="000000" w:themeColor="text1"/>
                      <w:sz w:val="21"/>
                      <w:szCs w:val="21"/>
                      <w:vertAlign w:val="baseline"/>
                      <w:lang w:val="en-US" w:eastAsia="zh-CN"/>
                      <w14:textFill>
                        <w14:solidFill>
                          <w14:schemeClr w14:val="tx1"/>
                        </w14:solidFill>
                      </w14:textFill>
                    </w:rPr>
                  </w:pPr>
                  <w:r>
                    <w:rPr>
                      <w:rFonts w:hint="eastAsia" w:ascii="Times New Roman" w:hAnsi="Times New Roman"/>
                      <w:b/>
                      <w:color w:val="000000" w:themeColor="text1"/>
                      <w:sz w:val="21"/>
                      <w:szCs w:val="21"/>
                      <w:vertAlign w:val="baseline"/>
                      <w:lang w:val="en-US" w:eastAsia="zh-CN"/>
                      <w14:textFill>
                        <w14:solidFill>
                          <w14:schemeClr w14:val="tx1"/>
                        </w14:solidFill>
                      </w14:textFill>
                    </w:rPr>
                    <w:t>标准值</w:t>
                  </w:r>
                  <w:r>
                    <w:rPr>
                      <w:rFonts w:hint="eastAsia" w:ascii="Times New Roman" w:hAnsi="Times New Roman"/>
                      <w:b/>
                      <w:bCs w:val="0"/>
                      <w:color w:val="000000" w:themeColor="text1"/>
                      <w:sz w:val="21"/>
                      <w:szCs w:val="21"/>
                      <w:vertAlign w:val="baseline"/>
                      <w:lang w:val="en-US" w:eastAsia="zh-CN"/>
                      <w14:textFill>
                        <w14:solidFill>
                          <w14:schemeClr w14:val="tx1"/>
                        </w14:solidFill>
                      </w14:textFill>
                    </w:rPr>
                    <w:t>（μ</w:t>
                  </w:r>
                  <w:r>
                    <w:rPr>
                      <w:rFonts w:hint="eastAsia" w:ascii="Times New Roman" w:hAnsi="Times New Roman"/>
                      <w:b/>
                      <w:bCs w:val="0"/>
                      <w:color w:val="000000" w:themeColor="text1"/>
                      <w:sz w:val="21"/>
                      <w:szCs w:val="21"/>
                      <w:lang w:val="en-US" w:eastAsia="zh-CN"/>
                      <w14:textFill>
                        <w14:solidFill>
                          <w14:schemeClr w14:val="tx1"/>
                        </w14:solidFill>
                      </w14:textFill>
                    </w:rPr>
                    <w:t>g/m</w:t>
                  </w:r>
                  <w:r>
                    <w:rPr>
                      <w:rFonts w:hint="eastAsia" w:ascii="Times New Roman" w:hAnsi="Times New Roman"/>
                      <w:b/>
                      <w:bCs w:val="0"/>
                      <w:color w:val="000000" w:themeColor="text1"/>
                      <w:sz w:val="21"/>
                      <w:szCs w:val="21"/>
                      <w:vertAlign w:val="superscript"/>
                      <w:lang w:val="en-US" w:eastAsia="zh-CN"/>
                      <w14:textFill>
                        <w14:solidFill>
                          <w14:schemeClr w14:val="tx1"/>
                        </w14:solidFill>
                      </w14:textFill>
                    </w:rPr>
                    <w:t>3</w:t>
                  </w:r>
                  <w:r>
                    <w:rPr>
                      <w:rFonts w:hint="eastAsia" w:ascii="Times New Roman" w:hAnsi="Times New Roman"/>
                      <w:b/>
                      <w:bCs w:val="0"/>
                      <w:color w:val="000000" w:themeColor="text1"/>
                      <w:sz w:val="21"/>
                      <w:szCs w:val="21"/>
                      <w:vertAlign w:val="baseline"/>
                      <w:lang w:val="en-US" w:eastAsia="zh-CN"/>
                      <w14:textFill>
                        <w14:solidFill>
                          <w14:schemeClr w14:val="tx1"/>
                        </w14:solidFill>
                      </w14:textFill>
                    </w:rPr>
                    <w:t>）</w:t>
                  </w:r>
                </w:p>
              </w:tc>
              <w:tc>
                <w:tcPr>
                  <w:tcW w:w="1324" w:type="dxa"/>
                  <w:tcBorders>
                    <w:tl2br w:val="nil"/>
                    <w:tr2bl w:val="nil"/>
                  </w:tcBorders>
                  <w:shd w:val="clear" w:color="auto" w:fill="auto"/>
                  <w:noWrap w:val="0"/>
                  <w:vAlign w:val="center"/>
                </w:tcPr>
                <w:p w14:paraId="20D65BB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b/>
                      <w:color w:val="000000" w:themeColor="text1"/>
                      <w:sz w:val="21"/>
                      <w:szCs w:val="21"/>
                      <w:vertAlign w:val="baseline"/>
                      <w:lang w:val="en-US" w:eastAsia="zh-CN"/>
                      <w14:textFill>
                        <w14:solidFill>
                          <w14:schemeClr w14:val="tx1"/>
                        </w14:solidFill>
                      </w14:textFill>
                    </w:rPr>
                  </w:pPr>
                  <w:r>
                    <w:rPr>
                      <w:rFonts w:hint="eastAsia" w:ascii="Times New Roman" w:hAnsi="Times New Roman"/>
                      <w:b/>
                      <w:color w:val="000000" w:themeColor="text1"/>
                      <w:sz w:val="21"/>
                      <w:szCs w:val="21"/>
                      <w:vertAlign w:val="baseline"/>
                      <w:lang w:val="en-US" w:eastAsia="zh-CN"/>
                      <w14:textFill>
                        <w14:solidFill>
                          <w14:schemeClr w14:val="tx1"/>
                        </w14:solidFill>
                      </w14:textFill>
                    </w:rPr>
                    <w:t>最大占标率</w:t>
                  </w:r>
                  <w:r>
                    <w:rPr>
                      <w:rFonts w:hint="eastAsia"/>
                      <w:b/>
                      <w:color w:val="000000" w:themeColor="text1"/>
                      <w:sz w:val="21"/>
                      <w:szCs w:val="21"/>
                      <w:vertAlign w:val="baseline"/>
                      <w:lang w:val="en-US" w:eastAsia="zh-CN"/>
                      <w14:textFill>
                        <w14:solidFill>
                          <w14:schemeClr w14:val="tx1"/>
                        </w14:solidFill>
                      </w14:textFill>
                    </w:rPr>
                    <w:t>（%）</w:t>
                  </w:r>
                </w:p>
              </w:tc>
              <w:tc>
                <w:tcPr>
                  <w:tcW w:w="1514" w:type="dxa"/>
                  <w:tcBorders>
                    <w:tl2br w:val="nil"/>
                    <w:tr2bl w:val="nil"/>
                  </w:tcBorders>
                  <w:shd w:val="clear" w:color="auto" w:fill="auto"/>
                  <w:noWrap w:val="0"/>
                  <w:vAlign w:val="center"/>
                </w:tcPr>
                <w:p w14:paraId="1E3CAD4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b/>
                      <w:color w:val="000000" w:themeColor="text1"/>
                      <w:sz w:val="21"/>
                      <w:szCs w:val="21"/>
                      <w:vertAlign w:val="baseline"/>
                      <w:lang w:val="en-US" w:eastAsia="zh-CN"/>
                      <w14:textFill>
                        <w14:solidFill>
                          <w14:schemeClr w14:val="tx1"/>
                        </w14:solidFill>
                      </w14:textFill>
                    </w:rPr>
                  </w:pPr>
                  <w:r>
                    <w:rPr>
                      <w:rFonts w:hint="eastAsia" w:ascii="Times New Roman" w:hAnsi="Times New Roman"/>
                      <w:b/>
                      <w:color w:val="000000" w:themeColor="text1"/>
                      <w:sz w:val="21"/>
                      <w:szCs w:val="21"/>
                      <w:vertAlign w:val="baseline"/>
                      <w:lang w:val="en-US" w:eastAsia="zh-CN"/>
                      <w14:textFill>
                        <w14:solidFill>
                          <w14:schemeClr w14:val="tx1"/>
                        </w14:solidFill>
                      </w14:textFill>
                    </w:rPr>
                    <w:t>达标情况</w:t>
                  </w:r>
                </w:p>
              </w:tc>
            </w:tr>
            <w:tr w14:paraId="616562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711" w:type="dxa"/>
                  <w:tcBorders>
                    <w:tl2br w:val="nil"/>
                    <w:tr2bl w:val="nil"/>
                  </w:tcBorders>
                  <w:noWrap w:val="0"/>
                  <w:vAlign w:val="center"/>
                </w:tcPr>
                <w:p w14:paraId="44FB78A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b w:val="0"/>
                      <w:bCs/>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b w:val="0"/>
                      <w:bCs/>
                      <w:color w:val="000000" w:themeColor="text1"/>
                      <w:sz w:val="21"/>
                      <w:szCs w:val="21"/>
                      <w:vertAlign w:val="baseline"/>
                      <w:lang w:val="en-US" w:eastAsia="zh-CN"/>
                      <w14:textFill>
                        <w14:solidFill>
                          <w14:schemeClr w14:val="tx1"/>
                        </w14:solidFill>
                      </w14:textFill>
                    </w:rPr>
                    <w:t>总悬浮颗粒物</w:t>
                  </w:r>
                </w:p>
              </w:tc>
              <w:tc>
                <w:tcPr>
                  <w:tcW w:w="1414" w:type="dxa"/>
                  <w:tcBorders>
                    <w:tl2br w:val="nil"/>
                    <w:tr2bl w:val="nil"/>
                  </w:tcBorders>
                  <w:noWrap w:val="0"/>
                  <w:vAlign w:val="center"/>
                </w:tcPr>
                <w:p w14:paraId="06F1B6F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b w:val="0"/>
                      <w:bCs/>
                      <w:color w:val="000000" w:themeColor="text1"/>
                      <w:sz w:val="21"/>
                      <w:szCs w:val="21"/>
                      <w:vertAlign w:val="baseline"/>
                      <w:lang w:val="en-US" w:eastAsia="zh-CN"/>
                      <w14:textFill>
                        <w14:solidFill>
                          <w14:schemeClr w14:val="tx1"/>
                        </w14:solidFill>
                      </w14:textFill>
                    </w:rPr>
                  </w:pPr>
                  <w:r>
                    <w:rPr>
                      <w:rFonts w:hint="eastAsia" w:ascii="Times New Roman" w:hAnsi="Times New Roman"/>
                      <w:b w:val="0"/>
                      <w:bCs/>
                      <w:color w:val="000000" w:themeColor="text1"/>
                      <w:sz w:val="21"/>
                      <w:szCs w:val="21"/>
                      <w:vertAlign w:val="baseline"/>
                      <w:lang w:val="en-US" w:eastAsia="zh-CN"/>
                      <w14:textFill>
                        <w14:solidFill>
                          <w14:schemeClr w14:val="tx1"/>
                        </w14:solidFill>
                      </w14:textFill>
                    </w:rPr>
                    <w:t>117~124</w:t>
                  </w:r>
                </w:p>
              </w:tc>
              <w:tc>
                <w:tcPr>
                  <w:tcW w:w="1854" w:type="dxa"/>
                  <w:tcBorders>
                    <w:tl2br w:val="nil"/>
                    <w:tr2bl w:val="nil"/>
                  </w:tcBorders>
                  <w:noWrap w:val="0"/>
                  <w:vAlign w:val="center"/>
                </w:tcPr>
                <w:p w14:paraId="172EED4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b w:val="0"/>
                      <w:bCs/>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b w:val="0"/>
                      <w:bCs/>
                      <w:color w:val="000000" w:themeColor="text1"/>
                      <w:sz w:val="21"/>
                      <w:szCs w:val="21"/>
                      <w:vertAlign w:val="baseline"/>
                      <w:lang w:val="en-US" w:eastAsia="zh-CN"/>
                      <w14:textFill>
                        <w14:solidFill>
                          <w14:schemeClr w14:val="tx1"/>
                        </w14:solidFill>
                      </w14:textFill>
                    </w:rPr>
                    <w:t>300</w:t>
                  </w:r>
                </w:p>
              </w:tc>
              <w:tc>
                <w:tcPr>
                  <w:tcW w:w="1324" w:type="dxa"/>
                  <w:tcBorders>
                    <w:tl2br w:val="nil"/>
                    <w:tr2bl w:val="nil"/>
                  </w:tcBorders>
                  <w:noWrap w:val="0"/>
                  <w:vAlign w:val="center"/>
                </w:tcPr>
                <w:p w14:paraId="3AB814F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b w:val="0"/>
                      <w:bCs/>
                      <w:color w:val="000000" w:themeColor="text1"/>
                      <w:sz w:val="21"/>
                      <w:szCs w:val="21"/>
                      <w:vertAlign w:val="baseline"/>
                      <w:lang w:val="en-US" w:eastAsia="zh-CN"/>
                      <w14:textFill>
                        <w14:solidFill>
                          <w14:schemeClr w14:val="tx1"/>
                        </w14:solidFill>
                      </w14:textFill>
                    </w:rPr>
                  </w:pPr>
                  <w:r>
                    <w:rPr>
                      <w:rFonts w:hint="eastAsia" w:ascii="Times New Roman" w:hAnsi="Times New Roman"/>
                      <w:b w:val="0"/>
                      <w:bCs/>
                      <w:color w:val="000000" w:themeColor="text1"/>
                      <w:sz w:val="21"/>
                      <w:szCs w:val="21"/>
                      <w:vertAlign w:val="baseline"/>
                      <w:lang w:val="en-US" w:eastAsia="zh-CN"/>
                      <w14:textFill>
                        <w14:solidFill>
                          <w14:schemeClr w14:val="tx1"/>
                        </w14:solidFill>
                      </w14:textFill>
                    </w:rPr>
                    <w:t>41.33</w:t>
                  </w:r>
                </w:p>
              </w:tc>
              <w:tc>
                <w:tcPr>
                  <w:tcW w:w="1514" w:type="dxa"/>
                  <w:tcBorders>
                    <w:tl2br w:val="nil"/>
                    <w:tr2bl w:val="nil"/>
                  </w:tcBorders>
                  <w:noWrap w:val="0"/>
                  <w:vAlign w:val="center"/>
                </w:tcPr>
                <w:p w14:paraId="16A3F74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b w:val="0"/>
                      <w:bCs/>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b w:val="0"/>
                      <w:bCs/>
                      <w:color w:val="000000" w:themeColor="text1"/>
                      <w:sz w:val="21"/>
                      <w:szCs w:val="21"/>
                      <w:vertAlign w:val="baseline"/>
                      <w:lang w:val="en-US" w:eastAsia="zh-CN"/>
                      <w14:textFill>
                        <w14:solidFill>
                          <w14:schemeClr w14:val="tx1"/>
                        </w14:solidFill>
                      </w14:textFill>
                    </w:rPr>
                    <w:t>达标</w:t>
                  </w:r>
                </w:p>
              </w:tc>
            </w:tr>
            <w:tr w14:paraId="317903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711" w:type="dxa"/>
                  <w:tcBorders>
                    <w:tl2br w:val="nil"/>
                    <w:tr2bl w:val="nil"/>
                  </w:tcBorders>
                  <w:noWrap w:val="0"/>
                  <w:vAlign w:val="center"/>
                </w:tcPr>
                <w:p w14:paraId="59F0F9B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b w:val="0"/>
                      <w:bCs/>
                      <w:color w:val="000000" w:themeColor="text1"/>
                      <w:sz w:val="21"/>
                      <w:szCs w:val="21"/>
                      <w:vertAlign w:val="baseline"/>
                      <w:lang w:val="en-US" w:eastAsia="zh-CN"/>
                      <w14:textFill>
                        <w14:solidFill>
                          <w14:schemeClr w14:val="tx1"/>
                        </w14:solidFill>
                      </w14:textFill>
                    </w:rPr>
                  </w:pPr>
                  <w:r>
                    <w:rPr>
                      <w:rFonts w:hint="eastAsia"/>
                      <w:b w:val="0"/>
                      <w:bCs/>
                      <w:color w:val="000000" w:themeColor="text1"/>
                      <w:sz w:val="21"/>
                      <w:szCs w:val="21"/>
                      <w:vertAlign w:val="baseline"/>
                      <w:lang w:val="en-US" w:eastAsia="zh-CN"/>
                      <w14:textFill>
                        <w14:solidFill>
                          <w14:schemeClr w14:val="tx1"/>
                        </w14:solidFill>
                      </w14:textFill>
                    </w:rPr>
                    <w:t>氟化物</w:t>
                  </w:r>
                </w:p>
              </w:tc>
              <w:tc>
                <w:tcPr>
                  <w:tcW w:w="1414" w:type="dxa"/>
                  <w:tcBorders>
                    <w:tl2br w:val="nil"/>
                    <w:tr2bl w:val="nil"/>
                  </w:tcBorders>
                  <w:noWrap w:val="0"/>
                  <w:vAlign w:val="center"/>
                </w:tcPr>
                <w:p w14:paraId="14255EA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b w:val="0"/>
                      <w:bCs/>
                      <w:color w:val="000000" w:themeColor="text1"/>
                      <w:sz w:val="21"/>
                      <w:szCs w:val="21"/>
                      <w:vertAlign w:val="baseline"/>
                      <w:lang w:val="en-US" w:eastAsia="zh-CN"/>
                      <w14:textFill>
                        <w14:solidFill>
                          <w14:schemeClr w14:val="tx1"/>
                        </w14:solidFill>
                      </w14:textFill>
                    </w:rPr>
                  </w:pPr>
                  <w:r>
                    <w:rPr>
                      <w:rFonts w:hint="eastAsia"/>
                      <w:b w:val="0"/>
                      <w:bCs/>
                      <w:color w:val="000000" w:themeColor="text1"/>
                      <w:sz w:val="21"/>
                      <w:szCs w:val="21"/>
                      <w:vertAlign w:val="baseline"/>
                      <w:lang w:val="en-US" w:eastAsia="zh-CN"/>
                      <w14:textFill>
                        <w14:solidFill>
                          <w14:schemeClr w14:val="tx1"/>
                        </w14:solidFill>
                      </w14:textFill>
                    </w:rPr>
                    <w:t>未检出</w:t>
                  </w:r>
                </w:p>
              </w:tc>
              <w:tc>
                <w:tcPr>
                  <w:tcW w:w="1854" w:type="dxa"/>
                  <w:tcBorders>
                    <w:tl2br w:val="nil"/>
                    <w:tr2bl w:val="nil"/>
                  </w:tcBorders>
                  <w:noWrap w:val="0"/>
                  <w:vAlign w:val="center"/>
                </w:tcPr>
                <w:p w14:paraId="10C3E14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b w:val="0"/>
                      <w:bCs/>
                      <w:color w:val="000000" w:themeColor="text1"/>
                      <w:sz w:val="21"/>
                      <w:szCs w:val="21"/>
                      <w:vertAlign w:val="baseline"/>
                      <w:lang w:val="en-US" w:eastAsia="zh-CN"/>
                      <w14:textFill>
                        <w14:solidFill>
                          <w14:schemeClr w14:val="tx1"/>
                        </w14:solidFill>
                      </w14:textFill>
                    </w:rPr>
                  </w:pPr>
                  <w:r>
                    <w:rPr>
                      <w:rFonts w:hint="eastAsia"/>
                      <w:b w:val="0"/>
                      <w:bCs/>
                      <w:color w:val="000000" w:themeColor="text1"/>
                      <w:sz w:val="21"/>
                      <w:szCs w:val="21"/>
                      <w:vertAlign w:val="baseline"/>
                      <w:lang w:val="en-US" w:eastAsia="zh-CN"/>
                      <w14:textFill>
                        <w14:solidFill>
                          <w14:schemeClr w14:val="tx1"/>
                        </w14:solidFill>
                      </w14:textFill>
                    </w:rPr>
                    <w:t>7</w:t>
                  </w:r>
                </w:p>
              </w:tc>
              <w:tc>
                <w:tcPr>
                  <w:tcW w:w="1324" w:type="dxa"/>
                  <w:tcBorders>
                    <w:tl2br w:val="nil"/>
                    <w:tr2bl w:val="nil"/>
                  </w:tcBorders>
                  <w:noWrap w:val="0"/>
                  <w:vAlign w:val="center"/>
                </w:tcPr>
                <w:p w14:paraId="2BF9192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b w:val="0"/>
                      <w:bCs/>
                      <w:color w:val="000000" w:themeColor="text1"/>
                      <w:sz w:val="21"/>
                      <w:szCs w:val="21"/>
                      <w:vertAlign w:val="baseline"/>
                      <w:lang w:val="en-US" w:eastAsia="zh-CN"/>
                      <w14:textFill>
                        <w14:solidFill>
                          <w14:schemeClr w14:val="tx1"/>
                        </w14:solidFill>
                      </w14:textFill>
                    </w:rPr>
                  </w:pPr>
                  <w:r>
                    <w:rPr>
                      <w:rFonts w:hint="eastAsia"/>
                      <w:b w:val="0"/>
                      <w:bCs/>
                      <w:color w:val="000000" w:themeColor="text1"/>
                      <w:sz w:val="21"/>
                      <w:szCs w:val="21"/>
                      <w:vertAlign w:val="baseline"/>
                      <w:lang w:val="en-US" w:eastAsia="zh-CN"/>
                      <w14:textFill>
                        <w14:solidFill>
                          <w14:schemeClr w14:val="tx1"/>
                        </w14:solidFill>
                      </w14:textFill>
                    </w:rPr>
                    <w:t>/</w:t>
                  </w:r>
                </w:p>
              </w:tc>
              <w:tc>
                <w:tcPr>
                  <w:tcW w:w="1514" w:type="dxa"/>
                  <w:tcBorders>
                    <w:tl2br w:val="nil"/>
                    <w:tr2bl w:val="nil"/>
                  </w:tcBorders>
                  <w:noWrap w:val="0"/>
                  <w:vAlign w:val="center"/>
                </w:tcPr>
                <w:p w14:paraId="2585E32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b w:val="0"/>
                      <w:bCs/>
                      <w:color w:val="000000" w:themeColor="text1"/>
                      <w:sz w:val="21"/>
                      <w:szCs w:val="21"/>
                      <w:vertAlign w:val="baseline"/>
                      <w:lang w:val="en-US" w:eastAsia="zh-CN"/>
                      <w14:textFill>
                        <w14:solidFill>
                          <w14:schemeClr w14:val="tx1"/>
                        </w14:solidFill>
                      </w14:textFill>
                    </w:rPr>
                  </w:pPr>
                  <w:r>
                    <w:rPr>
                      <w:rFonts w:hint="eastAsia"/>
                      <w:b w:val="0"/>
                      <w:bCs/>
                      <w:color w:val="000000" w:themeColor="text1"/>
                      <w:sz w:val="21"/>
                      <w:szCs w:val="21"/>
                      <w:vertAlign w:val="baseline"/>
                      <w:lang w:val="en-US" w:eastAsia="zh-CN"/>
                      <w14:textFill>
                        <w14:solidFill>
                          <w14:schemeClr w14:val="tx1"/>
                        </w14:solidFill>
                      </w14:textFill>
                    </w:rPr>
                    <w:t>达标</w:t>
                  </w:r>
                </w:p>
              </w:tc>
            </w:tr>
          </w:tbl>
          <w:p w14:paraId="38BDA776">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color w:val="auto"/>
              </w:rPr>
            </w:pPr>
            <w:r>
              <w:rPr>
                <w:rFonts w:ascii="Times New Roman" w:hAnsi="Times New Roman"/>
                <w:color w:val="000000" w:themeColor="text1"/>
                <w:kern w:val="0"/>
                <w:sz w:val="24"/>
                <w:highlight w:val="none"/>
                <w14:textFill>
                  <w14:solidFill>
                    <w14:schemeClr w14:val="tx1"/>
                  </w14:solidFill>
                </w14:textFill>
              </w:rPr>
              <w:t>由上表可知，</w:t>
            </w:r>
            <w:r>
              <w:rPr>
                <w:rFonts w:hint="eastAsia" w:ascii="Times New Roman" w:hAnsi="Times New Roman"/>
                <w:color w:val="000000" w:themeColor="text1"/>
                <w:kern w:val="0"/>
                <w:sz w:val="24"/>
                <w:highlight w:val="none"/>
                <w:lang w:val="en-US" w:eastAsia="zh-CN"/>
                <w14:textFill>
                  <w14:solidFill>
                    <w14:schemeClr w14:val="tx1"/>
                  </w14:solidFill>
                </w14:textFill>
              </w:rPr>
              <w:t>总悬浮颗粒物</w:t>
            </w:r>
            <w:r>
              <w:rPr>
                <w:rFonts w:hint="eastAsia"/>
                <w:color w:val="000000" w:themeColor="text1"/>
                <w:kern w:val="0"/>
                <w:sz w:val="24"/>
                <w:highlight w:val="none"/>
                <w:lang w:val="en-US" w:eastAsia="zh-CN"/>
                <w14:textFill>
                  <w14:solidFill>
                    <w14:schemeClr w14:val="tx1"/>
                  </w14:solidFill>
                </w14:textFill>
              </w:rPr>
              <w:t>、氟化物</w:t>
            </w:r>
            <w:r>
              <w:rPr>
                <w:rFonts w:hint="eastAsia" w:ascii="Times New Roman" w:hAnsi="Times New Roman"/>
                <w:color w:val="000000" w:themeColor="text1"/>
                <w:kern w:val="0"/>
                <w:sz w:val="24"/>
                <w:highlight w:val="none"/>
                <w:lang w:val="en-US" w:eastAsia="zh-CN"/>
                <w14:textFill>
                  <w14:solidFill>
                    <w14:schemeClr w14:val="tx1"/>
                  </w14:solidFill>
                </w14:textFill>
              </w:rPr>
              <w:t>满足《环境空气质量</w:t>
            </w:r>
            <w:r>
              <w:rPr>
                <w:rFonts w:hint="eastAsia" w:ascii="Times New Roman" w:hAnsi="Times New Roman"/>
                <w:color w:val="auto"/>
                <w:kern w:val="0"/>
                <w:sz w:val="24"/>
                <w:highlight w:val="none"/>
                <w:lang w:val="en-US" w:eastAsia="zh-CN"/>
              </w:rPr>
              <w:t>标准》（GB3095-2026）中相关标准限值</w:t>
            </w:r>
            <w:r>
              <w:rPr>
                <w:rFonts w:ascii="Times New Roman" w:hAnsi="Times New Roman"/>
                <w:color w:val="auto"/>
                <w:kern w:val="0"/>
                <w:sz w:val="24"/>
                <w:highlight w:val="none"/>
              </w:rPr>
              <w:t>。</w:t>
            </w:r>
          </w:p>
          <w:p w14:paraId="5F372037">
            <w:pPr>
              <w:pStyle w:val="66"/>
              <w:spacing w:line="360" w:lineRule="auto"/>
              <w:rPr>
                <w:rFonts w:hint="default" w:ascii="Times New Roman" w:hAnsi="Times New Roman" w:cs="Times New Roman"/>
                <w:b/>
                <w:color w:val="auto"/>
                <w:sz w:val="24"/>
                <w:szCs w:val="24"/>
              </w:rPr>
            </w:pPr>
            <w:r>
              <w:rPr>
                <w:rFonts w:hint="default" w:ascii="Times New Roman" w:hAnsi="Times New Roman" w:cs="Times New Roman"/>
                <w:b/>
                <w:color w:val="auto"/>
                <w:sz w:val="24"/>
                <w:szCs w:val="24"/>
              </w:rPr>
              <w:t>2、地表水环境质量现状</w:t>
            </w:r>
          </w:p>
          <w:p w14:paraId="792241B0">
            <w:pPr>
              <w:widowControl/>
              <w:spacing w:line="360" w:lineRule="auto"/>
              <w:ind w:firstLine="480" w:firstLineChars="200"/>
              <w:rPr>
                <w:rFonts w:cs="Times New Roman"/>
                <w:color w:val="auto"/>
                <w:sz w:val="24"/>
                <w:szCs w:val="24"/>
              </w:rPr>
            </w:pPr>
            <w:r>
              <w:rPr>
                <w:rFonts w:cs="Times New Roman"/>
                <w:color w:val="auto"/>
                <w:sz w:val="24"/>
                <w:szCs w:val="24"/>
              </w:rPr>
              <w:t>根据《</w:t>
            </w:r>
            <w:r>
              <w:rPr>
                <w:rFonts w:hint="eastAsia" w:cs="Times New Roman"/>
                <w:color w:val="auto"/>
                <w:sz w:val="24"/>
                <w:szCs w:val="24"/>
              </w:rPr>
              <w:fldChar w:fldCharType="begin"/>
            </w:r>
            <w:r>
              <w:rPr>
                <w:rFonts w:hint="eastAsia" w:cs="Times New Roman"/>
                <w:color w:val="auto"/>
                <w:sz w:val="24"/>
                <w:szCs w:val="24"/>
              </w:rPr>
              <w:instrText xml:space="preserve"> HYPERLINK "https://www.mee.gov.cn/xxgk2018/xxgk/xxgk05/202101/W020210104371003931528.pdf" </w:instrText>
            </w:r>
            <w:r>
              <w:rPr>
                <w:rFonts w:hint="eastAsia" w:cs="Times New Roman"/>
                <w:color w:val="auto"/>
                <w:sz w:val="24"/>
                <w:szCs w:val="24"/>
              </w:rPr>
              <w:fldChar w:fldCharType="separate"/>
            </w:r>
            <w:r>
              <w:rPr>
                <w:rFonts w:hint="eastAsia" w:cs="Times New Roman"/>
                <w:color w:val="auto"/>
                <w:sz w:val="24"/>
                <w:szCs w:val="24"/>
              </w:rPr>
              <w:t>建设项目环境影响报告表编制技术指南（污染影响类）（试行）</w:t>
            </w:r>
            <w:r>
              <w:rPr>
                <w:rFonts w:hint="eastAsia" w:cs="Times New Roman"/>
                <w:color w:val="auto"/>
                <w:sz w:val="24"/>
                <w:szCs w:val="24"/>
              </w:rPr>
              <w:fldChar w:fldCharType="end"/>
            </w:r>
            <w:r>
              <w:rPr>
                <w:rFonts w:hint="eastAsia" w:cs="Times New Roman"/>
                <w:color w:val="auto"/>
                <w:sz w:val="24"/>
                <w:szCs w:val="24"/>
              </w:rPr>
              <w:t>》</w:t>
            </w:r>
            <w:r>
              <w:rPr>
                <w:rFonts w:cs="Times New Roman"/>
                <w:color w:val="auto"/>
                <w:sz w:val="24"/>
                <w:szCs w:val="24"/>
              </w:rPr>
              <w:t>，区域地表水环境常规污染物引用与建设项目距离近的有效数据，包括近3年的规划环境影响评价的监测数据，所在流域控制单元内国家、地方控制断面监测数据，生态环境主管部门发布的水环境质量数据或地表水达标情况的结论。本项目位于四川巴中经济开发区，因此，本次评价引用</w:t>
            </w:r>
            <w:r>
              <w:rPr>
                <w:color w:val="auto"/>
                <w:kern w:val="0"/>
                <w:sz w:val="24"/>
              </w:rPr>
              <w:t>《</w:t>
            </w:r>
            <w:r>
              <w:rPr>
                <w:rFonts w:hint="eastAsia"/>
                <w:color w:val="auto"/>
                <w:kern w:val="0"/>
                <w:sz w:val="24"/>
                <w:lang w:val="en-US" w:eastAsia="zh-CN"/>
              </w:rPr>
              <w:t>2025巴中市生态环境状况公报</w:t>
            </w:r>
            <w:r>
              <w:rPr>
                <w:color w:val="auto"/>
                <w:kern w:val="0"/>
                <w:sz w:val="24"/>
              </w:rPr>
              <w:t>》</w:t>
            </w:r>
            <w:r>
              <w:rPr>
                <w:rFonts w:cs="Times New Roman"/>
                <w:color w:val="auto"/>
                <w:sz w:val="24"/>
                <w:szCs w:val="24"/>
              </w:rPr>
              <w:t>满足指南要求。</w:t>
            </w:r>
          </w:p>
          <w:p w14:paraId="06B9EF46">
            <w:pPr>
              <w:keepNext w:val="0"/>
              <w:keepLines w:val="0"/>
              <w:pageBreakBefore w:val="0"/>
              <w:widowControl/>
              <w:kinsoku/>
              <w:wordWrap w:val="0"/>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auto"/>
                <w:sz w:val="24"/>
                <w:szCs w:val="24"/>
              </w:rPr>
              <w:t>根据</w:t>
            </w:r>
            <w:r>
              <w:rPr>
                <w:color w:val="auto"/>
                <w:kern w:val="0"/>
                <w:sz w:val="24"/>
              </w:rPr>
              <w:t>《</w:t>
            </w:r>
            <w:r>
              <w:rPr>
                <w:rFonts w:hint="eastAsia"/>
                <w:color w:val="auto"/>
                <w:kern w:val="0"/>
                <w:sz w:val="24"/>
                <w:lang w:val="en-US" w:eastAsia="zh-CN"/>
              </w:rPr>
              <w:t>2025巴中市生态环境状况公报</w:t>
            </w:r>
            <w:r>
              <w:rPr>
                <w:color w:val="auto"/>
                <w:kern w:val="0"/>
                <w:sz w:val="24"/>
              </w:rPr>
              <w:t>》</w:t>
            </w:r>
            <w:r>
              <w:rPr>
                <w:rFonts w:hint="default" w:ascii="Times New Roman" w:hAnsi="Times New Roman" w:cs="Times New Roman"/>
                <w:color w:val="auto"/>
                <w:sz w:val="24"/>
                <w:szCs w:val="24"/>
              </w:rPr>
              <w:t>，</w:t>
            </w:r>
            <w:r>
              <w:rPr>
                <w:rFonts w:hint="eastAsia" w:cs="Times New Roman"/>
                <w:color w:val="auto"/>
                <w:sz w:val="24"/>
                <w:szCs w:val="24"/>
                <w:lang w:val="en-US" w:eastAsia="zh-CN"/>
              </w:rPr>
              <w:t>2025</w:t>
            </w:r>
            <w:r>
              <w:rPr>
                <w:rFonts w:hint="default" w:ascii="Times New Roman" w:hAnsi="Times New Roman" w:cs="Times New Roman"/>
                <w:color w:val="auto"/>
                <w:sz w:val="24"/>
                <w:szCs w:val="24"/>
              </w:rPr>
              <w:t>年，巴河总体水质为优，10个国省控断面和2个入境断面均达到或优于Ⅲ类水质。6个国控断面Ⅰ-Ⅱ类水质占比100%，4个省控断面Ⅰ-Ⅱ类水质占比75%，仅徐家河断面水质为Ⅲ类。与上年相比，巴河总体水质不变，保持为优，Ⅰ-Ⅲ类水质占比100%，各断面水质类别均无明</w:t>
            </w:r>
            <w:r>
              <w:rPr>
                <w:rFonts w:hint="default" w:ascii="Times New Roman" w:hAnsi="Times New Roman" w:cs="Times New Roman"/>
                <w:color w:val="000000" w:themeColor="text1"/>
                <w:sz w:val="24"/>
                <w:szCs w:val="24"/>
                <w14:textFill>
                  <w14:solidFill>
                    <w14:schemeClr w14:val="tx1"/>
                  </w14:solidFill>
                </w14:textFill>
              </w:rPr>
              <w:t>显变化。</w:t>
            </w:r>
            <w:r>
              <w:rPr>
                <w:rFonts w:hint="eastAsia" w:cs="Times New Roman"/>
                <w:color w:val="000000" w:themeColor="text1"/>
                <w:sz w:val="24"/>
                <w:szCs w:val="24"/>
                <w:lang w:val="en-US" w:eastAsia="zh-CN"/>
                <w14:textFill>
                  <w14:solidFill>
                    <w14:schemeClr w14:val="tx1"/>
                  </w14:solidFill>
                </w14:textFill>
              </w:rPr>
              <w:t>徐家河断面频次达标率下降8.3个百分点</w:t>
            </w:r>
            <w:r>
              <w:rPr>
                <w:rFonts w:hint="default" w:ascii="Times New Roman" w:hAnsi="Times New Roman" w:cs="Times New Roman"/>
                <w:color w:val="000000" w:themeColor="text1"/>
                <w:sz w:val="24"/>
                <w:szCs w:val="24"/>
                <w14:textFill>
                  <w14:solidFill>
                    <w14:schemeClr w14:val="tx1"/>
                  </w14:solidFill>
                </w14:textFill>
              </w:rPr>
              <w:t>。</w:t>
            </w:r>
          </w:p>
          <w:p w14:paraId="6DFA7E9D">
            <w:pPr>
              <w:pStyle w:val="66"/>
              <w:spacing w:line="360" w:lineRule="auto"/>
              <w:rPr>
                <w:color w:val="000000" w:themeColor="text1"/>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综上，本项目所在区域地表水水环境质量良好</w:t>
            </w:r>
            <w:r>
              <w:rPr>
                <w:color w:val="000000" w:themeColor="text1"/>
                <w14:textFill>
                  <w14:solidFill>
                    <w14:schemeClr w14:val="tx1"/>
                  </w14:solidFill>
                </w14:textFill>
              </w:rPr>
              <w:t>。</w:t>
            </w:r>
          </w:p>
          <w:p w14:paraId="4DF105AA">
            <w:pPr>
              <w:spacing w:line="360" w:lineRule="auto"/>
              <w:ind w:firstLine="482" w:firstLineChars="200"/>
              <w:rPr>
                <w:rFonts w:hint="default" w:ascii="Times New Roman" w:hAnsi="Times New Roman" w:eastAsia="宋体" w:cs="Times New Roman"/>
                <w:b/>
                <w:color w:val="000000" w:themeColor="text1"/>
                <w:sz w:val="24"/>
                <w:szCs w:val="24"/>
                <w:highlight w:val="none"/>
                <w14:textFill>
                  <w14:solidFill>
                    <w14:schemeClr w14:val="tx1"/>
                  </w14:solidFill>
                </w14:textFill>
              </w:rPr>
            </w:pPr>
            <w:r>
              <w:rPr>
                <w:rFonts w:hint="default" w:ascii="Times New Roman" w:hAnsi="Times New Roman" w:eastAsia="宋体" w:cs="Times New Roman"/>
                <w:b/>
                <w:color w:val="000000" w:themeColor="text1"/>
                <w:sz w:val="24"/>
                <w:szCs w:val="24"/>
                <w:highlight w:val="none"/>
                <w14:textFill>
                  <w14:solidFill>
                    <w14:schemeClr w14:val="tx1"/>
                  </w14:solidFill>
                </w14:textFill>
              </w:rPr>
              <w:t>3、声环境质量现状</w:t>
            </w:r>
          </w:p>
          <w:p w14:paraId="24078A42">
            <w:pPr>
              <w:pStyle w:val="66"/>
              <w:spacing w:line="360" w:lineRule="auto"/>
              <w:rPr>
                <w:color w:val="000000" w:themeColor="text1"/>
                <w14:textFill>
                  <w14:solidFill>
                    <w14:schemeClr w14:val="tx1"/>
                  </w14:solidFill>
                </w14:textFill>
              </w:rPr>
            </w:pPr>
            <w:r>
              <w:rPr>
                <w:rFonts w:hint="eastAsia" w:ascii="Times New Roman" w:hAnsi="Times New Roman"/>
                <w:snapToGrid w:val="0"/>
                <w:color w:val="000000" w:themeColor="text1"/>
                <w:sz w:val="24"/>
                <w:highlight w:val="none"/>
                <w:lang w:val="en-US" w:eastAsia="zh-CN"/>
                <w14:textFill>
                  <w14:solidFill>
                    <w14:schemeClr w14:val="tx1"/>
                  </w14:solidFill>
                </w14:textFill>
              </w:rPr>
              <w:t>根据现场踏勘，本项目厂界外北侧</w:t>
            </w:r>
            <w:r>
              <w:rPr>
                <w:rFonts w:hint="eastAsia"/>
                <w:color w:val="000000" w:themeColor="text1"/>
                <w:sz w:val="24"/>
                <w:szCs w:val="24"/>
                <w:highlight w:val="none"/>
                <w:lang w:val="en-US" w:eastAsia="zh-CN"/>
                <w14:textFill>
                  <w14:solidFill>
                    <w14:schemeClr w14:val="tx1"/>
                  </w14:solidFill>
                </w14:textFill>
              </w:rPr>
              <w:t>51</w:t>
            </w:r>
            <w:r>
              <w:rPr>
                <w:rFonts w:hint="eastAsia" w:ascii="Times New Roman" w:hAnsi="Times New Roman"/>
                <w:snapToGrid w:val="0"/>
                <w:color w:val="000000" w:themeColor="text1"/>
                <w:sz w:val="24"/>
                <w:highlight w:val="none"/>
                <w:lang w:val="en-US" w:eastAsia="zh-CN"/>
                <w14:textFill>
                  <w14:solidFill>
                    <w14:schemeClr w14:val="tx1"/>
                  </w14:solidFill>
                </w14:textFill>
              </w:rPr>
              <w:t>米处为</w:t>
            </w:r>
            <w:r>
              <w:rPr>
                <w:rFonts w:hint="eastAsia" w:ascii="Times New Roman" w:hAnsi="Times New Roman"/>
                <w:color w:val="000000" w:themeColor="text1"/>
                <w:sz w:val="24"/>
                <w:highlight w:val="none"/>
                <w:lang w:val="en-US" w:eastAsia="zh-CN"/>
                <w14:textFill>
                  <w14:solidFill>
                    <w14:schemeClr w14:val="tx1"/>
                  </w14:solidFill>
                </w14:textFill>
              </w:rPr>
              <w:t>公租房，故本项目进行了声环境质量现状监测</w:t>
            </w:r>
            <w:r>
              <w:rPr>
                <w:color w:val="000000" w:themeColor="text1"/>
                <w14:textFill>
                  <w14:solidFill>
                    <w14:schemeClr w14:val="tx1"/>
                  </w14:solidFill>
                </w14:textFill>
              </w:rPr>
              <w:t>。</w:t>
            </w:r>
          </w:p>
          <w:p w14:paraId="6D6B8D73">
            <w:pPr>
              <w:pStyle w:val="66"/>
              <w:spacing w:line="360" w:lineRule="auto"/>
              <w:rPr>
                <w:rFonts w:hint="eastAsia"/>
                <w:color w:val="000000" w:themeColor="text1"/>
                <w:lang w:val="en-US" w:eastAsia="zh-CN"/>
                <w14:textFill>
                  <w14:solidFill>
                    <w14:schemeClr w14:val="tx1"/>
                  </w14:solidFill>
                </w14:textFill>
              </w:rPr>
            </w:pP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1</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监测点位</w:t>
            </w:r>
          </w:p>
          <w:p w14:paraId="0604A588">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eastAsia="宋体" w:cs="Times New Roman"/>
                <w:b/>
                <w:bCs/>
                <w:color w:val="000000" w:themeColor="text1"/>
                <w:kern w:val="0"/>
                <w:sz w:val="21"/>
                <w:szCs w:val="21"/>
                <w:highlight w:val="none"/>
                <w14:textFill>
                  <w14:solidFill>
                    <w14:schemeClr w14:val="tx1"/>
                  </w14:solidFill>
                </w14:textFill>
              </w:rPr>
            </w:pPr>
            <w:r>
              <w:rPr>
                <w:rFonts w:ascii="Times New Roman" w:hAnsi="Times New Roman" w:eastAsia="宋体" w:cs="Times New Roman"/>
                <w:b/>
                <w:bCs/>
                <w:color w:val="000000" w:themeColor="text1"/>
                <w:kern w:val="0"/>
                <w:sz w:val="21"/>
                <w:szCs w:val="21"/>
                <w:highlight w:val="none"/>
                <w14:textFill>
                  <w14:solidFill>
                    <w14:schemeClr w14:val="tx1"/>
                  </w14:solidFill>
                </w14:textFill>
              </w:rPr>
              <w:t>表3-</w:t>
            </w:r>
            <w:r>
              <w:rPr>
                <w:rFonts w:hint="eastAsia"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t>3</w:t>
            </w:r>
            <w:r>
              <w:rPr>
                <w:rFonts w:ascii="Times New Roman" w:hAnsi="Times New Roman" w:eastAsia="宋体" w:cs="Times New Roman"/>
                <w:b/>
                <w:bCs/>
                <w:color w:val="000000" w:themeColor="text1"/>
                <w:kern w:val="0"/>
                <w:sz w:val="21"/>
                <w:szCs w:val="21"/>
                <w:highlight w:val="none"/>
                <w14:textFill>
                  <w14:solidFill>
                    <w14:schemeClr w14:val="tx1"/>
                  </w14:solidFill>
                </w14:textFill>
              </w:rPr>
              <w:t xml:space="preserve"> 声环境质量现状监</w:t>
            </w:r>
            <w:r>
              <w:rPr>
                <w:rFonts w:hint="eastAsia" w:ascii="Times New Roman" w:hAnsi="Times New Roman" w:eastAsia="宋体" w:cs="Times New Roman"/>
                <w:b/>
                <w:bCs/>
                <w:color w:val="000000" w:themeColor="text1"/>
                <w:kern w:val="0"/>
                <w:sz w:val="21"/>
                <w:szCs w:val="21"/>
                <w:highlight w:val="none"/>
                <w14:textFill>
                  <w14:solidFill>
                    <w14:schemeClr w14:val="tx1"/>
                  </w14:solidFill>
                </w14:textFill>
              </w:rPr>
              <w:t>测点位设置表</w:t>
            </w:r>
          </w:p>
          <w:tbl>
            <w:tblPr>
              <w:tblStyle w:val="41"/>
              <w:tblW w:w="5000" w:type="pct"/>
              <w:tblInd w:w="5" w:type="dxa"/>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619"/>
              <w:gridCol w:w="3714"/>
              <w:gridCol w:w="2942"/>
            </w:tblGrid>
            <w:tr w14:paraId="2AAD0A07">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trPr>
              <w:tc>
                <w:tcPr>
                  <w:tcW w:w="977" w:type="pct"/>
                  <w:shd w:val="clear" w:color="auto" w:fill="auto"/>
                  <w:noWrap w:val="0"/>
                  <w:vAlign w:val="center"/>
                </w:tcPr>
                <w:p w14:paraId="49AB797B">
                  <w:pPr>
                    <w:widowControl/>
                    <w:spacing w:line="280" w:lineRule="exact"/>
                    <w:jc w:val="center"/>
                    <w:rPr>
                      <w:b/>
                      <w:bCs/>
                      <w:color w:val="000000" w:themeColor="text1"/>
                      <w:kern w:val="0"/>
                      <w:szCs w:val="21"/>
                      <w:highlight w:val="none"/>
                      <w14:textFill>
                        <w14:solidFill>
                          <w14:schemeClr w14:val="tx1"/>
                        </w14:solidFill>
                      </w14:textFill>
                    </w:rPr>
                  </w:pPr>
                  <w:bookmarkStart w:id="14" w:name="_Toc240342503"/>
                  <w:bookmarkStart w:id="15" w:name="_Toc247301339"/>
                  <w:bookmarkStart w:id="16" w:name="_Toc235327115"/>
                  <w:bookmarkStart w:id="17" w:name="_Toc234318276"/>
                  <w:r>
                    <w:rPr>
                      <w:b/>
                      <w:bCs/>
                      <w:color w:val="000000" w:themeColor="text1"/>
                      <w:kern w:val="0"/>
                      <w:szCs w:val="21"/>
                      <w:highlight w:val="none"/>
                      <w14:textFill>
                        <w14:solidFill>
                          <w14:schemeClr w14:val="tx1"/>
                        </w14:solidFill>
                      </w14:textFill>
                    </w:rPr>
                    <w:t>序号</w:t>
                  </w:r>
                </w:p>
              </w:tc>
              <w:tc>
                <w:tcPr>
                  <w:tcW w:w="2244" w:type="pct"/>
                  <w:tcBorders>
                    <w:right w:val="single" w:color="auto" w:sz="4" w:space="0"/>
                  </w:tcBorders>
                  <w:shd w:val="clear" w:color="auto" w:fill="auto"/>
                  <w:noWrap w:val="0"/>
                  <w:vAlign w:val="center"/>
                </w:tcPr>
                <w:p w14:paraId="2E02E2D7">
                  <w:pPr>
                    <w:widowControl/>
                    <w:spacing w:line="280" w:lineRule="exact"/>
                    <w:jc w:val="center"/>
                    <w:rPr>
                      <w:b/>
                      <w:bCs/>
                      <w:color w:val="000000" w:themeColor="text1"/>
                      <w:kern w:val="0"/>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监测点位</w:t>
                  </w:r>
                </w:p>
              </w:tc>
              <w:tc>
                <w:tcPr>
                  <w:tcW w:w="1777" w:type="pct"/>
                  <w:tcBorders>
                    <w:left w:val="single" w:color="auto" w:sz="4" w:space="0"/>
                  </w:tcBorders>
                  <w:shd w:val="clear" w:color="auto" w:fill="auto"/>
                  <w:noWrap w:val="0"/>
                  <w:vAlign w:val="center"/>
                </w:tcPr>
                <w:p w14:paraId="51C46FF5">
                  <w:pPr>
                    <w:spacing w:line="280" w:lineRule="exact"/>
                    <w:jc w:val="center"/>
                    <w:rPr>
                      <w:b/>
                      <w:bCs/>
                      <w:color w:val="000000" w:themeColor="text1"/>
                      <w:kern w:val="0"/>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备注</w:t>
                  </w:r>
                </w:p>
              </w:tc>
            </w:tr>
            <w:tr w14:paraId="713D712D">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977" w:type="pct"/>
                  <w:noWrap w:val="0"/>
                  <w:vAlign w:val="center"/>
                </w:tcPr>
                <w:p w14:paraId="39E6C68E">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2244" w:type="pct"/>
                  <w:tcBorders>
                    <w:right w:val="single" w:color="auto" w:sz="4" w:space="0"/>
                  </w:tcBorders>
                  <w:noWrap w:val="0"/>
                  <w:vAlign w:val="center"/>
                </w:tcPr>
                <w:p w14:paraId="0727CDCF">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N1 东面厂界外1m高1.5m处</w:t>
                  </w:r>
                </w:p>
              </w:tc>
              <w:tc>
                <w:tcPr>
                  <w:tcW w:w="1777" w:type="pct"/>
                  <w:tcBorders>
                    <w:left w:val="single" w:color="auto" w:sz="4" w:space="0"/>
                  </w:tcBorders>
                  <w:noWrap w:val="0"/>
                  <w:vAlign w:val="center"/>
                </w:tcPr>
                <w:p w14:paraId="2AF0F45E">
                  <w:pPr>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声环境噪声</w:t>
                  </w:r>
                </w:p>
              </w:tc>
            </w:tr>
            <w:tr w14:paraId="2B5CD414">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977" w:type="pct"/>
                  <w:noWrap w:val="0"/>
                  <w:vAlign w:val="center"/>
                </w:tcPr>
                <w:p w14:paraId="722900B6">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p>
              </w:tc>
              <w:tc>
                <w:tcPr>
                  <w:tcW w:w="2244" w:type="pct"/>
                  <w:tcBorders>
                    <w:right w:val="single" w:color="auto" w:sz="4" w:space="0"/>
                  </w:tcBorders>
                  <w:noWrap w:val="0"/>
                  <w:vAlign w:val="center"/>
                </w:tcPr>
                <w:p w14:paraId="756D8C72">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N2</w:t>
                  </w:r>
                  <w:r>
                    <w:rPr>
                      <w:rFonts w:hint="eastAsia" w:ascii="Times New Roman" w:hAnsi="Times New Roman" w:eastAsia="宋体"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highlight w:val="none"/>
                      <w:lang w:val="en-US" w:eastAsia="zh-CN"/>
                      <w14:textFill>
                        <w14:solidFill>
                          <w14:schemeClr w14:val="tx1"/>
                        </w14:solidFill>
                      </w14:textFill>
                    </w:rPr>
                    <w:t>南面厂界外1m高1.5m处</w:t>
                  </w:r>
                </w:p>
              </w:tc>
              <w:tc>
                <w:tcPr>
                  <w:tcW w:w="1777" w:type="pct"/>
                  <w:tcBorders>
                    <w:left w:val="single" w:color="auto" w:sz="4" w:space="0"/>
                  </w:tcBorders>
                  <w:noWrap w:val="0"/>
                  <w:vAlign w:val="center"/>
                </w:tcPr>
                <w:p w14:paraId="64648ABB">
                  <w:pPr>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声环境噪声</w:t>
                  </w:r>
                </w:p>
              </w:tc>
            </w:tr>
            <w:tr w14:paraId="11E903C1">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977" w:type="pct"/>
                  <w:noWrap w:val="0"/>
                  <w:vAlign w:val="center"/>
                </w:tcPr>
                <w:p w14:paraId="4B120848">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w:t>
                  </w:r>
                </w:p>
              </w:tc>
              <w:tc>
                <w:tcPr>
                  <w:tcW w:w="2244" w:type="pct"/>
                  <w:tcBorders>
                    <w:right w:val="single" w:color="auto" w:sz="4" w:space="0"/>
                  </w:tcBorders>
                  <w:noWrap w:val="0"/>
                  <w:vAlign w:val="center"/>
                </w:tcPr>
                <w:p w14:paraId="69C7001A">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N3</w:t>
                  </w:r>
                  <w:r>
                    <w:rPr>
                      <w:rFonts w:hint="eastAsia" w:ascii="Times New Roman" w:hAnsi="Times New Roman" w:eastAsia="宋体"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highlight w:val="none"/>
                      <w:lang w:val="en-US" w:eastAsia="zh-CN"/>
                      <w14:textFill>
                        <w14:solidFill>
                          <w14:schemeClr w14:val="tx1"/>
                        </w14:solidFill>
                      </w14:textFill>
                    </w:rPr>
                    <w:t>西面厂界外1lm高1.5m处</w:t>
                  </w:r>
                </w:p>
              </w:tc>
              <w:tc>
                <w:tcPr>
                  <w:tcW w:w="1777" w:type="pct"/>
                  <w:tcBorders>
                    <w:left w:val="single" w:color="auto" w:sz="4" w:space="0"/>
                  </w:tcBorders>
                  <w:noWrap w:val="0"/>
                  <w:vAlign w:val="center"/>
                </w:tcPr>
                <w:p w14:paraId="555196E3">
                  <w:pPr>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声环境噪声</w:t>
                  </w:r>
                </w:p>
              </w:tc>
            </w:tr>
            <w:tr w14:paraId="20C6027D">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977" w:type="pct"/>
                  <w:noWrap w:val="0"/>
                  <w:vAlign w:val="center"/>
                </w:tcPr>
                <w:p w14:paraId="6E2CDBB4">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w:t>
                  </w:r>
                </w:p>
              </w:tc>
              <w:tc>
                <w:tcPr>
                  <w:tcW w:w="2244" w:type="pct"/>
                  <w:tcBorders>
                    <w:right w:val="single" w:color="auto" w:sz="4" w:space="0"/>
                  </w:tcBorders>
                  <w:noWrap w:val="0"/>
                  <w:vAlign w:val="center"/>
                </w:tcPr>
                <w:p w14:paraId="1DC745A2">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N4</w:t>
                  </w:r>
                  <w:r>
                    <w:rPr>
                      <w:rFonts w:hint="eastAsia" w:ascii="Times New Roman" w:hAnsi="Times New Roman" w:eastAsia="宋体"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highlight w:val="none"/>
                      <w:lang w:val="en-US" w:eastAsia="zh-CN"/>
                      <w14:textFill>
                        <w14:solidFill>
                          <w14:schemeClr w14:val="tx1"/>
                        </w14:solidFill>
                      </w14:textFill>
                    </w:rPr>
                    <w:t>北面厂界外1m高1.5m处</w:t>
                  </w:r>
                </w:p>
              </w:tc>
              <w:tc>
                <w:tcPr>
                  <w:tcW w:w="1777" w:type="pct"/>
                  <w:tcBorders>
                    <w:left w:val="single" w:color="auto" w:sz="4" w:space="0"/>
                  </w:tcBorders>
                  <w:noWrap w:val="0"/>
                  <w:vAlign w:val="center"/>
                </w:tcPr>
                <w:p w14:paraId="6F0A9EC4">
                  <w:pPr>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声环境噪声</w:t>
                  </w:r>
                </w:p>
              </w:tc>
            </w:tr>
            <w:tr w14:paraId="7B9E91C2">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977" w:type="pct"/>
                  <w:noWrap w:val="0"/>
                  <w:vAlign w:val="center"/>
                </w:tcPr>
                <w:p w14:paraId="3F634712">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5</w:t>
                  </w:r>
                </w:p>
              </w:tc>
              <w:tc>
                <w:tcPr>
                  <w:tcW w:w="2244" w:type="pct"/>
                  <w:tcBorders>
                    <w:right w:val="single" w:color="auto" w:sz="4" w:space="0"/>
                  </w:tcBorders>
                  <w:noWrap w:val="0"/>
                  <w:vAlign w:val="center"/>
                </w:tcPr>
                <w:p w14:paraId="14EC3F4A">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N5</w:t>
                  </w:r>
                  <w:r>
                    <w:rPr>
                      <w:rFonts w:hint="eastAsia" w:ascii="Times New Roman" w:hAnsi="Times New Roman" w:eastAsia="宋体"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highlight w:val="none"/>
                      <w:lang w:val="en-US" w:eastAsia="zh-CN"/>
                      <w14:textFill>
                        <w14:solidFill>
                          <w14:schemeClr w14:val="tx1"/>
                        </w14:solidFill>
                      </w14:textFill>
                    </w:rPr>
                    <w:t>敏感点1F</w:t>
                  </w:r>
                </w:p>
              </w:tc>
              <w:tc>
                <w:tcPr>
                  <w:tcW w:w="1777" w:type="pct"/>
                  <w:tcBorders>
                    <w:left w:val="single" w:color="auto" w:sz="4" w:space="0"/>
                  </w:tcBorders>
                  <w:noWrap w:val="0"/>
                  <w:vAlign w:val="center"/>
                </w:tcPr>
                <w:p w14:paraId="3A11555B">
                  <w:pPr>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声环境噪声</w:t>
                  </w:r>
                </w:p>
              </w:tc>
            </w:tr>
            <w:tr w14:paraId="336E45F1">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977" w:type="pct"/>
                  <w:noWrap w:val="0"/>
                  <w:vAlign w:val="center"/>
                </w:tcPr>
                <w:p w14:paraId="11B28DA6">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6</w:t>
                  </w:r>
                </w:p>
              </w:tc>
              <w:tc>
                <w:tcPr>
                  <w:tcW w:w="2244" w:type="pct"/>
                  <w:tcBorders>
                    <w:right w:val="single" w:color="auto" w:sz="4" w:space="0"/>
                  </w:tcBorders>
                  <w:noWrap w:val="0"/>
                  <w:vAlign w:val="center"/>
                </w:tcPr>
                <w:p w14:paraId="4FAB71B6">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N6 敏感点3F</w:t>
                  </w:r>
                </w:p>
              </w:tc>
              <w:tc>
                <w:tcPr>
                  <w:tcW w:w="1777" w:type="pct"/>
                  <w:tcBorders>
                    <w:left w:val="single" w:color="auto" w:sz="4" w:space="0"/>
                  </w:tcBorders>
                  <w:noWrap w:val="0"/>
                  <w:vAlign w:val="center"/>
                </w:tcPr>
                <w:p w14:paraId="58D5CE91">
                  <w:pPr>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声环境噪声</w:t>
                  </w:r>
                </w:p>
              </w:tc>
            </w:tr>
            <w:tr w14:paraId="149CE0F2">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977" w:type="pct"/>
                  <w:noWrap w:val="0"/>
                  <w:vAlign w:val="center"/>
                </w:tcPr>
                <w:p w14:paraId="7EF49A47">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7</w:t>
                  </w:r>
                </w:p>
              </w:tc>
              <w:tc>
                <w:tcPr>
                  <w:tcW w:w="2244" w:type="pct"/>
                  <w:tcBorders>
                    <w:right w:val="single" w:color="auto" w:sz="4" w:space="0"/>
                  </w:tcBorders>
                  <w:noWrap w:val="0"/>
                  <w:vAlign w:val="center"/>
                </w:tcPr>
                <w:p w14:paraId="4162C64F">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N7</w:t>
                  </w:r>
                  <w:r>
                    <w:rPr>
                      <w:rFonts w:hint="eastAsia" w:ascii="Times New Roman" w:hAnsi="Times New Roman" w:eastAsia="宋体"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highlight w:val="none"/>
                      <w:lang w:val="en-US" w:eastAsia="zh-CN"/>
                      <w14:textFill>
                        <w14:solidFill>
                          <w14:schemeClr w14:val="tx1"/>
                        </w14:solidFill>
                      </w14:textFill>
                    </w:rPr>
                    <w:t>敏感点5F</w:t>
                  </w:r>
                </w:p>
              </w:tc>
              <w:tc>
                <w:tcPr>
                  <w:tcW w:w="1777" w:type="pct"/>
                  <w:tcBorders>
                    <w:left w:val="single" w:color="auto" w:sz="4" w:space="0"/>
                  </w:tcBorders>
                  <w:noWrap w:val="0"/>
                  <w:vAlign w:val="center"/>
                </w:tcPr>
                <w:p w14:paraId="29C4058B">
                  <w:pPr>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声环境噪声</w:t>
                  </w:r>
                </w:p>
              </w:tc>
            </w:tr>
            <w:bookmarkEnd w:id="14"/>
            <w:bookmarkEnd w:id="15"/>
            <w:bookmarkEnd w:id="16"/>
            <w:bookmarkEnd w:id="17"/>
          </w:tbl>
          <w:p w14:paraId="198D52B4">
            <w:pPr>
              <w:spacing w:line="360" w:lineRule="auto"/>
              <w:ind w:left="482"/>
              <w:rPr>
                <w:rFonts w:ascii="Calibri" w:hAnsi="Calibri"/>
                <w:b/>
                <w:color w:val="000000" w:themeColor="text1"/>
                <w:sz w:val="24"/>
                <w:highlight w:val="none"/>
                <w14:textFill>
                  <w14:solidFill>
                    <w14:schemeClr w14:val="tx1"/>
                  </w14:solidFill>
                </w14:textFill>
              </w:rPr>
            </w:pPr>
            <w:r>
              <w:rPr>
                <w:rFonts w:hint="eastAsia" w:ascii="Calibri" w:hAnsi="Calibri"/>
                <w:b/>
                <w:color w:val="000000" w:themeColor="text1"/>
                <w:sz w:val="24"/>
                <w:highlight w:val="none"/>
                <w14:textFill>
                  <w14:solidFill>
                    <w14:schemeClr w14:val="tx1"/>
                  </w14:solidFill>
                </w14:textFill>
              </w:rPr>
              <w:t>（2）监测因子</w:t>
            </w:r>
          </w:p>
          <w:p w14:paraId="1A8161BC">
            <w:pPr>
              <w:pStyle w:val="66"/>
              <w:spacing w:line="360" w:lineRule="auto"/>
              <w:rPr>
                <w:color w:val="000000" w:themeColor="text1"/>
                <w:sz w:val="24"/>
                <w:highlight w:val="none"/>
                <w14:textFill>
                  <w14:solidFill>
                    <w14:schemeClr w14:val="tx1"/>
                  </w14:solidFill>
                </w14:textFill>
              </w:rPr>
            </w:pPr>
            <w:r>
              <w:rPr>
                <w:rFonts w:hint="eastAsia" w:ascii="Calibri" w:hAnsi="宋体"/>
                <w:color w:val="000000" w:themeColor="text1"/>
                <w:sz w:val="24"/>
                <w:highlight w:val="none"/>
                <w14:textFill>
                  <w14:solidFill>
                    <w14:schemeClr w14:val="tx1"/>
                  </w14:solidFill>
                </w14:textFill>
              </w:rPr>
              <w:t>等</w:t>
            </w:r>
            <w:r>
              <w:rPr>
                <w:color w:val="000000" w:themeColor="text1"/>
                <w:sz w:val="24"/>
                <w:highlight w:val="none"/>
                <w14:textFill>
                  <w14:solidFill>
                    <w14:schemeClr w14:val="tx1"/>
                  </w14:solidFill>
                </w14:textFill>
              </w:rPr>
              <w:t>效连续A声级Leq(A)。</w:t>
            </w:r>
          </w:p>
          <w:p w14:paraId="72EEAF0D">
            <w:pPr>
              <w:spacing w:line="360" w:lineRule="auto"/>
              <w:ind w:left="479" w:leftChars="228"/>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（3）监测方法</w:t>
            </w:r>
          </w:p>
          <w:p w14:paraId="7CF8065A">
            <w:pPr>
              <w:spacing w:line="360" w:lineRule="auto"/>
              <w:ind w:firstLine="480" w:firstLineChars="200"/>
              <w:rPr>
                <w:rFonts w:ascii="Calibri" w:hAnsi="宋体"/>
                <w:color w:val="000000" w:themeColor="text1"/>
                <w:sz w:val="24"/>
                <w:highlight w:val="none"/>
                <w14:textFill>
                  <w14:solidFill>
                    <w14:schemeClr w14:val="tx1"/>
                  </w14:solidFill>
                </w14:textFill>
              </w:rPr>
            </w:pPr>
            <w:r>
              <w:rPr>
                <w:rFonts w:ascii="Calibri" w:hAnsi="宋体"/>
                <w:color w:val="000000" w:themeColor="text1"/>
                <w:sz w:val="24"/>
                <w:highlight w:val="none"/>
                <w14:textFill>
                  <w14:solidFill>
                    <w14:schemeClr w14:val="tx1"/>
                  </w14:solidFill>
                </w14:textFill>
              </w:rPr>
              <w:t>按《环境监测技术规范》有关规定进行。</w:t>
            </w:r>
          </w:p>
          <w:p w14:paraId="2C3AC4E3">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eastAsia="宋体" w:cs="Times New Roman"/>
                <w:b/>
                <w:bCs/>
                <w:color w:val="000000" w:themeColor="text1"/>
                <w:kern w:val="0"/>
                <w:sz w:val="21"/>
                <w:szCs w:val="21"/>
                <w:highlight w:val="none"/>
                <w14:textFill>
                  <w14:solidFill>
                    <w14:schemeClr w14:val="tx1"/>
                  </w14:solidFill>
                </w14:textFill>
              </w:rPr>
            </w:pPr>
            <w:r>
              <w:rPr>
                <w:rFonts w:ascii="Times New Roman" w:hAnsi="Times New Roman" w:eastAsia="宋体" w:cs="Times New Roman"/>
                <w:b/>
                <w:bCs/>
                <w:color w:val="000000" w:themeColor="text1"/>
                <w:kern w:val="0"/>
                <w:sz w:val="21"/>
                <w:szCs w:val="21"/>
                <w:highlight w:val="none"/>
                <w14:textFill>
                  <w14:solidFill>
                    <w14:schemeClr w14:val="tx1"/>
                  </w14:solidFill>
                </w14:textFill>
              </w:rPr>
              <w:t>表3-</w:t>
            </w:r>
            <w:r>
              <w:rPr>
                <w:rFonts w:hint="eastAsia"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t>4</w:t>
            </w:r>
            <w:r>
              <w:rPr>
                <w:rFonts w:ascii="Times New Roman" w:hAnsi="Times New Roman" w:eastAsia="宋体" w:cs="Times New Roman"/>
                <w:b/>
                <w:bCs/>
                <w:color w:val="000000" w:themeColor="text1"/>
                <w:kern w:val="0"/>
                <w:sz w:val="21"/>
                <w:szCs w:val="21"/>
                <w:highlight w:val="none"/>
                <w14:textFill>
                  <w14:solidFill>
                    <w14:schemeClr w14:val="tx1"/>
                  </w14:solidFill>
                </w14:textFill>
              </w:rPr>
              <w:t xml:space="preserve"> 噪声监测方法、方法来源、使用仪器</w:t>
            </w:r>
          </w:p>
          <w:tbl>
            <w:tblPr>
              <w:tblStyle w:val="41"/>
              <w:tblW w:w="8163"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71"/>
              <w:gridCol w:w="2580"/>
              <w:gridCol w:w="1740"/>
              <w:gridCol w:w="2672"/>
            </w:tblGrid>
            <w:tr w14:paraId="18E3DEE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1171" w:type="dxa"/>
                  <w:shd w:val="clear" w:color="auto" w:fill="auto"/>
                  <w:noWrap w:val="0"/>
                  <w:vAlign w:val="center"/>
                </w:tcPr>
                <w:p w14:paraId="3A50D188">
                  <w:pPr>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监测项目</w:t>
                  </w:r>
                </w:p>
              </w:tc>
              <w:tc>
                <w:tcPr>
                  <w:tcW w:w="2580" w:type="dxa"/>
                  <w:shd w:val="clear" w:color="auto" w:fill="auto"/>
                  <w:noWrap w:val="0"/>
                  <w:vAlign w:val="center"/>
                </w:tcPr>
                <w:p w14:paraId="74457771">
                  <w:pPr>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监测方法</w:t>
                  </w:r>
                </w:p>
              </w:tc>
              <w:tc>
                <w:tcPr>
                  <w:tcW w:w="1740" w:type="dxa"/>
                  <w:shd w:val="clear" w:color="auto" w:fill="auto"/>
                  <w:noWrap w:val="0"/>
                  <w:vAlign w:val="center"/>
                </w:tcPr>
                <w:p w14:paraId="6E85181C">
                  <w:pPr>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方法来源</w:t>
                  </w:r>
                </w:p>
              </w:tc>
              <w:tc>
                <w:tcPr>
                  <w:tcW w:w="2672" w:type="dxa"/>
                  <w:shd w:val="clear" w:color="auto" w:fill="auto"/>
                  <w:noWrap w:val="0"/>
                  <w:vAlign w:val="center"/>
                </w:tcPr>
                <w:p w14:paraId="0BF6705F">
                  <w:pPr>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使用仪器</w:t>
                  </w:r>
                </w:p>
              </w:tc>
            </w:tr>
            <w:tr w14:paraId="0BDF6B0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1171" w:type="dxa"/>
                  <w:noWrap w:val="0"/>
                  <w:vAlign w:val="center"/>
                </w:tcPr>
                <w:p w14:paraId="282F4FBE">
                  <w:pPr>
                    <w:overflowPunct w:val="0"/>
                    <w:adjustRightInd w:val="0"/>
                    <w:snapToGrid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声环境噪声</w:t>
                  </w:r>
                </w:p>
              </w:tc>
              <w:tc>
                <w:tcPr>
                  <w:tcW w:w="2580" w:type="dxa"/>
                  <w:noWrap w:val="0"/>
                  <w:vAlign w:val="center"/>
                </w:tcPr>
                <w:p w14:paraId="3A1286B7">
                  <w:pPr>
                    <w:overflowPunct w:val="0"/>
                    <w:adjustRightInd w:val="0"/>
                    <w:snapToGrid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声环境质量标准</w:t>
                  </w:r>
                </w:p>
                <w:p w14:paraId="17EF8110">
                  <w:pPr>
                    <w:overflowPunct w:val="0"/>
                    <w:adjustRightInd w:val="0"/>
                    <w:snapToGrid w:val="0"/>
                    <w:jc w:val="center"/>
                    <w:rPr>
                      <w:rFonts w:hint="default"/>
                      <w:color w:val="000000" w:themeColor="text1"/>
                      <w:highlight w:val="none"/>
                      <w:lang w:val="en-US" w:eastAsia="zh-CN"/>
                      <w14:textFill>
                        <w14:solidFill>
                          <w14:schemeClr w14:val="tx1"/>
                        </w14:solidFill>
                      </w14:textFill>
                    </w:rPr>
                  </w:pPr>
                  <w:r>
                    <w:rPr>
                      <w:rFonts w:hint="eastAsia" w:ascii="宋体" w:hAnsi="宋体" w:eastAsia="宋体"/>
                      <w:color w:val="000000" w:themeColor="text1"/>
                      <w:sz w:val="21"/>
                      <w:szCs w:val="24"/>
                      <w14:textFill>
                        <w14:solidFill>
                          <w14:schemeClr w14:val="tx1"/>
                        </w14:solidFill>
                      </w14:textFill>
                    </w:rPr>
                    <w:t>环境噪声监测技术规范噪声测量值修正</w:t>
                  </w:r>
                </w:p>
              </w:tc>
              <w:tc>
                <w:tcPr>
                  <w:tcW w:w="1740" w:type="dxa"/>
                  <w:noWrap w:val="0"/>
                  <w:vAlign w:val="center"/>
                </w:tcPr>
                <w:p w14:paraId="0DEB7CB6">
                  <w:pPr>
                    <w:overflowPunct w:val="0"/>
                    <w:adjustRightInd w:val="0"/>
                    <w:snapToGrid w:val="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GB 3096-2008</w:t>
                  </w:r>
                </w:p>
                <w:p w14:paraId="6606085B">
                  <w:pPr>
                    <w:overflowPunct w:val="0"/>
                    <w:adjustRightInd w:val="0"/>
                    <w:snapToGrid w:val="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HJ 706-2014</w:t>
                  </w:r>
                </w:p>
              </w:tc>
              <w:tc>
                <w:tcPr>
                  <w:tcW w:w="2672" w:type="dxa"/>
                  <w:noWrap w:val="0"/>
                  <w:vAlign w:val="center"/>
                </w:tcPr>
                <w:p w14:paraId="5AD3B626">
                  <w:pPr>
                    <w:overflowPunct w:val="0"/>
                    <w:adjustRightInd w:val="0"/>
                    <w:snapToGrid w:val="0"/>
                    <w:jc w:val="center"/>
                    <w:rPr>
                      <w:rFonts w:hint="eastAsia" w:ascii="宋体" w:hAnsi="宋体" w:eastAsia="宋体"/>
                      <w:color w:val="000000" w:themeColor="text1"/>
                      <w:sz w:val="21"/>
                      <w:szCs w:val="24"/>
                      <w14:textFill>
                        <w14:solidFill>
                          <w14:schemeClr w14:val="tx1"/>
                        </w14:solidFill>
                      </w14:textFill>
                    </w:rPr>
                  </w:pPr>
                  <w:r>
                    <w:rPr>
                      <w:rFonts w:hint="eastAsia" w:ascii="宋体" w:hAnsi="宋体" w:eastAsia="宋体"/>
                      <w:color w:val="000000" w:themeColor="text1"/>
                      <w:sz w:val="21"/>
                      <w:szCs w:val="24"/>
                      <w14:textFill>
                        <w14:solidFill>
                          <w14:schemeClr w14:val="tx1"/>
                        </w14:solidFill>
                      </w14:textFill>
                    </w:rPr>
                    <w:t>噪声振动分析仪</w:t>
                  </w:r>
                </w:p>
                <w:p w14:paraId="04D9AADD">
                  <w:pPr>
                    <w:overflowPunct w:val="0"/>
                    <w:adjustRightInd w:val="0"/>
                    <w:snapToGrid w:val="0"/>
                    <w:jc w:val="center"/>
                    <w:rPr>
                      <w:rFonts w:hint="eastAsia" w:ascii="宋体" w:hAnsi="宋体" w:eastAsia="宋体"/>
                      <w:color w:val="000000" w:themeColor="text1"/>
                      <w:sz w:val="21"/>
                      <w:szCs w:val="24"/>
                      <w14:textFill>
                        <w14:solidFill>
                          <w14:schemeClr w14:val="tx1"/>
                        </w14:solidFill>
                      </w14:textFill>
                    </w:rPr>
                  </w:pPr>
                  <w:r>
                    <w:rPr>
                      <w:rFonts w:hint="default" w:ascii="Times New Roman" w:hAnsi="Times New Roman" w:eastAsia="宋体" w:cs="Times New Roman"/>
                      <w:color w:val="000000" w:themeColor="text1"/>
                      <w:sz w:val="21"/>
                      <w:szCs w:val="24"/>
                      <w14:textFill>
                        <w14:solidFill>
                          <w14:schemeClr w14:val="tx1"/>
                        </w14:solidFill>
                      </w14:textFill>
                    </w:rPr>
                    <w:t>AWA5688A/CE291</w:t>
                  </w:r>
                </w:p>
              </w:tc>
            </w:tr>
          </w:tbl>
          <w:p w14:paraId="4B0FA75D">
            <w:pPr>
              <w:spacing w:line="360" w:lineRule="auto"/>
              <w:ind w:firstLine="482" w:firstLineChars="200"/>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（4）监测结果与评价</w:t>
            </w:r>
          </w:p>
          <w:p w14:paraId="3B5707D1">
            <w:pPr>
              <w:spacing w:line="360" w:lineRule="auto"/>
              <w:ind w:firstLine="527"/>
              <w:rPr>
                <w:rFonts w:ascii="Calibri" w:hAnsi="Calibri"/>
                <w:color w:val="000000" w:themeColor="text1"/>
                <w:sz w:val="24"/>
                <w:highlight w:val="none"/>
                <w14:textFill>
                  <w14:solidFill>
                    <w14:schemeClr w14:val="tx1"/>
                  </w14:solidFill>
                </w14:textFill>
              </w:rPr>
            </w:pPr>
            <w:r>
              <w:rPr>
                <w:rFonts w:ascii="Calibri" w:hAnsi="Calibri"/>
                <w:color w:val="000000" w:themeColor="text1"/>
                <w:sz w:val="24"/>
                <w:highlight w:val="none"/>
                <w14:textFill>
                  <w14:solidFill>
                    <w14:schemeClr w14:val="tx1"/>
                  </w14:solidFill>
                </w14:textFill>
              </w:rPr>
              <w:t>噪声现状监测结果见</w:t>
            </w:r>
            <w:r>
              <w:rPr>
                <w:rFonts w:hint="eastAsia" w:ascii="Calibri" w:hAnsi="Calibri"/>
                <w:color w:val="000000" w:themeColor="text1"/>
                <w:sz w:val="24"/>
                <w:highlight w:val="none"/>
                <w14:textFill>
                  <w14:solidFill>
                    <w14:schemeClr w14:val="tx1"/>
                  </w14:solidFill>
                </w14:textFill>
              </w:rPr>
              <w:t>下表</w:t>
            </w:r>
            <w:r>
              <w:rPr>
                <w:rFonts w:ascii="Calibri" w:hAnsi="Calibri"/>
                <w:color w:val="000000" w:themeColor="text1"/>
                <w:sz w:val="24"/>
                <w:highlight w:val="none"/>
                <w14:textFill>
                  <w14:solidFill>
                    <w14:schemeClr w14:val="tx1"/>
                  </w14:solidFill>
                </w14:textFill>
              </w:rPr>
              <w:t>。</w:t>
            </w:r>
          </w:p>
          <w:p w14:paraId="42D9443A">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eastAsia="宋体" w:cs="Times New Roman"/>
                <w:b/>
                <w:bCs/>
                <w:color w:val="000000" w:themeColor="text1"/>
                <w:kern w:val="0"/>
                <w:sz w:val="21"/>
                <w:szCs w:val="21"/>
                <w:highlight w:val="none"/>
                <w14:textFill>
                  <w14:solidFill>
                    <w14:schemeClr w14:val="tx1"/>
                  </w14:solidFill>
                </w14:textFill>
              </w:rPr>
            </w:pPr>
            <w:r>
              <w:rPr>
                <w:rFonts w:ascii="Times New Roman" w:hAnsi="Times New Roman" w:eastAsia="宋体" w:cs="Times New Roman"/>
                <w:b/>
                <w:bCs/>
                <w:color w:val="000000" w:themeColor="text1"/>
                <w:kern w:val="0"/>
                <w:sz w:val="21"/>
                <w:szCs w:val="21"/>
                <w:highlight w:val="none"/>
                <w14:textFill>
                  <w14:solidFill>
                    <w14:schemeClr w14:val="tx1"/>
                  </w14:solidFill>
                </w14:textFill>
              </w:rPr>
              <w:t>表3-</w:t>
            </w:r>
            <w:r>
              <w:rPr>
                <w:rFonts w:hint="eastAsia"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t>5</w:t>
            </w:r>
            <w:r>
              <w:rPr>
                <w:rFonts w:ascii="Times New Roman" w:hAnsi="Times New Roman" w:eastAsia="宋体" w:cs="Times New Roman"/>
                <w:b/>
                <w:bCs/>
                <w:color w:val="000000" w:themeColor="text1"/>
                <w:kern w:val="0"/>
                <w:sz w:val="21"/>
                <w:szCs w:val="21"/>
                <w:highlight w:val="none"/>
                <w14:textFill>
                  <w14:solidFill>
                    <w14:schemeClr w14:val="tx1"/>
                  </w14:solidFill>
                </w14:textFill>
              </w:rPr>
              <w:t xml:space="preserve"> 噪</w:t>
            </w:r>
            <w:r>
              <w:rPr>
                <w:rFonts w:hint="eastAsia" w:ascii="Times New Roman" w:hAnsi="Times New Roman" w:eastAsia="宋体" w:cs="Times New Roman"/>
                <w:b/>
                <w:bCs/>
                <w:color w:val="000000" w:themeColor="text1"/>
                <w:kern w:val="0"/>
                <w:sz w:val="21"/>
                <w:szCs w:val="21"/>
                <w:highlight w:val="none"/>
                <w14:textFill>
                  <w14:solidFill>
                    <w14:schemeClr w14:val="tx1"/>
                  </w14:solidFill>
                </w14:textFill>
              </w:rPr>
              <w:t>声监测结果表   单位：</w:t>
            </w:r>
            <w:r>
              <w:rPr>
                <w:rFonts w:ascii="Times New Roman" w:hAnsi="Times New Roman" w:eastAsia="宋体" w:cs="Times New Roman"/>
                <w:b/>
                <w:bCs/>
                <w:color w:val="000000" w:themeColor="text1"/>
                <w:kern w:val="0"/>
                <w:sz w:val="21"/>
                <w:szCs w:val="21"/>
                <w:highlight w:val="none"/>
                <w14:textFill>
                  <w14:solidFill>
                    <w14:schemeClr w14:val="tx1"/>
                  </w14:solidFill>
                </w14:textFill>
              </w:rPr>
              <w:t>dB(A)</w:t>
            </w:r>
          </w:p>
          <w:tbl>
            <w:tblPr>
              <w:tblStyle w:val="41"/>
              <w:tblW w:w="8297" w:type="dxa"/>
              <w:tblInd w:w="5" w:type="dxa"/>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216"/>
              <w:gridCol w:w="1347"/>
              <w:gridCol w:w="3017"/>
              <w:gridCol w:w="1400"/>
              <w:gridCol w:w="1317"/>
            </w:tblGrid>
            <w:tr w14:paraId="25BA0BE5">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trPr>
              <w:tc>
                <w:tcPr>
                  <w:tcW w:w="732" w:type="pct"/>
                  <w:vMerge w:val="restart"/>
                  <w:shd w:val="clear" w:color="auto" w:fill="auto"/>
                  <w:noWrap w:val="0"/>
                  <w:vAlign w:val="center"/>
                </w:tcPr>
                <w:p w14:paraId="11455069">
                  <w:pPr>
                    <w:widowControl/>
                    <w:spacing w:line="280" w:lineRule="exact"/>
                    <w:jc w:val="center"/>
                    <w:rPr>
                      <w:rFonts w:hint="default" w:eastAsia="宋体"/>
                      <w:b/>
                      <w:bCs/>
                      <w:color w:val="000000" w:themeColor="text1"/>
                      <w:kern w:val="0"/>
                      <w:szCs w:val="21"/>
                      <w:highlight w:val="none"/>
                      <w:lang w:val="en-US" w:eastAsia="zh-CN"/>
                      <w14:textFill>
                        <w14:solidFill>
                          <w14:schemeClr w14:val="tx1"/>
                        </w14:solidFill>
                      </w14:textFill>
                    </w:rPr>
                  </w:pPr>
                  <w:r>
                    <w:rPr>
                      <w:rFonts w:hint="eastAsia"/>
                      <w:b/>
                      <w:bCs/>
                      <w:color w:val="000000" w:themeColor="text1"/>
                      <w:kern w:val="0"/>
                      <w:szCs w:val="21"/>
                      <w:highlight w:val="none"/>
                      <w:lang w:val="en-US" w:eastAsia="zh-CN"/>
                      <w14:textFill>
                        <w14:solidFill>
                          <w14:schemeClr w14:val="tx1"/>
                        </w14:solidFill>
                      </w14:textFill>
                    </w:rPr>
                    <w:t>检测日期</w:t>
                  </w:r>
                </w:p>
              </w:tc>
              <w:tc>
                <w:tcPr>
                  <w:tcW w:w="811" w:type="pct"/>
                  <w:vMerge w:val="restart"/>
                  <w:tcBorders>
                    <w:right w:val="single" w:color="auto" w:sz="4" w:space="0"/>
                  </w:tcBorders>
                  <w:shd w:val="clear" w:color="auto" w:fill="auto"/>
                  <w:noWrap w:val="0"/>
                  <w:vAlign w:val="center"/>
                </w:tcPr>
                <w:p w14:paraId="05422C80">
                  <w:pPr>
                    <w:widowControl/>
                    <w:spacing w:line="280" w:lineRule="exact"/>
                    <w:jc w:val="center"/>
                    <w:rPr>
                      <w:rFonts w:hint="default" w:eastAsia="宋体"/>
                      <w:b/>
                      <w:bCs/>
                      <w:color w:val="000000" w:themeColor="text1"/>
                      <w:kern w:val="0"/>
                      <w:szCs w:val="21"/>
                      <w:highlight w:val="none"/>
                      <w:lang w:val="en-US" w:eastAsia="zh-CN"/>
                      <w14:textFill>
                        <w14:solidFill>
                          <w14:schemeClr w14:val="tx1"/>
                        </w14:solidFill>
                      </w14:textFill>
                    </w:rPr>
                  </w:pPr>
                  <w:r>
                    <w:rPr>
                      <w:rFonts w:hint="eastAsia"/>
                      <w:b/>
                      <w:bCs/>
                      <w:color w:val="000000" w:themeColor="text1"/>
                      <w:kern w:val="0"/>
                      <w:szCs w:val="21"/>
                      <w:highlight w:val="none"/>
                      <w:lang w:val="en-US" w:eastAsia="zh-CN"/>
                      <w14:textFill>
                        <w14:solidFill>
                          <w14:schemeClr w14:val="tx1"/>
                        </w14:solidFill>
                      </w14:textFill>
                    </w:rPr>
                    <w:t>检测项目</w:t>
                  </w:r>
                </w:p>
              </w:tc>
              <w:tc>
                <w:tcPr>
                  <w:tcW w:w="1818" w:type="pct"/>
                  <w:vMerge w:val="restart"/>
                  <w:tcBorders>
                    <w:left w:val="single" w:color="auto" w:sz="4" w:space="0"/>
                  </w:tcBorders>
                  <w:shd w:val="clear" w:color="auto" w:fill="auto"/>
                  <w:noWrap w:val="0"/>
                  <w:vAlign w:val="center"/>
                </w:tcPr>
                <w:p w14:paraId="62E7217F">
                  <w:pPr>
                    <w:spacing w:line="280" w:lineRule="exact"/>
                    <w:jc w:val="center"/>
                    <w:rPr>
                      <w:rFonts w:hint="default" w:eastAsia="宋体"/>
                      <w:b/>
                      <w:bCs/>
                      <w:color w:val="000000" w:themeColor="text1"/>
                      <w:kern w:val="0"/>
                      <w:szCs w:val="21"/>
                      <w:highlight w:val="none"/>
                      <w:lang w:val="en-US" w:eastAsia="zh-CN"/>
                      <w14:textFill>
                        <w14:solidFill>
                          <w14:schemeClr w14:val="tx1"/>
                        </w14:solidFill>
                      </w14:textFill>
                    </w:rPr>
                  </w:pPr>
                  <w:r>
                    <w:rPr>
                      <w:rFonts w:hint="eastAsia" w:eastAsia="宋体"/>
                      <w:b/>
                      <w:bCs/>
                      <w:color w:val="000000" w:themeColor="text1"/>
                      <w:kern w:val="0"/>
                      <w:szCs w:val="21"/>
                      <w:highlight w:val="none"/>
                      <w:lang w:val="en-US" w:eastAsia="zh-CN"/>
                      <w14:textFill>
                        <w14:solidFill>
                          <w14:schemeClr w14:val="tx1"/>
                        </w14:solidFill>
                      </w14:textFill>
                    </w:rPr>
                    <w:t>检测点位</w:t>
                  </w:r>
                </w:p>
              </w:tc>
              <w:tc>
                <w:tcPr>
                  <w:tcW w:w="1637" w:type="pct"/>
                  <w:gridSpan w:val="2"/>
                  <w:tcBorders>
                    <w:left w:val="single" w:color="auto" w:sz="4" w:space="0"/>
                  </w:tcBorders>
                  <w:shd w:val="clear" w:color="auto" w:fill="auto"/>
                  <w:noWrap w:val="0"/>
                  <w:vAlign w:val="center"/>
                </w:tcPr>
                <w:p w14:paraId="271847B3">
                  <w:pPr>
                    <w:spacing w:line="280" w:lineRule="exact"/>
                    <w:jc w:val="center"/>
                    <w:rPr>
                      <w:rFonts w:hint="default" w:eastAsia="宋体"/>
                      <w:b/>
                      <w:bCs/>
                      <w:color w:val="000000" w:themeColor="text1"/>
                      <w:kern w:val="0"/>
                      <w:szCs w:val="21"/>
                      <w:highlight w:val="none"/>
                      <w:lang w:val="en-US" w:eastAsia="zh-CN"/>
                      <w14:textFill>
                        <w14:solidFill>
                          <w14:schemeClr w14:val="tx1"/>
                        </w14:solidFill>
                      </w14:textFill>
                    </w:rPr>
                  </w:pPr>
                  <w:r>
                    <w:rPr>
                      <w:rFonts w:hint="eastAsia"/>
                      <w:b/>
                      <w:bCs/>
                      <w:color w:val="000000" w:themeColor="text1"/>
                      <w:kern w:val="0"/>
                      <w:szCs w:val="21"/>
                      <w:highlight w:val="none"/>
                      <w:lang w:val="en-US" w:eastAsia="zh-CN"/>
                      <w14:textFill>
                        <w14:solidFill>
                          <w14:schemeClr w14:val="tx1"/>
                        </w14:solidFill>
                      </w14:textFill>
                    </w:rPr>
                    <w:t>检测结果</w:t>
                  </w:r>
                </w:p>
              </w:tc>
            </w:tr>
            <w:tr w14:paraId="0C9D4E16">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trPr>
              <w:tc>
                <w:tcPr>
                  <w:tcW w:w="732" w:type="pct"/>
                  <w:vMerge w:val="continue"/>
                  <w:shd w:val="clear" w:color="auto" w:fill="auto"/>
                  <w:noWrap w:val="0"/>
                  <w:vAlign w:val="center"/>
                </w:tcPr>
                <w:p w14:paraId="728BB69C">
                  <w:pPr>
                    <w:widowControl/>
                    <w:spacing w:line="280" w:lineRule="exact"/>
                    <w:jc w:val="center"/>
                    <w:rPr>
                      <w:rFonts w:hint="eastAsia"/>
                      <w:b/>
                      <w:bCs/>
                      <w:color w:val="000000" w:themeColor="text1"/>
                      <w:kern w:val="0"/>
                      <w:szCs w:val="21"/>
                      <w:highlight w:val="none"/>
                      <w:lang w:val="en-US" w:eastAsia="zh-CN"/>
                      <w14:textFill>
                        <w14:solidFill>
                          <w14:schemeClr w14:val="tx1"/>
                        </w14:solidFill>
                      </w14:textFill>
                    </w:rPr>
                  </w:pPr>
                </w:p>
              </w:tc>
              <w:tc>
                <w:tcPr>
                  <w:tcW w:w="811" w:type="pct"/>
                  <w:vMerge w:val="continue"/>
                  <w:tcBorders>
                    <w:right w:val="single" w:color="auto" w:sz="4" w:space="0"/>
                  </w:tcBorders>
                  <w:shd w:val="clear" w:color="auto" w:fill="auto"/>
                  <w:noWrap w:val="0"/>
                  <w:vAlign w:val="center"/>
                </w:tcPr>
                <w:p w14:paraId="75BC0F2C">
                  <w:pPr>
                    <w:widowControl/>
                    <w:spacing w:line="280" w:lineRule="exact"/>
                    <w:jc w:val="center"/>
                    <w:rPr>
                      <w:rFonts w:hint="eastAsia"/>
                      <w:b/>
                      <w:bCs/>
                      <w:color w:val="000000" w:themeColor="text1"/>
                      <w:kern w:val="0"/>
                      <w:szCs w:val="21"/>
                      <w:highlight w:val="none"/>
                      <w:lang w:val="en-US" w:eastAsia="zh-CN"/>
                      <w14:textFill>
                        <w14:solidFill>
                          <w14:schemeClr w14:val="tx1"/>
                        </w14:solidFill>
                      </w14:textFill>
                    </w:rPr>
                  </w:pPr>
                </w:p>
              </w:tc>
              <w:tc>
                <w:tcPr>
                  <w:tcW w:w="1818" w:type="pct"/>
                  <w:vMerge w:val="continue"/>
                  <w:tcBorders>
                    <w:left w:val="single" w:color="auto" w:sz="4" w:space="0"/>
                  </w:tcBorders>
                  <w:shd w:val="clear" w:color="auto" w:fill="auto"/>
                  <w:noWrap w:val="0"/>
                  <w:vAlign w:val="center"/>
                </w:tcPr>
                <w:p w14:paraId="1C6598BA">
                  <w:pPr>
                    <w:spacing w:line="280" w:lineRule="exact"/>
                    <w:jc w:val="center"/>
                    <w:rPr>
                      <w:rFonts w:hint="eastAsia" w:eastAsia="宋体"/>
                      <w:b/>
                      <w:bCs/>
                      <w:color w:val="000000" w:themeColor="text1"/>
                      <w:kern w:val="0"/>
                      <w:szCs w:val="21"/>
                      <w:highlight w:val="none"/>
                      <w:lang w:val="en-US" w:eastAsia="zh-CN"/>
                      <w14:textFill>
                        <w14:solidFill>
                          <w14:schemeClr w14:val="tx1"/>
                        </w14:solidFill>
                      </w14:textFill>
                    </w:rPr>
                  </w:pPr>
                </w:p>
              </w:tc>
              <w:tc>
                <w:tcPr>
                  <w:tcW w:w="843" w:type="pct"/>
                  <w:tcBorders>
                    <w:left w:val="single" w:color="auto" w:sz="4" w:space="0"/>
                  </w:tcBorders>
                  <w:shd w:val="clear" w:color="auto" w:fill="auto"/>
                  <w:noWrap w:val="0"/>
                  <w:vAlign w:val="center"/>
                </w:tcPr>
                <w:p w14:paraId="07801453">
                  <w:pPr>
                    <w:spacing w:line="280" w:lineRule="exact"/>
                    <w:jc w:val="center"/>
                    <w:rPr>
                      <w:rFonts w:hint="default"/>
                      <w:b/>
                      <w:bCs/>
                      <w:color w:val="000000" w:themeColor="text1"/>
                      <w:kern w:val="0"/>
                      <w:szCs w:val="21"/>
                      <w:highlight w:val="none"/>
                      <w:lang w:val="en-US" w:eastAsia="zh-CN"/>
                      <w14:textFill>
                        <w14:solidFill>
                          <w14:schemeClr w14:val="tx1"/>
                        </w14:solidFill>
                      </w14:textFill>
                    </w:rPr>
                  </w:pPr>
                  <w:r>
                    <w:rPr>
                      <w:rFonts w:hint="eastAsia"/>
                      <w:b/>
                      <w:bCs/>
                      <w:color w:val="000000" w:themeColor="text1"/>
                      <w:kern w:val="0"/>
                      <w:szCs w:val="21"/>
                      <w:highlight w:val="none"/>
                      <w:lang w:val="en-US" w:eastAsia="zh-CN"/>
                      <w14:textFill>
                        <w14:solidFill>
                          <w14:schemeClr w14:val="tx1"/>
                        </w14:solidFill>
                      </w14:textFill>
                    </w:rPr>
                    <w:t>昼间</w:t>
                  </w:r>
                </w:p>
              </w:tc>
              <w:tc>
                <w:tcPr>
                  <w:tcW w:w="793" w:type="pct"/>
                  <w:tcBorders>
                    <w:left w:val="single" w:color="auto" w:sz="4" w:space="0"/>
                  </w:tcBorders>
                  <w:shd w:val="clear" w:color="auto" w:fill="auto"/>
                  <w:noWrap w:val="0"/>
                  <w:vAlign w:val="center"/>
                </w:tcPr>
                <w:p w14:paraId="6FC02179">
                  <w:pPr>
                    <w:spacing w:line="280" w:lineRule="exact"/>
                    <w:jc w:val="center"/>
                    <w:rPr>
                      <w:rFonts w:hint="default" w:eastAsia="宋体"/>
                      <w:b/>
                      <w:bCs/>
                      <w:color w:val="000000" w:themeColor="text1"/>
                      <w:kern w:val="0"/>
                      <w:szCs w:val="21"/>
                      <w:highlight w:val="none"/>
                      <w:lang w:val="en-US" w:eastAsia="zh-CN"/>
                      <w14:textFill>
                        <w14:solidFill>
                          <w14:schemeClr w14:val="tx1"/>
                        </w14:solidFill>
                      </w14:textFill>
                    </w:rPr>
                  </w:pPr>
                  <w:r>
                    <w:rPr>
                      <w:rFonts w:hint="eastAsia" w:eastAsia="宋体"/>
                      <w:b/>
                      <w:bCs/>
                      <w:color w:val="000000" w:themeColor="text1"/>
                      <w:kern w:val="0"/>
                      <w:szCs w:val="21"/>
                      <w:highlight w:val="none"/>
                      <w:lang w:val="en-US" w:eastAsia="zh-CN"/>
                      <w14:textFill>
                        <w14:solidFill>
                          <w14:schemeClr w14:val="tx1"/>
                        </w14:solidFill>
                      </w14:textFill>
                    </w:rPr>
                    <w:t>夜间</w:t>
                  </w:r>
                </w:p>
              </w:tc>
            </w:tr>
            <w:tr w14:paraId="1723355E">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732" w:type="pct"/>
                  <w:vMerge w:val="restart"/>
                  <w:noWrap w:val="0"/>
                  <w:vAlign w:val="center"/>
                </w:tcPr>
                <w:p w14:paraId="3441CE87">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2026.8.17-2026.8.18</w:t>
                  </w:r>
                </w:p>
              </w:tc>
              <w:tc>
                <w:tcPr>
                  <w:tcW w:w="811" w:type="pct"/>
                  <w:vMerge w:val="restart"/>
                  <w:tcBorders>
                    <w:right w:val="single" w:color="auto" w:sz="4" w:space="0"/>
                  </w:tcBorders>
                  <w:noWrap w:val="0"/>
                  <w:vAlign w:val="center"/>
                </w:tcPr>
                <w:p w14:paraId="422FADF7">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声环境噪声</w:t>
                  </w:r>
                </w:p>
              </w:tc>
              <w:tc>
                <w:tcPr>
                  <w:tcW w:w="1818" w:type="pct"/>
                  <w:tcBorders>
                    <w:left w:val="single" w:color="auto" w:sz="4" w:space="0"/>
                  </w:tcBorders>
                  <w:noWrap w:val="0"/>
                  <w:vAlign w:val="center"/>
                </w:tcPr>
                <w:p w14:paraId="4E4F68FF">
                  <w:pPr>
                    <w:jc w:val="center"/>
                    <w:rPr>
                      <w:rFonts w:hint="default" w:eastAsia="宋体"/>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N1 东面厂界外1m高1.5m处</w:t>
                  </w:r>
                </w:p>
              </w:tc>
              <w:tc>
                <w:tcPr>
                  <w:tcW w:w="843" w:type="pct"/>
                  <w:tcBorders>
                    <w:left w:val="single" w:color="auto" w:sz="4" w:space="0"/>
                  </w:tcBorders>
                  <w:noWrap w:val="0"/>
                  <w:vAlign w:val="center"/>
                </w:tcPr>
                <w:p w14:paraId="3BFEFAEE">
                  <w:pPr>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46</w:t>
                  </w:r>
                </w:p>
              </w:tc>
              <w:tc>
                <w:tcPr>
                  <w:tcW w:w="793" w:type="pct"/>
                  <w:tcBorders>
                    <w:left w:val="single" w:color="auto" w:sz="4" w:space="0"/>
                  </w:tcBorders>
                  <w:noWrap w:val="0"/>
                  <w:vAlign w:val="center"/>
                </w:tcPr>
                <w:p w14:paraId="5913E2FF">
                  <w:pPr>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43</w:t>
                  </w:r>
                </w:p>
              </w:tc>
            </w:tr>
            <w:tr w14:paraId="75AE6523">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732" w:type="pct"/>
                  <w:vMerge w:val="continue"/>
                  <w:noWrap w:val="0"/>
                  <w:vAlign w:val="center"/>
                </w:tcPr>
                <w:p w14:paraId="2FF92A44">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c>
                <w:tcPr>
                  <w:tcW w:w="811" w:type="pct"/>
                  <w:vMerge w:val="continue"/>
                  <w:tcBorders>
                    <w:right w:val="single" w:color="auto" w:sz="4" w:space="0"/>
                  </w:tcBorders>
                  <w:noWrap w:val="0"/>
                  <w:vAlign w:val="center"/>
                </w:tcPr>
                <w:p w14:paraId="1207E83A">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c>
                <w:tcPr>
                  <w:tcW w:w="1818" w:type="pct"/>
                  <w:tcBorders>
                    <w:left w:val="single" w:color="auto" w:sz="4" w:space="0"/>
                  </w:tcBorders>
                  <w:noWrap w:val="0"/>
                  <w:vAlign w:val="center"/>
                </w:tcPr>
                <w:p w14:paraId="279B28ED">
                  <w:pPr>
                    <w:jc w:val="center"/>
                    <w:rPr>
                      <w:rFonts w:hint="default" w:eastAsia="宋体"/>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N2</w:t>
                  </w:r>
                  <w:r>
                    <w:rPr>
                      <w:rFonts w:hint="eastAsia" w:ascii="Times New Roman" w:hAnsi="Times New Roman" w:eastAsia="宋体"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highlight w:val="none"/>
                      <w:lang w:val="en-US" w:eastAsia="zh-CN"/>
                      <w14:textFill>
                        <w14:solidFill>
                          <w14:schemeClr w14:val="tx1"/>
                        </w14:solidFill>
                      </w14:textFill>
                    </w:rPr>
                    <w:t>南面厂界外1m高1.5m处</w:t>
                  </w:r>
                </w:p>
              </w:tc>
              <w:tc>
                <w:tcPr>
                  <w:tcW w:w="843" w:type="pct"/>
                  <w:tcBorders>
                    <w:left w:val="single" w:color="auto" w:sz="4" w:space="0"/>
                  </w:tcBorders>
                  <w:noWrap w:val="0"/>
                  <w:vAlign w:val="center"/>
                </w:tcPr>
                <w:p w14:paraId="3A0E610F">
                  <w:pPr>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44</w:t>
                  </w:r>
                </w:p>
              </w:tc>
              <w:tc>
                <w:tcPr>
                  <w:tcW w:w="793" w:type="pct"/>
                  <w:tcBorders>
                    <w:left w:val="single" w:color="auto" w:sz="4" w:space="0"/>
                  </w:tcBorders>
                  <w:noWrap w:val="0"/>
                  <w:vAlign w:val="center"/>
                </w:tcPr>
                <w:p w14:paraId="2EE6EFAC">
                  <w:pPr>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44</w:t>
                  </w:r>
                </w:p>
              </w:tc>
            </w:tr>
            <w:tr w14:paraId="53FF29A6">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732" w:type="pct"/>
                  <w:vMerge w:val="continue"/>
                  <w:noWrap w:val="0"/>
                  <w:vAlign w:val="center"/>
                </w:tcPr>
                <w:p w14:paraId="3495D19F">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c>
                <w:tcPr>
                  <w:tcW w:w="811" w:type="pct"/>
                  <w:vMerge w:val="continue"/>
                  <w:tcBorders>
                    <w:right w:val="single" w:color="auto" w:sz="4" w:space="0"/>
                  </w:tcBorders>
                  <w:noWrap w:val="0"/>
                  <w:vAlign w:val="center"/>
                </w:tcPr>
                <w:p w14:paraId="6C5D0D50">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c>
                <w:tcPr>
                  <w:tcW w:w="1818" w:type="pct"/>
                  <w:tcBorders>
                    <w:left w:val="single" w:color="auto" w:sz="4" w:space="0"/>
                  </w:tcBorders>
                  <w:noWrap w:val="0"/>
                  <w:vAlign w:val="center"/>
                </w:tcPr>
                <w:p w14:paraId="4C33E36D">
                  <w:pPr>
                    <w:jc w:val="center"/>
                    <w:rPr>
                      <w:rFonts w:hint="default" w:eastAsia="宋体"/>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N3</w:t>
                  </w:r>
                  <w:r>
                    <w:rPr>
                      <w:rFonts w:hint="eastAsia" w:ascii="Times New Roman" w:hAnsi="Times New Roman" w:eastAsia="宋体"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highlight w:val="none"/>
                      <w:lang w:val="en-US" w:eastAsia="zh-CN"/>
                      <w14:textFill>
                        <w14:solidFill>
                          <w14:schemeClr w14:val="tx1"/>
                        </w14:solidFill>
                      </w14:textFill>
                    </w:rPr>
                    <w:t>西面厂界外1lm高1.5m处</w:t>
                  </w:r>
                </w:p>
              </w:tc>
              <w:tc>
                <w:tcPr>
                  <w:tcW w:w="843" w:type="pct"/>
                  <w:tcBorders>
                    <w:left w:val="single" w:color="auto" w:sz="4" w:space="0"/>
                  </w:tcBorders>
                  <w:noWrap w:val="0"/>
                  <w:vAlign w:val="center"/>
                </w:tcPr>
                <w:p w14:paraId="2492E199">
                  <w:pPr>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53</w:t>
                  </w:r>
                </w:p>
              </w:tc>
              <w:tc>
                <w:tcPr>
                  <w:tcW w:w="793" w:type="pct"/>
                  <w:tcBorders>
                    <w:left w:val="single" w:color="auto" w:sz="4" w:space="0"/>
                  </w:tcBorders>
                  <w:noWrap w:val="0"/>
                  <w:vAlign w:val="center"/>
                </w:tcPr>
                <w:p w14:paraId="7C275F8B">
                  <w:pPr>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49</w:t>
                  </w:r>
                </w:p>
              </w:tc>
            </w:tr>
            <w:tr w14:paraId="4831C6B9">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732" w:type="pct"/>
                  <w:vMerge w:val="continue"/>
                  <w:noWrap w:val="0"/>
                  <w:vAlign w:val="center"/>
                </w:tcPr>
                <w:p w14:paraId="62D62413">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c>
                <w:tcPr>
                  <w:tcW w:w="811" w:type="pct"/>
                  <w:vMerge w:val="continue"/>
                  <w:tcBorders>
                    <w:right w:val="single" w:color="auto" w:sz="4" w:space="0"/>
                  </w:tcBorders>
                  <w:noWrap w:val="0"/>
                  <w:vAlign w:val="center"/>
                </w:tcPr>
                <w:p w14:paraId="1804D94C">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c>
                <w:tcPr>
                  <w:tcW w:w="1818" w:type="pct"/>
                  <w:tcBorders>
                    <w:left w:val="single" w:color="auto" w:sz="4" w:space="0"/>
                  </w:tcBorders>
                  <w:noWrap w:val="0"/>
                  <w:vAlign w:val="center"/>
                </w:tcPr>
                <w:p w14:paraId="72010398">
                  <w:pPr>
                    <w:jc w:val="center"/>
                    <w:rPr>
                      <w:rFonts w:hint="default" w:eastAsia="宋体"/>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N4</w:t>
                  </w:r>
                  <w:r>
                    <w:rPr>
                      <w:rFonts w:hint="eastAsia" w:ascii="Times New Roman" w:hAnsi="Times New Roman" w:eastAsia="宋体"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highlight w:val="none"/>
                      <w:lang w:val="en-US" w:eastAsia="zh-CN"/>
                      <w14:textFill>
                        <w14:solidFill>
                          <w14:schemeClr w14:val="tx1"/>
                        </w14:solidFill>
                      </w14:textFill>
                    </w:rPr>
                    <w:t>北面厂界外1m高1.5m处</w:t>
                  </w:r>
                </w:p>
              </w:tc>
              <w:tc>
                <w:tcPr>
                  <w:tcW w:w="843" w:type="pct"/>
                  <w:tcBorders>
                    <w:left w:val="single" w:color="auto" w:sz="4" w:space="0"/>
                  </w:tcBorders>
                  <w:noWrap w:val="0"/>
                  <w:vAlign w:val="center"/>
                </w:tcPr>
                <w:p w14:paraId="5A170F05">
                  <w:pPr>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45</w:t>
                  </w:r>
                </w:p>
              </w:tc>
              <w:tc>
                <w:tcPr>
                  <w:tcW w:w="793" w:type="pct"/>
                  <w:tcBorders>
                    <w:left w:val="single" w:color="auto" w:sz="4" w:space="0"/>
                  </w:tcBorders>
                  <w:noWrap w:val="0"/>
                  <w:vAlign w:val="center"/>
                </w:tcPr>
                <w:p w14:paraId="0CA00744">
                  <w:pPr>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44</w:t>
                  </w:r>
                </w:p>
              </w:tc>
            </w:tr>
            <w:tr w14:paraId="04A42C94">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732" w:type="pct"/>
                  <w:vMerge w:val="continue"/>
                  <w:noWrap w:val="0"/>
                  <w:vAlign w:val="center"/>
                </w:tcPr>
                <w:p w14:paraId="1AD959D1">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c>
                <w:tcPr>
                  <w:tcW w:w="2629" w:type="pct"/>
                  <w:gridSpan w:val="2"/>
                  <w:noWrap w:val="0"/>
                  <w:vAlign w:val="center"/>
                </w:tcPr>
                <w:p w14:paraId="15A36517">
                  <w:pPr>
                    <w:jc w:val="center"/>
                    <w:rPr>
                      <w:rFonts w:hint="default" w:eastAsia="宋体"/>
                      <w:color w:val="000000" w:themeColor="text1"/>
                      <w:highlight w:val="none"/>
                      <w:lang w:val="en-US" w:eastAsia="zh-CN"/>
                      <w14:textFill>
                        <w14:solidFill>
                          <w14:schemeClr w14:val="tx1"/>
                        </w14:solidFill>
                      </w14:textFill>
                    </w:rPr>
                  </w:pPr>
                  <w:r>
                    <w:rPr>
                      <w:rFonts w:hint="eastAsia" w:eastAsia="宋体"/>
                      <w:color w:val="000000" w:themeColor="text1"/>
                      <w:highlight w:val="none"/>
                      <w:lang w:val="en-US" w:eastAsia="zh-CN"/>
                      <w14:textFill>
                        <w14:solidFill>
                          <w14:schemeClr w14:val="tx1"/>
                        </w14:solidFill>
                      </w14:textFill>
                    </w:rPr>
                    <w:t>参考限值</w:t>
                  </w:r>
                </w:p>
              </w:tc>
              <w:tc>
                <w:tcPr>
                  <w:tcW w:w="843" w:type="pct"/>
                  <w:tcBorders>
                    <w:left w:val="single" w:color="auto" w:sz="4" w:space="0"/>
                  </w:tcBorders>
                  <w:noWrap w:val="0"/>
                  <w:vAlign w:val="center"/>
                </w:tcPr>
                <w:p w14:paraId="18AD2FD6">
                  <w:pPr>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65</w:t>
                  </w:r>
                </w:p>
              </w:tc>
              <w:tc>
                <w:tcPr>
                  <w:tcW w:w="793" w:type="pct"/>
                  <w:tcBorders>
                    <w:left w:val="single" w:color="auto" w:sz="4" w:space="0"/>
                  </w:tcBorders>
                  <w:noWrap w:val="0"/>
                  <w:vAlign w:val="center"/>
                </w:tcPr>
                <w:p w14:paraId="317E6D63">
                  <w:pPr>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55</w:t>
                  </w:r>
                </w:p>
              </w:tc>
            </w:tr>
            <w:tr w14:paraId="33BE5033">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732" w:type="pct"/>
                  <w:vMerge w:val="continue"/>
                  <w:noWrap w:val="0"/>
                  <w:vAlign w:val="center"/>
                </w:tcPr>
                <w:p w14:paraId="3FB9ACC4">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c>
                <w:tcPr>
                  <w:tcW w:w="811" w:type="pct"/>
                  <w:vMerge w:val="restart"/>
                  <w:tcBorders>
                    <w:right w:val="single" w:color="auto" w:sz="4" w:space="0"/>
                  </w:tcBorders>
                  <w:noWrap w:val="0"/>
                  <w:vAlign w:val="center"/>
                </w:tcPr>
                <w:p w14:paraId="4C73DA88">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声环境噪声（敏感点）</w:t>
                  </w:r>
                </w:p>
              </w:tc>
              <w:tc>
                <w:tcPr>
                  <w:tcW w:w="1818" w:type="pct"/>
                  <w:tcBorders>
                    <w:left w:val="single" w:color="auto" w:sz="4" w:space="0"/>
                  </w:tcBorders>
                  <w:noWrap w:val="0"/>
                  <w:vAlign w:val="center"/>
                </w:tcPr>
                <w:p w14:paraId="76B0BE70">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N5</w:t>
                  </w:r>
                  <w:r>
                    <w:rPr>
                      <w:rFonts w:hint="eastAsia" w:ascii="Times New Roman" w:hAnsi="Times New Roman" w:eastAsia="宋体"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highlight w:val="none"/>
                      <w:lang w:val="en-US" w:eastAsia="zh-CN"/>
                      <w14:textFill>
                        <w14:solidFill>
                          <w14:schemeClr w14:val="tx1"/>
                        </w14:solidFill>
                      </w14:textFill>
                    </w:rPr>
                    <w:t>敏感点1F</w:t>
                  </w:r>
                </w:p>
              </w:tc>
              <w:tc>
                <w:tcPr>
                  <w:tcW w:w="843" w:type="pct"/>
                  <w:tcBorders>
                    <w:left w:val="single" w:color="auto" w:sz="4" w:space="0"/>
                  </w:tcBorders>
                  <w:noWrap w:val="0"/>
                  <w:vAlign w:val="center"/>
                </w:tcPr>
                <w:p w14:paraId="54E8F28C">
                  <w:pPr>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57</w:t>
                  </w:r>
                </w:p>
              </w:tc>
              <w:tc>
                <w:tcPr>
                  <w:tcW w:w="793" w:type="pct"/>
                  <w:tcBorders>
                    <w:left w:val="single" w:color="auto" w:sz="4" w:space="0"/>
                  </w:tcBorders>
                  <w:noWrap w:val="0"/>
                  <w:vAlign w:val="center"/>
                </w:tcPr>
                <w:p w14:paraId="2DD7675A">
                  <w:pPr>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48</w:t>
                  </w:r>
                </w:p>
              </w:tc>
            </w:tr>
            <w:tr w14:paraId="3E63DBF4">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732" w:type="pct"/>
                  <w:vMerge w:val="continue"/>
                  <w:noWrap w:val="0"/>
                  <w:vAlign w:val="center"/>
                </w:tcPr>
                <w:p w14:paraId="48A9C740">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c>
                <w:tcPr>
                  <w:tcW w:w="811" w:type="pct"/>
                  <w:vMerge w:val="continue"/>
                  <w:tcBorders>
                    <w:right w:val="single" w:color="auto" w:sz="4" w:space="0"/>
                  </w:tcBorders>
                  <w:noWrap w:val="0"/>
                  <w:vAlign w:val="center"/>
                </w:tcPr>
                <w:p w14:paraId="086BF6D6">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c>
                <w:tcPr>
                  <w:tcW w:w="1818" w:type="pct"/>
                  <w:tcBorders>
                    <w:left w:val="single" w:color="auto" w:sz="4" w:space="0"/>
                  </w:tcBorders>
                  <w:noWrap w:val="0"/>
                  <w:vAlign w:val="center"/>
                </w:tcPr>
                <w:p w14:paraId="60CF978F">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N6 敏感点3F</w:t>
                  </w:r>
                </w:p>
              </w:tc>
              <w:tc>
                <w:tcPr>
                  <w:tcW w:w="843" w:type="pct"/>
                  <w:tcBorders>
                    <w:left w:val="single" w:color="auto" w:sz="4" w:space="0"/>
                  </w:tcBorders>
                  <w:noWrap w:val="0"/>
                  <w:vAlign w:val="center"/>
                </w:tcPr>
                <w:p w14:paraId="69F317FA">
                  <w:pPr>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46</w:t>
                  </w:r>
                </w:p>
              </w:tc>
              <w:tc>
                <w:tcPr>
                  <w:tcW w:w="793" w:type="pct"/>
                  <w:tcBorders>
                    <w:left w:val="single" w:color="auto" w:sz="4" w:space="0"/>
                  </w:tcBorders>
                  <w:noWrap w:val="0"/>
                  <w:vAlign w:val="center"/>
                </w:tcPr>
                <w:p w14:paraId="1F9AD9D1">
                  <w:pPr>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46</w:t>
                  </w:r>
                </w:p>
              </w:tc>
            </w:tr>
            <w:tr w14:paraId="1B7E155E">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732" w:type="pct"/>
                  <w:vMerge w:val="continue"/>
                  <w:noWrap w:val="0"/>
                  <w:vAlign w:val="center"/>
                </w:tcPr>
                <w:p w14:paraId="32BE7E0F">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c>
                <w:tcPr>
                  <w:tcW w:w="811" w:type="pct"/>
                  <w:vMerge w:val="continue"/>
                  <w:tcBorders>
                    <w:right w:val="single" w:color="auto" w:sz="4" w:space="0"/>
                  </w:tcBorders>
                  <w:noWrap w:val="0"/>
                  <w:vAlign w:val="center"/>
                </w:tcPr>
                <w:p w14:paraId="58B492DE">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c>
                <w:tcPr>
                  <w:tcW w:w="1818" w:type="pct"/>
                  <w:tcBorders>
                    <w:left w:val="single" w:color="auto" w:sz="4" w:space="0"/>
                  </w:tcBorders>
                  <w:noWrap w:val="0"/>
                  <w:vAlign w:val="center"/>
                </w:tcPr>
                <w:p w14:paraId="6D7CC4E6">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N7</w:t>
                  </w:r>
                  <w:r>
                    <w:rPr>
                      <w:rFonts w:hint="eastAsia" w:ascii="Times New Roman" w:hAnsi="Times New Roman" w:eastAsia="宋体"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highlight w:val="none"/>
                      <w:lang w:val="en-US" w:eastAsia="zh-CN"/>
                      <w14:textFill>
                        <w14:solidFill>
                          <w14:schemeClr w14:val="tx1"/>
                        </w14:solidFill>
                      </w14:textFill>
                    </w:rPr>
                    <w:t>敏感点5F</w:t>
                  </w:r>
                </w:p>
              </w:tc>
              <w:tc>
                <w:tcPr>
                  <w:tcW w:w="843" w:type="pct"/>
                  <w:tcBorders>
                    <w:left w:val="single" w:color="auto" w:sz="4" w:space="0"/>
                  </w:tcBorders>
                  <w:noWrap w:val="0"/>
                  <w:vAlign w:val="center"/>
                </w:tcPr>
                <w:p w14:paraId="2068E2CB">
                  <w:pPr>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51</w:t>
                  </w:r>
                </w:p>
              </w:tc>
              <w:tc>
                <w:tcPr>
                  <w:tcW w:w="793" w:type="pct"/>
                  <w:tcBorders>
                    <w:left w:val="single" w:color="auto" w:sz="4" w:space="0"/>
                  </w:tcBorders>
                  <w:noWrap w:val="0"/>
                  <w:vAlign w:val="center"/>
                </w:tcPr>
                <w:p w14:paraId="0722673C">
                  <w:pPr>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40</w:t>
                  </w:r>
                </w:p>
              </w:tc>
            </w:tr>
            <w:tr w14:paraId="4158D951">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732" w:type="pct"/>
                  <w:vMerge w:val="continue"/>
                  <w:noWrap w:val="0"/>
                  <w:vAlign w:val="center"/>
                </w:tcPr>
                <w:p w14:paraId="523283E5">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c>
                <w:tcPr>
                  <w:tcW w:w="2629" w:type="pct"/>
                  <w:gridSpan w:val="2"/>
                  <w:noWrap w:val="0"/>
                  <w:vAlign w:val="center"/>
                </w:tcPr>
                <w:p w14:paraId="16E3DF3D">
                  <w:pPr>
                    <w:jc w:val="center"/>
                    <w:rPr>
                      <w:rFonts w:hint="default" w:eastAsia="宋体"/>
                      <w:color w:val="000000" w:themeColor="text1"/>
                      <w:highlight w:val="none"/>
                      <w:lang w:val="en-US" w:eastAsia="zh-CN"/>
                      <w14:textFill>
                        <w14:solidFill>
                          <w14:schemeClr w14:val="tx1"/>
                        </w14:solidFill>
                      </w14:textFill>
                    </w:rPr>
                  </w:pPr>
                  <w:r>
                    <w:rPr>
                      <w:rFonts w:hint="eastAsia" w:eastAsia="宋体"/>
                      <w:color w:val="000000" w:themeColor="text1"/>
                      <w:highlight w:val="none"/>
                      <w:lang w:val="en-US" w:eastAsia="zh-CN"/>
                      <w14:textFill>
                        <w14:solidFill>
                          <w14:schemeClr w14:val="tx1"/>
                        </w14:solidFill>
                      </w14:textFill>
                    </w:rPr>
                    <w:t>参考限值</w:t>
                  </w:r>
                </w:p>
              </w:tc>
              <w:tc>
                <w:tcPr>
                  <w:tcW w:w="843" w:type="pct"/>
                  <w:tcBorders>
                    <w:left w:val="single" w:color="auto" w:sz="4" w:space="0"/>
                  </w:tcBorders>
                  <w:noWrap w:val="0"/>
                  <w:vAlign w:val="center"/>
                </w:tcPr>
                <w:p w14:paraId="49937A0B">
                  <w:pPr>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60</w:t>
                  </w:r>
                </w:p>
              </w:tc>
              <w:tc>
                <w:tcPr>
                  <w:tcW w:w="793" w:type="pct"/>
                  <w:tcBorders>
                    <w:left w:val="single" w:color="auto" w:sz="4" w:space="0"/>
                  </w:tcBorders>
                  <w:noWrap w:val="0"/>
                  <w:vAlign w:val="center"/>
                </w:tcPr>
                <w:p w14:paraId="4C520F01">
                  <w:pPr>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50</w:t>
                  </w:r>
                </w:p>
              </w:tc>
            </w:tr>
          </w:tbl>
          <w:p w14:paraId="202C9789">
            <w:pPr>
              <w:pStyle w:val="66"/>
              <w:spacing w:line="360" w:lineRule="auto"/>
              <w:rPr>
                <w:rFonts w:hint="default" w:ascii="Times New Roman" w:hAnsi="Times New Roman" w:cs="Times New Roman"/>
                <w:color w:val="000000" w:themeColor="text1"/>
                <w:sz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监测结果表明，</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N1-N4所测的声环境噪声昼夜间检测结果均达到《声环境质量标准》（GB 3096-2008）表1中3类功能区标准限值；N5-N6所测的声环境噪声昼夜间检测结果均达到《声环境质量标准》（GB 3096-2008）表1中2类功能区标准限值。</w:t>
            </w:r>
          </w:p>
          <w:p w14:paraId="2B67457E">
            <w:pPr>
              <w:spacing w:line="360" w:lineRule="auto"/>
              <w:ind w:firstLine="482" w:firstLineChars="200"/>
              <w:rPr>
                <w:rFonts w:hint="default" w:ascii="Times New Roman" w:hAnsi="Times New Roman" w:eastAsia="宋体" w:cs="Times New Roman"/>
                <w:b/>
                <w:color w:val="000000" w:themeColor="text1"/>
                <w:sz w:val="24"/>
                <w:szCs w:val="24"/>
                <w:highlight w:val="none"/>
                <w14:textFill>
                  <w14:solidFill>
                    <w14:schemeClr w14:val="tx1"/>
                  </w14:solidFill>
                </w14:textFill>
              </w:rPr>
            </w:pPr>
            <w:r>
              <w:rPr>
                <w:rFonts w:hint="default" w:ascii="Times New Roman" w:hAnsi="Times New Roman" w:eastAsia="宋体" w:cs="Times New Roman"/>
                <w:b/>
                <w:color w:val="000000" w:themeColor="text1"/>
                <w:sz w:val="24"/>
                <w:szCs w:val="24"/>
                <w:highlight w:val="none"/>
                <w:lang w:val="en-US" w:eastAsia="zh-CN"/>
                <w14:textFill>
                  <w14:solidFill>
                    <w14:schemeClr w14:val="tx1"/>
                  </w14:solidFill>
                </w14:textFill>
              </w:rPr>
              <w:t>4</w:t>
            </w:r>
            <w:r>
              <w:rPr>
                <w:rFonts w:hint="default" w:ascii="Times New Roman" w:hAnsi="Times New Roman" w:eastAsia="宋体" w:cs="Times New Roman"/>
                <w:b/>
                <w:color w:val="000000" w:themeColor="text1"/>
                <w:sz w:val="24"/>
                <w:szCs w:val="24"/>
                <w:highlight w:val="none"/>
                <w14:textFill>
                  <w14:solidFill>
                    <w14:schemeClr w14:val="tx1"/>
                  </w14:solidFill>
                </w14:textFill>
              </w:rPr>
              <w:t>、生态环境</w:t>
            </w:r>
          </w:p>
          <w:p w14:paraId="721890A8">
            <w:pPr>
              <w:pStyle w:val="66"/>
              <w:spacing w:line="360" w:lineRule="auto"/>
              <w:rPr>
                <w:color w:val="000000" w:themeColor="text1"/>
                <w14:textFill>
                  <w14:solidFill>
                    <w14:schemeClr w14:val="tx1"/>
                  </w14:solidFill>
                </w14:textFill>
              </w:rPr>
            </w:pPr>
            <w:r>
              <w:rPr>
                <w:rFonts w:hint="eastAsia" w:ascii="Times New Roman" w:hAnsi="Times New Roman"/>
                <w:color w:val="000000" w:themeColor="text1"/>
                <w:sz w:val="24"/>
                <w:szCs w:val="24"/>
                <w:highlight w:val="none"/>
                <w14:textFill>
                  <w14:solidFill>
                    <w14:schemeClr w14:val="tx1"/>
                  </w14:solidFill>
                </w14:textFill>
              </w:rPr>
              <w:t>根据《建设项目环境影响报告表编制技术指南（污染影响类）（试行</w:t>
            </w:r>
            <w:r>
              <w:rPr>
                <w:rFonts w:hint="eastAsia"/>
                <w:color w:val="000000" w:themeColor="text1"/>
                <w:sz w:val="24"/>
                <w:szCs w:val="24"/>
                <w:highlight w:val="none"/>
                <w:lang w:eastAsia="zh-CN"/>
                <w14:textFill>
                  <w14:solidFill>
                    <w14:schemeClr w14:val="tx1"/>
                  </w14:solidFill>
                </w14:textFill>
              </w:rPr>
              <w:t>）</w:t>
            </w:r>
            <w:r>
              <w:rPr>
                <w:rFonts w:hint="eastAsia" w:ascii="Times New Roman" w:hAnsi="Times New Roman"/>
                <w:color w:val="000000" w:themeColor="text1"/>
                <w:sz w:val="24"/>
                <w:szCs w:val="24"/>
                <w:highlight w:val="none"/>
                <w14:textFill>
                  <w14:solidFill>
                    <w14:schemeClr w14:val="tx1"/>
                  </w14:solidFill>
                </w14:textFill>
              </w:rPr>
              <w:t>》，产业园区外建设项目新增用地且用地范围内含有生态环境保护目标时，应进行生态现状调查。根据调查，</w:t>
            </w:r>
            <w:r>
              <w:rPr>
                <w:rFonts w:hint="eastAsia" w:ascii="Times New Roman" w:hAnsi="Times New Roman"/>
                <w:color w:val="000000" w:themeColor="text1"/>
                <w:sz w:val="24"/>
                <w:szCs w:val="24"/>
                <w:highlight w:val="none"/>
                <w:lang w:val="en-US" w:eastAsia="zh-CN"/>
                <w14:textFill>
                  <w14:solidFill>
                    <w14:schemeClr w14:val="tx1"/>
                  </w14:solidFill>
                </w14:textFill>
              </w:rPr>
              <w:t>本项目位于工业园区</w:t>
            </w:r>
            <w:r>
              <w:rPr>
                <w:rFonts w:hint="eastAsia"/>
                <w:b w:val="0"/>
                <w:bCs w:val="0"/>
                <w:color w:val="000000" w:themeColor="text1"/>
                <w:sz w:val="24"/>
                <w:lang w:val="en-US" w:eastAsia="zh-CN"/>
                <w14:textFill>
                  <w14:solidFill>
                    <w14:schemeClr w14:val="tx1"/>
                  </w14:solidFill>
                </w14:textFill>
              </w:rPr>
              <w:t>内，</w:t>
            </w:r>
            <w:r>
              <w:rPr>
                <w:rFonts w:hint="eastAsia" w:ascii="Times New Roman" w:hAnsi="Times New Roman"/>
                <w:color w:val="000000" w:themeColor="text1"/>
                <w:sz w:val="24"/>
                <w:szCs w:val="24"/>
                <w:highlight w:val="none"/>
                <w14:textFill>
                  <w14:solidFill>
                    <w14:schemeClr w14:val="tx1"/>
                  </w14:solidFill>
                </w14:textFill>
              </w:rPr>
              <w:t>本项目用地范围内不涉及自然保护区、风景名胜区、地质公园、森林公园等特殊及重要生态敏感区，因此无需进行生态现状调查</w:t>
            </w:r>
            <w:r>
              <w:rPr>
                <w:color w:val="000000" w:themeColor="text1"/>
                <w14:textFill>
                  <w14:solidFill>
                    <w14:schemeClr w14:val="tx1"/>
                  </w14:solidFill>
                </w14:textFill>
              </w:rPr>
              <w:t>。</w:t>
            </w:r>
          </w:p>
          <w:p w14:paraId="1B546B1A">
            <w:pPr>
              <w:adjustRightInd w:val="0"/>
              <w:snapToGrid w:val="0"/>
              <w:spacing w:line="360" w:lineRule="auto"/>
              <w:ind w:firstLine="482" w:firstLineChars="200"/>
              <w:jc w:val="left"/>
              <w:rPr>
                <w:rFonts w:hint="default" w:ascii="Times New Roman" w:hAnsi="Times New Roman" w:eastAsia="宋体"/>
                <w:b/>
                <w:bCs/>
                <w:color w:val="000000" w:themeColor="text1"/>
                <w:sz w:val="24"/>
                <w:szCs w:val="24"/>
                <w:highlight w:val="none"/>
                <w:lang w:val="en-US" w:eastAsia="zh-CN"/>
                <w14:textFill>
                  <w14:solidFill>
                    <w14:schemeClr w14:val="tx1"/>
                  </w14:solidFill>
                </w14:textFill>
              </w:rPr>
            </w:pPr>
            <w:r>
              <w:rPr>
                <w:rFonts w:hint="eastAsia" w:ascii="Times New Roman" w:hAnsi="Times New Roman"/>
                <w:b/>
                <w:bCs/>
                <w:color w:val="000000" w:themeColor="text1"/>
                <w:sz w:val="24"/>
                <w:szCs w:val="24"/>
                <w:highlight w:val="none"/>
                <w14:textFill>
                  <w14:solidFill>
                    <w14:schemeClr w14:val="tx1"/>
                  </w14:solidFill>
                </w14:textFill>
              </w:rPr>
              <w:t>5、地下水</w:t>
            </w:r>
            <w:r>
              <w:rPr>
                <w:rFonts w:hint="eastAsia"/>
                <w:b/>
                <w:bCs/>
                <w:color w:val="000000" w:themeColor="text1"/>
                <w:sz w:val="24"/>
                <w:szCs w:val="24"/>
                <w:highlight w:val="none"/>
                <w:lang w:val="en-US" w:eastAsia="zh-CN"/>
                <w14:textFill>
                  <w14:solidFill>
                    <w14:schemeClr w14:val="tx1"/>
                  </w14:solidFill>
                </w14:textFill>
              </w:rPr>
              <w:t>环境质量现状</w:t>
            </w:r>
          </w:p>
          <w:p w14:paraId="1A0E5D7E">
            <w:pPr>
              <w:pStyle w:val="66"/>
              <w:spacing w:line="360" w:lineRule="auto"/>
              <w:rPr>
                <w:rFonts w:hint="eastAsia"/>
                <w:bCs/>
                <w:color w:val="000000" w:themeColor="text1"/>
                <w14:textFill>
                  <w14:solidFill>
                    <w14:schemeClr w14:val="tx1"/>
                  </w14:solidFill>
                </w14:textFill>
              </w:rPr>
            </w:pPr>
            <w:r>
              <w:rPr>
                <w:rFonts w:hint="eastAsia"/>
                <w:bCs/>
                <w:color w:val="000000" w:themeColor="text1"/>
                <w:lang w:val="en-US" w:eastAsia="zh-CN"/>
                <w14:textFill>
                  <w14:solidFill>
                    <w14:schemeClr w14:val="tx1"/>
                  </w14:solidFill>
                </w14:textFill>
              </w:rPr>
              <w:t>四川成检环境检测有限公司于2026年8月17日对项目地下水进行了监测（CE检字（2026）第0814009号），本次评价以此分析地下水环境质量</w:t>
            </w:r>
            <w:r>
              <w:rPr>
                <w:rFonts w:hint="eastAsia"/>
                <w:bCs/>
                <w:color w:val="000000" w:themeColor="text1"/>
                <w14:textFill>
                  <w14:solidFill>
                    <w14:schemeClr w14:val="tx1"/>
                  </w14:solidFill>
                </w14:textFill>
              </w:rPr>
              <w:t>。</w:t>
            </w:r>
          </w:p>
          <w:p w14:paraId="1588A5C6">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textAlignment w:val="auto"/>
              <w:rPr>
                <w:rFonts w:hint="eastAsia"/>
                <w:bCs/>
                <w:color w:val="000000" w:themeColor="text1"/>
                <w:lang w:val="en-US" w:eastAsia="zh-CN"/>
                <w14:textFill>
                  <w14:solidFill>
                    <w14:schemeClr w14:val="tx1"/>
                  </w14:solidFill>
                </w14:textFill>
              </w:rPr>
            </w:pPr>
            <w:r>
              <w:rPr>
                <w:rFonts w:hint="eastAsia"/>
                <w:bCs/>
                <w:color w:val="000000" w:themeColor="text1"/>
                <w:lang w:val="en-US" w:eastAsia="zh-CN"/>
                <w14:textFill>
                  <w14:solidFill>
                    <w14:schemeClr w14:val="tx1"/>
                  </w14:solidFill>
                </w14:textFill>
              </w:rPr>
              <w:t>（1）监测点位</w:t>
            </w:r>
          </w:p>
          <w:p w14:paraId="25B2F215">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eastAsia="宋体" w:cs="Times New Roman"/>
                <w:b/>
                <w:bCs/>
                <w:color w:val="000000" w:themeColor="text1"/>
                <w:kern w:val="0"/>
                <w:sz w:val="21"/>
                <w:szCs w:val="21"/>
                <w:highlight w:val="none"/>
                <w14:textFill>
                  <w14:solidFill>
                    <w14:schemeClr w14:val="tx1"/>
                  </w14:solidFill>
                </w14:textFill>
              </w:rPr>
            </w:pPr>
            <w:r>
              <w:rPr>
                <w:rFonts w:ascii="Times New Roman" w:hAnsi="Times New Roman" w:eastAsia="宋体" w:cs="Times New Roman"/>
                <w:b/>
                <w:bCs/>
                <w:color w:val="000000" w:themeColor="text1"/>
                <w:kern w:val="0"/>
                <w:sz w:val="21"/>
                <w:szCs w:val="21"/>
                <w:highlight w:val="none"/>
                <w14:textFill>
                  <w14:solidFill>
                    <w14:schemeClr w14:val="tx1"/>
                  </w14:solidFill>
                </w14:textFill>
              </w:rPr>
              <w:t>表3-</w:t>
            </w:r>
            <w:r>
              <w:rPr>
                <w:rFonts w:hint="eastAsia"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t>6</w:t>
            </w:r>
            <w:r>
              <w:rPr>
                <w:rFonts w:ascii="Times New Roman" w:hAnsi="Times New Roman" w:eastAsia="宋体" w:cs="Times New Roman"/>
                <w:b/>
                <w:bCs/>
                <w:color w:val="000000" w:themeColor="text1"/>
                <w:kern w:val="0"/>
                <w:sz w:val="21"/>
                <w:szCs w:val="21"/>
                <w:highlight w:val="none"/>
                <w14:textFill>
                  <w14:solidFill>
                    <w14:schemeClr w14:val="tx1"/>
                  </w14:solidFill>
                </w14:textFill>
              </w:rPr>
              <w:t xml:space="preserve"> </w:t>
            </w:r>
            <w:r>
              <w:rPr>
                <w:rFonts w:hint="eastAsia"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t>地下水监测点位一览</w:t>
            </w:r>
            <w:r>
              <w:rPr>
                <w:rFonts w:hint="eastAsia" w:ascii="Times New Roman" w:hAnsi="Times New Roman" w:eastAsia="宋体" w:cs="Times New Roman"/>
                <w:b/>
                <w:bCs/>
                <w:color w:val="000000" w:themeColor="text1"/>
                <w:kern w:val="0"/>
                <w:sz w:val="21"/>
                <w:szCs w:val="21"/>
                <w:highlight w:val="none"/>
                <w14:textFill>
                  <w14:solidFill>
                    <w14:schemeClr w14:val="tx1"/>
                  </w14:solidFill>
                </w14:textFill>
              </w:rPr>
              <w:t>表</w:t>
            </w:r>
          </w:p>
          <w:tbl>
            <w:tblPr>
              <w:tblStyle w:val="41"/>
              <w:tblW w:w="5000" w:type="pct"/>
              <w:tblInd w:w="5" w:type="dxa"/>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147"/>
              <w:gridCol w:w="1733"/>
              <w:gridCol w:w="5395"/>
            </w:tblGrid>
            <w:tr w14:paraId="59512824">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trPr>
              <w:tc>
                <w:tcPr>
                  <w:tcW w:w="693" w:type="pct"/>
                  <w:shd w:val="clear" w:color="auto" w:fill="auto"/>
                  <w:noWrap w:val="0"/>
                  <w:vAlign w:val="center"/>
                </w:tcPr>
                <w:p w14:paraId="211DDB97">
                  <w:pPr>
                    <w:widowControl/>
                    <w:spacing w:line="280" w:lineRule="exact"/>
                    <w:jc w:val="center"/>
                    <w:rPr>
                      <w:b/>
                      <w:bCs/>
                      <w:color w:val="000000" w:themeColor="text1"/>
                      <w:kern w:val="0"/>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序号</w:t>
                  </w:r>
                </w:p>
              </w:tc>
              <w:tc>
                <w:tcPr>
                  <w:tcW w:w="1047" w:type="pct"/>
                  <w:tcBorders>
                    <w:right w:val="single" w:color="auto" w:sz="4" w:space="0"/>
                  </w:tcBorders>
                  <w:shd w:val="clear" w:color="auto" w:fill="auto"/>
                  <w:noWrap w:val="0"/>
                  <w:vAlign w:val="center"/>
                </w:tcPr>
                <w:p w14:paraId="4A275AC2">
                  <w:pPr>
                    <w:widowControl/>
                    <w:spacing w:line="280" w:lineRule="exact"/>
                    <w:jc w:val="center"/>
                    <w:rPr>
                      <w:b/>
                      <w:bCs/>
                      <w:color w:val="000000" w:themeColor="text1"/>
                      <w:kern w:val="0"/>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监测点位</w:t>
                  </w:r>
                </w:p>
              </w:tc>
              <w:tc>
                <w:tcPr>
                  <w:tcW w:w="3259" w:type="pct"/>
                  <w:tcBorders>
                    <w:left w:val="single" w:color="auto" w:sz="4" w:space="0"/>
                  </w:tcBorders>
                  <w:shd w:val="clear" w:color="auto" w:fill="auto"/>
                  <w:noWrap w:val="0"/>
                  <w:vAlign w:val="center"/>
                </w:tcPr>
                <w:p w14:paraId="5E567001">
                  <w:pPr>
                    <w:spacing w:line="280" w:lineRule="exact"/>
                    <w:jc w:val="center"/>
                    <w:rPr>
                      <w:rFonts w:hint="default" w:eastAsia="宋体"/>
                      <w:b/>
                      <w:bCs/>
                      <w:color w:val="000000" w:themeColor="text1"/>
                      <w:kern w:val="0"/>
                      <w:szCs w:val="21"/>
                      <w:highlight w:val="none"/>
                      <w:lang w:val="en-US" w:eastAsia="zh-CN"/>
                      <w14:textFill>
                        <w14:solidFill>
                          <w14:schemeClr w14:val="tx1"/>
                        </w14:solidFill>
                      </w14:textFill>
                    </w:rPr>
                  </w:pPr>
                  <w:r>
                    <w:rPr>
                      <w:rFonts w:hint="eastAsia"/>
                      <w:b/>
                      <w:bCs/>
                      <w:color w:val="000000" w:themeColor="text1"/>
                      <w:kern w:val="0"/>
                      <w:szCs w:val="21"/>
                      <w:highlight w:val="none"/>
                      <w:lang w:val="en-US" w:eastAsia="zh-CN"/>
                      <w14:textFill>
                        <w14:solidFill>
                          <w14:schemeClr w14:val="tx1"/>
                        </w14:solidFill>
                      </w14:textFill>
                    </w:rPr>
                    <w:t>检测项目</w:t>
                  </w:r>
                </w:p>
              </w:tc>
            </w:tr>
            <w:tr w14:paraId="3E339BBE">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noWrap w:val="0"/>
                  <w:vAlign w:val="center"/>
                </w:tcPr>
                <w:p w14:paraId="6C2509AB">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w:t>
                  </w:r>
                </w:p>
              </w:tc>
              <w:tc>
                <w:tcPr>
                  <w:tcW w:w="1047" w:type="pct"/>
                  <w:tcBorders>
                    <w:right w:val="single" w:color="auto" w:sz="4" w:space="0"/>
                  </w:tcBorders>
                  <w:noWrap w:val="0"/>
                  <w:vAlign w:val="center"/>
                </w:tcPr>
                <w:p w14:paraId="12C0A5AE">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GW1 厂内地下水监测井</w:t>
                  </w:r>
                </w:p>
              </w:tc>
              <w:tc>
                <w:tcPr>
                  <w:tcW w:w="3259" w:type="pct"/>
                  <w:tcBorders>
                    <w:left w:val="single" w:color="auto" w:sz="4" w:space="0"/>
                  </w:tcBorders>
                  <w:noWrap w:val="0"/>
                  <w:vAlign w:val="center"/>
                </w:tcPr>
                <w:p w14:paraId="50090FAB">
                  <w:pPr>
                    <w:spacing w:beforeLines="0" w:afterLines="0"/>
                    <w:jc w:val="left"/>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钾、钠、钙、镁、碳酸根离子、碳酸氢根离子、硫酸盐、氯化物、pH、氨氮、NO</w:t>
                  </w:r>
                  <w:r>
                    <w:rPr>
                      <w:rFonts w:hint="default" w:ascii="Times New Roman" w:hAnsi="Times New Roman" w:eastAsia="宋体" w:cs="Times New Roman"/>
                      <w:color w:val="000000" w:themeColor="text1"/>
                      <w:sz w:val="21"/>
                      <w:szCs w:val="21"/>
                      <w:vertAlign w:val="subscript"/>
                      <w14:textFill>
                        <w14:solidFill>
                          <w14:schemeClr w14:val="tx1"/>
                        </w14:solidFill>
                      </w14:textFill>
                    </w:rPr>
                    <w:t>2</w:t>
                  </w:r>
                  <w:r>
                    <w:rPr>
                      <w:rFonts w:hint="eastAsia" w:ascii="Times New Roman" w:hAnsi="Times New Roman" w:eastAsia="宋体" w:cs="Times New Roman"/>
                      <w:color w:val="000000" w:themeColor="text1"/>
                      <w:sz w:val="21"/>
                      <w:szCs w:val="21"/>
                      <w:vertAlign w:val="superscript"/>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14:textFill>
                        <w14:solidFill>
                          <w14:schemeClr w14:val="tx1"/>
                        </w14:solidFill>
                      </w14:textFill>
                    </w:rPr>
                    <w:t>、NO</w:t>
                  </w:r>
                  <w:r>
                    <w:rPr>
                      <w:rFonts w:hint="default" w:ascii="Times New Roman" w:hAnsi="Times New Roman" w:eastAsia="宋体" w:cs="Times New Roman"/>
                      <w:color w:val="000000" w:themeColor="text1"/>
                      <w:sz w:val="21"/>
                      <w:szCs w:val="21"/>
                      <w:vertAlign w:val="subscript"/>
                      <w14:textFill>
                        <w14:solidFill>
                          <w14:schemeClr w14:val="tx1"/>
                        </w14:solidFill>
                      </w14:textFill>
                    </w:rPr>
                    <w:t>3</w:t>
                  </w:r>
                  <w:r>
                    <w:rPr>
                      <w:rFonts w:hint="eastAsia" w:ascii="Times New Roman" w:hAnsi="Times New Roman" w:eastAsia="宋体" w:cs="Times New Roman"/>
                      <w:color w:val="000000" w:themeColor="text1"/>
                      <w:sz w:val="21"/>
                      <w:szCs w:val="21"/>
                      <w:vertAlign w:val="superscript"/>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14:textFill>
                        <w14:solidFill>
                          <w14:schemeClr w14:val="tx1"/>
                        </w14:solidFill>
                      </w14:textFill>
                    </w:rPr>
                    <w:t>、挥发酚、阴离子表面活性剂、氰化物、砷、硒、汞、六价铬、总硬度、铅、氟化物、镉、铁、锰、铜、锌、溶解性总固体、高锰酸盐指数、总大肠菌群、菌落总数、钴、镍*、铝*</w:t>
                  </w:r>
                </w:p>
              </w:tc>
            </w:tr>
          </w:tbl>
          <w:p w14:paraId="229EF683">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textAlignment w:val="auto"/>
              <w:rPr>
                <w:rFonts w:hint="default"/>
                <w:bCs/>
                <w:color w:val="000000" w:themeColor="text1"/>
                <w:lang w:val="en-US" w:eastAsia="zh-CN"/>
                <w14:textFill>
                  <w14:solidFill>
                    <w14:schemeClr w14:val="tx1"/>
                  </w14:solidFill>
                </w14:textFill>
              </w:rPr>
            </w:pPr>
            <w:r>
              <w:rPr>
                <w:rFonts w:hint="eastAsia"/>
                <w:bCs/>
                <w:color w:val="000000" w:themeColor="text1"/>
                <w:lang w:val="en-US" w:eastAsia="zh-CN"/>
                <w14:textFill>
                  <w14:solidFill>
                    <w14:schemeClr w14:val="tx1"/>
                  </w14:solidFill>
                </w14:textFill>
              </w:rPr>
              <w:t>（2）采样及分析</w:t>
            </w:r>
          </w:p>
          <w:p w14:paraId="48845EBD">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textAlignment w:val="auto"/>
              <w:rPr>
                <w:rFonts w:hint="eastAsia" w:ascii="Times New Roman" w:hAnsi="Times New Roman" w:eastAsia="宋体" w:cs="Times New Roman"/>
                <w:bCs/>
                <w:color w:val="000000" w:themeColor="text1"/>
                <w:lang w:val="en-US" w:eastAsia="zh-CN"/>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地下水采样分析方法按《地下水质量标准》（</w:t>
            </w:r>
            <w:r>
              <w:rPr>
                <w:rFonts w:hint="default" w:ascii="Times New Roman" w:hAnsi="Times New Roman" w:eastAsia="宋体" w:cs="Times New Roman"/>
                <w:bCs/>
                <w:color w:val="000000" w:themeColor="text1"/>
                <w:lang w:val="en-US" w:eastAsia="zh-CN"/>
                <w14:textFill>
                  <w14:solidFill>
                    <w14:schemeClr w14:val="tx1"/>
                  </w14:solidFill>
                </w14:textFill>
              </w:rPr>
              <w:t>GB/T14848-2017</w:t>
            </w:r>
            <w:r>
              <w:rPr>
                <w:rFonts w:hint="eastAsia" w:ascii="Times New Roman" w:hAnsi="Times New Roman" w:eastAsia="宋体" w:cs="Times New Roman"/>
                <w:bCs/>
                <w:color w:val="000000" w:themeColor="text1"/>
                <w:lang w:val="en-US" w:eastAsia="zh-CN"/>
                <w14:textFill>
                  <w14:solidFill>
                    <w14:schemeClr w14:val="tx1"/>
                  </w14:solidFill>
                </w14:textFill>
              </w:rPr>
              <w:t>）中有关规定进行。</w:t>
            </w:r>
          </w:p>
          <w:p w14:paraId="2C26EDEF">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textAlignment w:val="auto"/>
              <w:rPr>
                <w:rFonts w:hint="eastAsia" w:ascii="Times New Roman" w:hAnsi="Times New Roman" w:eastAsia="宋体" w:cs="Times New Roman"/>
                <w:bCs/>
                <w:color w:val="000000" w:themeColor="text1"/>
                <w:lang w:val="en-US" w:eastAsia="zh-CN"/>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（3）评价方法</w:t>
            </w:r>
          </w:p>
          <w:p w14:paraId="33889E73">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textAlignment w:val="auto"/>
              <w:rPr>
                <w:rFonts w:hint="eastAsia" w:ascii="Times New Roman" w:hAnsi="Times New Roman" w:eastAsia="宋体" w:cs="Times New Roman"/>
                <w:bCs/>
                <w:color w:val="000000" w:themeColor="text1"/>
                <w:lang w:val="en-US" w:eastAsia="zh-CN"/>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采用标准指数法进行评价，标准指数计算公式分为以下两种情况：</w:t>
            </w:r>
          </w:p>
          <w:p w14:paraId="0363AAE3">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textAlignment w:val="auto"/>
              <w:rPr>
                <w:rFonts w:hint="eastAsia" w:ascii="Times New Roman" w:hAnsi="Times New Roman" w:eastAsia="宋体" w:cs="Times New Roman"/>
                <w:bCs/>
                <w:color w:val="000000" w:themeColor="text1"/>
                <w:lang w:val="en-US" w:eastAsia="zh-CN"/>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1）对于评价标准为定值的水质因子，其标准指数计算公式：</w:t>
            </w:r>
          </w:p>
          <w:p w14:paraId="4CDD712C">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center"/>
              <w:textAlignment w:val="auto"/>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1133475" cy="280035"/>
                  <wp:effectExtent l="0" t="0" r="9525" b="5715"/>
                  <wp:docPr id="2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8"/>
                          <pic:cNvPicPr>
                            <a:picLocks noChangeAspect="1"/>
                          </pic:cNvPicPr>
                        </pic:nvPicPr>
                        <pic:blipFill>
                          <a:blip r:embed="rId31"/>
                          <a:stretch>
                            <a:fillRect/>
                          </a:stretch>
                        </pic:blipFill>
                        <pic:spPr>
                          <a:xfrm>
                            <a:off x="0" y="0"/>
                            <a:ext cx="1133475" cy="280035"/>
                          </a:xfrm>
                          <a:prstGeom prst="rect">
                            <a:avLst/>
                          </a:prstGeom>
                          <a:noFill/>
                          <a:ln>
                            <a:noFill/>
                          </a:ln>
                        </pic:spPr>
                      </pic:pic>
                    </a:graphicData>
                  </a:graphic>
                </wp:inline>
              </w:drawing>
            </w:r>
          </w:p>
          <w:p w14:paraId="5DDDE51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中：P</w:t>
            </w:r>
            <w:r>
              <w:rPr>
                <w:rFonts w:hint="eastAsia" w:ascii="Times New Roman" w:hAnsi="Times New Roman" w:cs="Times New Roman"/>
                <w:b w:val="0"/>
                <w:bCs w:val="0"/>
                <w:color w:val="000000" w:themeColor="text1"/>
                <w:sz w:val="24"/>
                <w:szCs w:val="24"/>
                <w:highlight w:val="none"/>
                <w:vertAlign w:val="subscript"/>
                <w:lang w:val="en-US" w:eastAsia="zh-CN"/>
                <w14:textFill>
                  <w14:solidFill>
                    <w14:schemeClr w14:val="tx1"/>
                  </w14:solidFill>
                </w14:textFill>
              </w:rPr>
              <w:t>i</w:t>
            </w:r>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—第i个水质因子的标准指数，</w:t>
            </w:r>
            <w:r>
              <w:rPr>
                <w:rFonts w:hint="eastAsia" w:cs="Times New Roman"/>
                <w:b w:val="0"/>
                <w:bCs w:val="0"/>
                <w:color w:val="000000" w:themeColor="text1"/>
                <w:sz w:val="24"/>
                <w:szCs w:val="24"/>
                <w:highlight w:val="none"/>
                <w:lang w:val="en-US" w:eastAsia="zh-CN"/>
                <w14:textFill>
                  <w14:solidFill>
                    <w14:schemeClr w14:val="tx1"/>
                  </w14:solidFill>
                </w14:textFill>
              </w:rPr>
              <w:t>无量纲</w:t>
            </w:r>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w:t>
            </w:r>
          </w:p>
          <w:p w14:paraId="1CB7423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C</w:t>
            </w:r>
            <w:r>
              <w:rPr>
                <w:rFonts w:hint="eastAsia" w:ascii="Times New Roman" w:hAnsi="Times New Roman" w:cs="Times New Roman"/>
                <w:b w:val="0"/>
                <w:bCs w:val="0"/>
                <w:color w:val="000000" w:themeColor="text1"/>
                <w:sz w:val="24"/>
                <w:szCs w:val="24"/>
                <w:highlight w:val="none"/>
                <w:vertAlign w:val="subscript"/>
                <w:lang w:val="en-US" w:eastAsia="zh-CN"/>
                <w14:textFill>
                  <w14:solidFill>
                    <w14:schemeClr w14:val="tx1"/>
                  </w14:solidFill>
                </w14:textFill>
              </w:rPr>
              <w:t>i</w:t>
            </w:r>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—第i个水质因子的监测浓度值，mg/L；</w:t>
            </w:r>
          </w:p>
          <w:p w14:paraId="07AE7940">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C</w:t>
            </w:r>
            <w:r>
              <w:rPr>
                <w:rFonts w:hint="eastAsia" w:ascii="Times New Roman" w:hAnsi="Times New Roman" w:cs="Times New Roman"/>
                <w:b w:val="0"/>
                <w:bCs w:val="0"/>
                <w:color w:val="000000" w:themeColor="text1"/>
                <w:sz w:val="24"/>
                <w:szCs w:val="24"/>
                <w:highlight w:val="none"/>
                <w:vertAlign w:val="subscript"/>
                <w:lang w:val="en-US" w:eastAsia="zh-CN"/>
                <w14:textFill>
                  <w14:solidFill>
                    <w14:schemeClr w14:val="tx1"/>
                  </w14:solidFill>
                </w14:textFill>
              </w:rPr>
              <w:t>si</w:t>
            </w:r>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—第i个水质因子的标准浓度值，mg/L；</w:t>
            </w:r>
          </w:p>
          <w:p w14:paraId="31477742">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cs="Times New Roman"/>
                <w:b w:val="0"/>
                <w:bCs w:val="0"/>
                <w:color w:val="000000" w:themeColor="text1"/>
                <w:sz w:val="24"/>
                <w:szCs w:val="24"/>
                <w:highlight w:val="none"/>
                <w:lang w:val="en-US" w:eastAsia="zh-CN"/>
                <w14:textFill>
                  <w14:solidFill>
                    <w14:schemeClr w14:val="tx1"/>
                  </w14:solidFill>
                </w14:textFill>
              </w:rPr>
            </w:pPr>
            <w:r>
              <w:rPr>
                <w:rFonts w:hint="eastAsia" w:cs="Times New Roman"/>
                <w:b w:val="0"/>
                <w:bCs w:val="0"/>
                <w:color w:val="000000" w:themeColor="text1"/>
                <w:sz w:val="24"/>
                <w:szCs w:val="24"/>
                <w:highlight w:val="none"/>
                <w:lang w:val="en-US" w:eastAsia="zh-CN"/>
                <w14:textFill>
                  <w14:solidFill>
                    <w14:schemeClr w14:val="tx1"/>
                  </w14:solidFill>
                </w14:textFill>
              </w:rPr>
              <w:t>2）对于评价标准为区间值的水质因子(如pH值)，其标准指数计算公式：</w:t>
            </w:r>
          </w:p>
          <w:p w14:paraId="203117B8">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center"/>
              <w:textAlignment w:val="auto"/>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3475990" cy="635000"/>
                  <wp:effectExtent l="0" t="0" r="10160" b="12700"/>
                  <wp:docPr id="6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9"/>
                          <pic:cNvPicPr>
                            <a:picLocks noChangeAspect="1"/>
                          </pic:cNvPicPr>
                        </pic:nvPicPr>
                        <pic:blipFill>
                          <a:blip r:embed="rId32"/>
                          <a:stretch>
                            <a:fillRect/>
                          </a:stretch>
                        </pic:blipFill>
                        <pic:spPr>
                          <a:xfrm>
                            <a:off x="0" y="0"/>
                            <a:ext cx="3475990" cy="635000"/>
                          </a:xfrm>
                          <a:prstGeom prst="rect">
                            <a:avLst/>
                          </a:prstGeom>
                          <a:noFill/>
                          <a:ln>
                            <a:noFill/>
                          </a:ln>
                        </pic:spPr>
                      </pic:pic>
                    </a:graphicData>
                  </a:graphic>
                </wp:inline>
              </w:drawing>
            </w:r>
          </w:p>
          <w:p w14:paraId="62A114E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式中：P</w:t>
            </w:r>
            <w:r>
              <w:rPr>
                <w:rFonts w:hint="eastAsia" w:ascii="Times New Roman" w:hAnsi="Times New Roman" w:cs="Times New Roman"/>
                <w:b w:val="0"/>
                <w:bCs w:val="0"/>
                <w:color w:val="000000" w:themeColor="text1"/>
                <w:sz w:val="24"/>
                <w:szCs w:val="24"/>
                <w:highlight w:val="none"/>
                <w:vertAlign w:val="subscript"/>
                <w:lang w:val="en-US" w:eastAsia="zh-CN"/>
                <w14:textFill>
                  <w14:solidFill>
                    <w14:schemeClr w14:val="tx1"/>
                  </w14:solidFill>
                </w14:textFill>
              </w:rPr>
              <w:t>pH</w:t>
            </w:r>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—pH值的标准指数，</w:t>
            </w:r>
            <w:r>
              <w:rPr>
                <w:rFonts w:hint="eastAsia" w:cs="Times New Roman"/>
                <w:b w:val="0"/>
                <w:bCs w:val="0"/>
                <w:color w:val="000000" w:themeColor="text1"/>
                <w:sz w:val="24"/>
                <w:szCs w:val="24"/>
                <w:highlight w:val="none"/>
                <w:lang w:val="en-US" w:eastAsia="zh-CN"/>
                <w14:textFill>
                  <w14:solidFill>
                    <w14:schemeClr w14:val="tx1"/>
                  </w14:solidFill>
                </w14:textFill>
              </w:rPr>
              <w:t>无量纲</w:t>
            </w:r>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w:t>
            </w:r>
          </w:p>
          <w:p w14:paraId="4FA8A16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1200" w:firstLineChars="500"/>
              <w:jc w:val="both"/>
              <w:textAlignment w:val="auto"/>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pH—pH值的监测值；</w:t>
            </w:r>
          </w:p>
          <w:p w14:paraId="5894E88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1200" w:firstLineChars="500"/>
              <w:jc w:val="both"/>
              <w:textAlignment w:val="auto"/>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pH</w:t>
            </w:r>
            <w:r>
              <w:rPr>
                <w:rFonts w:hint="eastAsia" w:ascii="Times New Roman" w:hAnsi="Times New Roman" w:cs="Times New Roman"/>
                <w:b w:val="0"/>
                <w:bCs w:val="0"/>
                <w:color w:val="000000" w:themeColor="text1"/>
                <w:sz w:val="24"/>
                <w:szCs w:val="24"/>
                <w:highlight w:val="none"/>
                <w:vertAlign w:val="subscript"/>
                <w:lang w:val="en-US" w:eastAsia="zh-CN"/>
                <w14:textFill>
                  <w14:solidFill>
                    <w14:schemeClr w14:val="tx1"/>
                  </w14:solidFill>
                </w14:textFill>
              </w:rPr>
              <w:t>sd</w:t>
            </w:r>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—标准中pH的下限值；</w:t>
            </w:r>
          </w:p>
          <w:p w14:paraId="3F80FFD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1200" w:firstLineChars="500"/>
              <w:jc w:val="both"/>
              <w:textAlignment w:val="auto"/>
              <w:rPr>
                <w:rFonts w:hint="default" w:ascii="Times New Roman" w:hAnsi="Times New Roman" w:cs="Times New Roman"/>
                <w:b w:val="0"/>
                <w:bCs w:val="0"/>
                <w:color w:val="000000" w:themeColor="text1"/>
                <w:sz w:val="24"/>
                <w:szCs w:val="24"/>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pH</w:t>
            </w:r>
            <w:r>
              <w:rPr>
                <w:rFonts w:hint="eastAsia" w:ascii="Times New Roman" w:hAnsi="Times New Roman" w:cs="Times New Roman"/>
                <w:b w:val="0"/>
                <w:bCs w:val="0"/>
                <w:color w:val="000000" w:themeColor="text1"/>
                <w:sz w:val="24"/>
                <w:szCs w:val="24"/>
                <w:highlight w:val="none"/>
                <w:vertAlign w:val="subscript"/>
                <w:lang w:val="en-US" w:eastAsia="zh-CN"/>
                <w14:textFill>
                  <w14:solidFill>
                    <w14:schemeClr w14:val="tx1"/>
                  </w14:solidFill>
                </w14:textFill>
              </w:rPr>
              <w:t>su</w:t>
            </w:r>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—标准中pH的上限值。</w:t>
            </w:r>
          </w:p>
          <w:p w14:paraId="73C0DE22">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（4）地下水现状监测及评价结果</w:t>
            </w:r>
          </w:p>
          <w:p w14:paraId="36A89653">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pPr>
            <w:r>
              <w:rPr>
                <w:rFonts w:ascii="Times New Roman" w:hAnsi="Times New Roman" w:eastAsia="宋体" w:cs="Times New Roman"/>
                <w:b/>
                <w:bCs/>
                <w:color w:val="000000" w:themeColor="text1"/>
                <w:kern w:val="0"/>
                <w:sz w:val="21"/>
                <w:szCs w:val="21"/>
                <w:highlight w:val="none"/>
                <w14:textFill>
                  <w14:solidFill>
                    <w14:schemeClr w14:val="tx1"/>
                  </w14:solidFill>
                </w14:textFill>
              </w:rPr>
              <w:t>表3-</w:t>
            </w:r>
            <w:r>
              <w:rPr>
                <w:rFonts w:hint="eastAsia"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t>7</w:t>
            </w:r>
            <w:r>
              <w:rPr>
                <w:rFonts w:ascii="Times New Roman" w:hAnsi="Times New Roman" w:eastAsia="宋体" w:cs="Times New Roman"/>
                <w:b/>
                <w:bCs/>
                <w:color w:val="000000" w:themeColor="text1"/>
                <w:kern w:val="0"/>
                <w:sz w:val="21"/>
                <w:szCs w:val="21"/>
                <w:highlight w:val="none"/>
                <w14:textFill>
                  <w14:solidFill>
                    <w14:schemeClr w14:val="tx1"/>
                  </w14:solidFill>
                </w14:textFill>
              </w:rPr>
              <w:t xml:space="preserve"> </w:t>
            </w:r>
            <w:r>
              <w:rPr>
                <w:rFonts w:hint="eastAsia"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t>地下水检测结果 （单位：pH为无量纲，菌落总数为CFU/ml，总大肠菌群为MPN/100ml。其余为mg/L）</w:t>
            </w:r>
          </w:p>
          <w:tbl>
            <w:tblPr>
              <w:tblStyle w:val="41"/>
              <w:tblW w:w="5000" w:type="pct"/>
              <w:tblInd w:w="5" w:type="dxa"/>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147"/>
              <w:gridCol w:w="1733"/>
              <w:gridCol w:w="2697"/>
              <w:gridCol w:w="2698"/>
            </w:tblGrid>
            <w:tr w14:paraId="28B81015">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trPr>
              <w:tc>
                <w:tcPr>
                  <w:tcW w:w="693" w:type="pct"/>
                  <w:vMerge w:val="restart"/>
                  <w:shd w:val="clear" w:color="auto" w:fill="auto"/>
                  <w:noWrap w:val="0"/>
                  <w:vAlign w:val="center"/>
                </w:tcPr>
                <w:p w14:paraId="68FF3F3B">
                  <w:pPr>
                    <w:widowControl/>
                    <w:spacing w:line="280" w:lineRule="exact"/>
                    <w:jc w:val="center"/>
                    <w:rPr>
                      <w:rFonts w:hint="default" w:eastAsia="宋体"/>
                      <w:b/>
                      <w:bCs/>
                      <w:color w:val="000000" w:themeColor="text1"/>
                      <w:kern w:val="0"/>
                      <w:szCs w:val="21"/>
                      <w:highlight w:val="none"/>
                      <w:lang w:val="en-US" w:eastAsia="zh-CN"/>
                      <w14:textFill>
                        <w14:solidFill>
                          <w14:schemeClr w14:val="tx1"/>
                        </w14:solidFill>
                      </w14:textFill>
                    </w:rPr>
                  </w:pPr>
                  <w:r>
                    <w:rPr>
                      <w:rFonts w:hint="eastAsia"/>
                      <w:b/>
                      <w:bCs/>
                      <w:color w:val="000000" w:themeColor="text1"/>
                      <w:kern w:val="0"/>
                      <w:szCs w:val="21"/>
                      <w:highlight w:val="none"/>
                      <w:lang w:val="en-US" w:eastAsia="zh-CN"/>
                      <w14:textFill>
                        <w14:solidFill>
                          <w14:schemeClr w14:val="tx1"/>
                        </w14:solidFill>
                      </w14:textFill>
                    </w:rPr>
                    <w:t>采样时间</w:t>
                  </w:r>
                </w:p>
              </w:tc>
              <w:tc>
                <w:tcPr>
                  <w:tcW w:w="1047" w:type="pct"/>
                  <w:vMerge w:val="restart"/>
                  <w:tcBorders>
                    <w:right w:val="single" w:color="auto" w:sz="4" w:space="0"/>
                  </w:tcBorders>
                  <w:shd w:val="clear" w:color="auto" w:fill="auto"/>
                  <w:noWrap w:val="0"/>
                  <w:vAlign w:val="center"/>
                </w:tcPr>
                <w:p w14:paraId="46D3F1C2">
                  <w:pPr>
                    <w:widowControl/>
                    <w:spacing w:line="280" w:lineRule="exact"/>
                    <w:jc w:val="center"/>
                    <w:rPr>
                      <w:rFonts w:hint="default" w:eastAsia="宋体"/>
                      <w:b/>
                      <w:bCs/>
                      <w:color w:val="000000" w:themeColor="text1"/>
                      <w:kern w:val="0"/>
                      <w:szCs w:val="21"/>
                      <w:highlight w:val="none"/>
                      <w:lang w:val="en-US" w:eastAsia="zh-CN"/>
                      <w14:textFill>
                        <w14:solidFill>
                          <w14:schemeClr w14:val="tx1"/>
                        </w14:solidFill>
                      </w14:textFill>
                    </w:rPr>
                  </w:pPr>
                  <w:r>
                    <w:rPr>
                      <w:rFonts w:hint="eastAsia"/>
                      <w:b/>
                      <w:bCs/>
                      <w:color w:val="000000" w:themeColor="text1"/>
                      <w:kern w:val="0"/>
                      <w:szCs w:val="21"/>
                      <w:highlight w:val="none"/>
                      <w:lang w:val="en-US" w:eastAsia="zh-CN"/>
                      <w14:textFill>
                        <w14:solidFill>
                          <w14:schemeClr w14:val="tx1"/>
                        </w14:solidFill>
                      </w14:textFill>
                    </w:rPr>
                    <w:t>检测项目</w:t>
                  </w:r>
                </w:p>
              </w:tc>
              <w:tc>
                <w:tcPr>
                  <w:tcW w:w="1629" w:type="pct"/>
                  <w:tcBorders>
                    <w:left w:val="single" w:color="auto" w:sz="4" w:space="0"/>
                  </w:tcBorders>
                  <w:shd w:val="clear" w:color="auto" w:fill="auto"/>
                  <w:noWrap w:val="0"/>
                  <w:vAlign w:val="center"/>
                </w:tcPr>
                <w:p w14:paraId="50AE9EC2">
                  <w:pPr>
                    <w:spacing w:line="280" w:lineRule="exact"/>
                    <w:jc w:val="center"/>
                    <w:rPr>
                      <w:rFonts w:hint="default" w:eastAsia="宋体"/>
                      <w:b/>
                      <w:bCs/>
                      <w:color w:val="000000" w:themeColor="text1"/>
                      <w:kern w:val="0"/>
                      <w:szCs w:val="21"/>
                      <w:highlight w:val="none"/>
                      <w:lang w:val="en-US" w:eastAsia="zh-CN"/>
                      <w14:textFill>
                        <w14:solidFill>
                          <w14:schemeClr w14:val="tx1"/>
                        </w14:solidFill>
                      </w14:textFill>
                    </w:rPr>
                  </w:pPr>
                  <w:r>
                    <w:rPr>
                      <w:rFonts w:hint="eastAsia" w:eastAsia="宋体"/>
                      <w:b/>
                      <w:bCs/>
                      <w:color w:val="000000" w:themeColor="text1"/>
                      <w:kern w:val="0"/>
                      <w:szCs w:val="21"/>
                      <w:highlight w:val="none"/>
                      <w:lang w:val="en-US" w:eastAsia="zh-CN"/>
                      <w14:textFill>
                        <w14:solidFill>
                          <w14:schemeClr w14:val="tx1"/>
                        </w14:solidFill>
                      </w14:textFill>
                    </w:rPr>
                    <w:t>检测点位及结果</w:t>
                  </w:r>
                </w:p>
              </w:tc>
              <w:tc>
                <w:tcPr>
                  <w:tcW w:w="1630" w:type="pct"/>
                  <w:vMerge w:val="restart"/>
                  <w:tcBorders>
                    <w:left w:val="single" w:color="auto" w:sz="4" w:space="0"/>
                  </w:tcBorders>
                  <w:shd w:val="clear" w:color="auto" w:fill="auto"/>
                  <w:noWrap w:val="0"/>
                  <w:vAlign w:val="center"/>
                </w:tcPr>
                <w:p w14:paraId="1FE4B584">
                  <w:pPr>
                    <w:spacing w:line="280" w:lineRule="exact"/>
                    <w:jc w:val="center"/>
                    <w:rPr>
                      <w:rFonts w:hint="default" w:eastAsia="宋体"/>
                      <w:b/>
                      <w:bCs/>
                      <w:color w:val="000000" w:themeColor="text1"/>
                      <w:kern w:val="0"/>
                      <w:szCs w:val="21"/>
                      <w:highlight w:val="none"/>
                      <w:lang w:val="en-US" w:eastAsia="zh-CN"/>
                      <w14:textFill>
                        <w14:solidFill>
                          <w14:schemeClr w14:val="tx1"/>
                        </w14:solidFill>
                      </w14:textFill>
                    </w:rPr>
                  </w:pPr>
                  <w:r>
                    <w:rPr>
                      <w:rFonts w:hint="eastAsia" w:eastAsia="宋体"/>
                      <w:b/>
                      <w:bCs/>
                      <w:color w:val="000000" w:themeColor="text1"/>
                      <w:kern w:val="0"/>
                      <w:szCs w:val="21"/>
                      <w:highlight w:val="none"/>
                      <w:lang w:val="en-US" w:eastAsia="zh-CN"/>
                      <w14:textFill>
                        <w14:solidFill>
                          <w14:schemeClr w14:val="tx1"/>
                        </w14:solidFill>
                      </w14:textFill>
                    </w:rPr>
                    <w:t>参考限值</w:t>
                  </w:r>
                </w:p>
              </w:tc>
            </w:tr>
            <w:tr w14:paraId="450B2499">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2A203C21">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047" w:type="pct"/>
                  <w:vMerge w:val="continue"/>
                  <w:tcBorders>
                    <w:right w:val="single" w:color="auto" w:sz="4" w:space="0"/>
                  </w:tcBorders>
                  <w:noWrap w:val="0"/>
                  <w:vAlign w:val="center"/>
                </w:tcPr>
                <w:p w14:paraId="2FE43C73">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629" w:type="pct"/>
                  <w:tcBorders>
                    <w:left w:val="single" w:color="auto" w:sz="4" w:space="0"/>
                  </w:tcBorders>
                  <w:noWrap w:val="0"/>
                  <w:vAlign w:val="center"/>
                </w:tcPr>
                <w:p w14:paraId="5A79D9C9">
                  <w:pPr>
                    <w:spacing w:beforeLines="0" w:afterLine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GW1 厂内地下水监测井</w:t>
                  </w:r>
                </w:p>
              </w:tc>
              <w:tc>
                <w:tcPr>
                  <w:tcW w:w="1630" w:type="pct"/>
                  <w:vMerge w:val="continue"/>
                  <w:tcBorders>
                    <w:left w:val="single" w:color="auto" w:sz="4" w:space="0"/>
                  </w:tcBorders>
                  <w:noWrap w:val="0"/>
                  <w:vAlign w:val="center"/>
                </w:tcPr>
                <w:p w14:paraId="06C61811">
                  <w:pPr>
                    <w:spacing w:beforeLines="0" w:afterLines="0"/>
                    <w:jc w:val="left"/>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r>
            <w:tr w14:paraId="10748FA4">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restart"/>
                  <w:noWrap w:val="0"/>
                  <w:vAlign w:val="center"/>
                </w:tcPr>
                <w:p w14:paraId="0B3A0BF0">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2026.8.17</w:t>
                  </w:r>
                </w:p>
              </w:tc>
              <w:tc>
                <w:tcPr>
                  <w:tcW w:w="1047" w:type="pct"/>
                  <w:tcBorders>
                    <w:right w:val="single" w:color="auto" w:sz="4" w:space="0"/>
                  </w:tcBorders>
                  <w:noWrap w:val="0"/>
                  <w:vAlign w:val="center"/>
                </w:tcPr>
                <w:p w14:paraId="34662FC3">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钾</w:t>
                  </w:r>
                </w:p>
              </w:tc>
              <w:tc>
                <w:tcPr>
                  <w:tcW w:w="1629" w:type="pct"/>
                  <w:tcBorders>
                    <w:left w:val="single" w:color="auto" w:sz="4" w:space="0"/>
                  </w:tcBorders>
                  <w:noWrap w:val="0"/>
                  <w:vAlign w:val="center"/>
                </w:tcPr>
                <w:p w14:paraId="2E57C5A8">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24.4</w:t>
                  </w:r>
                </w:p>
              </w:tc>
              <w:tc>
                <w:tcPr>
                  <w:tcW w:w="1630" w:type="pct"/>
                  <w:tcBorders>
                    <w:left w:val="single" w:color="auto" w:sz="4" w:space="0"/>
                  </w:tcBorders>
                  <w:noWrap w:val="0"/>
                  <w:vAlign w:val="center"/>
                </w:tcPr>
                <w:p w14:paraId="771ADE08">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r>
            <w:tr w14:paraId="0946F17A">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16E9D752">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047" w:type="pct"/>
                  <w:tcBorders>
                    <w:right w:val="single" w:color="auto" w:sz="4" w:space="0"/>
                  </w:tcBorders>
                  <w:noWrap w:val="0"/>
                  <w:vAlign w:val="center"/>
                </w:tcPr>
                <w:p w14:paraId="375D0B14">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钠</w:t>
                  </w:r>
                </w:p>
              </w:tc>
              <w:tc>
                <w:tcPr>
                  <w:tcW w:w="1629" w:type="pct"/>
                  <w:tcBorders>
                    <w:left w:val="single" w:color="auto" w:sz="4" w:space="0"/>
                  </w:tcBorders>
                  <w:noWrap w:val="0"/>
                  <w:vAlign w:val="center"/>
                </w:tcPr>
                <w:p w14:paraId="0A3AB1D3">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90.7</w:t>
                  </w:r>
                </w:p>
              </w:tc>
              <w:tc>
                <w:tcPr>
                  <w:tcW w:w="1630" w:type="pct"/>
                  <w:tcBorders>
                    <w:left w:val="single" w:color="auto" w:sz="4" w:space="0"/>
                  </w:tcBorders>
                  <w:noWrap w:val="0"/>
                  <w:vAlign w:val="center"/>
                </w:tcPr>
                <w:p w14:paraId="36D2E589">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≤200</w:t>
                  </w:r>
                </w:p>
              </w:tc>
            </w:tr>
            <w:tr w14:paraId="688E3C15">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5310BD2B">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047" w:type="pct"/>
                  <w:tcBorders>
                    <w:right w:val="single" w:color="auto" w:sz="4" w:space="0"/>
                  </w:tcBorders>
                  <w:noWrap w:val="0"/>
                  <w:vAlign w:val="center"/>
                </w:tcPr>
                <w:p w14:paraId="3C721B66">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钙</w:t>
                  </w:r>
                </w:p>
              </w:tc>
              <w:tc>
                <w:tcPr>
                  <w:tcW w:w="1629" w:type="pct"/>
                  <w:tcBorders>
                    <w:left w:val="single" w:color="auto" w:sz="4" w:space="0"/>
                  </w:tcBorders>
                  <w:noWrap w:val="0"/>
                  <w:vAlign w:val="center"/>
                </w:tcPr>
                <w:p w14:paraId="585F91C6">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73.0</w:t>
                  </w:r>
                </w:p>
              </w:tc>
              <w:tc>
                <w:tcPr>
                  <w:tcW w:w="1630" w:type="pct"/>
                  <w:tcBorders>
                    <w:left w:val="single" w:color="auto" w:sz="4" w:space="0"/>
                  </w:tcBorders>
                  <w:noWrap w:val="0"/>
                  <w:vAlign w:val="center"/>
                </w:tcPr>
                <w:p w14:paraId="02FCB47C">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r>
            <w:tr w14:paraId="6BE8AB4B">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41BCDE37">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047" w:type="pct"/>
                  <w:tcBorders>
                    <w:right w:val="single" w:color="auto" w:sz="4" w:space="0"/>
                  </w:tcBorders>
                  <w:noWrap w:val="0"/>
                  <w:vAlign w:val="center"/>
                </w:tcPr>
                <w:p w14:paraId="1A76A3BB">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镁</w:t>
                  </w:r>
                </w:p>
              </w:tc>
              <w:tc>
                <w:tcPr>
                  <w:tcW w:w="1629" w:type="pct"/>
                  <w:tcBorders>
                    <w:left w:val="single" w:color="auto" w:sz="4" w:space="0"/>
                  </w:tcBorders>
                  <w:noWrap w:val="0"/>
                  <w:vAlign w:val="center"/>
                </w:tcPr>
                <w:p w14:paraId="39BCAF29">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23.0</w:t>
                  </w:r>
                </w:p>
              </w:tc>
              <w:tc>
                <w:tcPr>
                  <w:tcW w:w="1630" w:type="pct"/>
                  <w:tcBorders>
                    <w:left w:val="single" w:color="auto" w:sz="4" w:space="0"/>
                  </w:tcBorders>
                  <w:noWrap w:val="0"/>
                  <w:vAlign w:val="center"/>
                </w:tcPr>
                <w:p w14:paraId="52F27EC4">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r>
            <w:tr w14:paraId="583317CD">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625F40CB">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047" w:type="pct"/>
                  <w:tcBorders>
                    <w:right w:val="single" w:color="auto" w:sz="4" w:space="0"/>
                  </w:tcBorders>
                  <w:noWrap w:val="0"/>
                  <w:vAlign w:val="center"/>
                </w:tcPr>
                <w:p w14:paraId="698DAAFC">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碳酸根离子</w:t>
                  </w:r>
                </w:p>
              </w:tc>
              <w:tc>
                <w:tcPr>
                  <w:tcW w:w="1629" w:type="pct"/>
                  <w:tcBorders>
                    <w:left w:val="single" w:color="auto" w:sz="4" w:space="0"/>
                  </w:tcBorders>
                  <w:noWrap w:val="0"/>
                  <w:vAlign w:val="center"/>
                </w:tcPr>
                <w:p w14:paraId="2DE19BB7">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未检出</w:t>
                  </w:r>
                </w:p>
              </w:tc>
              <w:tc>
                <w:tcPr>
                  <w:tcW w:w="1630" w:type="pct"/>
                  <w:tcBorders>
                    <w:left w:val="single" w:color="auto" w:sz="4" w:space="0"/>
                  </w:tcBorders>
                  <w:noWrap w:val="0"/>
                  <w:vAlign w:val="center"/>
                </w:tcPr>
                <w:p w14:paraId="1385875B">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r>
            <w:tr w14:paraId="4CF7A635">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2C0F9A64">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047" w:type="pct"/>
                  <w:tcBorders>
                    <w:right w:val="single" w:color="auto" w:sz="4" w:space="0"/>
                  </w:tcBorders>
                  <w:noWrap w:val="0"/>
                  <w:vAlign w:val="center"/>
                </w:tcPr>
                <w:p w14:paraId="70E5DCD6">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碳酸氢根离子</w:t>
                  </w:r>
                </w:p>
              </w:tc>
              <w:tc>
                <w:tcPr>
                  <w:tcW w:w="1629" w:type="pct"/>
                  <w:tcBorders>
                    <w:left w:val="single" w:color="auto" w:sz="4" w:space="0"/>
                  </w:tcBorders>
                  <w:noWrap w:val="0"/>
                  <w:vAlign w:val="center"/>
                </w:tcPr>
                <w:p w14:paraId="2D759BC5">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450</w:t>
                  </w:r>
                </w:p>
              </w:tc>
              <w:tc>
                <w:tcPr>
                  <w:tcW w:w="1630" w:type="pct"/>
                  <w:tcBorders>
                    <w:left w:val="single" w:color="auto" w:sz="4" w:space="0"/>
                  </w:tcBorders>
                  <w:noWrap w:val="0"/>
                  <w:vAlign w:val="center"/>
                </w:tcPr>
                <w:p w14:paraId="7BDBAAA8">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r>
            <w:tr w14:paraId="1A0746CB">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44F8B7FB">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047" w:type="pct"/>
                  <w:tcBorders>
                    <w:right w:val="single" w:color="auto" w:sz="4" w:space="0"/>
                  </w:tcBorders>
                  <w:noWrap w:val="0"/>
                  <w:vAlign w:val="center"/>
                </w:tcPr>
                <w:p w14:paraId="37994E76">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氟化物</w:t>
                  </w:r>
                </w:p>
              </w:tc>
              <w:tc>
                <w:tcPr>
                  <w:tcW w:w="1629" w:type="pct"/>
                  <w:tcBorders>
                    <w:left w:val="single" w:color="auto" w:sz="4" w:space="0"/>
                  </w:tcBorders>
                  <w:noWrap w:val="0"/>
                  <w:vAlign w:val="center"/>
                </w:tcPr>
                <w:p w14:paraId="4ECF83F0">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0.231</w:t>
                  </w:r>
                </w:p>
              </w:tc>
              <w:tc>
                <w:tcPr>
                  <w:tcW w:w="1630" w:type="pct"/>
                  <w:tcBorders>
                    <w:left w:val="single" w:color="auto" w:sz="4" w:space="0"/>
                  </w:tcBorders>
                  <w:noWrap w:val="0"/>
                  <w:vAlign w:val="center"/>
                </w:tcPr>
                <w:p w14:paraId="49E6DE06">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≤1.0</w:t>
                  </w:r>
                </w:p>
              </w:tc>
            </w:tr>
            <w:tr w14:paraId="6A5D39FD">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745CF6CD">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047" w:type="pct"/>
                  <w:tcBorders>
                    <w:right w:val="single" w:color="auto" w:sz="4" w:space="0"/>
                  </w:tcBorders>
                  <w:noWrap w:val="0"/>
                  <w:vAlign w:val="center"/>
                </w:tcPr>
                <w:p w14:paraId="262C0591">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氯化物</w:t>
                  </w:r>
                </w:p>
              </w:tc>
              <w:tc>
                <w:tcPr>
                  <w:tcW w:w="1629" w:type="pct"/>
                  <w:tcBorders>
                    <w:left w:val="single" w:color="auto" w:sz="4" w:space="0"/>
                  </w:tcBorders>
                  <w:noWrap w:val="0"/>
                  <w:vAlign w:val="center"/>
                </w:tcPr>
                <w:p w14:paraId="454A1F94">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27.6</w:t>
                  </w:r>
                </w:p>
              </w:tc>
              <w:tc>
                <w:tcPr>
                  <w:tcW w:w="1630" w:type="pct"/>
                  <w:tcBorders>
                    <w:left w:val="single" w:color="auto" w:sz="4" w:space="0"/>
                  </w:tcBorders>
                  <w:noWrap w:val="0"/>
                  <w:vAlign w:val="center"/>
                </w:tcPr>
                <w:p w14:paraId="61C946DD">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≤250</w:t>
                  </w:r>
                </w:p>
              </w:tc>
            </w:tr>
            <w:tr w14:paraId="5223438A">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2AEDFE6A">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047" w:type="pct"/>
                  <w:tcBorders>
                    <w:right w:val="single" w:color="auto" w:sz="4" w:space="0"/>
                  </w:tcBorders>
                  <w:noWrap w:val="0"/>
                  <w:vAlign w:val="center"/>
                </w:tcPr>
                <w:p w14:paraId="29F6E295">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NO</w:t>
                  </w:r>
                  <w:r>
                    <w:rPr>
                      <w:rFonts w:hint="default" w:ascii="Times New Roman" w:hAnsi="Times New Roman" w:eastAsia="宋体" w:cs="Times New Roman"/>
                      <w:color w:val="000000" w:themeColor="text1"/>
                      <w:sz w:val="21"/>
                      <w:szCs w:val="21"/>
                      <w:highlight w:val="none"/>
                      <w:vertAlign w:val="subscript"/>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（以N计）</w:t>
                  </w:r>
                </w:p>
              </w:tc>
              <w:tc>
                <w:tcPr>
                  <w:tcW w:w="1629" w:type="pct"/>
                  <w:tcBorders>
                    <w:left w:val="single" w:color="auto" w:sz="4" w:space="0"/>
                  </w:tcBorders>
                  <w:noWrap w:val="0"/>
                  <w:vAlign w:val="center"/>
                </w:tcPr>
                <w:p w14:paraId="3F6515A4">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未检出</w:t>
                  </w:r>
                </w:p>
              </w:tc>
              <w:tc>
                <w:tcPr>
                  <w:tcW w:w="1630" w:type="pct"/>
                  <w:tcBorders>
                    <w:left w:val="single" w:color="auto" w:sz="4" w:space="0"/>
                  </w:tcBorders>
                  <w:noWrap w:val="0"/>
                  <w:vAlign w:val="center"/>
                </w:tcPr>
                <w:p w14:paraId="745D5611">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≤1.00</w:t>
                  </w:r>
                </w:p>
              </w:tc>
            </w:tr>
            <w:tr w14:paraId="7B53C0A5">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499DC16C">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047" w:type="pct"/>
                  <w:tcBorders>
                    <w:right w:val="single" w:color="auto" w:sz="4" w:space="0"/>
                  </w:tcBorders>
                  <w:noWrap w:val="0"/>
                  <w:vAlign w:val="center"/>
                </w:tcPr>
                <w:p w14:paraId="65036B36">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NO</w:t>
                  </w:r>
                  <w:r>
                    <w:rPr>
                      <w:rFonts w:hint="default" w:ascii="Times New Roman" w:hAnsi="Times New Roman" w:eastAsia="宋体" w:cs="Times New Roman"/>
                      <w:color w:val="000000" w:themeColor="text1"/>
                      <w:sz w:val="21"/>
                      <w:szCs w:val="21"/>
                      <w:highlight w:val="none"/>
                      <w:vertAlign w:val="subscript"/>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（以N计）</w:t>
                  </w:r>
                </w:p>
              </w:tc>
              <w:tc>
                <w:tcPr>
                  <w:tcW w:w="1629" w:type="pct"/>
                  <w:tcBorders>
                    <w:left w:val="single" w:color="auto" w:sz="4" w:space="0"/>
                  </w:tcBorders>
                  <w:noWrap w:val="0"/>
                  <w:vAlign w:val="center"/>
                </w:tcPr>
                <w:p w14:paraId="29500E05">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0.862</w:t>
                  </w:r>
                </w:p>
              </w:tc>
              <w:tc>
                <w:tcPr>
                  <w:tcW w:w="1630" w:type="pct"/>
                  <w:tcBorders>
                    <w:left w:val="single" w:color="auto" w:sz="4" w:space="0"/>
                  </w:tcBorders>
                  <w:noWrap w:val="0"/>
                  <w:vAlign w:val="center"/>
                </w:tcPr>
                <w:p w14:paraId="6571C0DE">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≤20.0</w:t>
                  </w:r>
                </w:p>
              </w:tc>
            </w:tr>
            <w:tr w14:paraId="7EB46E4A">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5EB8935C">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047" w:type="pct"/>
                  <w:tcBorders>
                    <w:right w:val="single" w:color="auto" w:sz="4" w:space="0"/>
                  </w:tcBorders>
                  <w:noWrap w:val="0"/>
                  <w:vAlign w:val="center"/>
                </w:tcPr>
                <w:p w14:paraId="4F40C5C7">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硫酸盐</w:t>
                  </w:r>
                </w:p>
              </w:tc>
              <w:tc>
                <w:tcPr>
                  <w:tcW w:w="1629" w:type="pct"/>
                  <w:tcBorders>
                    <w:left w:val="single" w:color="auto" w:sz="4" w:space="0"/>
                  </w:tcBorders>
                  <w:noWrap w:val="0"/>
                  <w:vAlign w:val="center"/>
                </w:tcPr>
                <w:p w14:paraId="59F8AC8C">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36.5</w:t>
                  </w:r>
                </w:p>
              </w:tc>
              <w:tc>
                <w:tcPr>
                  <w:tcW w:w="1630" w:type="pct"/>
                  <w:tcBorders>
                    <w:left w:val="single" w:color="auto" w:sz="4" w:space="0"/>
                  </w:tcBorders>
                  <w:noWrap w:val="0"/>
                  <w:vAlign w:val="center"/>
                </w:tcPr>
                <w:p w14:paraId="10A1AF03">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≤250</w:t>
                  </w:r>
                </w:p>
              </w:tc>
            </w:tr>
            <w:tr w14:paraId="5567E882">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6927468B">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047" w:type="pct"/>
                  <w:tcBorders>
                    <w:right w:val="single" w:color="auto" w:sz="4" w:space="0"/>
                  </w:tcBorders>
                  <w:noWrap w:val="0"/>
                  <w:vAlign w:val="center"/>
                </w:tcPr>
                <w:p w14:paraId="66B0A003">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pH</w:t>
                  </w:r>
                </w:p>
              </w:tc>
              <w:tc>
                <w:tcPr>
                  <w:tcW w:w="1629" w:type="pct"/>
                  <w:tcBorders>
                    <w:left w:val="single" w:color="auto" w:sz="4" w:space="0"/>
                  </w:tcBorders>
                  <w:noWrap w:val="0"/>
                  <w:vAlign w:val="center"/>
                </w:tcPr>
                <w:p w14:paraId="22F3F1C4">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7.2</w:t>
                  </w:r>
                </w:p>
              </w:tc>
              <w:tc>
                <w:tcPr>
                  <w:tcW w:w="1630" w:type="pct"/>
                  <w:tcBorders>
                    <w:left w:val="single" w:color="auto" w:sz="4" w:space="0"/>
                  </w:tcBorders>
                  <w:noWrap w:val="0"/>
                  <w:vAlign w:val="center"/>
                </w:tcPr>
                <w:p w14:paraId="15F2382B">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6.5≤pH≤8.5</w:t>
                  </w:r>
                </w:p>
              </w:tc>
            </w:tr>
            <w:tr w14:paraId="7CEBE680">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44C89EA6">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047" w:type="pct"/>
                  <w:tcBorders>
                    <w:right w:val="single" w:color="auto" w:sz="4" w:space="0"/>
                  </w:tcBorders>
                  <w:noWrap w:val="0"/>
                  <w:vAlign w:val="center"/>
                </w:tcPr>
                <w:p w14:paraId="0BAD8AF3">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氨氮</w:t>
                  </w:r>
                </w:p>
              </w:tc>
              <w:tc>
                <w:tcPr>
                  <w:tcW w:w="1629" w:type="pct"/>
                  <w:tcBorders>
                    <w:left w:val="single" w:color="auto" w:sz="4" w:space="0"/>
                  </w:tcBorders>
                  <w:noWrap w:val="0"/>
                  <w:vAlign w:val="center"/>
                </w:tcPr>
                <w:p w14:paraId="03FF0FB4">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0.237</w:t>
                  </w:r>
                </w:p>
              </w:tc>
              <w:tc>
                <w:tcPr>
                  <w:tcW w:w="1630" w:type="pct"/>
                  <w:tcBorders>
                    <w:left w:val="single" w:color="auto" w:sz="4" w:space="0"/>
                  </w:tcBorders>
                  <w:noWrap w:val="0"/>
                  <w:vAlign w:val="center"/>
                </w:tcPr>
                <w:p w14:paraId="1263EA10">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≤0.50</w:t>
                  </w:r>
                </w:p>
              </w:tc>
            </w:tr>
            <w:tr w14:paraId="06CE9EC2">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15490E36">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047" w:type="pct"/>
                  <w:tcBorders>
                    <w:right w:val="single" w:color="auto" w:sz="4" w:space="0"/>
                  </w:tcBorders>
                  <w:noWrap w:val="0"/>
                  <w:vAlign w:val="center"/>
                </w:tcPr>
                <w:p w14:paraId="1BE83BFA">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总硬度</w:t>
                  </w:r>
                </w:p>
              </w:tc>
              <w:tc>
                <w:tcPr>
                  <w:tcW w:w="1629" w:type="pct"/>
                  <w:tcBorders>
                    <w:left w:val="single" w:color="auto" w:sz="4" w:space="0"/>
                  </w:tcBorders>
                  <w:noWrap w:val="0"/>
                  <w:vAlign w:val="center"/>
                </w:tcPr>
                <w:p w14:paraId="5560F2D3">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180</w:t>
                  </w:r>
                </w:p>
              </w:tc>
              <w:tc>
                <w:tcPr>
                  <w:tcW w:w="1630" w:type="pct"/>
                  <w:tcBorders>
                    <w:left w:val="single" w:color="auto" w:sz="4" w:space="0"/>
                  </w:tcBorders>
                  <w:noWrap w:val="0"/>
                  <w:vAlign w:val="center"/>
                </w:tcPr>
                <w:p w14:paraId="7C0B9A0E">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≤450</w:t>
                  </w:r>
                </w:p>
              </w:tc>
            </w:tr>
            <w:tr w14:paraId="152758E1">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7B10B4EB">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047" w:type="pct"/>
                  <w:tcBorders>
                    <w:right w:val="single" w:color="auto" w:sz="4" w:space="0"/>
                  </w:tcBorders>
                  <w:noWrap w:val="0"/>
                  <w:vAlign w:val="center"/>
                </w:tcPr>
                <w:p w14:paraId="412860BD">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溶解性总固体</w:t>
                  </w:r>
                </w:p>
              </w:tc>
              <w:tc>
                <w:tcPr>
                  <w:tcW w:w="1629" w:type="pct"/>
                  <w:tcBorders>
                    <w:left w:val="single" w:color="auto" w:sz="4" w:space="0"/>
                  </w:tcBorders>
                  <w:noWrap w:val="0"/>
                  <w:vAlign w:val="center"/>
                </w:tcPr>
                <w:p w14:paraId="4DCF2DFC">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509</w:t>
                  </w:r>
                </w:p>
              </w:tc>
              <w:tc>
                <w:tcPr>
                  <w:tcW w:w="1630" w:type="pct"/>
                  <w:tcBorders>
                    <w:left w:val="single" w:color="auto" w:sz="4" w:space="0"/>
                  </w:tcBorders>
                  <w:noWrap w:val="0"/>
                  <w:vAlign w:val="center"/>
                </w:tcPr>
                <w:p w14:paraId="3B8CA6B9">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≤1000</w:t>
                  </w:r>
                </w:p>
              </w:tc>
            </w:tr>
            <w:tr w14:paraId="1B16E547">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4D09977F">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047" w:type="pct"/>
                  <w:tcBorders>
                    <w:right w:val="single" w:color="auto" w:sz="4" w:space="0"/>
                  </w:tcBorders>
                  <w:noWrap w:val="0"/>
                  <w:vAlign w:val="center"/>
                </w:tcPr>
                <w:p w14:paraId="1CBA0E2F">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高锰酸盐指数（以O</w:t>
                  </w:r>
                  <w:r>
                    <w:rPr>
                      <w:rFonts w:hint="default" w:ascii="Times New Roman" w:hAnsi="Times New Roman" w:eastAsia="宋体" w:cs="Times New Roman"/>
                      <w:color w:val="000000" w:themeColor="text1"/>
                      <w:sz w:val="21"/>
                      <w:szCs w:val="21"/>
                      <w:highlight w:val="none"/>
                      <w:vertAlign w:val="subscript"/>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计）</w:t>
                  </w:r>
                </w:p>
              </w:tc>
              <w:tc>
                <w:tcPr>
                  <w:tcW w:w="1629" w:type="pct"/>
                  <w:tcBorders>
                    <w:left w:val="single" w:color="auto" w:sz="4" w:space="0"/>
                  </w:tcBorders>
                  <w:noWrap w:val="0"/>
                  <w:vAlign w:val="center"/>
                </w:tcPr>
                <w:p w14:paraId="3E52A36B">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1.9</w:t>
                  </w:r>
                </w:p>
              </w:tc>
              <w:tc>
                <w:tcPr>
                  <w:tcW w:w="1630" w:type="pct"/>
                  <w:tcBorders>
                    <w:left w:val="single" w:color="auto" w:sz="4" w:space="0"/>
                  </w:tcBorders>
                  <w:noWrap w:val="0"/>
                  <w:vAlign w:val="center"/>
                </w:tcPr>
                <w:p w14:paraId="78FF7125">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≤3.0</w:t>
                  </w:r>
                </w:p>
              </w:tc>
            </w:tr>
            <w:tr w14:paraId="24399086">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2AD565AC">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047" w:type="pct"/>
                  <w:tcBorders>
                    <w:right w:val="single" w:color="auto" w:sz="4" w:space="0"/>
                  </w:tcBorders>
                  <w:noWrap w:val="0"/>
                  <w:vAlign w:val="center"/>
                </w:tcPr>
                <w:p w14:paraId="697B30DF">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挥发酚</w:t>
                  </w:r>
                </w:p>
              </w:tc>
              <w:tc>
                <w:tcPr>
                  <w:tcW w:w="1629" w:type="pct"/>
                  <w:tcBorders>
                    <w:left w:val="single" w:color="auto" w:sz="4" w:space="0"/>
                  </w:tcBorders>
                  <w:noWrap w:val="0"/>
                  <w:vAlign w:val="center"/>
                </w:tcPr>
                <w:p w14:paraId="09C2FD7D">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未检出</w:t>
                  </w:r>
                </w:p>
              </w:tc>
              <w:tc>
                <w:tcPr>
                  <w:tcW w:w="1630" w:type="pct"/>
                  <w:tcBorders>
                    <w:left w:val="single" w:color="auto" w:sz="4" w:space="0"/>
                  </w:tcBorders>
                  <w:noWrap w:val="0"/>
                  <w:vAlign w:val="center"/>
                </w:tcPr>
                <w:p w14:paraId="23DF5E33">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≤0.002</w:t>
                  </w:r>
                </w:p>
              </w:tc>
            </w:tr>
            <w:tr w14:paraId="69D66EB4">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67597DA3">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047" w:type="pct"/>
                  <w:tcBorders>
                    <w:right w:val="single" w:color="auto" w:sz="4" w:space="0"/>
                  </w:tcBorders>
                  <w:noWrap w:val="0"/>
                  <w:vAlign w:val="center"/>
                </w:tcPr>
                <w:p w14:paraId="1810CD2B">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氰化物</w:t>
                  </w:r>
                </w:p>
              </w:tc>
              <w:tc>
                <w:tcPr>
                  <w:tcW w:w="1629" w:type="pct"/>
                  <w:tcBorders>
                    <w:left w:val="single" w:color="auto" w:sz="4" w:space="0"/>
                  </w:tcBorders>
                  <w:noWrap w:val="0"/>
                  <w:vAlign w:val="center"/>
                </w:tcPr>
                <w:p w14:paraId="112A1838">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未检出</w:t>
                  </w:r>
                </w:p>
              </w:tc>
              <w:tc>
                <w:tcPr>
                  <w:tcW w:w="1630" w:type="pct"/>
                  <w:tcBorders>
                    <w:left w:val="single" w:color="auto" w:sz="4" w:space="0"/>
                  </w:tcBorders>
                  <w:noWrap w:val="0"/>
                  <w:vAlign w:val="center"/>
                </w:tcPr>
                <w:p w14:paraId="79855E5D">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≤0.05</w:t>
                  </w:r>
                </w:p>
              </w:tc>
            </w:tr>
            <w:tr w14:paraId="2DB82668">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4370141F">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047" w:type="pct"/>
                  <w:tcBorders>
                    <w:right w:val="single" w:color="auto" w:sz="4" w:space="0"/>
                  </w:tcBorders>
                  <w:noWrap w:val="0"/>
                  <w:vAlign w:val="center"/>
                </w:tcPr>
                <w:p w14:paraId="7C29E0C6">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菌落总数</w:t>
                  </w:r>
                </w:p>
              </w:tc>
              <w:tc>
                <w:tcPr>
                  <w:tcW w:w="1629" w:type="pct"/>
                  <w:tcBorders>
                    <w:left w:val="single" w:color="auto" w:sz="4" w:space="0"/>
                  </w:tcBorders>
                  <w:noWrap w:val="0"/>
                  <w:vAlign w:val="center"/>
                </w:tcPr>
                <w:p w14:paraId="6286C054">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7</w:t>
                  </w:r>
                </w:p>
              </w:tc>
              <w:tc>
                <w:tcPr>
                  <w:tcW w:w="1630" w:type="pct"/>
                  <w:tcBorders>
                    <w:left w:val="single" w:color="auto" w:sz="4" w:space="0"/>
                  </w:tcBorders>
                  <w:noWrap w:val="0"/>
                  <w:vAlign w:val="center"/>
                </w:tcPr>
                <w:p w14:paraId="57D5FB2E">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≤100</w:t>
                  </w:r>
                </w:p>
              </w:tc>
            </w:tr>
            <w:tr w14:paraId="14036B60">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4A205E1B">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047" w:type="pct"/>
                  <w:tcBorders>
                    <w:right w:val="single" w:color="auto" w:sz="4" w:space="0"/>
                  </w:tcBorders>
                  <w:noWrap w:val="0"/>
                  <w:vAlign w:val="center"/>
                </w:tcPr>
                <w:p w14:paraId="1D82663F">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总大肠菌群</w:t>
                  </w:r>
                </w:p>
              </w:tc>
              <w:tc>
                <w:tcPr>
                  <w:tcW w:w="1629" w:type="pct"/>
                  <w:tcBorders>
                    <w:left w:val="single" w:color="auto" w:sz="4" w:space="0"/>
                  </w:tcBorders>
                  <w:noWrap w:val="0"/>
                  <w:vAlign w:val="center"/>
                </w:tcPr>
                <w:p w14:paraId="48B3B682">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2</w:t>
                  </w:r>
                </w:p>
              </w:tc>
              <w:tc>
                <w:tcPr>
                  <w:tcW w:w="1630" w:type="pct"/>
                  <w:tcBorders>
                    <w:left w:val="single" w:color="auto" w:sz="4" w:space="0"/>
                  </w:tcBorders>
                  <w:noWrap w:val="0"/>
                  <w:vAlign w:val="center"/>
                </w:tcPr>
                <w:p w14:paraId="5EFCE25F">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≤3</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w:t>
                  </w:r>
                </w:p>
              </w:tc>
            </w:tr>
            <w:tr w14:paraId="641AF61A">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412E9A54">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047" w:type="pct"/>
                  <w:tcBorders>
                    <w:right w:val="single" w:color="auto" w:sz="4" w:space="0"/>
                  </w:tcBorders>
                  <w:noWrap w:val="0"/>
                  <w:vAlign w:val="center"/>
                </w:tcPr>
                <w:p w14:paraId="1F495776">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六价铬</w:t>
                  </w:r>
                </w:p>
              </w:tc>
              <w:tc>
                <w:tcPr>
                  <w:tcW w:w="1629" w:type="pct"/>
                  <w:tcBorders>
                    <w:left w:val="single" w:color="auto" w:sz="4" w:space="0"/>
                  </w:tcBorders>
                  <w:noWrap w:val="0"/>
                  <w:vAlign w:val="center"/>
                </w:tcPr>
                <w:p w14:paraId="27B9065E">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0.014</w:t>
                  </w:r>
                </w:p>
              </w:tc>
              <w:tc>
                <w:tcPr>
                  <w:tcW w:w="1630" w:type="pct"/>
                  <w:tcBorders>
                    <w:left w:val="single" w:color="auto" w:sz="4" w:space="0"/>
                  </w:tcBorders>
                  <w:noWrap w:val="0"/>
                  <w:vAlign w:val="center"/>
                </w:tcPr>
                <w:p w14:paraId="07B3B29E">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≤0.05</w:t>
                  </w:r>
                </w:p>
              </w:tc>
            </w:tr>
            <w:tr w14:paraId="04EED0D8">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47317E56">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047" w:type="pct"/>
                  <w:tcBorders>
                    <w:right w:val="single" w:color="auto" w:sz="4" w:space="0"/>
                  </w:tcBorders>
                  <w:noWrap w:val="0"/>
                  <w:vAlign w:val="center"/>
                </w:tcPr>
                <w:p w14:paraId="247879F1">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阴离子表面活性剂</w:t>
                  </w:r>
                </w:p>
              </w:tc>
              <w:tc>
                <w:tcPr>
                  <w:tcW w:w="1629" w:type="pct"/>
                  <w:tcBorders>
                    <w:left w:val="single" w:color="auto" w:sz="4" w:space="0"/>
                  </w:tcBorders>
                  <w:noWrap w:val="0"/>
                  <w:vAlign w:val="center"/>
                </w:tcPr>
                <w:p w14:paraId="0C9953BD">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未检出</w:t>
                  </w:r>
                </w:p>
              </w:tc>
              <w:tc>
                <w:tcPr>
                  <w:tcW w:w="1630" w:type="pct"/>
                  <w:tcBorders>
                    <w:left w:val="single" w:color="auto" w:sz="4" w:space="0"/>
                  </w:tcBorders>
                  <w:noWrap w:val="0"/>
                  <w:vAlign w:val="center"/>
                </w:tcPr>
                <w:p w14:paraId="6FAF0DA5">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≤0.3</w:t>
                  </w:r>
                </w:p>
              </w:tc>
            </w:tr>
            <w:tr w14:paraId="523AF0E5">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17E51D8C">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733" w:type="dxa"/>
                  <w:tcBorders>
                    <w:right w:val="single" w:color="auto" w:sz="4" w:space="0"/>
                  </w:tcBorders>
                  <w:noWrap w:val="0"/>
                  <w:vAlign w:val="center"/>
                </w:tcPr>
                <w:p w14:paraId="35BA8BFE">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铅</w:t>
                  </w:r>
                </w:p>
              </w:tc>
              <w:tc>
                <w:tcPr>
                  <w:tcW w:w="2697" w:type="dxa"/>
                  <w:tcBorders>
                    <w:left w:val="single" w:color="auto" w:sz="4" w:space="0"/>
                  </w:tcBorders>
                  <w:noWrap w:val="0"/>
                  <w:vAlign w:val="center"/>
                </w:tcPr>
                <w:p w14:paraId="5166F962">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未检出</w:t>
                  </w:r>
                </w:p>
              </w:tc>
              <w:tc>
                <w:tcPr>
                  <w:tcW w:w="2698" w:type="dxa"/>
                  <w:tcBorders>
                    <w:left w:val="single" w:color="auto" w:sz="4" w:space="0"/>
                  </w:tcBorders>
                  <w:noWrap w:val="0"/>
                  <w:vAlign w:val="center"/>
                </w:tcPr>
                <w:p w14:paraId="04D18140">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≤0.01</w:t>
                  </w:r>
                </w:p>
              </w:tc>
            </w:tr>
            <w:tr w14:paraId="095A090A">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43E765EE">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733" w:type="dxa"/>
                  <w:tcBorders>
                    <w:right w:val="single" w:color="auto" w:sz="4" w:space="0"/>
                  </w:tcBorders>
                  <w:noWrap w:val="0"/>
                  <w:vAlign w:val="center"/>
                </w:tcPr>
                <w:p w14:paraId="6C96F10A">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镉</w:t>
                  </w:r>
                </w:p>
              </w:tc>
              <w:tc>
                <w:tcPr>
                  <w:tcW w:w="2697" w:type="dxa"/>
                  <w:tcBorders>
                    <w:left w:val="single" w:color="auto" w:sz="4" w:space="0"/>
                  </w:tcBorders>
                  <w:noWrap w:val="0"/>
                  <w:vAlign w:val="center"/>
                </w:tcPr>
                <w:p w14:paraId="429FF65A">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未检出</w:t>
                  </w:r>
                </w:p>
              </w:tc>
              <w:tc>
                <w:tcPr>
                  <w:tcW w:w="2698" w:type="dxa"/>
                  <w:tcBorders>
                    <w:left w:val="single" w:color="auto" w:sz="4" w:space="0"/>
                  </w:tcBorders>
                  <w:noWrap w:val="0"/>
                  <w:vAlign w:val="center"/>
                </w:tcPr>
                <w:p w14:paraId="173861D5">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≤0.005</w:t>
                  </w:r>
                </w:p>
              </w:tc>
            </w:tr>
            <w:tr w14:paraId="4921CE11">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1CEC6CFE">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733" w:type="dxa"/>
                  <w:tcBorders>
                    <w:right w:val="single" w:color="auto" w:sz="4" w:space="0"/>
                  </w:tcBorders>
                  <w:noWrap w:val="0"/>
                  <w:vAlign w:val="center"/>
                </w:tcPr>
                <w:p w14:paraId="456B1BE4">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铁</w:t>
                  </w:r>
                </w:p>
              </w:tc>
              <w:tc>
                <w:tcPr>
                  <w:tcW w:w="2697" w:type="dxa"/>
                  <w:tcBorders>
                    <w:left w:val="single" w:color="auto" w:sz="4" w:space="0"/>
                  </w:tcBorders>
                  <w:noWrap w:val="0"/>
                  <w:vAlign w:val="center"/>
                </w:tcPr>
                <w:p w14:paraId="1AEED2FD">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0.10</w:t>
                  </w:r>
                </w:p>
              </w:tc>
              <w:tc>
                <w:tcPr>
                  <w:tcW w:w="2698" w:type="dxa"/>
                  <w:tcBorders>
                    <w:left w:val="single" w:color="auto" w:sz="4" w:space="0"/>
                  </w:tcBorders>
                  <w:noWrap w:val="0"/>
                  <w:vAlign w:val="center"/>
                </w:tcPr>
                <w:p w14:paraId="30FD3F00">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≤0.3</w:t>
                  </w:r>
                </w:p>
              </w:tc>
            </w:tr>
            <w:tr w14:paraId="7DBA0B52">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64A8771E">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733" w:type="dxa"/>
                  <w:tcBorders>
                    <w:right w:val="single" w:color="auto" w:sz="4" w:space="0"/>
                  </w:tcBorders>
                  <w:noWrap w:val="0"/>
                  <w:vAlign w:val="center"/>
                </w:tcPr>
                <w:p w14:paraId="5BB63EF0">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锰</w:t>
                  </w:r>
                </w:p>
              </w:tc>
              <w:tc>
                <w:tcPr>
                  <w:tcW w:w="2697" w:type="dxa"/>
                  <w:tcBorders>
                    <w:left w:val="single" w:color="auto" w:sz="4" w:space="0"/>
                  </w:tcBorders>
                  <w:noWrap w:val="0"/>
                  <w:vAlign w:val="center"/>
                </w:tcPr>
                <w:p w14:paraId="7409A768">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0.05</w:t>
                  </w:r>
                </w:p>
              </w:tc>
              <w:tc>
                <w:tcPr>
                  <w:tcW w:w="2698" w:type="dxa"/>
                  <w:tcBorders>
                    <w:left w:val="single" w:color="auto" w:sz="4" w:space="0"/>
                  </w:tcBorders>
                  <w:noWrap w:val="0"/>
                  <w:vAlign w:val="center"/>
                </w:tcPr>
                <w:p w14:paraId="5FCECABB">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≤0.10</w:t>
                  </w:r>
                </w:p>
              </w:tc>
            </w:tr>
            <w:tr w14:paraId="4FCC05EF">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526BDAAC">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733" w:type="dxa"/>
                  <w:tcBorders>
                    <w:right w:val="single" w:color="auto" w:sz="4" w:space="0"/>
                  </w:tcBorders>
                  <w:noWrap w:val="0"/>
                  <w:vAlign w:val="center"/>
                </w:tcPr>
                <w:p w14:paraId="692A3FE5">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汞</w:t>
                  </w:r>
                </w:p>
              </w:tc>
              <w:tc>
                <w:tcPr>
                  <w:tcW w:w="2697" w:type="dxa"/>
                  <w:tcBorders>
                    <w:left w:val="single" w:color="auto" w:sz="4" w:space="0"/>
                  </w:tcBorders>
                  <w:noWrap w:val="0"/>
                  <w:vAlign w:val="center"/>
                </w:tcPr>
                <w:p w14:paraId="497794B0">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1.10×10-4</w:t>
                  </w:r>
                </w:p>
              </w:tc>
              <w:tc>
                <w:tcPr>
                  <w:tcW w:w="2698" w:type="dxa"/>
                  <w:tcBorders>
                    <w:left w:val="single" w:color="auto" w:sz="4" w:space="0"/>
                  </w:tcBorders>
                  <w:noWrap w:val="0"/>
                  <w:vAlign w:val="center"/>
                </w:tcPr>
                <w:p w14:paraId="01BFDCCB">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≤0.001</w:t>
                  </w:r>
                </w:p>
              </w:tc>
            </w:tr>
            <w:tr w14:paraId="674A7FC9">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5D8B5F4B">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733" w:type="dxa"/>
                  <w:tcBorders>
                    <w:right w:val="single" w:color="auto" w:sz="4" w:space="0"/>
                  </w:tcBorders>
                  <w:noWrap w:val="0"/>
                  <w:vAlign w:val="center"/>
                </w:tcPr>
                <w:p w14:paraId="0F2FDE9A">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砷</w:t>
                  </w:r>
                </w:p>
              </w:tc>
              <w:tc>
                <w:tcPr>
                  <w:tcW w:w="2697" w:type="dxa"/>
                  <w:tcBorders>
                    <w:left w:val="single" w:color="auto" w:sz="4" w:space="0"/>
                  </w:tcBorders>
                  <w:noWrap w:val="0"/>
                  <w:vAlign w:val="center"/>
                </w:tcPr>
                <w:p w14:paraId="5E683ACB">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1.80×10-3</w:t>
                  </w:r>
                </w:p>
              </w:tc>
              <w:tc>
                <w:tcPr>
                  <w:tcW w:w="2698" w:type="dxa"/>
                  <w:tcBorders>
                    <w:left w:val="single" w:color="auto" w:sz="4" w:space="0"/>
                  </w:tcBorders>
                  <w:noWrap w:val="0"/>
                  <w:vAlign w:val="center"/>
                </w:tcPr>
                <w:p w14:paraId="7BDB2069">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≤0.01</w:t>
                  </w:r>
                </w:p>
              </w:tc>
            </w:tr>
            <w:tr w14:paraId="5AA5F6A3">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34DC39C5">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733" w:type="dxa"/>
                  <w:tcBorders>
                    <w:right w:val="single" w:color="auto" w:sz="4" w:space="0"/>
                  </w:tcBorders>
                  <w:noWrap w:val="0"/>
                  <w:vAlign w:val="center"/>
                </w:tcPr>
                <w:p w14:paraId="69F22E36">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硒</w:t>
                  </w:r>
                </w:p>
              </w:tc>
              <w:tc>
                <w:tcPr>
                  <w:tcW w:w="2697" w:type="dxa"/>
                  <w:tcBorders>
                    <w:left w:val="single" w:color="auto" w:sz="4" w:space="0"/>
                  </w:tcBorders>
                  <w:noWrap w:val="0"/>
                  <w:vAlign w:val="center"/>
                </w:tcPr>
                <w:p w14:paraId="7E0C9392">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未检出</w:t>
                  </w:r>
                </w:p>
              </w:tc>
              <w:tc>
                <w:tcPr>
                  <w:tcW w:w="2698" w:type="dxa"/>
                  <w:tcBorders>
                    <w:left w:val="single" w:color="auto" w:sz="4" w:space="0"/>
                  </w:tcBorders>
                  <w:noWrap w:val="0"/>
                  <w:vAlign w:val="center"/>
                </w:tcPr>
                <w:p w14:paraId="408FF47D">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≤0.01</w:t>
                  </w:r>
                </w:p>
              </w:tc>
            </w:tr>
            <w:tr w14:paraId="7C63630C">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6F173583">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733" w:type="dxa"/>
                  <w:tcBorders>
                    <w:right w:val="single" w:color="auto" w:sz="4" w:space="0"/>
                  </w:tcBorders>
                  <w:noWrap w:val="0"/>
                  <w:vAlign w:val="center"/>
                </w:tcPr>
                <w:p w14:paraId="514F0339">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铜</w:t>
                  </w:r>
                </w:p>
              </w:tc>
              <w:tc>
                <w:tcPr>
                  <w:tcW w:w="2697" w:type="dxa"/>
                  <w:tcBorders>
                    <w:left w:val="single" w:color="auto" w:sz="4" w:space="0"/>
                  </w:tcBorders>
                  <w:noWrap w:val="0"/>
                  <w:vAlign w:val="center"/>
                </w:tcPr>
                <w:p w14:paraId="70594DD6">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未检出</w:t>
                  </w:r>
                </w:p>
              </w:tc>
              <w:tc>
                <w:tcPr>
                  <w:tcW w:w="2698" w:type="dxa"/>
                  <w:tcBorders>
                    <w:left w:val="single" w:color="auto" w:sz="4" w:space="0"/>
                  </w:tcBorders>
                  <w:noWrap w:val="0"/>
                  <w:vAlign w:val="center"/>
                </w:tcPr>
                <w:p w14:paraId="5CF7246E">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≤1.00</w:t>
                  </w:r>
                </w:p>
              </w:tc>
            </w:tr>
            <w:tr w14:paraId="6D2B3625">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39B3DEBC">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733" w:type="dxa"/>
                  <w:tcBorders>
                    <w:right w:val="single" w:color="auto" w:sz="4" w:space="0"/>
                  </w:tcBorders>
                  <w:noWrap w:val="0"/>
                  <w:vAlign w:val="center"/>
                </w:tcPr>
                <w:p w14:paraId="53C4FE84">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锌</w:t>
                  </w:r>
                </w:p>
              </w:tc>
              <w:tc>
                <w:tcPr>
                  <w:tcW w:w="2697" w:type="dxa"/>
                  <w:tcBorders>
                    <w:left w:val="single" w:color="auto" w:sz="4" w:space="0"/>
                  </w:tcBorders>
                  <w:noWrap w:val="0"/>
                  <w:vAlign w:val="center"/>
                </w:tcPr>
                <w:p w14:paraId="33B8297A">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0.002</w:t>
                  </w:r>
                </w:p>
              </w:tc>
              <w:tc>
                <w:tcPr>
                  <w:tcW w:w="2698" w:type="dxa"/>
                  <w:tcBorders>
                    <w:left w:val="single" w:color="auto" w:sz="4" w:space="0"/>
                  </w:tcBorders>
                  <w:noWrap w:val="0"/>
                  <w:vAlign w:val="center"/>
                </w:tcPr>
                <w:p w14:paraId="45DD9D92">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≤1.00</w:t>
                  </w:r>
                </w:p>
              </w:tc>
            </w:tr>
            <w:tr w14:paraId="5FDF8A40">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2D6AB326">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733" w:type="dxa"/>
                  <w:tcBorders>
                    <w:right w:val="single" w:color="auto" w:sz="4" w:space="0"/>
                  </w:tcBorders>
                  <w:noWrap w:val="0"/>
                  <w:vAlign w:val="center"/>
                </w:tcPr>
                <w:p w14:paraId="07142404">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钴</w:t>
                  </w:r>
                </w:p>
              </w:tc>
              <w:tc>
                <w:tcPr>
                  <w:tcW w:w="2697" w:type="dxa"/>
                  <w:tcBorders>
                    <w:left w:val="single" w:color="auto" w:sz="4" w:space="0"/>
                  </w:tcBorders>
                  <w:noWrap w:val="0"/>
                  <w:vAlign w:val="center"/>
                </w:tcPr>
                <w:p w14:paraId="230A9393">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未检出</w:t>
                  </w:r>
                </w:p>
              </w:tc>
              <w:tc>
                <w:tcPr>
                  <w:tcW w:w="2698" w:type="dxa"/>
                  <w:tcBorders>
                    <w:left w:val="single" w:color="auto" w:sz="4" w:space="0"/>
                  </w:tcBorders>
                  <w:noWrap w:val="0"/>
                  <w:vAlign w:val="center"/>
                </w:tcPr>
                <w:p w14:paraId="176A8B1E">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≤0.05</w:t>
                  </w:r>
                </w:p>
              </w:tc>
            </w:tr>
            <w:tr w14:paraId="324F3D8D">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7921FEE2">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733" w:type="dxa"/>
                  <w:tcBorders>
                    <w:right w:val="single" w:color="auto" w:sz="4" w:space="0"/>
                  </w:tcBorders>
                  <w:noWrap w:val="0"/>
                  <w:vAlign w:val="center"/>
                </w:tcPr>
                <w:p w14:paraId="69CC5114">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镍</w:t>
                  </w:r>
                </w:p>
              </w:tc>
              <w:tc>
                <w:tcPr>
                  <w:tcW w:w="2697" w:type="dxa"/>
                  <w:tcBorders>
                    <w:left w:val="single" w:color="auto" w:sz="4" w:space="0"/>
                  </w:tcBorders>
                  <w:noWrap w:val="0"/>
                  <w:vAlign w:val="center"/>
                </w:tcPr>
                <w:p w14:paraId="533D2291">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0.015</w:t>
                  </w:r>
                </w:p>
              </w:tc>
              <w:tc>
                <w:tcPr>
                  <w:tcW w:w="2698" w:type="dxa"/>
                  <w:tcBorders>
                    <w:left w:val="single" w:color="auto" w:sz="4" w:space="0"/>
                  </w:tcBorders>
                  <w:noWrap w:val="0"/>
                  <w:vAlign w:val="center"/>
                </w:tcPr>
                <w:p w14:paraId="074D1622">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≤0.02</w:t>
                  </w:r>
                </w:p>
              </w:tc>
            </w:tr>
            <w:tr w14:paraId="3FD70B52">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033606DE">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047" w:type="pct"/>
                  <w:tcBorders>
                    <w:right w:val="single" w:color="auto" w:sz="4" w:space="0"/>
                  </w:tcBorders>
                  <w:noWrap w:val="0"/>
                  <w:vAlign w:val="center"/>
                </w:tcPr>
                <w:p w14:paraId="5CCEA395">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铝</w:t>
                  </w:r>
                </w:p>
              </w:tc>
              <w:tc>
                <w:tcPr>
                  <w:tcW w:w="1629" w:type="pct"/>
                  <w:tcBorders>
                    <w:left w:val="single" w:color="auto" w:sz="4" w:space="0"/>
                  </w:tcBorders>
                  <w:noWrap w:val="0"/>
                  <w:vAlign w:val="center"/>
                </w:tcPr>
                <w:p w14:paraId="74B0FBB6">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0.159</w:t>
                  </w:r>
                </w:p>
              </w:tc>
              <w:tc>
                <w:tcPr>
                  <w:tcW w:w="1630" w:type="pct"/>
                  <w:tcBorders>
                    <w:left w:val="single" w:color="auto" w:sz="4" w:space="0"/>
                  </w:tcBorders>
                  <w:noWrap w:val="0"/>
                  <w:vAlign w:val="center"/>
                </w:tcPr>
                <w:p w14:paraId="39D4ED0C">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≤0.20</w:t>
                  </w:r>
                </w:p>
              </w:tc>
            </w:tr>
          </w:tbl>
          <w:p w14:paraId="5BD986C7">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由上表可知，监测点位检测项目指标均满足《地下水质量标准》（</w:t>
            </w:r>
            <w:r>
              <w:rPr>
                <w:rFonts w:hint="default" w:ascii="Times New Roman" w:hAnsi="Times New Roman" w:eastAsia="Times New Roman"/>
                <w:color w:val="000000" w:themeColor="text1"/>
                <w:sz w:val="24"/>
                <w:szCs w:val="24"/>
                <w14:textFill>
                  <w14:solidFill>
                    <w14:schemeClr w14:val="tx1"/>
                  </w14:solidFill>
                </w14:textFill>
              </w:rPr>
              <w:t>GB</w:t>
            </w:r>
            <w:r>
              <w:rPr>
                <w:rFonts w:hint="default" w:ascii="Times New Roman" w:hAnsi="Times New Roman" w:eastAsia="Times New Roman" w:cs="Times New Roman"/>
                <w:color w:val="000000" w:themeColor="text1"/>
                <w:sz w:val="24"/>
                <w:szCs w:val="24"/>
                <w14:textFill>
                  <w14:solidFill>
                    <w14:schemeClr w14:val="tx1"/>
                  </w14:solidFill>
                </w14:textFill>
              </w:rPr>
              <w:t>/T14848-2017</w:t>
            </w:r>
            <w:r>
              <w:rPr>
                <w:rFonts w:hint="default" w:ascii="Times New Roman" w:hAnsi="Times New Roman" w:eastAsia="宋体" w:cs="Times New Roman"/>
                <w:color w:val="000000" w:themeColor="text1"/>
                <w:sz w:val="24"/>
                <w:szCs w:val="24"/>
                <w14:textFill>
                  <w14:solidFill>
                    <w14:schemeClr w14:val="tx1"/>
                  </w14:solidFill>
                </w14:textFill>
              </w:rPr>
              <w:t>）中</w:t>
            </w:r>
            <w:r>
              <w:rPr>
                <w:rFonts w:hint="default" w:ascii="Times New Roman" w:hAnsi="Times New Roman" w:eastAsia="TimesNewRomanPSMT" w:cs="Times New Roman"/>
                <w:color w:val="000000" w:themeColor="text1"/>
                <w:sz w:val="24"/>
                <w:szCs w:val="24"/>
                <w14:textFill>
                  <w14:solidFill>
                    <w14:schemeClr w14:val="tx1"/>
                  </w14:solidFill>
                </w14:textFill>
              </w:rPr>
              <w:t>Ⅲ</w:t>
            </w:r>
            <w:r>
              <w:rPr>
                <w:rFonts w:hint="default" w:ascii="Times New Roman" w:hAnsi="Times New Roman" w:eastAsia="宋体" w:cs="Times New Roman"/>
                <w:color w:val="000000" w:themeColor="text1"/>
                <w:sz w:val="24"/>
                <w:szCs w:val="24"/>
                <w14:textFill>
                  <w14:solidFill>
                    <w14:schemeClr w14:val="tx1"/>
                  </w14:solidFill>
                </w14:textFill>
              </w:rPr>
              <w:t>类标准，表明项目区域地下水环境质量较好。</w:t>
            </w:r>
          </w:p>
          <w:p w14:paraId="6327198D">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jc w:val="both"/>
              <w:textAlignment w:val="auto"/>
              <w:rPr>
                <w:rFonts w:hint="eastAsia" w:ascii="宋体" w:hAnsi="宋体" w:eastAsia="宋体"/>
                <w:b/>
                <w:bCs/>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6、</w:t>
            </w: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土壤环境</w:t>
            </w:r>
            <w:r>
              <w:rPr>
                <w:rFonts w:hint="eastAsia" w:ascii="宋体" w:hAnsi="宋体" w:eastAsia="宋体"/>
                <w:b/>
                <w:bCs/>
                <w:color w:val="000000" w:themeColor="text1"/>
                <w:sz w:val="24"/>
                <w:szCs w:val="24"/>
                <w:lang w:val="en-US" w:eastAsia="zh-CN"/>
                <w14:textFill>
                  <w14:solidFill>
                    <w14:schemeClr w14:val="tx1"/>
                  </w14:solidFill>
                </w14:textFill>
              </w:rPr>
              <w:t>质量现状</w:t>
            </w:r>
          </w:p>
          <w:p w14:paraId="7E2A1C3A">
            <w:pPr>
              <w:pStyle w:val="66"/>
              <w:spacing w:line="360" w:lineRule="auto"/>
              <w:rPr>
                <w:rFonts w:hint="eastAsia"/>
                <w:bCs/>
                <w:color w:val="000000" w:themeColor="text1"/>
                <w14:textFill>
                  <w14:solidFill>
                    <w14:schemeClr w14:val="tx1"/>
                  </w14:solidFill>
                </w14:textFill>
              </w:rPr>
            </w:pPr>
            <w:r>
              <w:rPr>
                <w:rFonts w:hint="eastAsia"/>
                <w:bCs/>
                <w:color w:val="000000" w:themeColor="text1"/>
                <w:lang w:val="en-US" w:eastAsia="zh-CN"/>
                <w14:textFill>
                  <w14:solidFill>
                    <w14:schemeClr w14:val="tx1"/>
                  </w14:solidFill>
                </w14:textFill>
              </w:rPr>
              <w:t>四川成检环境检测有限公司于2026年8月17日对项目土壤进行了监测（CE检字（2026）第0814009号），本次评价以此分析土壤环境质量</w:t>
            </w:r>
            <w:r>
              <w:rPr>
                <w:rFonts w:hint="eastAsia"/>
                <w:bCs/>
                <w:color w:val="000000" w:themeColor="text1"/>
                <w14:textFill>
                  <w14:solidFill>
                    <w14:schemeClr w14:val="tx1"/>
                  </w14:solidFill>
                </w14:textFill>
              </w:rPr>
              <w:t>。</w:t>
            </w:r>
          </w:p>
          <w:p w14:paraId="28F1B9D6">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eastAsia="宋体" w:cs="Times New Roman"/>
                <w:b/>
                <w:bCs/>
                <w:color w:val="000000" w:themeColor="text1"/>
                <w:kern w:val="0"/>
                <w:sz w:val="21"/>
                <w:szCs w:val="21"/>
                <w:highlight w:val="none"/>
                <w14:textFill>
                  <w14:solidFill>
                    <w14:schemeClr w14:val="tx1"/>
                  </w14:solidFill>
                </w14:textFill>
              </w:rPr>
            </w:pPr>
            <w:r>
              <w:rPr>
                <w:rFonts w:ascii="Times New Roman" w:hAnsi="Times New Roman" w:eastAsia="宋体" w:cs="Times New Roman"/>
                <w:b/>
                <w:bCs/>
                <w:color w:val="000000" w:themeColor="text1"/>
                <w:kern w:val="0"/>
                <w:sz w:val="21"/>
                <w:szCs w:val="21"/>
                <w:highlight w:val="none"/>
                <w14:textFill>
                  <w14:solidFill>
                    <w14:schemeClr w14:val="tx1"/>
                  </w14:solidFill>
                </w14:textFill>
              </w:rPr>
              <w:t>表3-</w:t>
            </w:r>
            <w:r>
              <w:rPr>
                <w:rFonts w:hint="eastAsia" w:cs="Times New Roman"/>
                <w:b/>
                <w:bCs/>
                <w:color w:val="000000" w:themeColor="text1"/>
                <w:kern w:val="0"/>
                <w:sz w:val="21"/>
                <w:szCs w:val="21"/>
                <w:highlight w:val="none"/>
                <w:lang w:val="en-US" w:eastAsia="zh-CN"/>
                <w14:textFill>
                  <w14:solidFill>
                    <w14:schemeClr w14:val="tx1"/>
                  </w14:solidFill>
                </w14:textFill>
              </w:rPr>
              <w:t>8</w:t>
            </w:r>
            <w:r>
              <w:rPr>
                <w:rFonts w:ascii="Times New Roman" w:hAnsi="Times New Roman" w:eastAsia="宋体" w:cs="Times New Roman"/>
                <w:b/>
                <w:bCs/>
                <w:color w:val="000000" w:themeColor="text1"/>
                <w:kern w:val="0"/>
                <w:sz w:val="21"/>
                <w:szCs w:val="21"/>
                <w:highlight w:val="none"/>
                <w14:textFill>
                  <w14:solidFill>
                    <w14:schemeClr w14:val="tx1"/>
                  </w14:solidFill>
                </w14:textFill>
              </w:rPr>
              <w:t xml:space="preserve"> </w:t>
            </w:r>
            <w:r>
              <w:rPr>
                <w:rFonts w:hint="eastAsia"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t>地下水监测点位一览</w:t>
            </w:r>
            <w:r>
              <w:rPr>
                <w:rFonts w:hint="eastAsia" w:ascii="Times New Roman" w:hAnsi="Times New Roman" w:eastAsia="宋体" w:cs="Times New Roman"/>
                <w:b/>
                <w:bCs/>
                <w:color w:val="000000" w:themeColor="text1"/>
                <w:kern w:val="0"/>
                <w:sz w:val="21"/>
                <w:szCs w:val="21"/>
                <w:highlight w:val="none"/>
                <w14:textFill>
                  <w14:solidFill>
                    <w14:schemeClr w14:val="tx1"/>
                  </w14:solidFill>
                </w14:textFill>
              </w:rPr>
              <w:t>表</w:t>
            </w:r>
          </w:p>
          <w:tbl>
            <w:tblPr>
              <w:tblStyle w:val="41"/>
              <w:tblW w:w="5000" w:type="pct"/>
              <w:tblInd w:w="5" w:type="dxa"/>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872"/>
              <w:gridCol w:w="1440"/>
              <w:gridCol w:w="5963"/>
            </w:tblGrid>
            <w:tr w14:paraId="2375445B">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PrEx>
              <w:trPr>
                <w:trHeight w:val="340" w:hRule="atLeast"/>
                <w:tblHeader/>
              </w:trPr>
              <w:tc>
                <w:tcPr>
                  <w:tcW w:w="526" w:type="pct"/>
                  <w:shd w:val="clear" w:color="auto" w:fill="auto"/>
                  <w:noWrap w:val="0"/>
                  <w:vAlign w:val="center"/>
                </w:tcPr>
                <w:p w14:paraId="2641185D">
                  <w:pPr>
                    <w:widowControl/>
                    <w:spacing w:line="280" w:lineRule="exact"/>
                    <w:jc w:val="center"/>
                    <w:rPr>
                      <w:b/>
                      <w:bCs/>
                      <w:color w:val="000000" w:themeColor="text1"/>
                      <w:kern w:val="0"/>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序号</w:t>
                  </w:r>
                </w:p>
              </w:tc>
              <w:tc>
                <w:tcPr>
                  <w:tcW w:w="870" w:type="pct"/>
                  <w:tcBorders>
                    <w:right w:val="single" w:color="auto" w:sz="4" w:space="0"/>
                  </w:tcBorders>
                  <w:shd w:val="clear" w:color="auto" w:fill="auto"/>
                  <w:noWrap w:val="0"/>
                  <w:vAlign w:val="center"/>
                </w:tcPr>
                <w:p w14:paraId="770956FA">
                  <w:pPr>
                    <w:widowControl/>
                    <w:spacing w:line="280" w:lineRule="exact"/>
                    <w:jc w:val="center"/>
                    <w:rPr>
                      <w:b/>
                      <w:bCs/>
                      <w:color w:val="000000" w:themeColor="text1"/>
                      <w:kern w:val="0"/>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监测点位</w:t>
                  </w:r>
                </w:p>
              </w:tc>
              <w:tc>
                <w:tcPr>
                  <w:tcW w:w="3603" w:type="pct"/>
                  <w:tcBorders>
                    <w:left w:val="single" w:color="auto" w:sz="4" w:space="0"/>
                  </w:tcBorders>
                  <w:shd w:val="clear" w:color="auto" w:fill="auto"/>
                  <w:noWrap w:val="0"/>
                  <w:vAlign w:val="center"/>
                </w:tcPr>
                <w:p w14:paraId="08171A24">
                  <w:pPr>
                    <w:spacing w:line="280" w:lineRule="exact"/>
                    <w:jc w:val="center"/>
                    <w:rPr>
                      <w:rFonts w:hint="default" w:eastAsia="宋体"/>
                      <w:b/>
                      <w:bCs/>
                      <w:color w:val="000000" w:themeColor="text1"/>
                      <w:kern w:val="0"/>
                      <w:szCs w:val="21"/>
                      <w:highlight w:val="none"/>
                      <w:lang w:val="en-US" w:eastAsia="zh-CN"/>
                      <w14:textFill>
                        <w14:solidFill>
                          <w14:schemeClr w14:val="tx1"/>
                        </w14:solidFill>
                      </w14:textFill>
                    </w:rPr>
                  </w:pPr>
                  <w:r>
                    <w:rPr>
                      <w:rFonts w:hint="eastAsia"/>
                      <w:b/>
                      <w:bCs/>
                      <w:color w:val="000000" w:themeColor="text1"/>
                      <w:kern w:val="0"/>
                      <w:szCs w:val="21"/>
                      <w:highlight w:val="none"/>
                      <w:lang w:val="en-US" w:eastAsia="zh-CN"/>
                      <w14:textFill>
                        <w14:solidFill>
                          <w14:schemeClr w14:val="tx1"/>
                        </w14:solidFill>
                      </w14:textFill>
                    </w:rPr>
                    <w:t>检测项目</w:t>
                  </w:r>
                </w:p>
              </w:tc>
            </w:tr>
            <w:tr w14:paraId="145FD849">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26" w:type="pct"/>
                  <w:noWrap w:val="0"/>
                  <w:vAlign w:val="center"/>
                </w:tcPr>
                <w:p w14:paraId="0020A6C7">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w:t>
                  </w:r>
                </w:p>
              </w:tc>
              <w:tc>
                <w:tcPr>
                  <w:tcW w:w="870" w:type="pct"/>
                  <w:tcBorders>
                    <w:right w:val="single" w:color="auto" w:sz="4" w:space="0"/>
                  </w:tcBorders>
                  <w:noWrap w:val="0"/>
                  <w:vAlign w:val="center"/>
                </w:tcPr>
                <w:p w14:paraId="529AFF14">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4"/>
                      <w14:textFill>
                        <w14:solidFill>
                          <w14:schemeClr w14:val="tx1"/>
                        </w14:solidFill>
                      </w14:textFill>
                    </w:rPr>
                    <w:t>S1 生产区东南侧土壤监测</w:t>
                  </w:r>
                  <w:r>
                    <w:rPr>
                      <w:rFonts w:hint="eastAsia" w:ascii="宋体" w:hAnsi="宋体" w:eastAsia="宋体"/>
                      <w:color w:val="000000" w:themeColor="text1"/>
                      <w:sz w:val="21"/>
                      <w:szCs w:val="24"/>
                      <w14:textFill>
                        <w14:solidFill>
                          <w14:schemeClr w14:val="tx1"/>
                        </w14:solidFill>
                      </w14:textFill>
                    </w:rPr>
                    <w:t>点</w:t>
                  </w:r>
                </w:p>
              </w:tc>
              <w:tc>
                <w:tcPr>
                  <w:tcW w:w="3603" w:type="pct"/>
                  <w:tcBorders>
                    <w:left w:val="single" w:color="auto" w:sz="4" w:space="0"/>
                  </w:tcBorders>
                  <w:noWrap w:val="0"/>
                  <w:vAlign w:val="center"/>
                </w:tcPr>
                <w:p w14:paraId="0792719C">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pH、锰*、钴、氟化物、石油烃（C</w:t>
                  </w:r>
                  <w:r>
                    <w:rPr>
                      <w:rFonts w:hint="eastAsia" w:ascii="Times New Roman" w:hAnsi="Times New Roman" w:eastAsia="宋体" w:cs="Times New Roman"/>
                      <w:color w:val="000000" w:themeColor="text1"/>
                      <w:sz w:val="21"/>
                      <w:szCs w:val="21"/>
                      <w:highlight w:val="none"/>
                      <w:vertAlign w:val="subscript"/>
                      <w:lang w:val="en-US" w:eastAsia="zh-CN"/>
                      <w14:textFill>
                        <w14:solidFill>
                          <w14:schemeClr w14:val="tx1"/>
                        </w14:solidFill>
                      </w14:textFill>
                    </w:rPr>
                    <w:t>10</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-C</w:t>
                  </w:r>
                  <w:r>
                    <w:rPr>
                      <w:rFonts w:hint="eastAsia" w:ascii="Times New Roman" w:hAnsi="Times New Roman" w:eastAsia="宋体" w:cs="Times New Roman"/>
                      <w:color w:val="000000" w:themeColor="text1"/>
                      <w:sz w:val="21"/>
                      <w:szCs w:val="21"/>
                      <w:highlight w:val="none"/>
                      <w:vertAlign w:val="subscript"/>
                      <w:lang w:val="en-US" w:eastAsia="zh-CN"/>
                      <w14:textFill>
                        <w14:solidFill>
                          <w14:schemeClr w14:val="tx1"/>
                        </w14:solidFill>
                      </w14:textFill>
                    </w:rPr>
                    <w:t>40</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砷、镉、六价铬、铜、铅、汞、镍、挥发性有机物（四氯化碳、氯仿、氯甲烷、1,1-二氯乙烷、1,2-二氯乙烷、1,1-二氯乙烯、顺式-1,2-二氯乙烯、反式-1,2-二氯乙烯、二氯甲烷、1,2-二氯丙烷、1,1,1,2-四氯乙烷、1,1,2,2,-四氯乙烷、四氯乙烯、1,1,1-三氯乙烷、1,1,2-三氯乙烷、三氯乙烯、1,2,3-三氯丙烷、氯乙烯、苯、氯苯、1,2-二氯苯、1,4-二氯苯、乙苯、苯乙烯、甲苯、间二甲苯+对二甲苯、邻二甲苯）、半挥发性有机物（硝基苯、苯胺、2-氯苯酚、苯并[a]蒽、苯并[a]芘、苯并[b]荧蒽、苯并[k]荧蒽、䓛、二苯并[a,h]蒽、茚并[1,2,3-cd]芘、萘）</w:t>
                  </w:r>
                </w:p>
              </w:tc>
            </w:tr>
          </w:tbl>
          <w:p w14:paraId="78B12F62">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textAlignment w:val="auto"/>
              <w:rPr>
                <w:rFonts w:hint="default"/>
                <w:bCs/>
                <w:color w:val="000000" w:themeColor="text1"/>
                <w:lang w:val="en-US" w:eastAsia="zh-CN"/>
                <w14:textFill>
                  <w14:solidFill>
                    <w14:schemeClr w14:val="tx1"/>
                  </w14:solidFill>
                </w14:textFill>
              </w:rPr>
            </w:pPr>
            <w:r>
              <w:rPr>
                <w:rFonts w:hint="eastAsia"/>
                <w:bCs/>
                <w:color w:val="000000" w:themeColor="text1"/>
                <w:lang w:val="en-US" w:eastAsia="zh-CN"/>
                <w14:textFill>
                  <w14:solidFill>
                    <w14:schemeClr w14:val="tx1"/>
                  </w14:solidFill>
                </w14:textFill>
              </w:rPr>
              <w:t>（2）采样及分析</w:t>
            </w:r>
          </w:p>
          <w:p w14:paraId="27D7B7A4">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textAlignment w:val="auto"/>
              <w:rPr>
                <w:rFonts w:hint="eastAsia" w:ascii="Times New Roman" w:hAnsi="Times New Roman" w:eastAsia="宋体" w:cs="Times New Roman"/>
                <w:bCs/>
                <w:color w:val="000000" w:themeColor="text1"/>
                <w:lang w:val="en-US" w:eastAsia="zh-CN"/>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土壤采样分析方法按《土壤环境质量 建设用地土壤污染风险管控标准》（试行）（</w:t>
            </w:r>
            <w:r>
              <w:rPr>
                <w:rFonts w:hint="default" w:ascii="Times New Roman" w:hAnsi="Times New Roman" w:eastAsia="Times New Roman"/>
                <w:color w:val="000000" w:themeColor="text1"/>
                <w:sz w:val="24"/>
                <w:szCs w:val="24"/>
                <w14:textFill>
                  <w14:solidFill>
                    <w14:schemeClr w14:val="tx1"/>
                  </w14:solidFill>
                </w14:textFill>
              </w:rPr>
              <w:t>GB 36600-2018</w:t>
            </w:r>
            <w:r>
              <w:rPr>
                <w:rFonts w:hint="eastAsia" w:ascii="宋体" w:hAnsi="宋体" w:eastAsia="宋体"/>
                <w:color w:val="000000" w:themeColor="text1"/>
                <w:sz w:val="24"/>
                <w:szCs w:val="24"/>
                <w14:textFill>
                  <w14:solidFill>
                    <w14:schemeClr w14:val="tx1"/>
                  </w14:solidFill>
                </w14:textFill>
              </w:rPr>
              <w:t>）中有关规定进行</w:t>
            </w:r>
            <w:r>
              <w:rPr>
                <w:rFonts w:hint="eastAsia" w:ascii="Times New Roman" w:hAnsi="Times New Roman" w:eastAsia="宋体" w:cs="Times New Roman"/>
                <w:bCs/>
                <w:color w:val="000000" w:themeColor="text1"/>
                <w:lang w:val="en-US" w:eastAsia="zh-CN"/>
                <w14:textFill>
                  <w14:solidFill>
                    <w14:schemeClr w14:val="tx1"/>
                  </w14:solidFill>
                </w14:textFill>
              </w:rPr>
              <w:t>。</w:t>
            </w:r>
          </w:p>
          <w:p w14:paraId="2930242E">
            <w:pPr>
              <w:pStyle w:val="66"/>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（3）土壤现状监测及评价结果</w:t>
            </w:r>
          </w:p>
          <w:p w14:paraId="2236B21E">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pPr>
            <w:r>
              <w:rPr>
                <w:rFonts w:ascii="Times New Roman" w:hAnsi="Times New Roman" w:eastAsia="宋体" w:cs="Times New Roman"/>
                <w:b/>
                <w:bCs/>
                <w:color w:val="000000" w:themeColor="text1"/>
                <w:kern w:val="0"/>
                <w:sz w:val="21"/>
                <w:szCs w:val="21"/>
                <w:highlight w:val="none"/>
                <w14:textFill>
                  <w14:solidFill>
                    <w14:schemeClr w14:val="tx1"/>
                  </w14:solidFill>
                </w14:textFill>
              </w:rPr>
              <w:t>表3-</w:t>
            </w:r>
            <w:r>
              <w:rPr>
                <w:rFonts w:hint="eastAsia" w:cs="Times New Roman"/>
                <w:b/>
                <w:bCs/>
                <w:color w:val="000000" w:themeColor="text1"/>
                <w:kern w:val="0"/>
                <w:sz w:val="21"/>
                <w:szCs w:val="21"/>
                <w:highlight w:val="none"/>
                <w:lang w:val="en-US" w:eastAsia="zh-CN"/>
                <w14:textFill>
                  <w14:solidFill>
                    <w14:schemeClr w14:val="tx1"/>
                  </w14:solidFill>
                </w14:textFill>
              </w:rPr>
              <w:t>9</w:t>
            </w:r>
            <w:r>
              <w:rPr>
                <w:rFonts w:ascii="Times New Roman" w:hAnsi="Times New Roman" w:eastAsia="宋体" w:cs="Times New Roman"/>
                <w:b/>
                <w:bCs/>
                <w:color w:val="000000" w:themeColor="text1"/>
                <w:kern w:val="0"/>
                <w:sz w:val="21"/>
                <w:szCs w:val="21"/>
                <w:highlight w:val="none"/>
                <w14:textFill>
                  <w14:solidFill>
                    <w14:schemeClr w14:val="tx1"/>
                  </w14:solidFill>
                </w14:textFill>
              </w:rPr>
              <w:t xml:space="preserve"> </w:t>
            </w:r>
            <w:r>
              <w:rPr>
                <w:rFonts w:hint="eastAsia" w:cs="Times New Roman"/>
                <w:b/>
                <w:bCs/>
                <w:color w:val="000000" w:themeColor="text1"/>
                <w:kern w:val="0"/>
                <w:sz w:val="21"/>
                <w:szCs w:val="21"/>
                <w:highlight w:val="none"/>
                <w:lang w:val="en-US" w:eastAsia="zh-CN"/>
                <w14:textFill>
                  <w14:solidFill>
                    <w14:schemeClr w14:val="tx1"/>
                  </w14:solidFill>
                </w14:textFill>
              </w:rPr>
              <w:t>土壤</w:t>
            </w:r>
            <w:r>
              <w:rPr>
                <w:rFonts w:hint="eastAsia"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t>检测结果 （单位：pH为无量纲，其余为mg/L）</w:t>
            </w:r>
          </w:p>
          <w:tbl>
            <w:tblPr>
              <w:tblStyle w:val="41"/>
              <w:tblW w:w="5000" w:type="pct"/>
              <w:tblInd w:w="5" w:type="dxa"/>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147"/>
              <w:gridCol w:w="730"/>
              <w:gridCol w:w="1230"/>
              <w:gridCol w:w="2470"/>
              <w:gridCol w:w="2698"/>
            </w:tblGrid>
            <w:tr w14:paraId="7996B337">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trPr>
              <w:tc>
                <w:tcPr>
                  <w:tcW w:w="693" w:type="pct"/>
                  <w:vMerge w:val="restart"/>
                  <w:shd w:val="clear" w:color="auto" w:fill="auto"/>
                  <w:noWrap w:val="0"/>
                  <w:vAlign w:val="center"/>
                </w:tcPr>
                <w:p w14:paraId="10EA24E3">
                  <w:pPr>
                    <w:widowControl/>
                    <w:spacing w:line="280" w:lineRule="exact"/>
                    <w:jc w:val="center"/>
                    <w:rPr>
                      <w:rFonts w:hint="default" w:eastAsia="宋体"/>
                      <w:b/>
                      <w:bCs/>
                      <w:color w:val="000000" w:themeColor="text1"/>
                      <w:kern w:val="0"/>
                      <w:szCs w:val="21"/>
                      <w:highlight w:val="none"/>
                      <w:lang w:val="en-US" w:eastAsia="zh-CN"/>
                      <w14:textFill>
                        <w14:solidFill>
                          <w14:schemeClr w14:val="tx1"/>
                        </w14:solidFill>
                      </w14:textFill>
                    </w:rPr>
                  </w:pPr>
                  <w:r>
                    <w:rPr>
                      <w:rFonts w:hint="eastAsia"/>
                      <w:b/>
                      <w:bCs/>
                      <w:color w:val="000000" w:themeColor="text1"/>
                      <w:kern w:val="0"/>
                      <w:szCs w:val="21"/>
                      <w:highlight w:val="none"/>
                      <w:lang w:val="en-US" w:eastAsia="zh-CN"/>
                      <w14:textFill>
                        <w14:solidFill>
                          <w14:schemeClr w14:val="tx1"/>
                        </w14:solidFill>
                      </w14:textFill>
                    </w:rPr>
                    <w:t>采样时间</w:t>
                  </w:r>
                </w:p>
              </w:tc>
              <w:tc>
                <w:tcPr>
                  <w:tcW w:w="1184" w:type="pct"/>
                  <w:gridSpan w:val="2"/>
                  <w:vMerge w:val="restart"/>
                  <w:tcBorders>
                    <w:right w:val="single" w:color="auto" w:sz="4" w:space="0"/>
                  </w:tcBorders>
                  <w:shd w:val="clear" w:color="auto" w:fill="auto"/>
                  <w:noWrap w:val="0"/>
                  <w:vAlign w:val="center"/>
                </w:tcPr>
                <w:p w14:paraId="66C1E5B0">
                  <w:pPr>
                    <w:widowControl/>
                    <w:spacing w:line="280" w:lineRule="exact"/>
                    <w:jc w:val="center"/>
                    <w:rPr>
                      <w:rFonts w:hint="default" w:eastAsia="宋体"/>
                      <w:b/>
                      <w:bCs/>
                      <w:color w:val="000000" w:themeColor="text1"/>
                      <w:kern w:val="0"/>
                      <w:szCs w:val="21"/>
                      <w:highlight w:val="none"/>
                      <w:lang w:val="en-US" w:eastAsia="zh-CN"/>
                      <w14:textFill>
                        <w14:solidFill>
                          <w14:schemeClr w14:val="tx1"/>
                        </w14:solidFill>
                      </w14:textFill>
                    </w:rPr>
                  </w:pPr>
                  <w:r>
                    <w:rPr>
                      <w:rFonts w:hint="eastAsia"/>
                      <w:b/>
                      <w:bCs/>
                      <w:color w:val="000000" w:themeColor="text1"/>
                      <w:kern w:val="0"/>
                      <w:szCs w:val="21"/>
                      <w:highlight w:val="none"/>
                      <w:lang w:val="en-US" w:eastAsia="zh-CN"/>
                      <w14:textFill>
                        <w14:solidFill>
                          <w14:schemeClr w14:val="tx1"/>
                        </w14:solidFill>
                      </w14:textFill>
                    </w:rPr>
                    <w:t>检测项目</w:t>
                  </w:r>
                </w:p>
              </w:tc>
              <w:tc>
                <w:tcPr>
                  <w:tcW w:w="1492" w:type="pct"/>
                  <w:tcBorders>
                    <w:left w:val="single" w:color="auto" w:sz="4" w:space="0"/>
                  </w:tcBorders>
                  <w:shd w:val="clear" w:color="auto" w:fill="auto"/>
                  <w:noWrap w:val="0"/>
                  <w:vAlign w:val="center"/>
                </w:tcPr>
                <w:p w14:paraId="1130D2E9">
                  <w:pPr>
                    <w:spacing w:line="280" w:lineRule="exact"/>
                    <w:jc w:val="center"/>
                    <w:rPr>
                      <w:rFonts w:hint="default" w:eastAsia="宋体"/>
                      <w:b/>
                      <w:bCs/>
                      <w:color w:val="000000" w:themeColor="text1"/>
                      <w:kern w:val="0"/>
                      <w:szCs w:val="21"/>
                      <w:highlight w:val="none"/>
                      <w:lang w:val="en-US" w:eastAsia="zh-CN"/>
                      <w14:textFill>
                        <w14:solidFill>
                          <w14:schemeClr w14:val="tx1"/>
                        </w14:solidFill>
                      </w14:textFill>
                    </w:rPr>
                  </w:pPr>
                  <w:r>
                    <w:rPr>
                      <w:rFonts w:hint="eastAsia" w:eastAsia="宋体"/>
                      <w:b/>
                      <w:bCs/>
                      <w:color w:val="000000" w:themeColor="text1"/>
                      <w:kern w:val="0"/>
                      <w:szCs w:val="21"/>
                      <w:highlight w:val="none"/>
                      <w:lang w:val="en-US" w:eastAsia="zh-CN"/>
                      <w14:textFill>
                        <w14:solidFill>
                          <w14:schemeClr w14:val="tx1"/>
                        </w14:solidFill>
                      </w14:textFill>
                    </w:rPr>
                    <w:t>检测点位及结果</w:t>
                  </w:r>
                </w:p>
              </w:tc>
              <w:tc>
                <w:tcPr>
                  <w:tcW w:w="1630" w:type="pct"/>
                  <w:vMerge w:val="restart"/>
                  <w:tcBorders>
                    <w:left w:val="single" w:color="auto" w:sz="4" w:space="0"/>
                  </w:tcBorders>
                  <w:shd w:val="clear" w:color="auto" w:fill="auto"/>
                  <w:noWrap w:val="0"/>
                  <w:vAlign w:val="center"/>
                </w:tcPr>
                <w:p w14:paraId="2D7319DB">
                  <w:pPr>
                    <w:spacing w:line="280" w:lineRule="exact"/>
                    <w:jc w:val="center"/>
                    <w:rPr>
                      <w:rFonts w:hint="default" w:eastAsia="宋体"/>
                      <w:b/>
                      <w:bCs/>
                      <w:color w:val="000000" w:themeColor="text1"/>
                      <w:kern w:val="0"/>
                      <w:szCs w:val="21"/>
                      <w:highlight w:val="none"/>
                      <w:lang w:val="en-US" w:eastAsia="zh-CN"/>
                      <w14:textFill>
                        <w14:solidFill>
                          <w14:schemeClr w14:val="tx1"/>
                        </w14:solidFill>
                      </w14:textFill>
                    </w:rPr>
                  </w:pPr>
                  <w:r>
                    <w:rPr>
                      <w:rFonts w:hint="eastAsia" w:eastAsia="宋体"/>
                      <w:b/>
                      <w:bCs/>
                      <w:color w:val="000000" w:themeColor="text1"/>
                      <w:kern w:val="0"/>
                      <w:szCs w:val="21"/>
                      <w:highlight w:val="none"/>
                      <w:lang w:val="en-US" w:eastAsia="zh-CN"/>
                      <w14:textFill>
                        <w14:solidFill>
                          <w14:schemeClr w14:val="tx1"/>
                        </w14:solidFill>
                      </w14:textFill>
                    </w:rPr>
                    <w:t>参考限值</w:t>
                  </w:r>
                </w:p>
              </w:tc>
            </w:tr>
            <w:tr w14:paraId="7FBD67F0">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258DEB6B">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184" w:type="pct"/>
                  <w:gridSpan w:val="2"/>
                  <w:vMerge w:val="continue"/>
                  <w:tcBorders>
                    <w:right w:val="single" w:color="auto" w:sz="4" w:space="0"/>
                  </w:tcBorders>
                  <w:noWrap w:val="0"/>
                  <w:vAlign w:val="center"/>
                </w:tcPr>
                <w:p w14:paraId="530DF0C7">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492" w:type="pct"/>
                  <w:tcBorders>
                    <w:left w:val="single" w:color="auto" w:sz="4" w:space="0"/>
                  </w:tcBorders>
                  <w:noWrap w:val="0"/>
                  <w:vAlign w:val="center"/>
                </w:tcPr>
                <w:p w14:paraId="5234A7F6">
                  <w:pPr>
                    <w:spacing w:beforeLines="0" w:afterLine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GW1 厂内地下水监测井</w:t>
                  </w:r>
                </w:p>
              </w:tc>
              <w:tc>
                <w:tcPr>
                  <w:tcW w:w="1630" w:type="pct"/>
                  <w:vMerge w:val="continue"/>
                  <w:tcBorders>
                    <w:left w:val="single" w:color="auto" w:sz="4" w:space="0"/>
                  </w:tcBorders>
                  <w:noWrap w:val="0"/>
                  <w:vAlign w:val="center"/>
                </w:tcPr>
                <w:p w14:paraId="7AA03115">
                  <w:pPr>
                    <w:spacing w:beforeLines="0" w:afterLines="0"/>
                    <w:jc w:val="left"/>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r>
            <w:tr w14:paraId="4D2F06B0">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restart"/>
                  <w:noWrap w:val="0"/>
                  <w:vAlign w:val="center"/>
                </w:tcPr>
                <w:p w14:paraId="4C989958">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2026.8.17</w:t>
                  </w:r>
                </w:p>
              </w:tc>
              <w:tc>
                <w:tcPr>
                  <w:tcW w:w="1184" w:type="pct"/>
                  <w:gridSpan w:val="2"/>
                  <w:tcBorders>
                    <w:right w:val="single" w:color="auto" w:sz="4" w:space="0"/>
                  </w:tcBorders>
                  <w:noWrap w:val="0"/>
                  <w:vAlign w:val="center"/>
                </w:tcPr>
                <w:p w14:paraId="0BED699D">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pH值</w:t>
                  </w:r>
                </w:p>
              </w:tc>
              <w:tc>
                <w:tcPr>
                  <w:tcW w:w="1492" w:type="pct"/>
                  <w:tcBorders>
                    <w:left w:val="single" w:color="auto" w:sz="4" w:space="0"/>
                  </w:tcBorders>
                  <w:noWrap w:val="0"/>
                  <w:vAlign w:val="center"/>
                </w:tcPr>
                <w:p w14:paraId="6779622D">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7.68</w:t>
                  </w:r>
                </w:p>
              </w:tc>
              <w:tc>
                <w:tcPr>
                  <w:tcW w:w="1630" w:type="pct"/>
                  <w:tcBorders>
                    <w:left w:val="single" w:color="auto" w:sz="4" w:space="0"/>
                  </w:tcBorders>
                  <w:noWrap w:val="0"/>
                  <w:vAlign w:val="center"/>
                </w:tcPr>
                <w:p w14:paraId="12FD54CB">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r>
            <w:tr w14:paraId="3D85928D">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1EC8CF4C">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184" w:type="pct"/>
                  <w:gridSpan w:val="2"/>
                  <w:tcBorders>
                    <w:right w:val="single" w:color="auto" w:sz="4" w:space="0"/>
                  </w:tcBorders>
                  <w:noWrap w:val="0"/>
                  <w:vAlign w:val="center"/>
                </w:tcPr>
                <w:p w14:paraId="255FCAF6">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汞</w:t>
                  </w:r>
                </w:p>
              </w:tc>
              <w:tc>
                <w:tcPr>
                  <w:tcW w:w="1492" w:type="pct"/>
                  <w:tcBorders>
                    <w:left w:val="single" w:color="auto" w:sz="4" w:space="0"/>
                  </w:tcBorders>
                  <w:noWrap w:val="0"/>
                  <w:vAlign w:val="center"/>
                </w:tcPr>
                <w:p w14:paraId="1D255E14">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0.124</w:t>
                  </w:r>
                </w:p>
              </w:tc>
              <w:tc>
                <w:tcPr>
                  <w:tcW w:w="1630" w:type="pct"/>
                  <w:tcBorders>
                    <w:left w:val="single" w:color="auto" w:sz="4" w:space="0"/>
                  </w:tcBorders>
                  <w:noWrap w:val="0"/>
                  <w:vAlign w:val="center"/>
                </w:tcPr>
                <w:p w14:paraId="251C4914">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38</w:t>
                  </w:r>
                </w:p>
              </w:tc>
            </w:tr>
            <w:tr w14:paraId="10FB16FA">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6363BC75">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184" w:type="pct"/>
                  <w:gridSpan w:val="2"/>
                  <w:tcBorders>
                    <w:right w:val="single" w:color="auto" w:sz="4" w:space="0"/>
                  </w:tcBorders>
                  <w:noWrap w:val="0"/>
                  <w:vAlign w:val="center"/>
                </w:tcPr>
                <w:p w14:paraId="2C617BF3">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砷</w:t>
                  </w:r>
                </w:p>
              </w:tc>
              <w:tc>
                <w:tcPr>
                  <w:tcW w:w="1492" w:type="pct"/>
                  <w:tcBorders>
                    <w:left w:val="single" w:color="auto" w:sz="4" w:space="0"/>
                  </w:tcBorders>
                  <w:noWrap w:val="0"/>
                  <w:vAlign w:val="center"/>
                </w:tcPr>
                <w:p w14:paraId="32F4EF53">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6.30</w:t>
                  </w:r>
                </w:p>
              </w:tc>
              <w:tc>
                <w:tcPr>
                  <w:tcW w:w="1630" w:type="pct"/>
                  <w:tcBorders>
                    <w:left w:val="single" w:color="auto" w:sz="4" w:space="0"/>
                  </w:tcBorders>
                  <w:noWrap w:val="0"/>
                  <w:vAlign w:val="center"/>
                </w:tcPr>
                <w:p w14:paraId="494AD46D">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60</w:t>
                  </w:r>
                </w:p>
              </w:tc>
            </w:tr>
            <w:tr w14:paraId="07A7D8F3">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73869D0E">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184" w:type="pct"/>
                  <w:gridSpan w:val="2"/>
                  <w:tcBorders>
                    <w:right w:val="single" w:color="auto" w:sz="4" w:space="0"/>
                  </w:tcBorders>
                  <w:noWrap w:val="0"/>
                  <w:vAlign w:val="center"/>
                </w:tcPr>
                <w:p w14:paraId="1AC4F622">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铅</w:t>
                  </w:r>
                </w:p>
              </w:tc>
              <w:tc>
                <w:tcPr>
                  <w:tcW w:w="1492" w:type="pct"/>
                  <w:tcBorders>
                    <w:left w:val="single" w:color="auto" w:sz="4" w:space="0"/>
                  </w:tcBorders>
                  <w:noWrap w:val="0"/>
                  <w:vAlign w:val="center"/>
                </w:tcPr>
                <w:p w14:paraId="06B7774E">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10.3</w:t>
                  </w:r>
                </w:p>
              </w:tc>
              <w:tc>
                <w:tcPr>
                  <w:tcW w:w="1630" w:type="pct"/>
                  <w:tcBorders>
                    <w:left w:val="single" w:color="auto" w:sz="4" w:space="0"/>
                  </w:tcBorders>
                  <w:noWrap w:val="0"/>
                  <w:vAlign w:val="center"/>
                </w:tcPr>
                <w:p w14:paraId="310C071D">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800</w:t>
                  </w:r>
                </w:p>
              </w:tc>
            </w:tr>
            <w:tr w14:paraId="562E3B59">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28F6B06A">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184" w:type="pct"/>
                  <w:gridSpan w:val="2"/>
                  <w:tcBorders>
                    <w:right w:val="single" w:color="auto" w:sz="4" w:space="0"/>
                  </w:tcBorders>
                  <w:noWrap w:val="0"/>
                  <w:vAlign w:val="center"/>
                </w:tcPr>
                <w:p w14:paraId="2F510FC1">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镉</w:t>
                  </w:r>
                </w:p>
              </w:tc>
              <w:tc>
                <w:tcPr>
                  <w:tcW w:w="1492" w:type="pct"/>
                  <w:tcBorders>
                    <w:left w:val="single" w:color="auto" w:sz="4" w:space="0"/>
                  </w:tcBorders>
                  <w:noWrap w:val="0"/>
                  <w:vAlign w:val="center"/>
                </w:tcPr>
                <w:p w14:paraId="259C813E">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1.38</w:t>
                  </w:r>
                </w:p>
              </w:tc>
              <w:tc>
                <w:tcPr>
                  <w:tcW w:w="1630" w:type="pct"/>
                  <w:tcBorders>
                    <w:left w:val="single" w:color="auto" w:sz="4" w:space="0"/>
                  </w:tcBorders>
                  <w:noWrap w:val="0"/>
                  <w:vAlign w:val="center"/>
                </w:tcPr>
                <w:p w14:paraId="088354C8">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65</w:t>
                  </w:r>
                </w:p>
              </w:tc>
            </w:tr>
            <w:tr w14:paraId="7DD22027">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5E3364B9">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184" w:type="pct"/>
                  <w:gridSpan w:val="2"/>
                  <w:tcBorders>
                    <w:right w:val="single" w:color="auto" w:sz="4" w:space="0"/>
                  </w:tcBorders>
                  <w:noWrap w:val="0"/>
                  <w:vAlign w:val="center"/>
                </w:tcPr>
                <w:p w14:paraId="63E3CBA0">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铜</w:t>
                  </w:r>
                </w:p>
              </w:tc>
              <w:tc>
                <w:tcPr>
                  <w:tcW w:w="1492" w:type="pct"/>
                  <w:tcBorders>
                    <w:left w:val="single" w:color="auto" w:sz="4" w:space="0"/>
                  </w:tcBorders>
                  <w:noWrap w:val="0"/>
                  <w:vAlign w:val="center"/>
                </w:tcPr>
                <w:p w14:paraId="0C8F8A6D">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50</w:t>
                  </w:r>
                </w:p>
              </w:tc>
              <w:tc>
                <w:tcPr>
                  <w:tcW w:w="1630" w:type="pct"/>
                  <w:tcBorders>
                    <w:left w:val="single" w:color="auto" w:sz="4" w:space="0"/>
                  </w:tcBorders>
                  <w:noWrap w:val="0"/>
                  <w:vAlign w:val="center"/>
                </w:tcPr>
                <w:p w14:paraId="52E4392A">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18000</w:t>
                  </w:r>
                </w:p>
              </w:tc>
            </w:tr>
            <w:tr w14:paraId="4BE215A9">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57DD3FA2">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184" w:type="pct"/>
                  <w:gridSpan w:val="2"/>
                  <w:tcBorders>
                    <w:right w:val="single" w:color="auto" w:sz="4" w:space="0"/>
                  </w:tcBorders>
                  <w:noWrap w:val="0"/>
                  <w:vAlign w:val="center"/>
                </w:tcPr>
                <w:p w14:paraId="19A29736">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镍</w:t>
                  </w:r>
                </w:p>
              </w:tc>
              <w:tc>
                <w:tcPr>
                  <w:tcW w:w="1492" w:type="pct"/>
                  <w:tcBorders>
                    <w:left w:val="single" w:color="auto" w:sz="4" w:space="0"/>
                  </w:tcBorders>
                  <w:noWrap w:val="0"/>
                  <w:vAlign w:val="center"/>
                </w:tcPr>
                <w:p w14:paraId="41C97C78">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70</w:t>
                  </w:r>
                </w:p>
              </w:tc>
              <w:tc>
                <w:tcPr>
                  <w:tcW w:w="1630" w:type="pct"/>
                  <w:tcBorders>
                    <w:left w:val="single" w:color="auto" w:sz="4" w:space="0"/>
                  </w:tcBorders>
                  <w:noWrap w:val="0"/>
                  <w:vAlign w:val="center"/>
                </w:tcPr>
                <w:p w14:paraId="144D237C">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900</w:t>
                  </w:r>
                </w:p>
              </w:tc>
            </w:tr>
            <w:tr w14:paraId="41988F63">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26E6875D">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184" w:type="pct"/>
                  <w:gridSpan w:val="2"/>
                  <w:tcBorders>
                    <w:right w:val="single" w:color="auto" w:sz="4" w:space="0"/>
                  </w:tcBorders>
                  <w:noWrap w:val="0"/>
                  <w:vAlign w:val="center"/>
                </w:tcPr>
                <w:p w14:paraId="0F953E4F">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六价铬</w:t>
                  </w:r>
                </w:p>
              </w:tc>
              <w:tc>
                <w:tcPr>
                  <w:tcW w:w="1492" w:type="pct"/>
                  <w:tcBorders>
                    <w:left w:val="single" w:color="auto" w:sz="4" w:space="0"/>
                  </w:tcBorders>
                  <w:noWrap w:val="0"/>
                  <w:vAlign w:val="center"/>
                </w:tcPr>
                <w:p w14:paraId="63F48222">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未检出</w:t>
                  </w:r>
                </w:p>
              </w:tc>
              <w:tc>
                <w:tcPr>
                  <w:tcW w:w="1630" w:type="pct"/>
                  <w:tcBorders>
                    <w:left w:val="single" w:color="auto" w:sz="4" w:space="0"/>
                  </w:tcBorders>
                  <w:noWrap w:val="0"/>
                  <w:vAlign w:val="center"/>
                </w:tcPr>
                <w:p w14:paraId="1C91077C">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5.7</w:t>
                  </w:r>
                </w:p>
              </w:tc>
            </w:tr>
            <w:tr w14:paraId="25FA76B9">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0DC3B25D">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184" w:type="pct"/>
                  <w:gridSpan w:val="2"/>
                  <w:tcBorders>
                    <w:right w:val="single" w:color="auto" w:sz="4" w:space="0"/>
                  </w:tcBorders>
                  <w:noWrap w:val="0"/>
                  <w:vAlign w:val="center"/>
                </w:tcPr>
                <w:p w14:paraId="43FDAECB">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石油烃（C</w:t>
                  </w:r>
                  <w:r>
                    <w:rPr>
                      <w:rFonts w:hint="default" w:ascii="Times New Roman" w:hAnsi="Times New Roman" w:eastAsia="宋体" w:cs="Times New Roman"/>
                      <w:color w:val="000000" w:themeColor="text1"/>
                      <w:sz w:val="21"/>
                      <w:szCs w:val="21"/>
                      <w:highlight w:val="none"/>
                      <w:vertAlign w:val="subscript"/>
                      <w:lang w:val="en-US" w:eastAsia="zh-CN"/>
                      <w14:textFill>
                        <w14:solidFill>
                          <w14:schemeClr w14:val="tx1"/>
                        </w14:solidFill>
                      </w14:textFill>
                    </w:rPr>
                    <w:t>10</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-C</w:t>
                  </w:r>
                  <w:r>
                    <w:rPr>
                      <w:rFonts w:hint="default" w:ascii="Times New Roman" w:hAnsi="Times New Roman" w:eastAsia="宋体" w:cs="Times New Roman"/>
                      <w:color w:val="000000" w:themeColor="text1"/>
                      <w:sz w:val="21"/>
                      <w:szCs w:val="21"/>
                      <w:highlight w:val="none"/>
                      <w:vertAlign w:val="subscript"/>
                      <w:lang w:val="en-US" w:eastAsia="zh-CN"/>
                      <w14:textFill>
                        <w14:solidFill>
                          <w14:schemeClr w14:val="tx1"/>
                        </w14:solidFill>
                      </w14:textFill>
                    </w:rPr>
                    <w:t>40</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1492" w:type="pct"/>
                  <w:tcBorders>
                    <w:left w:val="single" w:color="auto" w:sz="4" w:space="0"/>
                  </w:tcBorders>
                  <w:noWrap w:val="0"/>
                  <w:vAlign w:val="center"/>
                </w:tcPr>
                <w:p w14:paraId="642F720B">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20</w:t>
                  </w:r>
                </w:p>
              </w:tc>
              <w:tc>
                <w:tcPr>
                  <w:tcW w:w="1630" w:type="pct"/>
                  <w:tcBorders>
                    <w:left w:val="single" w:color="auto" w:sz="4" w:space="0"/>
                  </w:tcBorders>
                  <w:noWrap w:val="0"/>
                  <w:vAlign w:val="center"/>
                </w:tcPr>
                <w:p w14:paraId="202AE3A6">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4500</w:t>
                  </w:r>
                </w:p>
              </w:tc>
            </w:tr>
            <w:tr w14:paraId="471F93A2">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2326ED43">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184" w:type="pct"/>
                  <w:gridSpan w:val="2"/>
                  <w:tcBorders>
                    <w:right w:val="single" w:color="auto" w:sz="4" w:space="0"/>
                  </w:tcBorders>
                  <w:noWrap w:val="0"/>
                  <w:vAlign w:val="center"/>
                </w:tcPr>
                <w:p w14:paraId="5A2140B3">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钴</w:t>
                  </w:r>
                </w:p>
              </w:tc>
              <w:tc>
                <w:tcPr>
                  <w:tcW w:w="1492" w:type="pct"/>
                  <w:tcBorders>
                    <w:left w:val="single" w:color="auto" w:sz="4" w:space="0"/>
                  </w:tcBorders>
                  <w:noWrap w:val="0"/>
                  <w:vAlign w:val="center"/>
                </w:tcPr>
                <w:p w14:paraId="3A9C573C">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26</w:t>
                  </w:r>
                </w:p>
              </w:tc>
              <w:tc>
                <w:tcPr>
                  <w:tcW w:w="1630" w:type="pct"/>
                  <w:tcBorders>
                    <w:left w:val="single" w:color="auto" w:sz="4" w:space="0"/>
                  </w:tcBorders>
                  <w:noWrap w:val="0"/>
                  <w:vAlign w:val="center"/>
                </w:tcPr>
                <w:p w14:paraId="259E9395">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70</w:t>
                  </w:r>
                </w:p>
              </w:tc>
            </w:tr>
            <w:tr w14:paraId="723CA608">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649AF287">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184" w:type="pct"/>
                  <w:gridSpan w:val="2"/>
                  <w:tcBorders>
                    <w:right w:val="single" w:color="auto" w:sz="4" w:space="0"/>
                  </w:tcBorders>
                  <w:noWrap w:val="0"/>
                  <w:vAlign w:val="center"/>
                </w:tcPr>
                <w:p w14:paraId="481CC99B">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氟化物</w:t>
                  </w:r>
                </w:p>
              </w:tc>
              <w:tc>
                <w:tcPr>
                  <w:tcW w:w="1492" w:type="pct"/>
                  <w:tcBorders>
                    <w:left w:val="single" w:color="auto" w:sz="4" w:space="0"/>
                  </w:tcBorders>
                  <w:noWrap w:val="0"/>
                  <w:vAlign w:val="center"/>
                </w:tcPr>
                <w:p w14:paraId="70370ABA">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290</w:t>
                  </w:r>
                </w:p>
              </w:tc>
              <w:tc>
                <w:tcPr>
                  <w:tcW w:w="1630" w:type="pct"/>
                  <w:tcBorders>
                    <w:left w:val="single" w:color="auto" w:sz="4" w:space="0"/>
                  </w:tcBorders>
                  <w:noWrap w:val="0"/>
                  <w:vAlign w:val="center"/>
                </w:tcPr>
                <w:p w14:paraId="3278D3CE">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r>
            <w:tr w14:paraId="2698BAEC">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59B8974A">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184" w:type="pct"/>
                  <w:gridSpan w:val="2"/>
                  <w:tcBorders>
                    <w:right w:val="single" w:color="auto" w:sz="4" w:space="0"/>
                  </w:tcBorders>
                  <w:noWrap w:val="0"/>
                  <w:vAlign w:val="center"/>
                </w:tcPr>
                <w:p w14:paraId="36F6C152">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锰</w:t>
                  </w:r>
                </w:p>
              </w:tc>
              <w:tc>
                <w:tcPr>
                  <w:tcW w:w="1492" w:type="pct"/>
                  <w:tcBorders>
                    <w:left w:val="single" w:color="auto" w:sz="4" w:space="0"/>
                  </w:tcBorders>
                  <w:noWrap w:val="0"/>
                  <w:vAlign w:val="center"/>
                </w:tcPr>
                <w:p w14:paraId="5C688B1D">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0.35</w:t>
                  </w:r>
                </w:p>
              </w:tc>
              <w:tc>
                <w:tcPr>
                  <w:tcW w:w="1630" w:type="pct"/>
                  <w:tcBorders>
                    <w:left w:val="single" w:color="auto" w:sz="4" w:space="0"/>
                  </w:tcBorders>
                  <w:noWrap w:val="0"/>
                  <w:vAlign w:val="center"/>
                </w:tcPr>
                <w:p w14:paraId="44B99553">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r>
            <w:tr w14:paraId="29B87D4B">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0D6EBB29">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41" w:type="pct"/>
                  <w:vMerge w:val="restart"/>
                  <w:tcBorders>
                    <w:right w:val="single" w:color="auto" w:sz="4" w:space="0"/>
                  </w:tcBorders>
                  <w:noWrap w:val="0"/>
                  <w:vAlign w:val="center"/>
                </w:tcPr>
                <w:p w14:paraId="1C6CDFC0">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半挥发性有机物</w:t>
                  </w:r>
                </w:p>
              </w:tc>
              <w:tc>
                <w:tcPr>
                  <w:tcW w:w="743" w:type="pct"/>
                  <w:tcBorders>
                    <w:right w:val="single" w:color="auto" w:sz="4" w:space="0"/>
                  </w:tcBorders>
                  <w:noWrap w:val="0"/>
                  <w:vAlign w:val="center"/>
                </w:tcPr>
                <w:p w14:paraId="40704C06">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硝基苯</w:t>
                  </w:r>
                </w:p>
              </w:tc>
              <w:tc>
                <w:tcPr>
                  <w:tcW w:w="1492" w:type="pct"/>
                  <w:tcBorders>
                    <w:left w:val="single" w:color="auto" w:sz="4" w:space="0"/>
                  </w:tcBorders>
                  <w:noWrap w:val="0"/>
                  <w:vAlign w:val="center"/>
                </w:tcPr>
                <w:p w14:paraId="782ED996">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未检出</w:t>
                  </w:r>
                </w:p>
              </w:tc>
              <w:tc>
                <w:tcPr>
                  <w:tcW w:w="1630" w:type="pct"/>
                  <w:tcBorders>
                    <w:left w:val="single" w:color="auto" w:sz="4" w:space="0"/>
                  </w:tcBorders>
                  <w:noWrap w:val="0"/>
                  <w:vAlign w:val="center"/>
                </w:tcPr>
                <w:p w14:paraId="473AF7FA">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76</w:t>
                  </w:r>
                </w:p>
              </w:tc>
            </w:tr>
            <w:tr w14:paraId="55DABB09">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160549E4">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41" w:type="pct"/>
                  <w:vMerge w:val="continue"/>
                  <w:tcBorders>
                    <w:right w:val="single" w:color="auto" w:sz="4" w:space="0"/>
                  </w:tcBorders>
                  <w:noWrap w:val="0"/>
                  <w:vAlign w:val="center"/>
                </w:tcPr>
                <w:p w14:paraId="0A923016">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743" w:type="pct"/>
                  <w:tcBorders>
                    <w:right w:val="single" w:color="auto" w:sz="4" w:space="0"/>
                  </w:tcBorders>
                  <w:noWrap w:val="0"/>
                  <w:vAlign w:val="center"/>
                </w:tcPr>
                <w:p w14:paraId="4AC9F5D8">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苯胺</w:t>
                  </w:r>
                </w:p>
              </w:tc>
              <w:tc>
                <w:tcPr>
                  <w:tcW w:w="1492" w:type="pct"/>
                  <w:tcBorders>
                    <w:left w:val="single" w:color="auto" w:sz="4" w:space="0"/>
                  </w:tcBorders>
                  <w:noWrap w:val="0"/>
                  <w:vAlign w:val="center"/>
                </w:tcPr>
                <w:p w14:paraId="6509EC11">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未检出</w:t>
                  </w:r>
                </w:p>
              </w:tc>
              <w:tc>
                <w:tcPr>
                  <w:tcW w:w="1630" w:type="pct"/>
                  <w:tcBorders>
                    <w:left w:val="single" w:color="auto" w:sz="4" w:space="0"/>
                  </w:tcBorders>
                  <w:noWrap w:val="0"/>
                  <w:vAlign w:val="center"/>
                </w:tcPr>
                <w:p w14:paraId="355CBE2A">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260</w:t>
                  </w:r>
                </w:p>
              </w:tc>
            </w:tr>
            <w:tr w14:paraId="54E0B455">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1F8D9E9B">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41" w:type="pct"/>
                  <w:vMerge w:val="continue"/>
                  <w:tcBorders>
                    <w:right w:val="single" w:color="auto" w:sz="4" w:space="0"/>
                  </w:tcBorders>
                  <w:noWrap w:val="0"/>
                  <w:vAlign w:val="center"/>
                </w:tcPr>
                <w:p w14:paraId="07A106F5">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743" w:type="pct"/>
                  <w:tcBorders>
                    <w:right w:val="single" w:color="auto" w:sz="4" w:space="0"/>
                  </w:tcBorders>
                  <w:noWrap w:val="0"/>
                  <w:vAlign w:val="center"/>
                </w:tcPr>
                <w:p w14:paraId="14A09DCB">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2-氯苯酚</w:t>
                  </w:r>
                </w:p>
              </w:tc>
              <w:tc>
                <w:tcPr>
                  <w:tcW w:w="1492" w:type="pct"/>
                  <w:tcBorders>
                    <w:left w:val="single" w:color="auto" w:sz="4" w:space="0"/>
                  </w:tcBorders>
                  <w:noWrap w:val="0"/>
                  <w:vAlign w:val="center"/>
                </w:tcPr>
                <w:p w14:paraId="2DE4A94A">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未检出</w:t>
                  </w:r>
                </w:p>
              </w:tc>
              <w:tc>
                <w:tcPr>
                  <w:tcW w:w="1630" w:type="pct"/>
                  <w:tcBorders>
                    <w:left w:val="single" w:color="auto" w:sz="4" w:space="0"/>
                  </w:tcBorders>
                  <w:noWrap w:val="0"/>
                  <w:vAlign w:val="center"/>
                </w:tcPr>
                <w:p w14:paraId="76B88823">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2256</w:t>
                  </w:r>
                </w:p>
              </w:tc>
            </w:tr>
            <w:tr w14:paraId="48C3B2FB">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7902D3DA">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41" w:type="pct"/>
                  <w:vMerge w:val="continue"/>
                  <w:tcBorders>
                    <w:right w:val="single" w:color="auto" w:sz="4" w:space="0"/>
                  </w:tcBorders>
                  <w:noWrap w:val="0"/>
                  <w:vAlign w:val="center"/>
                </w:tcPr>
                <w:p w14:paraId="3AF56245">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743" w:type="pct"/>
                  <w:tcBorders>
                    <w:right w:val="single" w:color="auto" w:sz="4" w:space="0"/>
                  </w:tcBorders>
                  <w:noWrap w:val="0"/>
                  <w:vAlign w:val="center"/>
                </w:tcPr>
                <w:p w14:paraId="4AA4CF03">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苯并[a]蒽</w:t>
                  </w:r>
                </w:p>
              </w:tc>
              <w:tc>
                <w:tcPr>
                  <w:tcW w:w="1492" w:type="pct"/>
                  <w:tcBorders>
                    <w:left w:val="single" w:color="auto" w:sz="4" w:space="0"/>
                  </w:tcBorders>
                  <w:noWrap w:val="0"/>
                  <w:vAlign w:val="center"/>
                </w:tcPr>
                <w:p w14:paraId="561E88F1">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未检出</w:t>
                  </w:r>
                </w:p>
              </w:tc>
              <w:tc>
                <w:tcPr>
                  <w:tcW w:w="1630" w:type="pct"/>
                  <w:tcBorders>
                    <w:left w:val="single" w:color="auto" w:sz="4" w:space="0"/>
                  </w:tcBorders>
                  <w:noWrap w:val="0"/>
                  <w:vAlign w:val="center"/>
                </w:tcPr>
                <w:p w14:paraId="4408C41F">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15</w:t>
                  </w:r>
                </w:p>
              </w:tc>
            </w:tr>
            <w:tr w14:paraId="6CEAB7B0">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11A17372">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41" w:type="pct"/>
                  <w:vMerge w:val="continue"/>
                  <w:tcBorders>
                    <w:right w:val="single" w:color="auto" w:sz="4" w:space="0"/>
                  </w:tcBorders>
                  <w:noWrap w:val="0"/>
                  <w:vAlign w:val="center"/>
                </w:tcPr>
                <w:p w14:paraId="7465EAF1">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743" w:type="pct"/>
                  <w:tcBorders>
                    <w:right w:val="single" w:color="auto" w:sz="4" w:space="0"/>
                  </w:tcBorders>
                  <w:noWrap w:val="0"/>
                  <w:vAlign w:val="center"/>
                </w:tcPr>
                <w:p w14:paraId="316E4733">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苯并[a]芘</w:t>
                  </w:r>
                </w:p>
              </w:tc>
              <w:tc>
                <w:tcPr>
                  <w:tcW w:w="1492" w:type="pct"/>
                  <w:tcBorders>
                    <w:left w:val="single" w:color="auto" w:sz="4" w:space="0"/>
                  </w:tcBorders>
                  <w:noWrap w:val="0"/>
                  <w:vAlign w:val="center"/>
                </w:tcPr>
                <w:p w14:paraId="57D67FD1">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未检出</w:t>
                  </w:r>
                </w:p>
              </w:tc>
              <w:tc>
                <w:tcPr>
                  <w:tcW w:w="1630" w:type="pct"/>
                  <w:tcBorders>
                    <w:left w:val="single" w:color="auto" w:sz="4" w:space="0"/>
                  </w:tcBorders>
                  <w:noWrap w:val="0"/>
                  <w:vAlign w:val="center"/>
                </w:tcPr>
                <w:p w14:paraId="669718C5">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1.5</w:t>
                  </w:r>
                </w:p>
              </w:tc>
            </w:tr>
            <w:tr w14:paraId="475CCAE7">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4EF94A11">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41" w:type="pct"/>
                  <w:vMerge w:val="continue"/>
                  <w:tcBorders>
                    <w:right w:val="single" w:color="auto" w:sz="4" w:space="0"/>
                  </w:tcBorders>
                  <w:noWrap w:val="0"/>
                  <w:vAlign w:val="center"/>
                </w:tcPr>
                <w:p w14:paraId="0EF89E92">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743" w:type="pct"/>
                  <w:tcBorders>
                    <w:right w:val="single" w:color="auto" w:sz="4" w:space="0"/>
                  </w:tcBorders>
                  <w:shd w:val="clear" w:color="auto" w:fill="auto"/>
                  <w:noWrap w:val="0"/>
                  <w:vAlign w:val="center"/>
                </w:tcPr>
                <w:p w14:paraId="7252CBCF">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苯并[b]荧蒽</w:t>
                  </w:r>
                </w:p>
              </w:tc>
              <w:tc>
                <w:tcPr>
                  <w:tcW w:w="1492" w:type="pct"/>
                  <w:tcBorders>
                    <w:left w:val="single" w:color="auto" w:sz="4" w:space="0"/>
                  </w:tcBorders>
                  <w:shd w:val="clear" w:color="auto" w:fill="auto"/>
                  <w:noWrap w:val="0"/>
                  <w:vAlign w:val="center"/>
                </w:tcPr>
                <w:p w14:paraId="6CA5E73C">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未检出</w:t>
                  </w:r>
                </w:p>
              </w:tc>
              <w:tc>
                <w:tcPr>
                  <w:tcW w:w="1630" w:type="pct"/>
                  <w:tcBorders>
                    <w:left w:val="single" w:color="auto" w:sz="4" w:space="0"/>
                  </w:tcBorders>
                  <w:shd w:val="clear" w:color="auto" w:fill="auto"/>
                  <w:noWrap w:val="0"/>
                  <w:vAlign w:val="center"/>
                </w:tcPr>
                <w:p w14:paraId="07B6D663">
                  <w:pPr>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15</w:t>
                  </w:r>
                </w:p>
              </w:tc>
            </w:tr>
            <w:tr w14:paraId="3BA81D72">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051BE97A">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41" w:type="pct"/>
                  <w:vMerge w:val="continue"/>
                  <w:tcBorders>
                    <w:right w:val="single" w:color="auto" w:sz="4" w:space="0"/>
                  </w:tcBorders>
                  <w:noWrap w:val="0"/>
                  <w:vAlign w:val="center"/>
                </w:tcPr>
                <w:p w14:paraId="13568ABA">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743" w:type="pct"/>
                  <w:tcBorders>
                    <w:right w:val="single" w:color="auto" w:sz="4" w:space="0"/>
                  </w:tcBorders>
                  <w:noWrap w:val="0"/>
                  <w:vAlign w:val="center"/>
                </w:tcPr>
                <w:p w14:paraId="5810B7E8">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苯并[k]荧蒽</w:t>
                  </w:r>
                </w:p>
              </w:tc>
              <w:tc>
                <w:tcPr>
                  <w:tcW w:w="1492" w:type="pct"/>
                  <w:tcBorders>
                    <w:left w:val="single" w:color="auto" w:sz="4" w:space="0"/>
                  </w:tcBorders>
                  <w:noWrap w:val="0"/>
                  <w:vAlign w:val="center"/>
                </w:tcPr>
                <w:p w14:paraId="4F72A512">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未检出</w:t>
                  </w:r>
                </w:p>
              </w:tc>
              <w:tc>
                <w:tcPr>
                  <w:tcW w:w="1630" w:type="pct"/>
                  <w:tcBorders>
                    <w:left w:val="single" w:color="auto" w:sz="4" w:space="0"/>
                  </w:tcBorders>
                  <w:noWrap w:val="0"/>
                  <w:vAlign w:val="center"/>
                </w:tcPr>
                <w:p w14:paraId="060B4B50">
                  <w:pPr>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151</w:t>
                  </w:r>
                </w:p>
              </w:tc>
            </w:tr>
            <w:tr w14:paraId="7560B8B3">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55203CCE">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41" w:type="pct"/>
                  <w:vMerge w:val="continue"/>
                  <w:tcBorders>
                    <w:right w:val="single" w:color="auto" w:sz="4" w:space="0"/>
                  </w:tcBorders>
                  <w:noWrap w:val="0"/>
                  <w:vAlign w:val="center"/>
                </w:tcPr>
                <w:p w14:paraId="538CC9BC">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743" w:type="pct"/>
                  <w:tcBorders>
                    <w:right w:val="single" w:color="auto" w:sz="4" w:space="0"/>
                  </w:tcBorders>
                  <w:noWrap w:val="0"/>
                  <w:vAlign w:val="center"/>
                </w:tcPr>
                <w:p w14:paraId="2607C4C3">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䓛</w:t>
                  </w:r>
                </w:p>
              </w:tc>
              <w:tc>
                <w:tcPr>
                  <w:tcW w:w="1492" w:type="pct"/>
                  <w:tcBorders>
                    <w:left w:val="single" w:color="auto" w:sz="4" w:space="0"/>
                  </w:tcBorders>
                  <w:noWrap w:val="0"/>
                  <w:vAlign w:val="center"/>
                </w:tcPr>
                <w:p w14:paraId="6C2BEE84">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未检出</w:t>
                  </w:r>
                </w:p>
              </w:tc>
              <w:tc>
                <w:tcPr>
                  <w:tcW w:w="1630" w:type="pct"/>
                  <w:tcBorders>
                    <w:left w:val="single" w:color="auto" w:sz="4" w:space="0"/>
                  </w:tcBorders>
                  <w:noWrap w:val="0"/>
                  <w:vAlign w:val="center"/>
                </w:tcPr>
                <w:p w14:paraId="7BC8625E">
                  <w:pPr>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1293</w:t>
                  </w:r>
                </w:p>
              </w:tc>
            </w:tr>
            <w:tr w14:paraId="7577614A">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538289B5">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41" w:type="pct"/>
                  <w:vMerge w:val="continue"/>
                  <w:tcBorders>
                    <w:right w:val="single" w:color="auto" w:sz="4" w:space="0"/>
                  </w:tcBorders>
                  <w:noWrap w:val="0"/>
                  <w:vAlign w:val="center"/>
                </w:tcPr>
                <w:p w14:paraId="2948F147">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743" w:type="pct"/>
                  <w:tcBorders>
                    <w:right w:val="single" w:color="auto" w:sz="4" w:space="0"/>
                  </w:tcBorders>
                  <w:noWrap w:val="0"/>
                  <w:vAlign w:val="center"/>
                </w:tcPr>
                <w:p w14:paraId="24FB378A">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二苯并[a,h]蒽</w:t>
                  </w:r>
                </w:p>
              </w:tc>
              <w:tc>
                <w:tcPr>
                  <w:tcW w:w="1492" w:type="pct"/>
                  <w:tcBorders>
                    <w:left w:val="single" w:color="auto" w:sz="4" w:space="0"/>
                  </w:tcBorders>
                  <w:noWrap w:val="0"/>
                  <w:vAlign w:val="center"/>
                </w:tcPr>
                <w:p w14:paraId="5B0639F4">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未检出</w:t>
                  </w:r>
                </w:p>
              </w:tc>
              <w:tc>
                <w:tcPr>
                  <w:tcW w:w="1630" w:type="pct"/>
                  <w:tcBorders>
                    <w:left w:val="single" w:color="auto" w:sz="4" w:space="0"/>
                  </w:tcBorders>
                  <w:noWrap w:val="0"/>
                  <w:vAlign w:val="center"/>
                </w:tcPr>
                <w:p w14:paraId="68F8DE85">
                  <w:pPr>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1.5</w:t>
                  </w:r>
                </w:p>
              </w:tc>
            </w:tr>
            <w:tr w14:paraId="7FD881F3">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6D0DB11E">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41" w:type="pct"/>
                  <w:vMerge w:val="continue"/>
                  <w:tcBorders>
                    <w:right w:val="single" w:color="auto" w:sz="4" w:space="0"/>
                  </w:tcBorders>
                  <w:noWrap w:val="0"/>
                  <w:vAlign w:val="center"/>
                </w:tcPr>
                <w:p w14:paraId="0CB9AEBA">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743" w:type="pct"/>
                  <w:tcBorders>
                    <w:right w:val="single" w:color="auto" w:sz="4" w:space="0"/>
                  </w:tcBorders>
                  <w:noWrap w:val="0"/>
                  <w:vAlign w:val="center"/>
                </w:tcPr>
                <w:p w14:paraId="221D1064">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茚并[1,2,3-cd]芘</w:t>
                  </w:r>
                </w:p>
              </w:tc>
              <w:tc>
                <w:tcPr>
                  <w:tcW w:w="1492" w:type="pct"/>
                  <w:tcBorders>
                    <w:left w:val="single" w:color="auto" w:sz="4" w:space="0"/>
                  </w:tcBorders>
                  <w:noWrap w:val="0"/>
                  <w:vAlign w:val="center"/>
                </w:tcPr>
                <w:p w14:paraId="3F272D5D">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未检出</w:t>
                  </w:r>
                </w:p>
              </w:tc>
              <w:tc>
                <w:tcPr>
                  <w:tcW w:w="1630" w:type="pct"/>
                  <w:tcBorders>
                    <w:left w:val="single" w:color="auto" w:sz="4" w:space="0"/>
                  </w:tcBorders>
                  <w:noWrap w:val="0"/>
                  <w:vAlign w:val="center"/>
                </w:tcPr>
                <w:p w14:paraId="174A1853">
                  <w:pPr>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15</w:t>
                  </w:r>
                </w:p>
              </w:tc>
            </w:tr>
            <w:tr w14:paraId="312C2302">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59FB8735">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41" w:type="pct"/>
                  <w:vMerge w:val="continue"/>
                  <w:tcBorders>
                    <w:right w:val="single" w:color="auto" w:sz="4" w:space="0"/>
                  </w:tcBorders>
                  <w:noWrap w:val="0"/>
                  <w:vAlign w:val="center"/>
                </w:tcPr>
                <w:p w14:paraId="51A5AA13">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743" w:type="pct"/>
                  <w:tcBorders>
                    <w:right w:val="single" w:color="auto" w:sz="4" w:space="0"/>
                  </w:tcBorders>
                  <w:noWrap w:val="0"/>
                  <w:vAlign w:val="center"/>
                </w:tcPr>
                <w:p w14:paraId="3E65346C">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萘</w:t>
                  </w:r>
                </w:p>
              </w:tc>
              <w:tc>
                <w:tcPr>
                  <w:tcW w:w="1492" w:type="pct"/>
                  <w:tcBorders>
                    <w:left w:val="single" w:color="auto" w:sz="4" w:space="0"/>
                  </w:tcBorders>
                  <w:noWrap w:val="0"/>
                  <w:vAlign w:val="center"/>
                </w:tcPr>
                <w:p w14:paraId="0D4695E7">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未检出</w:t>
                  </w:r>
                </w:p>
              </w:tc>
              <w:tc>
                <w:tcPr>
                  <w:tcW w:w="1630" w:type="pct"/>
                  <w:tcBorders>
                    <w:left w:val="single" w:color="auto" w:sz="4" w:space="0"/>
                  </w:tcBorders>
                  <w:noWrap w:val="0"/>
                  <w:vAlign w:val="center"/>
                </w:tcPr>
                <w:p w14:paraId="2CF791BD">
                  <w:pPr>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70</w:t>
                  </w:r>
                </w:p>
              </w:tc>
            </w:tr>
            <w:tr w14:paraId="64A8F987">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1B9F2412">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41" w:type="pct"/>
                  <w:vMerge w:val="restart"/>
                  <w:tcBorders>
                    <w:right w:val="single" w:color="auto" w:sz="4" w:space="0"/>
                  </w:tcBorders>
                  <w:noWrap w:val="0"/>
                  <w:vAlign w:val="center"/>
                </w:tcPr>
                <w:p w14:paraId="74523AD5">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挥发性有机物</w:t>
                  </w:r>
                </w:p>
              </w:tc>
              <w:tc>
                <w:tcPr>
                  <w:tcW w:w="743" w:type="pct"/>
                  <w:tcBorders>
                    <w:right w:val="single" w:color="auto" w:sz="4" w:space="0"/>
                  </w:tcBorders>
                  <w:noWrap w:val="0"/>
                  <w:vAlign w:val="center"/>
                </w:tcPr>
                <w:p w14:paraId="7CE3A09B">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四氯化碳</w:t>
                  </w:r>
                </w:p>
              </w:tc>
              <w:tc>
                <w:tcPr>
                  <w:tcW w:w="1492" w:type="pct"/>
                  <w:tcBorders>
                    <w:left w:val="single" w:color="auto" w:sz="4" w:space="0"/>
                  </w:tcBorders>
                  <w:noWrap w:val="0"/>
                  <w:vAlign w:val="center"/>
                </w:tcPr>
                <w:p w14:paraId="02D9A71F">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未检出</w:t>
                  </w:r>
                </w:p>
              </w:tc>
              <w:tc>
                <w:tcPr>
                  <w:tcW w:w="1630" w:type="pct"/>
                  <w:tcBorders>
                    <w:left w:val="single" w:color="auto" w:sz="4" w:space="0"/>
                  </w:tcBorders>
                  <w:noWrap w:val="0"/>
                  <w:vAlign w:val="center"/>
                </w:tcPr>
                <w:p w14:paraId="21573B60">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2.8</w:t>
                  </w:r>
                </w:p>
              </w:tc>
            </w:tr>
            <w:tr w14:paraId="0F3014C8">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4FA8D0B0">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41" w:type="pct"/>
                  <w:vMerge w:val="continue"/>
                  <w:tcBorders>
                    <w:right w:val="single" w:color="auto" w:sz="4" w:space="0"/>
                  </w:tcBorders>
                  <w:noWrap w:val="0"/>
                  <w:vAlign w:val="center"/>
                </w:tcPr>
                <w:p w14:paraId="14FA5913">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743" w:type="pct"/>
                  <w:tcBorders>
                    <w:right w:val="single" w:color="auto" w:sz="4" w:space="0"/>
                  </w:tcBorders>
                  <w:noWrap w:val="0"/>
                  <w:vAlign w:val="center"/>
                </w:tcPr>
                <w:p w14:paraId="2CD4F50C">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氯仿</w:t>
                  </w:r>
                </w:p>
              </w:tc>
              <w:tc>
                <w:tcPr>
                  <w:tcW w:w="1492" w:type="pct"/>
                  <w:tcBorders>
                    <w:left w:val="single" w:color="auto" w:sz="4" w:space="0"/>
                  </w:tcBorders>
                  <w:noWrap w:val="0"/>
                  <w:vAlign w:val="center"/>
                </w:tcPr>
                <w:p w14:paraId="5E803FE8">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未检出</w:t>
                  </w:r>
                </w:p>
              </w:tc>
              <w:tc>
                <w:tcPr>
                  <w:tcW w:w="1630" w:type="pct"/>
                  <w:tcBorders>
                    <w:left w:val="single" w:color="auto" w:sz="4" w:space="0"/>
                  </w:tcBorders>
                  <w:noWrap w:val="0"/>
                  <w:vAlign w:val="center"/>
                </w:tcPr>
                <w:p w14:paraId="439481F7">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0.9</w:t>
                  </w:r>
                </w:p>
              </w:tc>
            </w:tr>
            <w:tr w14:paraId="1C6B277C">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1E83228B">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41" w:type="pct"/>
                  <w:vMerge w:val="continue"/>
                  <w:tcBorders>
                    <w:right w:val="single" w:color="auto" w:sz="4" w:space="0"/>
                  </w:tcBorders>
                  <w:noWrap w:val="0"/>
                  <w:vAlign w:val="center"/>
                </w:tcPr>
                <w:p w14:paraId="100747AA">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743" w:type="pct"/>
                  <w:tcBorders>
                    <w:right w:val="single" w:color="auto" w:sz="4" w:space="0"/>
                  </w:tcBorders>
                  <w:noWrap w:val="0"/>
                  <w:vAlign w:val="center"/>
                </w:tcPr>
                <w:p w14:paraId="62F66DB0">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氯甲烷</w:t>
                  </w:r>
                </w:p>
              </w:tc>
              <w:tc>
                <w:tcPr>
                  <w:tcW w:w="1492" w:type="pct"/>
                  <w:tcBorders>
                    <w:left w:val="single" w:color="auto" w:sz="4" w:space="0"/>
                  </w:tcBorders>
                  <w:noWrap w:val="0"/>
                  <w:vAlign w:val="center"/>
                </w:tcPr>
                <w:p w14:paraId="29198704">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未检出</w:t>
                  </w:r>
                </w:p>
              </w:tc>
              <w:tc>
                <w:tcPr>
                  <w:tcW w:w="1630" w:type="pct"/>
                  <w:tcBorders>
                    <w:left w:val="single" w:color="auto" w:sz="4" w:space="0"/>
                  </w:tcBorders>
                  <w:noWrap w:val="0"/>
                  <w:vAlign w:val="center"/>
                </w:tcPr>
                <w:p w14:paraId="0902EBB8">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37</w:t>
                  </w:r>
                </w:p>
              </w:tc>
            </w:tr>
            <w:tr w14:paraId="7A98B066">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1686CE1B">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41" w:type="pct"/>
                  <w:vMerge w:val="continue"/>
                  <w:tcBorders>
                    <w:right w:val="single" w:color="auto" w:sz="4" w:space="0"/>
                  </w:tcBorders>
                  <w:noWrap w:val="0"/>
                  <w:vAlign w:val="center"/>
                </w:tcPr>
                <w:p w14:paraId="125E9C4C">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743" w:type="pct"/>
                  <w:tcBorders>
                    <w:right w:val="single" w:color="auto" w:sz="4" w:space="0"/>
                  </w:tcBorders>
                  <w:noWrap w:val="0"/>
                  <w:vAlign w:val="center"/>
                </w:tcPr>
                <w:p w14:paraId="6CC743BF">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1,1-二氯乙烷</w:t>
                  </w:r>
                </w:p>
              </w:tc>
              <w:tc>
                <w:tcPr>
                  <w:tcW w:w="1492" w:type="pct"/>
                  <w:tcBorders>
                    <w:left w:val="single" w:color="auto" w:sz="4" w:space="0"/>
                  </w:tcBorders>
                  <w:noWrap w:val="0"/>
                  <w:vAlign w:val="center"/>
                </w:tcPr>
                <w:p w14:paraId="5EE78BE6">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未检出</w:t>
                  </w:r>
                </w:p>
              </w:tc>
              <w:tc>
                <w:tcPr>
                  <w:tcW w:w="1630" w:type="pct"/>
                  <w:tcBorders>
                    <w:left w:val="single" w:color="auto" w:sz="4" w:space="0"/>
                  </w:tcBorders>
                  <w:noWrap w:val="0"/>
                  <w:vAlign w:val="center"/>
                </w:tcPr>
                <w:p w14:paraId="516633C0">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9</w:t>
                  </w:r>
                </w:p>
              </w:tc>
            </w:tr>
            <w:tr w14:paraId="2043570A">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67447E21">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41" w:type="pct"/>
                  <w:vMerge w:val="continue"/>
                  <w:tcBorders>
                    <w:right w:val="single" w:color="auto" w:sz="4" w:space="0"/>
                  </w:tcBorders>
                  <w:noWrap w:val="0"/>
                  <w:vAlign w:val="center"/>
                </w:tcPr>
                <w:p w14:paraId="2632132E">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743" w:type="pct"/>
                  <w:tcBorders>
                    <w:right w:val="single" w:color="auto" w:sz="4" w:space="0"/>
                  </w:tcBorders>
                  <w:noWrap w:val="0"/>
                  <w:vAlign w:val="center"/>
                </w:tcPr>
                <w:p w14:paraId="68268D0A">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1,2-二氯乙烷</w:t>
                  </w:r>
                </w:p>
              </w:tc>
              <w:tc>
                <w:tcPr>
                  <w:tcW w:w="1492" w:type="pct"/>
                  <w:tcBorders>
                    <w:left w:val="single" w:color="auto" w:sz="4" w:space="0"/>
                  </w:tcBorders>
                  <w:noWrap w:val="0"/>
                  <w:vAlign w:val="center"/>
                </w:tcPr>
                <w:p w14:paraId="7F84C48C">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未检出</w:t>
                  </w:r>
                </w:p>
              </w:tc>
              <w:tc>
                <w:tcPr>
                  <w:tcW w:w="1630" w:type="pct"/>
                  <w:tcBorders>
                    <w:left w:val="single" w:color="auto" w:sz="4" w:space="0"/>
                  </w:tcBorders>
                  <w:noWrap w:val="0"/>
                  <w:vAlign w:val="center"/>
                </w:tcPr>
                <w:p w14:paraId="51C6C2FC">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5</w:t>
                  </w:r>
                </w:p>
              </w:tc>
            </w:tr>
            <w:tr w14:paraId="726D579F">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0A62701D">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41" w:type="pct"/>
                  <w:vMerge w:val="continue"/>
                  <w:tcBorders>
                    <w:right w:val="single" w:color="auto" w:sz="4" w:space="0"/>
                  </w:tcBorders>
                  <w:noWrap w:val="0"/>
                  <w:vAlign w:val="center"/>
                </w:tcPr>
                <w:p w14:paraId="2B75932F">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743" w:type="pct"/>
                  <w:tcBorders>
                    <w:right w:val="single" w:color="auto" w:sz="4" w:space="0"/>
                  </w:tcBorders>
                  <w:noWrap w:val="0"/>
                  <w:vAlign w:val="center"/>
                </w:tcPr>
                <w:p w14:paraId="09E5B63A">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1,1-二氯乙烯</w:t>
                  </w:r>
                </w:p>
              </w:tc>
              <w:tc>
                <w:tcPr>
                  <w:tcW w:w="1492" w:type="pct"/>
                  <w:tcBorders>
                    <w:left w:val="single" w:color="auto" w:sz="4" w:space="0"/>
                  </w:tcBorders>
                  <w:noWrap w:val="0"/>
                  <w:vAlign w:val="center"/>
                </w:tcPr>
                <w:p w14:paraId="067F80B3">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未检出</w:t>
                  </w:r>
                </w:p>
              </w:tc>
              <w:tc>
                <w:tcPr>
                  <w:tcW w:w="1630" w:type="pct"/>
                  <w:tcBorders>
                    <w:left w:val="single" w:color="auto" w:sz="4" w:space="0"/>
                  </w:tcBorders>
                  <w:noWrap w:val="0"/>
                  <w:vAlign w:val="center"/>
                </w:tcPr>
                <w:p w14:paraId="63703A84">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66</w:t>
                  </w:r>
                </w:p>
              </w:tc>
            </w:tr>
            <w:tr w14:paraId="2BD554DA">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68E98D11">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41" w:type="pct"/>
                  <w:vMerge w:val="continue"/>
                  <w:tcBorders>
                    <w:right w:val="single" w:color="auto" w:sz="4" w:space="0"/>
                  </w:tcBorders>
                  <w:noWrap w:val="0"/>
                  <w:vAlign w:val="center"/>
                </w:tcPr>
                <w:p w14:paraId="29C99A38">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743" w:type="pct"/>
                  <w:tcBorders>
                    <w:right w:val="single" w:color="auto" w:sz="4" w:space="0"/>
                  </w:tcBorders>
                  <w:noWrap w:val="0"/>
                  <w:vAlign w:val="center"/>
                </w:tcPr>
                <w:p w14:paraId="5646DEEB">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顺-1,2-二氯乙烯</w:t>
                  </w:r>
                </w:p>
              </w:tc>
              <w:tc>
                <w:tcPr>
                  <w:tcW w:w="1492" w:type="pct"/>
                  <w:tcBorders>
                    <w:left w:val="single" w:color="auto" w:sz="4" w:space="0"/>
                  </w:tcBorders>
                  <w:noWrap w:val="0"/>
                  <w:vAlign w:val="center"/>
                </w:tcPr>
                <w:p w14:paraId="35456210">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未检出</w:t>
                  </w:r>
                </w:p>
              </w:tc>
              <w:tc>
                <w:tcPr>
                  <w:tcW w:w="1630" w:type="pct"/>
                  <w:tcBorders>
                    <w:left w:val="single" w:color="auto" w:sz="4" w:space="0"/>
                  </w:tcBorders>
                  <w:noWrap w:val="0"/>
                  <w:vAlign w:val="center"/>
                </w:tcPr>
                <w:p w14:paraId="567E7B9A">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596</w:t>
                  </w:r>
                </w:p>
              </w:tc>
            </w:tr>
            <w:tr w14:paraId="1FFF3B5D">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7D587941">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41" w:type="pct"/>
                  <w:vMerge w:val="continue"/>
                  <w:tcBorders>
                    <w:right w:val="single" w:color="auto" w:sz="4" w:space="0"/>
                  </w:tcBorders>
                  <w:noWrap w:val="0"/>
                  <w:vAlign w:val="center"/>
                </w:tcPr>
                <w:p w14:paraId="3BA08A01">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743" w:type="pct"/>
                  <w:tcBorders>
                    <w:right w:val="single" w:color="auto" w:sz="4" w:space="0"/>
                  </w:tcBorders>
                  <w:noWrap w:val="0"/>
                  <w:vAlign w:val="center"/>
                </w:tcPr>
                <w:p w14:paraId="0F3E16E6">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反-1,2-二氯乙烯</w:t>
                  </w:r>
                </w:p>
              </w:tc>
              <w:tc>
                <w:tcPr>
                  <w:tcW w:w="1492" w:type="pct"/>
                  <w:tcBorders>
                    <w:left w:val="single" w:color="auto" w:sz="4" w:space="0"/>
                  </w:tcBorders>
                  <w:noWrap w:val="0"/>
                  <w:vAlign w:val="center"/>
                </w:tcPr>
                <w:p w14:paraId="0772A38F">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未检出</w:t>
                  </w:r>
                </w:p>
              </w:tc>
              <w:tc>
                <w:tcPr>
                  <w:tcW w:w="1630" w:type="pct"/>
                  <w:tcBorders>
                    <w:left w:val="single" w:color="auto" w:sz="4" w:space="0"/>
                  </w:tcBorders>
                  <w:noWrap w:val="0"/>
                  <w:vAlign w:val="center"/>
                </w:tcPr>
                <w:p w14:paraId="355CAC66">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54</w:t>
                  </w:r>
                </w:p>
              </w:tc>
            </w:tr>
            <w:tr w14:paraId="763BCF4F">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015FA3BF">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41" w:type="pct"/>
                  <w:vMerge w:val="continue"/>
                  <w:tcBorders>
                    <w:right w:val="single" w:color="auto" w:sz="4" w:space="0"/>
                  </w:tcBorders>
                  <w:noWrap w:val="0"/>
                  <w:vAlign w:val="center"/>
                </w:tcPr>
                <w:p w14:paraId="037B9865">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743" w:type="pct"/>
                  <w:tcBorders>
                    <w:right w:val="single" w:color="auto" w:sz="4" w:space="0"/>
                  </w:tcBorders>
                  <w:noWrap w:val="0"/>
                  <w:vAlign w:val="center"/>
                </w:tcPr>
                <w:p w14:paraId="3926F60B">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二氯甲烷</w:t>
                  </w:r>
                </w:p>
              </w:tc>
              <w:tc>
                <w:tcPr>
                  <w:tcW w:w="1492" w:type="pct"/>
                  <w:tcBorders>
                    <w:left w:val="single" w:color="auto" w:sz="4" w:space="0"/>
                  </w:tcBorders>
                  <w:noWrap w:val="0"/>
                  <w:vAlign w:val="center"/>
                </w:tcPr>
                <w:p w14:paraId="380DD70C">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未检出</w:t>
                  </w:r>
                </w:p>
              </w:tc>
              <w:tc>
                <w:tcPr>
                  <w:tcW w:w="1630" w:type="pct"/>
                  <w:tcBorders>
                    <w:left w:val="single" w:color="auto" w:sz="4" w:space="0"/>
                  </w:tcBorders>
                  <w:noWrap w:val="0"/>
                  <w:vAlign w:val="center"/>
                </w:tcPr>
                <w:p w14:paraId="120A885D">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616</w:t>
                  </w:r>
                </w:p>
              </w:tc>
            </w:tr>
            <w:tr w14:paraId="7D620149">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44C5173C">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41" w:type="pct"/>
                  <w:vMerge w:val="continue"/>
                  <w:tcBorders>
                    <w:right w:val="single" w:color="auto" w:sz="4" w:space="0"/>
                  </w:tcBorders>
                  <w:noWrap w:val="0"/>
                  <w:vAlign w:val="center"/>
                </w:tcPr>
                <w:p w14:paraId="708AC708">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743" w:type="pct"/>
                  <w:tcBorders>
                    <w:right w:val="single" w:color="auto" w:sz="4" w:space="0"/>
                  </w:tcBorders>
                  <w:noWrap w:val="0"/>
                  <w:vAlign w:val="center"/>
                </w:tcPr>
                <w:p w14:paraId="0F5E2843">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1,2-二氯丙烷</w:t>
                  </w:r>
                </w:p>
              </w:tc>
              <w:tc>
                <w:tcPr>
                  <w:tcW w:w="1492" w:type="pct"/>
                  <w:tcBorders>
                    <w:left w:val="single" w:color="auto" w:sz="4" w:space="0"/>
                  </w:tcBorders>
                  <w:noWrap w:val="0"/>
                  <w:vAlign w:val="center"/>
                </w:tcPr>
                <w:p w14:paraId="24146E24">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未检出</w:t>
                  </w:r>
                </w:p>
              </w:tc>
              <w:tc>
                <w:tcPr>
                  <w:tcW w:w="1630" w:type="pct"/>
                  <w:tcBorders>
                    <w:left w:val="single" w:color="auto" w:sz="4" w:space="0"/>
                  </w:tcBorders>
                  <w:noWrap w:val="0"/>
                  <w:vAlign w:val="center"/>
                </w:tcPr>
                <w:p w14:paraId="55B183B2">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5</w:t>
                  </w:r>
                </w:p>
              </w:tc>
            </w:tr>
            <w:tr w14:paraId="2752ABF2">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0641FF34">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41" w:type="pct"/>
                  <w:vMerge w:val="continue"/>
                  <w:tcBorders>
                    <w:right w:val="single" w:color="auto" w:sz="4" w:space="0"/>
                  </w:tcBorders>
                  <w:noWrap w:val="0"/>
                  <w:vAlign w:val="center"/>
                </w:tcPr>
                <w:p w14:paraId="134FFCA7">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743" w:type="pct"/>
                  <w:tcBorders>
                    <w:right w:val="single" w:color="auto" w:sz="4" w:space="0"/>
                  </w:tcBorders>
                  <w:noWrap w:val="0"/>
                  <w:vAlign w:val="center"/>
                </w:tcPr>
                <w:p w14:paraId="07847961">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1,1,1,2-四氯乙烷</w:t>
                  </w:r>
                </w:p>
              </w:tc>
              <w:tc>
                <w:tcPr>
                  <w:tcW w:w="1492" w:type="pct"/>
                  <w:tcBorders>
                    <w:left w:val="single" w:color="auto" w:sz="4" w:space="0"/>
                  </w:tcBorders>
                  <w:noWrap w:val="0"/>
                  <w:vAlign w:val="center"/>
                </w:tcPr>
                <w:p w14:paraId="30608035">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未检出</w:t>
                  </w:r>
                </w:p>
              </w:tc>
              <w:tc>
                <w:tcPr>
                  <w:tcW w:w="1630" w:type="pct"/>
                  <w:tcBorders>
                    <w:left w:val="single" w:color="auto" w:sz="4" w:space="0"/>
                  </w:tcBorders>
                  <w:noWrap w:val="0"/>
                  <w:vAlign w:val="center"/>
                </w:tcPr>
                <w:p w14:paraId="481EEC91">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10</w:t>
                  </w:r>
                </w:p>
              </w:tc>
            </w:tr>
            <w:tr w14:paraId="4592485A">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033ABE62">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41" w:type="pct"/>
                  <w:vMerge w:val="continue"/>
                  <w:tcBorders>
                    <w:right w:val="single" w:color="auto" w:sz="4" w:space="0"/>
                  </w:tcBorders>
                  <w:noWrap w:val="0"/>
                  <w:vAlign w:val="center"/>
                </w:tcPr>
                <w:p w14:paraId="67064706">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743" w:type="pct"/>
                  <w:tcBorders>
                    <w:right w:val="single" w:color="auto" w:sz="4" w:space="0"/>
                  </w:tcBorders>
                  <w:noWrap w:val="0"/>
                  <w:vAlign w:val="center"/>
                </w:tcPr>
                <w:p w14:paraId="78A3F074">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1,1,2,2,-四氯乙烷</w:t>
                  </w:r>
                </w:p>
              </w:tc>
              <w:tc>
                <w:tcPr>
                  <w:tcW w:w="1492" w:type="pct"/>
                  <w:tcBorders>
                    <w:left w:val="single" w:color="auto" w:sz="4" w:space="0"/>
                  </w:tcBorders>
                  <w:noWrap w:val="0"/>
                  <w:vAlign w:val="center"/>
                </w:tcPr>
                <w:p w14:paraId="1F580A94">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未检出</w:t>
                  </w:r>
                </w:p>
              </w:tc>
              <w:tc>
                <w:tcPr>
                  <w:tcW w:w="1630" w:type="pct"/>
                  <w:tcBorders>
                    <w:left w:val="single" w:color="auto" w:sz="4" w:space="0"/>
                  </w:tcBorders>
                  <w:noWrap w:val="0"/>
                  <w:vAlign w:val="center"/>
                </w:tcPr>
                <w:p w14:paraId="58BE6CD4">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6.8</w:t>
                  </w:r>
                </w:p>
              </w:tc>
            </w:tr>
            <w:tr w14:paraId="68404AE7">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49EF45D0">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41" w:type="pct"/>
                  <w:vMerge w:val="continue"/>
                  <w:tcBorders>
                    <w:right w:val="single" w:color="auto" w:sz="4" w:space="0"/>
                  </w:tcBorders>
                  <w:noWrap w:val="0"/>
                  <w:vAlign w:val="center"/>
                </w:tcPr>
                <w:p w14:paraId="52C34C26">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743" w:type="pct"/>
                  <w:tcBorders>
                    <w:right w:val="single" w:color="auto" w:sz="4" w:space="0"/>
                  </w:tcBorders>
                  <w:noWrap w:val="0"/>
                  <w:vAlign w:val="center"/>
                </w:tcPr>
                <w:p w14:paraId="535841FA">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四氯乙烯</w:t>
                  </w:r>
                </w:p>
              </w:tc>
              <w:tc>
                <w:tcPr>
                  <w:tcW w:w="1492" w:type="pct"/>
                  <w:tcBorders>
                    <w:left w:val="single" w:color="auto" w:sz="4" w:space="0"/>
                  </w:tcBorders>
                  <w:noWrap w:val="0"/>
                  <w:vAlign w:val="center"/>
                </w:tcPr>
                <w:p w14:paraId="51577CB9">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未检出</w:t>
                  </w:r>
                </w:p>
              </w:tc>
              <w:tc>
                <w:tcPr>
                  <w:tcW w:w="1630" w:type="pct"/>
                  <w:tcBorders>
                    <w:left w:val="single" w:color="auto" w:sz="4" w:space="0"/>
                  </w:tcBorders>
                  <w:noWrap w:val="0"/>
                  <w:vAlign w:val="center"/>
                </w:tcPr>
                <w:p w14:paraId="5A89EB4F">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53</w:t>
                  </w:r>
                </w:p>
              </w:tc>
            </w:tr>
            <w:tr w14:paraId="065914DA">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42A32D48">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41" w:type="pct"/>
                  <w:vMerge w:val="continue"/>
                  <w:tcBorders>
                    <w:right w:val="single" w:color="auto" w:sz="4" w:space="0"/>
                  </w:tcBorders>
                  <w:noWrap w:val="0"/>
                  <w:vAlign w:val="center"/>
                </w:tcPr>
                <w:p w14:paraId="2F8AF26A">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743" w:type="pct"/>
                  <w:tcBorders>
                    <w:right w:val="single" w:color="auto" w:sz="4" w:space="0"/>
                  </w:tcBorders>
                  <w:noWrap w:val="0"/>
                  <w:vAlign w:val="center"/>
                </w:tcPr>
                <w:p w14:paraId="53A8B588">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1,1,1-三氯乙烷</w:t>
                  </w:r>
                </w:p>
              </w:tc>
              <w:tc>
                <w:tcPr>
                  <w:tcW w:w="1492" w:type="pct"/>
                  <w:tcBorders>
                    <w:left w:val="single" w:color="auto" w:sz="4" w:space="0"/>
                  </w:tcBorders>
                  <w:noWrap w:val="0"/>
                  <w:vAlign w:val="center"/>
                </w:tcPr>
                <w:p w14:paraId="01465586">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未检出</w:t>
                  </w:r>
                </w:p>
              </w:tc>
              <w:tc>
                <w:tcPr>
                  <w:tcW w:w="1630" w:type="pct"/>
                  <w:tcBorders>
                    <w:left w:val="single" w:color="auto" w:sz="4" w:space="0"/>
                  </w:tcBorders>
                  <w:noWrap w:val="0"/>
                  <w:vAlign w:val="center"/>
                </w:tcPr>
                <w:p w14:paraId="7F00BB7E">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840</w:t>
                  </w:r>
                </w:p>
              </w:tc>
            </w:tr>
            <w:tr w14:paraId="16BAC5AF">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71C7B081">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41" w:type="pct"/>
                  <w:vMerge w:val="continue"/>
                  <w:tcBorders>
                    <w:right w:val="single" w:color="auto" w:sz="4" w:space="0"/>
                  </w:tcBorders>
                  <w:noWrap w:val="0"/>
                  <w:vAlign w:val="center"/>
                </w:tcPr>
                <w:p w14:paraId="2BA8A700">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743" w:type="pct"/>
                  <w:tcBorders>
                    <w:right w:val="single" w:color="auto" w:sz="4" w:space="0"/>
                  </w:tcBorders>
                  <w:noWrap w:val="0"/>
                  <w:vAlign w:val="center"/>
                </w:tcPr>
                <w:p w14:paraId="64BC6001">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1,1,2-三氯乙烷</w:t>
                  </w:r>
                </w:p>
              </w:tc>
              <w:tc>
                <w:tcPr>
                  <w:tcW w:w="1492" w:type="pct"/>
                  <w:tcBorders>
                    <w:left w:val="single" w:color="auto" w:sz="4" w:space="0"/>
                  </w:tcBorders>
                  <w:noWrap w:val="0"/>
                  <w:vAlign w:val="center"/>
                </w:tcPr>
                <w:p w14:paraId="711909EB">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未检出</w:t>
                  </w:r>
                </w:p>
              </w:tc>
              <w:tc>
                <w:tcPr>
                  <w:tcW w:w="1630" w:type="pct"/>
                  <w:tcBorders>
                    <w:left w:val="single" w:color="auto" w:sz="4" w:space="0"/>
                  </w:tcBorders>
                  <w:noWrap w:val="0"/>
                  <w:vAlign w:val="center"/>
                </w:tcPr>
                <w:p w14:paraId="0C473147">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2.8</w:t>
                  </w:r>
                </w:p>
              </w:tc>
            </w:tr>
            <w:tr w14:paraId="0B62C4D4">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76E71DE4">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41" w:type="pct"/>
                  <w:vMerge w:val="continue"/>
                  <w:tcBorders>
                    <w:right w:val="single" w:color="auto" w:sz="4" w:space="0"/>
                  </w:tcBorders>
                  <w:noWrap w:val="0"/>
                  <w:vAlign w:val="center"/>
                </w:tcPr>
                <w:p w14:paraId="0F0A05D7">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743" w:type="pct"/>
                  <w:tcBorders>
                    <w:right w:val="single" w:color="auto" w:sz="4" w:space="0"/>
                  </w:tcBorders>
                  <w:noWrap w:val="0"/>
                  <w:vAlign w:val="center"/>
                </w:tcPr>
                <w:p w14:paraId="06EB9F40">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olor w:val="000000" w:themeColor="text1"/>
                      <w14:textFill>
                        <w14:solidFill>
                          <w14:schemeClr w14:val="tx1"/>
                        </w14:solidFill>
                      </w14:textFill>
                    </w:rPr>
                    <w:t>三氯乙烯</w:t>
                  </w:r>
                </w:p>
              </w:tc>
              <w:tc>
                <w:tcPr>
                  <w:tcW w:w="1492" w:type="pct"/>
                  <w:tcBorders>
                    <w:left w:val="single" w:color="auto" w:sz="4" w:space="0"/>
                  </w:tcBorders>
                  <w:noWrap w:val="0"/>
                  <w:vAlign w:val="center"/>
                </w:tcPr>
                <w:p w14:paraId="06134190">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未检出</w:t>
                  </w:r>
                </w:p>
              </w:tc>
              <w:tc>
                <w:tcPr>
                  <w:tcW w:w="1630" w:type="pct"/>
                  <w:tcBorders>
                    <w:left w:val="single" w:color="auto" w:sz="4" w:space="0"/>
                  </w:tcBorders>
                  <w:noWrap w:val="0"/>
                  <w:vAlign w:val="center"/>
                </w:tcPr>
                <w:p w14:paraId="6272E4ED">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2.8</w:t>
                  </w:r>
                </w:p>
              </w:tc>
            </w:tr>
            <w:tr w14:paraId="32ED3BC5">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51405877">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41" w:type="pct"/>
                  <w:vMerge w:val="continue"/>
                  <w:tcBorders>
                    <w:right w:val="single" w:color="auto" w:sz="4" w:space="0"/>
                  </w:tcBorders>
                  <w:noWrap w:val="0"/>
                  <w:vAlign w:val="center"/>
                </w:tcPr>
                <w:p w14:paraId="5EFB8646">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743" w:type="pct"/>
                  <w:tcBorders>
                    <w:right w:val="single" w:color="auto" w:sz="4" w:space="0"/>
                  </w:tcBorders>
                  <w:noWrap w:val="0"/>
                  <w:vAlign w:val="center"/>
                </w:tcPr>
                <w:p w14:paraId="2FE8A903">
                  <w:pPr>
                    <w:jc w:val="cente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1,2,3-三氯丙烷</w:t>
                  </w:r>
                </w:p>
              </w:tc>
              <w:tc>
                <w:tcPr>
                  <w:tcW w:w="1492" w:type="pct"/>
                  <w:tcBorders>
                    <w:left w:val="single" w:color="auto" w:sz="4" w:space="0"/>
                  </w:tcBorders>
                  <w:noWrap w:val="0"/>
                  <w:vAlign w:val="center"/>
                </w:tcPr>
                <w:p w14:paraId="232BC8A8">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未检出</w:t>
                  </w:r>
                </w:p>
              </w:tc>
              <w:tc>
                <w:tcPr>
                  <w:tcW w:w="1630" w:type="pct"/>
                  <w:tcBorders>
                    <w:left w:val="single" w:color="auto" w:sz="4" w:space="0"/>
                  </w:tcBorders>
                  <w:noWrap w:val="0"/>
                  <w:vAlign w:val="center"/>
                </w:tcPr>
                <w:p w14:paraId="7E8703F3">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0.5</w:t>
                  </w:r>
                </w:p>
              </w:tc>
            </w:tr>
            <w:tr w14:paraId="7137D72B">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3BC8E781">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41" w:type="pct"/>
                  <w:vMerge w:val="continue"/>
                  <w:tcBorders>
                    <w:right w:val="single" w:color="auto" w:sz="4" w:space="0"/>
                  </w:tcBorders>
                  <w:noWrap w:val="0"/>
                  <w:vAlign w:val="center"/>
                </w:tcPr>
                <w:p w14:paraId="7052D1AF">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743" w:type="pct"/>
                  <w:tcBorders>
                    <w:right w:val="single" w:color="auto" w:sz="4" w:space="0"/>
                  </w:tcBorders>
                  <w:noWrap w:val="0"/>
                  <w:vAlign w:val="center"/>
                </w:tcPr>
                <w:p w14:paraId="68662A99">
                  <w:pPr>
                    <w:jc w:val="cente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氯乙烯</w:t>
                  </w:r>
                </w:p>
              </w:tc>
              <w:tc>
                <w:tcPr>
                  <w:tcW w:w="1492" w:type="pct"/>
                  <w:tcBorders>
                    <w:left w:val="single" w:color="auto" w:sz="4" w:space="0"/>
                  </w:tcBorders>
                  <w:noWrap w:val="0"/>
                  <w:vAlign w:val="center"/>
                </w:tcPr>
                <w:p w14:paraId="63E63865">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未检出</w:t>
                  </w:r>
                </w:p>
              </w:tc>
              <w:tc>
                <w:tcPr>
                  <w:tcW w:w="1630" w:type="pct"/>
                  <w:tcBorders>
                    <w:left w:val="single" w:color="auto" w:sz="4" w:space="0"/>
                  </w:tcBorders>
                  <w:noWrap w:val="0"/>
                  <w:vAlign w:val="center"/>
                </w:tcPr>
                <w:p w14:paraId="05E398F4">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0.43</w:t>
                  </w:r>
                </w:p>
              </w:tc>
            </w:tr>
            <w:tr w14:paraId="0AC68E1D">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765A7125">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41" w:type="pct"/>
                  <w:vMerge w:val="continue"/>
                  <w:tcBorders>
                    <w:right w:val="single" w:color="auto" w:sz="4" w:space="0"/>
                  </w:tcBorders>
                  <w:noWrap w:val="0"/>
                  <w:vAlign w:val="center"/>
                </w:tcPr>
                <w:p w14:paraId="4EB5E87D">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743" w:type="pct"/>
                  <w:tcBorders>
                    <w:right w:val="single" w:color="auto" w:sz="4" w:space="0"/>
                  </w:tcBorders>
                  <w:noWrap w:val="0"/>
                  <w:vAlign w:val="center"/>
                </w:tcPr>
                <w:p w14:paraId="3A45AD69">
                  <w:pPr>
                    <w:jc w:val="cente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苯</w:t>
                  </w:r>
                </w:p>
              </w:tc>
              <w:tc>
                <w:tcPr>
                  <w:tcW w:w="1492" w:type="pct"/>
                  <w:tcBorders>
                    <w:left w:val="single" w:color="auto" w:sz="4" w:space="0"/>
                  </w:tcBorders>
                  <w:noWrap w:val="0"/>
                  <w:vAlign w:val="center"/>
                </w:tcPr>
                <w:p w14:paraId="12A23204">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未检出</w:t>
                  </w:r>
                </w:p>
              </w:tc>
              <w:tc>
                <w:tcPr>
                  <w:tcW w:w="1630" w:type="pct"/>
                  <w:tcBorders>
                    <w:left w:val="single" w:color="auto" w:sz="4" w:space="0"/>
                  </w:tcBorders>
                  <w:noWrap w:val="0"/>
                  <w:vAlign w:val="center"/>
                </w:tcPr>
                <w:p w14:paraId="1686B602">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4</w:t>
                  </w:r>
                </w:p>
              </w:tc>
            </w:tr>
            <w:tr w14:paraId="3A30DEFA">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393A8788">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41" w:type="pct"/>
                  <w:vMerge w:val="continue"/>
                  <w:tcBorders>
                    <w:right w:val="single" w:color="auto" w:sz="4" w:space="0"/>
                  </w:tcBorders>
                  <w:noWrap w:val="0"/>
                  <w:vAlign w:val="center"/>
                </w:tcPr>
                <w:p w14:paraId="781E0E8C">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743" w:type="pct"/>
                  <w:tcBorders>
                    <w:right w:val="single" w:color="auto" w:sz="4" w:space="0"/>
                  </w:tcBorders>
                  <w:noWrap w:val="0"/>
                  <w:vAlign w:val="center"/>
                </w:tcPr>
                <w:p w14:paraId="059CE16B">
                  <w:pPr>
                    <w:jc w:val="cente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氯苯</w:t>
                  </w:r>
                </w:p>
              </w:tc>
              <w:tc>
                <w:tcPr>
                  <w:tcW w:w="1492" w:type="pct"/>
                  <w:tcBorders>
                    <w:left w:val="single" w:color="auto" w:sz="4" w:space="0"/>
                  </w:tcBorders>
                  <w:noWrap w:val="0"/>
                  <w:vAlign w:val="center"/>
                </w:tcPr>
                <w:p w14:paraId="64D5922B">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未检出</w:t>
                  </w:r>
                </w:p>
              </w:tc>
              <w:tc>
                <w:tcPr>
                  <w:tcW w:w="1630" w:type="pct"/>
                  <w:tcBorders>
                    <w:left w:val="single" w:color="auto" w:sz="4" w:space="0"/>
                  </w:tcBorders>
                  <w:noWrap w:val="0"/>
                  <w:vAlign w:val="center"/>
                </w:tcPr>
                <w:p w14:paraId="566C2D54">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270</w:t>
                  </w:r>
                </w:p>
              </w:tc>
            </w:tr>
            <w:tr w14:paraId="64FD0150">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2D9908F3">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41" w:type="pct"/>
                  <w:vMerge w:val="continue"/>
                  <w:tcBorders>
                    <w:right w:val="single" w:color="auto" w:sz="4" w:space="0"/>
                  </w:tcBorders>
                  <w:noWrap w:val="0"/>
                  <w:vAlign w:val="center"/>
                </w:tcPr>
                <w:p w14:paraId="2058D6E4">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743" w:type="pct"/>
                  <w:tcBorders>
                    <w:right w:val="single" w:color="auto" w:sz="4" w:space="0"/>
                  </w:tcBorders>
                  <w:noWrap w:val="0"/>
                  <w:vAlign w:val="center"/>
                </w:tcPr>
                <w:p w14:paraId="32706362">
                  <w:pPr>
                    <w:jc w:val="cente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1,2-二氯苯</w:t>
                  </w:r>
                </w:p>
              </w:tc>
              <w:tc>
                <w:tcPr>
                  <w:tcW w:w="1492" w:type="pct"/>
                  <w:tcBorders>
                    <w:left w:val="single" w:color="auto" w:sz="4" w:space="0"/>
                  </w:tcBorders>
                  <w:noWrap w:val="0"/>
                  <w:vAlign w:val="center"/>
                </w:tcPr>
                <w:p w14:paraId="317C09CE">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未检出</w:t>
                  </w:r>
                </w:p>
              </w:tc>
              <w:tc>
                <w:tcPr>
                  <w:tcW w:w="1630" w:type="pct"/>
                  <w:tcBorders>
                    <w:left w:val="single" w:color="auto" w:sz="4" w:space="0"/>
                  </w:tcBorders>
                  <w:noWrap w:val="0"/>
                  <w:vAlign w:val="center"/>
                </w:tcPr>
                <w:p w14:paraId="2E70E481">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560</w:t>
                  </w:r>
                </w:p>
              </w:tc>
            </w:tr>
            <w:tr w14:paraId="7B241F31">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1D2DD958">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41" w:type="pct"/>
                  <w:vMerge w:val="continue"/>
                  <w:tcBorders>
                    <w:right w:val="single" w:color="auto" w:sz="4" w:space="0"/>
                  </w:tcBorders>
                  <w:noWrap w:val="0"/>
                  <w:vAlign w:val="center"/>
                </w:tcPr>
                <w:p w14:paraId="72AD577A">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743" w:type="pct"/>
                  <w:tcBorders>
                    <w:right w:val="single" w:color="auto" w:sz="4" w:space="0"/>
                  </w:tcBorders>
                  <w:noWrap w:val="0"/>
                  <w:vAlign w:val="center"/>
                </w:tcPr>
                <w:p w14:paraId="75372FA5">
                  <w:pPr>
                    <w:jc w:val="cente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1,4-二氯苯</w:t>
                  </w:r>
                </w:p>
              </w:tc>
              <w:tc>
                <w:tcPr>
                  <w:tcW w:w="1492" w:type="pct"/>
                  <w:tcBorders>
                    <w:left w:val="single" w:color="auto" w:sz="4" w:space="0"/>
                  </w:tcBorders>
                  <w:noWrap w:val="0"/>
                  <w:vAlign w:val="center"/>
                </w:tcPr>
                <w:p w14:paraId="5A521667">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未检出</w:t>
                  </w:r>
                </w:p>
              </w:tc>
              <w:tc>
                <w:tcPr>
                  <w:tcW w:w="1630" w:type="pct"/>
                  <w:tcBorders>
                    <w:left w:val="single" w:color="auto" w:sz="4" w:space="0"/>
                  </w:tcBorders>
                  <w:noWrap w:val="0"/>
                  <w:vAlign w:val="center"/>
                </w:tcPr>
                <w:p w14:paraId="7CB332B3">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20</w:t>
                  </w:r>
                </w:p>
              </w:tc>
            </w:tr>
            <w:tr w14:paraId="75DDC648">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59095101">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41" w:type="pct"/>
                  <w:vMerge w:val="continue"/>
                  <w:tcBorders>
                    <w:right w:val="single" w:color="auto" w:sz="4" w:space="0"/>
                  </w:tcBorders>
                  <w:noWrap w:val="0"/>
                  <w:vAlign w:val="center"/>
                </w:tcPr>
                <w:p w14:paraId="03C1364B">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743" w:type="pct"/>
                  <w:tcBorders>
                    <w:right w:val="single" w:color="auto" w:sz="4" w:space="0"/>
                  </w:tcBorders>
                  <w:noWrap w:val="0"/>
                  <w:vAlign w:val="center"/>
                </w:tcPr>
                <w:p w14:paraId="690E539C">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乙苯</w:t>
                  </w:r>
                </w:p>
              </w:tc>
              <w:tc>
                <w:tcPr>
                  <w:tcW w:w="1492" w:type="pct"/>
                  <w:tcBorders>
                    <w:left w:val="single" w:color="auto" w:sz="4" w:space="0"/>
                  </w:tcBorders>
                  <w:noWrap w:val="0"/>
                  <w:vAlign w:val="center"/>
                </w:tcPr>
                <w:p w14:paraId="49268AD5">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未检出</w:t>
                  </w:r>
                </w:p>
              </w:tc>
              <w:tc>
                <w:tcPr>
                  <w:tcW w:w="1630" w:type="pct"/>
                  <w:tcBorders>
                    <w:left w:val="single" w:color="auto" w:sz="4" w:space="0"/>
                  </w:tcBorders>
                  <w:noWrap w:val="0"/>
                  <w:vAlign w:val="center"/>
                </w:tcPr>
                <w:p w14:paraId="051DE333">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28</w:t>
                  </w:r>
                </w:p>
              </w:tc>
            </w:tr>
            <w:tr w14:paraId="045C5B85">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1B4321D3">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41" w:type="pct"/>
                  <w:vMerge w:val="continue"/>
                  <w:tcBorders>
                    <w:right w:val="single" w:color="auto" w:sz="4" w:space="0"/>
                  </w:tcBorders>
                  <w:noWrap w:val="0"/>
                  <w:vAlign w:val="center"/>
                </w:tcPr>
                <w:p w14:paraId="02D9CD84">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743" w:type="pct"/>
                  <w:tcBorders>
                    <w:right w:val="single" w:color="auto" w:sz="4" w:space="0"/>
                  </w:tcBorders>
                  <w:noWrap w:val="0"/>
                  <w:vAlign w:val="center"/>
                </w:tcPr>
                <w:p w14:paraId="465BC373">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苯乙烯</w:t>
                  </w:r>
                </w:p>
              </w:tc>
              <w:tc>
                <w:tcPr>
                  <w:tcW w:w="1492" w:type="pct"/>
                  <w:tcBorders>
                    <w:left w:val="single" w:color="auto" w:sz="4" w:space="0"/>
                  </w:tcBorders>
                  <w:noWrap w:val="0"/>
                  <w:vAlign w:val="center"/>
                </w:tcPr>
                <w:p w14:paraId="74EDA00A">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未检出</w:t>
                  </w:r>
                </w:p>
              </w:tc>
              <w:tc>
                <w:tcPr>
                  <w:tcW w:w="1630" w:type="pct"/>
                  <w:tcBorders>
                    <w:left w:val="single" w:color="auto" w:sz="4" w:space="0"/>
                  </w:tcBorders>
                  <w:noWrap w:val="0"/>
                  <w:vAlign w:val="center"/>
                </w:tcPr>
                <w:p w14:paraId="6C1B4E85">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1290</w:t>
                  </w:r>
                </w:p>
              </w:tc>
            </w:tr>
            <w:tr w14:paraId="01D30884">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289DC26E">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41" w:type="pct"/>
                  <w:vMerge w:val="continue"/>
                  <w:tcBorders>
                    <w:right w:val="single" w:color="auto" w:sz="4" w:space="0"/>
                  </w:tcBorders>
                  <w:noWrap w:val="0"/>
                  <w:vAlign w:val="center"/>
                </w:tcPr>
                <w:p w14:paraId="69151B26">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743" w:type="pct"/>
                  <w:tcBorders>
                    <w:right w:val="single" w:color="auto" w:sz="4" w:space="0"/>
                  </w:tcBorders>
                  <w:noWrap w:val="0"/>
                  <w:vAlign w:val="center"/>
                </w:tcPr>
                <w:p w14:paraId="1CE9F5B3">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甲苯</w:t>
                  </w:r>
                </w:p>
              </w:tc>
              <w:tc>
                <w:tcPr>
                  <w:tcW w:w="1492" w:type="pct"/>
                  <w:tcBorders>
                    <w:left w:val="single" w:color="auto" w:sz="4" w:space="0"/>
                  </w:tcBorders>
                  <w:noWrap w:val="0"/>
                  <w:vAlign w:val="center"/>
                </w:tcPr>
                <w:p w14:paraId="60320A4F">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未检出</w:t>
                  </w:r>
                </w:p>
              </w:tc>
              <w:tc>
                <w:tcPr>
                  <w:tcW w:w="1630" w:type="pct"/>
                  <w:tcBorders>
                    <w:left w:val="single" w:color="auto" w:sz="4" w:space="0"/>
                  </w:tcBorders>
                  <w:noWrap w:val="0"/>
                  <w:vAlign w:val="center"/>
                </w:tcPr>
                <w:p w14:paraId="15ED2A6C">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1200</w:t>
                  </w:r>
                </w:p>
              </w:tc>
            </w:tr>
            <w:tr w14:paraId="1760E3A3">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33C2F58C">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41" w:type="pct"/>
                  <w:vMerge w:val="continue"/>
                  <w:tcBorders>
                    <w:right w:val="single" w:color="auto" w:sz="4" w:space="0"/>
                  </w:tcBorders>
                  <w:noWrap w:val="0"/>
                  <w:vAlign w:val="center"/>
                </w:tcPr>
                <w:p w14:paraId="74BF2037">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743" w:type="pct"/>
                  <w:tcBorders>
                    <w:right w:val="single" w:color="auto" w:sz="4" w:space="0"/>
                  </w:tcBorders>
                  <w:noWrap w:val="0"/>
                  <w:vAlign w:val="center"/>
                </w:tcPr>
                <w:p w14:paraId="65F308DF">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间二甲苯+对二甲苯</w:t>
                  </w:r>
                </w:p>
              </w:tc>
              <w:tc>
                <w:tcPr>
                  <w:tcW w:w="1492" w:type="pct"/>
                  <w:tcBorders>
                    <w:left w:val="single" w:color="auto" w:sz="4" w:space="0"/>
                  </w:tcBorders>
                  <w:noWrap w:val="0"/>
                  <w:vAlign w:val="center"/>
                </w:tcPr>
                <w:p w14:paraId="00D8CFD8">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未检出</w:t>
                  </w:r>
                </w:p>
              </w:tc>
              <w:tc>
                <w:tcPr>
                  <w:tcW w:w="1630" w:type="pct"/>
                  <w:tcBorders>
                    <w:left w:val="single" w:color="auto" w:sz="4" w:space="0"/>
                  </w:tcBorders>
                  <w:noWrap w:val="0"/>
                  <w:vAlign w:val="center"/>
                </w:tcPr>
                <w:p w14:paraId="35F71CBD">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570</w:t>
                  </w:r>
                </w:p>
              </w:tc>
            </w:tr>
            <w:tr w14:paraId="27A331E5">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93" w:type="pct"/>
                  <w:vMerge w:val="continue"/>
                  <w:noWrap w:val="0"/>
                  <w:vAlign w:val="center"/>
                </w:tcPr>
                <w:p w14:paraId="5B043FFB">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41" w:type="pct"/>
                  <w:vMerge w:val="continue"/>
                  <w:tcBorders>
                    <w:right w:val="single" w:color="auto" w:sz="4" w:space="0"/>
                  </w:tcBorders>
                  <w:noWrap w:val="0"/>
                  <w:vAlign w:val="center"/>
                </w:tcPr>
                <w:p w14:paraId="0F19C414">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743" w:type="pct"/>
                  <w:tcBorders>
                    <w:right w:val="single" w:color="auto" w:sz="4" w:space="0"/>
                  </w:tcBorders>
                  <w:noWrap w:val="0"/>
                  <w:vAlign w:val="center"/>
                </w:tcPr>
                <w:p w14:paraId="04045CC6">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邻二甲苯</w:t>
                  </w:r>
                </w:p>
              </w:tc>
              <w:tc>
                <w:tcPr>
                  <w:tcW w:w="1492" w:type="pct"/>
                  <w:tcBorders>
                    <w:left w:val="single" w:color="auto" w:sz="4" w:space="0"/>
                  </w:tcBorders>
                  <w:noWrap w:val="0"/>
                  <w:vAlign w:val="center"/>
                </w:tcPr>
                <w:p w14:paraId="71772A34">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未检出</w:t>
                  </w:r>
                </w:p>
              </w:tc>
              <w:tc>
                <w:tcPr>
                  <w:tcW w:w="1630" w:type="pct"/>
                  <w:tcBorders>
                    <w:left w:val="single" w:color="auto" w:sz="4" w:space="0"/>
                  </w:tcBorders>
                  <w:noWrap w:val="0"/>
                  <w:vAlign w:val="center"/>
                </w:tcPr>
                <w:p w14:paraId="74340BBE">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640</w:t>
                  </w:r>
                </w:p>
              </w:tc>
            </w:tr>
          </w:tbl>
          <w:p w14:paraId="0EA4DF50">
            <w:pPr>
              <w:pStyle w:val="66"/>
              <w:spacing w:line="360" w:lineRule="auto"/>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综上，</w:t>
            </w:r>
            <w:r>
              <w:rPr>
                <w:rFonts w:hint="eastAsia" w:ascii="Times New Roman" w:hAnsi="Times New Roman" w:eastAsia="宋体" w:cs="Times New Roman"/>
                <w:b w:val="0"/>
                <w:bCs/>
                <w:color w:val="000000" w:themeColor="text1"/>
                <w:sz w:val="24"/>
                <w:szCs w:val="24"/>
                <w:highlight w:val="none"/>
                <w14:textFill>
                  <w14:solidFill>
                    <w14:schemeClr w14:val="tx1"/>
                  </w14:solidFill>
                </w14:textFill>
              </w:rPr>
              <w:t>监测点位各项指标测定结果均符合《土壤环境质量 建设用地土壤污染风险管控标准》（试行）（</w:t>
            </w: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GB 36600-2018</w:t>
            </w:r>
            <w:r>
              <w:rPr>
                <w:rFonts w:hint="eastAsia" w:ascii="Times New Roman" w:hAnsi="Times New Roman" w:eastAsia="宋体" w:cs="Times New Roman"/>
                <w:b w:val="0"/>
                <w:bCs/>
                <w:color w:val="000000" w:themeColor="text1"/>
                <w:sz w:val="24"/>
                <w:szCs w:val="24"/>
                <w:highlight w:val="none"/>
                <w14:textFill>
                  <w14:solidFill>
                    <w14:schemeClr w14:val="tx1"/>
                  </w14:solidFill>
                </w14:textFill>
              </w:rPr>
              <w:t>）表</w:t>
            </w: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1</w:t>
            </w:r>
            <w:r>
              <w:rPr>
                <w:rFonts w:hint="eastAsia" w:ascii="Times New Roman" w:hAnsi="Times New Roman" w:eastAsia="宋体" w:cs="Times New Roman"/>
                <w:b w:val="0"/>
                <w:bCs/>
                <w:color w:val="000000" w:themeColor="text1"/>
                <w:sz w:val="24"/>
                <w:szCs w:val="24"/>
                <w:highlight w:val="none"/>
                <w14:textFill>
                  <w14:solidFill>
                    <w14:schemeClr w14:val="tx1"/>
                  </w14:solidFill>
                </w14:textFill>
              </w:rPr>
              <w:t>筛选值第二类用地筛选值、表</w:t>
            </w: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2</w:t>
            </w:r>
            <w:r>
              <w:rPr>
                <w:rFonts w:hint="eastAsia" w:ascii="Times New Roman" w:hAnsi="Times New Roman" w:eastAsia="宋体" w:cs="Times New Roman"/>
                <w:b w:val="0"/>
                <w:bCs/>
                <w:color w:val="000000" w:themeColor="text1"/>
                <w:sz w:val="24"/>
                <w:szCs w:val="24"/>
                <w:highlight w:val="none"/>
                <w14:textFill>
                  <w14:solidFill>
                    <w14:schemeClr w14:val="tx1"/>
                  </w14:solidFill>
                </w14:textFill>
              </w:rPr>
              <w:t>筛选值第二类用地筛选值要求，土壤环境质量较好。</w:t>
            </w:r>
          </w:p>
          <w:p w14:paraId="0F0E51E8">
            <w:pPr>
              <w:adjustRightInd w:val="0"/>
              <w:snapToGrid w:val="0"/>
              <w:spacing w:line="360" w:lineRule="auto"/>
              <w:ind w:firstLine="482" w:firstLineChars="200"/>
              <w:jc w:val="left"/>
              <w:rPr>
                <w:rFonts w:hint="default" w:ascii="Times New Roman" w:hAnsi="Times New Roman" w:eastAsia="宋体" w:cs="Times New Roman"/>
                <w:b/>
                <w:bCs/>
                <w:color w:val="000000" w:themeColor="text1"/>
                <w:sz w:val="24"/>
                <w:szCs w:val="24"/>
                <w:highlight w:val="none"/>
                <w14:textFill>
                  <w14:solidFill>
                    <w14:schemeClr w14:val="tx1"/>
                  </w14:solidFill>
                </w14:textFill>
              </w:rPr>
            </w:pPr>
            <w:r>
              <w:rPr>
                <w:rFonts w:hint="eastAsia" w:cs="Times New Roman"/>
                <w:b/>
                <w:bCs/>
                <w:color w:val="000000" w:themeColor="text1"/>
                <w:sz w:val="24"/>
                <w:szCs w:val="24"/>
                <w:highlight w:val="none"/>
                <w:lang w:val="en-US" w:eastAsia="zh-CN"/>
                <w14:textFill>
                  <w14:solidFill>
                    <w14:schemeClr w14:val="tx1"/>
                  </w14:solidFill>
                </w14:textFill>
              </w:rPr>
              <w:t>7</w:t>
            </w: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b/>
                <w:bCs/>
                <w:color w:val="000000" w:themeColor="text1"/>
                <w:sz w:val="24"/>
                <w:szCs w:val="24"/>
                <w:highlight w:val="none"/>
                <w14:textFill>
                  <w14:solidFill>
                    <w14:schemeClr w14:val="tx1"/>
                  </w14:solidFill>
                </w14:textFill>
              </w:rPr>
              <w:t>电磁辐射环境质量现状</w:t>
            </w:r>
          </w:p>
          <w:p w14:paraId="36F0A1C6">
            <w:pPr>
              <w:pStyle w:val="66"/>
              <w:spacing w:line="360" w:lineRule="auto"/>
              <w:rPr>
                <w:rFonts w:hint="eastAsia" w:eastAsia="宋体"/>
                <w:bCs/>
                <w:color w:val="auto"/>
                <w:lang w:eastAsia="zh-CN"/>
              </w:rPr>
            </w:pP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本项目</w:t>
            </w:r>
            <w:r>
              <w:rPr>
                <w:rFonts w:hint="default" w:ascii="Times New Roman" w:hAnsi="Times New Roman" w:cs="Times New Roman"/>
                <w:b w:val="0"/>
                <w:bCs/>
                <w:color w:val="000000" w:themeColor="text1"/>
                <w:sz w:val="24"/>
                <w:szCs w:val="24"/>
                <w:highlight w:val="none"/>
                <w:lang w:val="en-US" w:eastAsia="zh-CN"/>
                <w14:textFill>
                  <w14:solidFill>
                    <w14:schemeClr w14:val="tx1"/>
                  </w14:solidFill>
                </w14:textFill>
              </w:rPr>
              <w:t>为工业项目，</w:t>
            </w: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不</w:t>
            </w:r>
            <w:r>
              <w:rPr>
                <w:rFonts w:hint="default" w:ascii="Times New Roman" w:hAnsi="Times New Roman" w:cs="Times New Roman"/>
                <w:b w:val="0"/>
                <w:bCs/>
                <w:color w:val="000000" w:themeColor="text1"/>
                <w:sz w:val="24"/>
                <w:szCs w:val="24"/>
                <w:highlight w:val="none"/>
                <w:lang w:val="en-US" w:eastAsia="zh-CN"/>
                <w14:textFill>
                  <w14:solidFill>
                    <w14:schemeClr w14:val="tx1"/>
                  </w14:solidFill>
                </w14:textFill>
              </w:rPr>
              <w:t>涉及</w:t>
            </w: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广播电台、</w:t>
            </w:r>
            <w:r>
              <w:rPr>
                <w:rFonts w:hint="default" w:ascii="Times New Roman" w:hAnsi="Times New Roman" w:eastAsia="宋体" w:cs="Times New Roman"/>
                <w:b w:val="0"/>
                <w:bCs/>
                <w:color w:val="auto"/>
                <w:sz w:val="24"/>
                <w:szCs w:val="24"/>
                <w:highlight w:val="none"/>
              </w:rPr>
              <w:t>差转台、电视塔台、卫星地球上行站、雷达等电磁辐射类</w:t>
            </w:r>
            <w:r>
              <w:rPr>
                <w:rFonts w:hint="default" w:ascii="Times New Roman" w:hAnsi="Times New Roman" w:cs="Times New Roman"/>
                <w:b w:val="0"/>
                <w:bCs/>
                <w:color w:val="auto"/>
                <w:sz w:val="24"/>
                <w:szCs w:val="24"/>
                <w:highlight w:val="none"/>
                <w:lang w:eastAsia="zh-CN"/>
              </w:rPr>
              <w:t>。</w:t>
            </w:r>
            <w:r>
              <w:rPr>
                <w:rFonts w:hint="default" w:ascii="Times New Roman" w:hAnsi="Times New Roman" w:eastAsia="宋体" w:cs="Times New Roman"/>
                <w:b w:val="0"/>
                <w:bCs/>
                <w:color w:val="auto"/>
                <w:sz w:val="24"/>
                <w:szCs w:val="24"/>
                <w:highlight w:val="none"/>
              </w:rPr>
              <w:t>因此</w:t>
            </w:r>
            <w:r>
              <w:rPr>
                <w:rFonts w:hint="default" w:ascii="Times New Roman" w:hAnsi="Times New Roman" w:cs="Times New Roman"/>
                <w:b w:val="0"/>
                <w:bCs/>
                <w:color w:val="auto"/>
                <w:sz w:val="24"/>
                <w:szCs w:val="24"/>
                <w:highlight w:val="none"/>
                <w:lang w:eastAsia="zh-CN"/>
              </w:rPr>
              <w:t>，</w:t>
            </w:r>
            <w:r>
              <w:rPr>
                <w:rFonts w:hint="default" w:ascii="Times New Roman" w:hAnsi="Times New Roman" w:eastAsia="宋体" w:cs="Times New Roman"/>
                <w:b w:val="0"/>
                <w:bCs/>
                <w:color w:val="auto"/>
                <w:sz w:val="24"/>
                <w:szCs w:val="24"/>
                <w:highlight w:val="none"/>
              </w:rPr>
              <w:t>本项目不开展电磁辐射环境现状调查</w:t>
            </w:r>
            <w:r>
              <w:rPr>
                <w:rFonts w:hint="eastAsia" w:ascii="Times New Roman" w:hAnsi="Times New Roman" w:eastAsia="宋体" w:cs="Times New Roman"/>
                <w:b w:val="0"/>
                <w:bCs/>
                <w:color w:val="auto"/>
                <w:sz w:val="24"/>
                <w:szCs w:val="24"/>
                <w:highlight w:val="none"/>
                <w:lang w:eastAsia="zh-CN"/>
              </w:rPr>
              <w:t>。</w:t>
            </w:r>
          </w:p>
        </w:tc>
      </w:tr>
      <w:tr w14:paraId="392B39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499" w:type="dxa"/>
            <w:vAlign w:val="center"/>
          </w:tcPr>
          <w:p w14:paraId="1B39B2B4">
            <w:pPr>
              <w:adjustRightInd w:val="0"/>
              <w:snapToGrid w:val="0"/>
              <w:jc w:val="center"/>
              <w:rPr>
                <w:rFonts w:cs="宋体"/>
                <w:color w:val="auto"/>
                <w:kern w:val="0"/>
                <w:szCs w:val="21"/>
              </w:rPr>
            </w:pPr>
            <w:r>
              <w:rPr>
                <w:rFonts w:hint="eastAsia" w:cs="宋体"/>
                <w:b/>
                <w:bCs/>
                <w:color w:val="auto"/>
                <w:kern w:val="0"/>
                <w:sz w:val="24"/>
                <w:szCs w:val="24"/>
              </w:rPr>
              <w:t>环境保护目标</w:t>
            </w:r>
          </w:p>
        </w:tc>
        <w:tc>
          <w:tcPr>
            <w:tcW w:w="8491" w:type="dxa"/>
          </w:tcPr>
          <w:p w14:paraId="411FB6C2">
            <w:pPr>
              <w:autoSpaceDE w:val="0"/>
              <w:autoSpaceDN w:val="0"/>
              <w:spacing w:line="360" w:lineRule="auto"/>
              <w:ind w:firstLine="482" w:firstLineChars="200"/>
              <w:rPr>
                <w:rFonts w:ascii="Times New Roman" w:hAnsi="Times New Roman"/>
                <w:b/>
                <w:bCs/>
                <w:color w:val="auto"/>
                <w:sz w:val="24"/>
                <w:highlight w:val="none"/>
              </w:rPr>
            </w:pPr>
            <w:r>
              <w:rPr>
                <w:rFonts w:hint="eastAsia" w:ascii="Times New Roman" w:hAnsi="Times New Roman"/>
                <w:b/>
                <w:bCs/>
                <w:color w:val="auto"/>
                <w:sz w:val="24"/>
                <w:highlight w:val="none"/>
              </w:rPr>
              <w:t>1、环境保护目标</w:t>
            </w:r>
          </w:p>
          <w:p w14:paraId="395DCD01">
            <w:pPr>
              <w:adjustRightInd w:val="0"/>
              <w:snapToGrid w:val="0"/>
              <w:spacing w:line="360" w:lineRule="auto"/>
              <w:ind w:firstLine="480" w:firstLineChars="200"/>
              <w:rPr>
                <w:rFonts w:ascii="Times New Roman" w:hAnsi="Times New Roman"/>
                <w:color w:val="auto"/>
                <w:kern w:val="0"/>
                <w:sz w:val="24"/>
                <w:highlight w:val="none"/>
              </w:rPr>
            </w:pPr>
            <w:r>
              <w:rPr>
                <w:rFonts w:hint="eastAsia" w:ascii="Times New Roman" w:hAnsi="Times New Roman"/>
                <w:color w:val="auto"/>
                <w:kern w:val="0"/>
                <w:sz w:val="24"/>
                <w:highlight w:val="none"/>
              </w:rPr>
              <w:t>根据本项目所处的地理位置并结合本项目产排污特点和外环境特征，本项目主要环境保护目标为：</w:t>
            </w:r>
          </w:p>
          <w:p w14:paraId="289347C2">
            <w:pPr>
              <w:autoSpaceDE w:val="0"/>
              <w:autoSpaceDN w:val="0"/>
              <w:spacing w:line="360" w:lineRule="auto"/>
              <w:ind w:firstLine="482" w:firstLineChars="200"/>
              <w:rPr>
                <w:rFonts w:ascii="Times New Roman" w:hAnsi="Times New Roman"/>
                <w:b/>
                <w:bCs/>
                <w:color w:val="auto"/>
                <w:sz w:val="24"/>
                <w:highlight w:val="none"/>
              </w:rPr>
            </w:pPr>
            <w:r>
              <w:rPr>
                <w:rFonts w:hint="eastAsia" w:ascii="Times New Roman" w:hAnsi="Times New Roman"/>
                <w:b/>
                <w:bCs/>
                <w:color w:val="auto"/>
                <w:sz w:val="24"/>
                <w:highlight w:val="none"/>
              </w:rPr>
              <w:t>（1）地表水环境保护目标</w:t>
            </w:r>
          </w:p>
          <w:p w14:paraId="7A5004C8">
            <w:pPr>
              <w:adjustRightInd w:val="0"/>
              <w:snapToGrid w:val="0"/>
              <w:spacing w:line="360" w:lineRule="auto"/>
              <w:ind w:firstLine="480" w:firstLineChars="200"/>
              <w:rPr>
                <w:rFonts w:ascii="Times New Roman" w:hAnsi="Times New Roman"/>
                <w:color w:val="auto"/>
                <w:kern w:val="0"/>
                <w:sz w:val="24"/>
                <w:highlight w:val="none"/>
              </w:rPr>
            </w:pPr>
            <w:r>
              <w:rPr>
                <w:rFonts w:hint="eastAsia" w:ascii="Times New Roman" w:hAnsi="Times New Roman"/>
                <w:color w:val="auto"/>
                <w:kern w:val="0"/>
                <w:sz w:val="24"/>
                <w:lang w:val="en-US" w:eastAsia="zh-CN"/>
              </w:rPr>
              <w:t>本项目</w:t>
            </w:r>
            <w:r>
              <w:rPr>
                <w:rFonts w:hint="eastAsia" w:ascii="Times New Roman" w:hAnsi="Times New Roman"/>
                <w:color w:val="auto"/>
                <w:kern w:val="0"/>
                <w:sz w:val="24"/>
              </w:rPr>
              <w:t>地表水环境保护目标为</w:t>
            </w:r>
            <w:r>
              <w:rPr>
                <w:rFonts w:hint="eastAsia" w:ascii="Times New Roman" w:hAnsi="Times New Roman"/>
                <w:color w:val="auto"/>
                <w:kern w:val="0"/>
                <w:sz w:val="24"/>
                <w:lang w:val="en-US" w:eastAsia="zh-CN"/>
              </w:rPr>
              <w:t>受纳水体</w:t>
            </w:r>
            <w:r>
              <w:rPr>
                <w:rFonts w:hint="eastAsia"/>
                <w:color w:val="auto"/>
                <w:kern w:val="0"/>
                <w:sz w:val="24"/>
                <w:lang w:val="en-US" w:eastAsia="zh-CN"/>
              </w:rPr>
              <w:t>巴河</w:t>
            </w:r>
            <w:r>
              <w:rPr>
                <w:rFonts w:hint="eastAsia" w:ascii="Times New Roman" w:hAnsi="Times New Roman"/>
                <w:color w:val="auto"/>
                <w:kern w:val="0"/>
                <w:sz w:val="24"/>
              </w:rPr>
              <w:t>，</w:t>
            </w:r>
            <w:r>
              <w:rPr>
                <w:rFonts w:hint="eastAsia" w:ascii="Times New Roman" w:hAnsi="Times New Roman"/>
                <w:color w:val="auto"/>
                <w:kern w:val="0"/>
                <w:sz w:val="24"/>
                <w:lang w:val="en-US" w:eastAsia="zh-CN"/>
              </w:rPr>
              <w:t>地表水环境质量</w:t>
            </w:r>
            <w:r>
              <w:rPr>
                <w:rFonts w:hint="eastAsia" w:ascii="Times New Roman" w:hAnsi="Times New Roman"/>
                <w:color w:val="auto"/>
                <w:kern w:val="0"/>
                <w:sz w:val="24"/>
              </w:rPr>
              <w:t>应符合《地表水环境质量标准》（GB3838-2002）</w:t>
            </w:r>
            <w:r>
              <w:rPr>
                <w:rFonts w:hint="default" w:ascii="Times New Roman" w:hAnsi="Times New Roman" w:cs="Times New Roman"/>
                <w:color w:val="auto"/>
                <w:kern w:val="0"/>
                <w:sz w:val="24"/>
                <w:lang w:eastAsia="zh-CN"/>
              </w:rPr>
              <w:t>Ⅲ</w:t>
            </w:r>
            <w:r>
              <w:rPr>
                <w:rFonts w:hint="eastAsia" w:ascii="Times New Roman" w:hAnsi="Times New Roman"/>
                <w:color w:val="auto"/>
                <w:kern w:val="0"/>
                <w:sz w:val="24"/>
              </w:rPr>
              <w:t>类水域标准</w:t>
            </w:r>
            <w:r>
              <w:rPr>
                <w:rFonts w:hint="eastAsia" w:ascii="Times New Roman" w:hAnsi="Times New Roman"/>
                <w:color w:val="auto"/>
                <w:kern w:val="0"/>
                <w:sz w:val="24"/>
                <w:highlight w:val="none"/>
                <w:lang w:eastAsia="zh-CN"/>
              </w:rPr>
              <w:t>。</w:t>
            </w:r>
          </w:p>
          <w:p w14:paraId="59B7AA8F">
            <w:pPr>
              <w:autoSpaceDE w:val="0"/>
              <w:autoSpaceDN w:val="0"/>
              <w:spacing w:line="360" w:lineRule="auto"/>
              <w:ind w:firstLine="482" w:firstLineChars="200"/>
              <w:rPr>
                <w:rFonts w:ascii="Times New Roman" w:hAnsi="Times New Roman"/>
                <w:b/>
                <w:bCs/>
                <w:color w:val="auto"/>
                <w:sz w:val="24"/>
                <w:highlight w:val="none"/>
              </w:rPr>
            </w:pPr>
            <w:r>
              <w:rPr>
                <w:rFonts w:hint="eastAsia" w:ascii="Times New Roman" w:hAnsi="Times New Roman"/>
                <w:b/>
                <w:bCs/>
                <w:color w:val="auto"/>
                <w:sz w:val="24"/>
                <w:highlight w:val="none"/>
              </w:rPr>
              <w:t>（2）大气环境保护目标</w:t>
            </w:r>
          </w:p>
          <w:p w14:paraId="5DF43A13">
            <w:pPr>
              <w:adjustRightInd w:val="0"/>
              <w:snapToGrid w:val="0"/>
              <w:spacing w:line="360" w:lineRule="auto"/>
              <w:ind w:firstLine="480" w:firstLineChars="200"/>
              <w:rPr>
                <w:rFonts w:hint="eastAsia" w:ascii="Times New Roman" w:hAnsi="Times New Roman"/>
                <w:color w:val="auto"/>
                <w:kern w:val="0"/>
                <w:sz w:val="24"/>
                <w:highlight w:val="none"/>
              </w:rPr>
            </w:pPr>
            <w:r>
              <w:rPr>
                <w:rFonts w:hint="eastAsia" w:ascii="Times New Roman" w:hAnsi="Times New Roman" w:eastAsia="宋体" w:cs="Times New Roman"/>
                <w:color w:val="auto"/>
                <w:kern w:val="0"/>
                <w:sz w:val="24"/>
                <w:highlight w:val="none"/>
                <w:lang w:val="en-US" w:eastAsia="zh-CN"/>
              </w:rPr>
              <w:t>本项目厂界外500m范围内，大气环境保护目标为公租房、云城.书香美邸（</w:t>
            </w:r>
            <w:r>
              <w:rPr>
                <w:rFonts w:hint="eastAsia" w:cs="Times New Roman"/>
                <w:color w:val="auto"/>
                <w:kern w:val="0"/>
                <w:sz w:val="24"/>
                <w:highlight w:val="none"/>
                <w:lang w:val="en-US" w:eastAsia="zh-CN"/>
              </w:rPr>
              <w:t>部分</w:t>
            </w:r>
            <w:r>
              <w:rPr>
                <w:rFonts w:hint="eastAsia" w:ascii="Times New Roman" w:hAnsi="Times New Roman" w:eastAsia="宋体" w:cs="Times New Roman"/>
                <w:color w:val="auto"/>
                <w:kern w:val="0"/>
                <w:sz w:val="24"/>
                <w:highlight w:val="none"/>
                <w:lang w:val="en-US" w:eastAsia="zh-CN"/>
              </w:rPr>
              <w:t>在建）、巴中经开区人才大楼等。</w:t>
            </w:r>
          </w:p>
          <w:p w14:paraId="264C53CA">
            <w:pPr>
              <w:autoSpaceDE w:val="0"/>
              <w:autoSpaceDN w:val="0"/>
              <w:spacing w:line="360" w:lineRule="auto"/>
              <w:ind w:firstLine="482" w:firstLineChars="200"/>
              <w:rPr>
                <w:rFonts w:ascii="Times New Roman" w:hAnsi="Times New Roman"/>
                <w:b/>
                <w:bCs/>
                <w:color w:val="auto"/>
                <w:sz w:val="24"/>
                <w:highlight w:val="none"/>
              </w:rPr>
            </w:pPr>
            <w:r>
              <w:rPr>
                <w:rFonts w:hint="eastAsia" w:ascii="Times New Roman" w:hAnsi="Times New Roman"/>
                <w:b/>
                <w:bCs/>
                <w:color w:val="auto"/>
                <w:sz w:val="24"/>
                <w:highlight w:val="none"/>
              </w:rPr>
              <w:t>（3）声环境保护目标</w:t>
            </w:r>
          </w:p>
          <w:p w14:paraId="1F799857">
            <w:pPr>
              <w:adjustRightInd w:val="0"/>
              <w:snapToGrid w:val="0"/>
              <w:spacing w:line="360" w:lineRule="auto"/>
              <w:ind w:firstLine="480" w:firstLineChars="200"/>
              <w:rPr>
                <w:rFonts w:ascii="Times New Roman" w:hAnsi="Times New Roman"/>
                <w:color w:val="auto"/>
                <w:kern w:val="0"/>
                <w:sz w:val="24"/>
                <w:highlight w:val="none"/>
              </w:rPr>
            </w:pPr>
            <w:r>
              <w:rPr>
                <w:rFonts w:hint="eastAsia"/>
                <w:color w:val="auto"/>
                <w:sz w:val="24"/>
                <w:szCs w:val="22"/>
              </w:rPr>
              <w:t>厂界外5</w:t>
            </w:r>
            <w:r>
              <w:rPr>
                <w:color w:val="auto"/>
                <w:sz w:val="24"/>
                <w:szCs w:val="22"/>
              </w:rPr>
              <w:t>0</w:t>
            </w:r>
            <w:r>
              <w:rPr>
                <w:rFonts w:hint="eastAsia"/>
                <w:color w:val="auto"/>
                <w:sz w:val="24"/>
                <w:szCs w:val="22"/>
              </w:rPr>
              <w:t>米范围内均为工业企业，</w:t>
            </w:r>
            <w:r>
              <w:rPr>
                <w:rFonts w:hint="eastAsia"/>
                <w:color w:val="auto"/>
                <w:sz w:val="24"/>
                <w:szCs w:val="22"/>
                <w:lang w:val="en-US" w:eastAsia="zh-CN"/>
              </w:rPr>
              <w:t>项目厂界外北侧51m处为公租房</w:t>
            </w:r>
            <w:r>
              <w:rPr>
                <w:rFonts w:hint="eastAsia" w:ascii="Times New Roman" w:hAnsi="Times New Roman"/>
                <w:color w:val="auto"/>
                <w:kern w:val="0"/>
                <w:sz w:val="24"/>
                <w:highlight w:val="none"/>
              </w:rPr>
              <w:t>。</w:t>
            </w:r>
          </w:p>
          <w:p w14:paraId="51B75DB6">
            <w:pPr>
              <w:autoSpaceDE w:val="0"/>
              <w:autoSpaceDN w:val="0"/>
              <w:spacing w:line="360" w:lineRule="auto"/>
              <w:ind w:firstLine="482" w:firstLineChars="200"/>
              <w:rPr>
                <w:rFonts w:ascii="Times New Roman" w:hAnsi="Times New Roman"/>
                <w:b/>
                <w:bCs/>
                <w:color w:val="auto"/>
                <w:sz w:val="24"/>
                <w:highlight w:val="none"/>
              </w:rPr>
            </w:pPr>
            <w:r>
              <w:rPr>
                <w:rFonts w:hint="eastAsia" w:ascii="Times New Roman" w:hAnsi="Times New Roman"/>
                <w:b/>
                <w:bCs/>
                <w:color w:val="auto"/>
                <w:sz w:val="24"/>
                <w:highlight w:val="none"/>
              </w:rPr>
              <w:t>（4）地下水环境保护目标</w:t>
            </w:r>
          </w:p>
          <w:p w14:paraId="3C967D2D">
            <w:pPr>
              <w:adjustRightInd w:val="0"/>
              <w:snapToGrid w:val="0"/>
              <w:spacing w:line="360" w:lineRule="auto"/>
              <w:ind w:firstLine="480" w:firstLineChars="200"/>
              <w:rPr>
                <w:rFonts w:hint="eastAsia" w:ascii="Times New Roman" w:hAnsi="Times New Roman"/>
                <w:color w:val="auto"/>
                <w:kern w:val="0"/>
                <w:sz w:val="24"/>
                <w:highlight w:val="none"/>
              </w:rPr>
            </w:pPr>
            <w:r>
              <w:rPr>
                <w:rFonts w:hint="eastAsia" w:ascii="Times New Roman" w:hAnsi="Times New Roman"/>
                <w:color w:val="auto"/>
                <w:kern w:val="0"/>
                <w:sz w:val="24"/>
                <w:highlight w:val="none"/>
                <w:lang w:val="en-US" w:eastAsia="zh-CN"/>
              </w:rPr>
              <w:t>本项目厂界外500m范围内无地下水集中式饮用水水源和热水、矿泉水、温泉等特殊地下水资源。</w:t>
            </w:r>
          </w:p>
          <w:p w14:paraId="77EB3885">
            <w:pPr>
              <w:autoSpaceDE w:val="0"/>
              <w:autoSpaceDN w:val="0"/>
              <w:spacing w:line="360" w:lineRule="auto"/>
              <w:ind w:firstLine="482" w:firstLineChars="200"/>
              <w:rPr>
                <w:rFonts w:ascii="Times New Roman" w:hAnsi="Times New Roman"/>
                <w:b/>
                <w:bCs/>
                <w:color w:val="auto"/>
                <w:sz w:val="24"/>
                <w:highlight w:val="none"/>
              </w:rPr>
            </w:pPr>
            <w:r>
              <w:rPr>
                <w:rFonts w:hint="eastAsia" w:ascii="Times New Roman" w:hAnsi="Times New Roman"/>
                <w:b/>
                <w:bCs/>
                <w:color w:val="auto"/>
                <w:sz w:val="24"/>
                <w:highlight w:val="none"/>
              </w:rPr>
              <w:t>（5）生态环境保护目标</w:t>
            </w:r>
          </w:p>
          <w:p w14:paraId="4847F9D8">
            <w:pPr>
              <w:adjustRightInd w:val="0"/>
              <w:snapToGrid w:val="0"/>
              <w:spacing w:line="360" w:lineRule="auto"/>
              <w:ind w:firstLine="480" w:firstLineChars="200"/>
              <w:rPr>
                <w:rFonts w:hint="default" w:ascii="Times New Roman" w:hAnsi="Times New Roman"/>
                <w:color w:val="000000" w:themeColor="text1"/>
                <w:kern w:val="0"/>
                <w:sz w:val="24"/>
                <w:highlight w:val="none"/>
                <w:lang w:val="en-US"/>
                <w14:textFill>
                  <w14:solidFill>
                    <w14:schemeClr w14:val="tx1"/>
                  </w14:solidFill>
                </w14:textFill>
              </w:rPr>
            </w:pPr>
            <w:r>
              <w:rPr>
                <w:rFonts w:hint="eastAsia" w:ascii="Times New Roman" w:hAnsi="Times New Roman"/>
                <w:color w:val="auto"/>
                <w:kern w:val="0"/>
                <w:sz w:val="24"/>
                <w:highlight w:val="none"/>
                <w:lang w:val="en-US" w:eastAsia="zh-CN"/>
              </w:rPr>
              <w:t>本项</w:t>
            </w:r>
            <w:r>
              <w:rPr>
                <w:rFonts w:hint="eastAsia" w:ascii="Times New Roman" w:hAnsi="Times New Roman"/>
                <w:color w:val="000000" w:themeColor="text1"/>
                <w:kern w:val="0"/>
                <w:sz w:val="24"/>
                <w:highlight w:val="none"/>
                <w:lang w:val="en-US" w:eastAsia="zh-CN"/>
                <w14:textFill>
                  <w14:solidFill>
                    <w14:schemeClr w14:val="tx1"/>
                  </w14:solidFill>
                </w14:textFill>
              </w:rPr>
              <w:t>目位于园区内，</w:t>
            </w:r>
            <w:r>
              <w:rPr>
                <w:rFonts w:hint="eastAsia" w:ascii="Times New Roman" w:hAnsi="Times New Roman" w:eastAsia="宋体" w:cs="Times New Roman"/>
                <w:color w:val="000000" w:themeColor="text1"/>
                <w:kern w:val="0"/>
                <w:sz w:val="24"/>
                <w:szCs w:val="21"/>
                <w:lang w:val="en-US" w:eastAsia="zh-CN"/>
                <w14:textFill>
                  <w14:solidFill>
                    <w14:schemeClr w14:val="tx1"/>
                  </w14:solidFill>
                </w14:textFill>
              </w:rPr>
              <w:t>租赁四川秦巴瑞耀产业园经营管理有限公司</w:t>
            </w:r>
            <w:r>
              <w:rPr>
                <w:rFonts w:hint="eastAsia" w:cs="Times New Roman"/>
                <w:color w:val="000000" w:themeColor="text1"/>
                <w:kern w:val="0"/>
                <w:sz w:val="24"/>
                <w:szCs w:val="21"/>
                <w:lang w:val="en-US" w:eastAsia="zh-CN"/>
                <w14:textFill>
                  <w14:solidFill>
                    <w14:schemeClr w14:val="tx1"/>
                  </w14:solidFill>
                </w14:textFill>
              </w:rPr>
              <w:t>在建</w:t>
            </w:r>
            <w:r>
              <w:rPr>
                <w:rFonts w:hint="eastAsia" w:ascii="Times New Roman" w:hAnsi="Times New Roman" w:eastAsia="宋体" w:cs="Times New Roman"/>
                <w:color w:val="000000" w:themeColor="text1"/>
                <w:kern w:val="0"/>
                <w:sz w:val="24"/>
                <w:szCs w:val="21"/>
                <w:lang w:val="en-US" w:eastAsia="zh-CN"/>
                <w14:textFill>
                  <w14:solidFill>
                    <w14:schemeClr w14:val="tx1"/>
                  </w14:solidFill>
                </w14:textFill>
              </w:rPr>
              <w:t>厂房</w:t>
            </w:r>
            <w:r>
              <w:rPr>
                <w:rFonts w:hint="eastAsia" w:ascii="Times New Roman" w:hAnsi="Times New Roman" w:eastAsia="宋体" w:cs="Times New Roman"/>
                <w:color w:val="000000" w:themeColor="text1"/>
                <w:kern w:val="0"/>
                <w:sz w:val="24"/>
                <w:szCs w:val="21"/>
                <w14:textFill>
                  <w14:solidFill>
                    <w14:schemeClr w14:val="tx1"/>
                  </w14:solidFill>
                </w14:textFill>
              </w:rPr>
              <w:t>进行建设</w:t>
            </w:r>
            <w:r>
              <w:rPr>
                <w:rFonts w:hint="eastAsia" w:ascii="Times New Roman" w:hAnsi="Times New Roman" w:eastAsia="宋体" w:cs="Times New Roman"/>
                <w:color w:val="000000" w:themeColor="text1"/>
                <w:kern w:val="0"/>
                <w:sz w:val="24"/>
                <w:szCs w:val="21"/>
                <w:lang w:eastAsia="zh-CN"/>
                <w14:textFill>
                  <w14:solidFill>
                    <w14:schemeClr w14:val="tx1"/>
                  </w14:solidFill>
                </w14:textFill>
              </w:rPr>
              <w:t>，</w:t>
            </w:r>
            <w:r>
              <w:rPr>
                <w:rFonts w:hint="eastAsia" w:ascii="Times New Roman" w:hAnsi="Times New Roman"/>
                <w:color w:val="000000" w:themeColor="text1"/>
                <w:kern w:val="0"/>
                <w:sz w:val="24"/>
                <w:highlight w:val="none"/>
                <w:lang w:val="en-US" w:eastAsia="zh-CN"/>
                <w14:textFill>
                  <w14:solidFill>
                    <w14:schemeClr w14:val="tx1"/>
                  </w14:solidFill>
                </w14:textFill>
              </w:rPr>
              <w:t>无新增用地，不涉及生态环境保护目标。</w:t>
            </w:r>
          </w:p>
          <w:p w14:paraId="7A4AF759">
            <w:pPr>
              <w:adjustRightInd w:val="0"/>
              <w:snapToGrid w:val="0"/>
              <w:spacing w:line="360" w:lineRule="auto"/>
              <w:ind w:firstLine="480" w:firstLineChars="200"/>
              <w:rPr>
                <w:rFonts w:ascii="Times New Roman" w:hAnsi="Times New Roman"/>
                <w:color w:val="000000" w:themeColor="text1"/>
                <w:kern w:val="0"/>
                <w:sz w:val="24"/>
                <w:highlight w:val="none"/>
                <w14:textFill>
                  <w14:solidFill>
                    <w14:schemeClr w14:val="tx1"/>
                  </w14:solidFill>
                </w14:textFill>
              </w:rPr>
            </w:pPr>
            <w:r>
              <w:rPr>
                <w:rFonts w:hint="eastAsia" w:ascii="Times New Roman" w:hAnsi="Times New Roman"/>
                <w:color w:val="000000" w:themeColor="text1"/>
                <w:kern w:val="0"/>
                <w:sz w:val="24"/>
                <w:highlight w:val="none"/>
                <w14:textFill>
                  <w14:solidFill>
                    <w14:schemeClr w14:val="tx1"/>
                  </w14:solidFill>
                </w14:textFill>
              </w:rPr>
              <w:t>本项目评价范</w:t>
            </w:r>
            <w:r>
              <w:rPr>
                <w:rFonts w:ascii="Times New Roman" w:hAnsi="Times New Roman"/>
                <w:color w:val="000000" w:themeColor="text1"/>
                <w:kern w:val="0"/>
                <w:sz w:val="24"/>
                <w:highlight w:val="none"/>
                <w14:textFill>
                  <w14:solidFill>
                    <w14:schemeClr w14:val="tx1"/>
                  </w14:solidFill>
                </w14:textFill>
              </w:rPr>
              <w:t>围内主要环境保护目标一览表。</w:t>
            </w:r>
          </w:p>
          <w:p w14:paraId="66B43539">
            <w:pPr>
              <w:autoSpaceDE w:val="0"/>
              <w:autoSpaceDN w:val="0"/>
              <w:adjustRightInd w:val="0"/>
              <w:snapToGrid w:val="0"/>
              <w:spacing w:line="240" w:lineRule="auto"/>
              <w:jc w:val="center"/>
              <w:rPr>
                <w:rFonts w:ascii="Times New Roman" w:hAnsi="Times New Roman"/>
                <w:b/>
                <w:bCs/>
                <w:color w:val="000000" w:themeColor="text1"/>
                <w:kern w:val="0"/>
                <w:sz w:val="21"/>
                <w:szCs w:val="21"/>
                <w:highlight w:val="none"/>
                <w14:textFill>
                  <w14:solidFill>
                    <w14:schemeClr w14:val="tx1"/>
                  </w14:solidFill>
                </w14:textFill>
              </w:rPr>
            </w:pPr>
            <w:r>
              <w:rPr>
                <w:rFonts w:ascii="Times New Roman" w:hAnsi="Times New Roman"/>
                <w:b/>
                <w:bCs/>
                <w:color w:val="000000" w:themeColor="text1"/>
                <w:kern w:val="0"/>
                <w:sz w:val="21"/>
                <w:szCs w:val="21"/>
                <w:highlight w:val="none"/>
                <w14:textFill>
                  <w14:solidFill>
                    <w14:schemeClr w14:val="tx1"/>
                  </w14:solidFill>
                </w14:textFill>
              </w:rPr>
              <w:t>表3</w:t>
            </w:r>
            <w:r>
              <w:rPr>
                <w:rFonts w:hint="eastAsia" w:ascii="Times New Roman" w:hAnsi="Times New Roman"/>
                <w:b/>
                <w:bCs/>
                <w:color w:val="000000" w:themeColor="text1"/>
                <w:kern w:val="0"/>
                <w:sz w:val="21"/>
                <w:szCs w:val="21"/>
                <w:highlight w:val="none"/>
                <w:lang w:val="en-US" w:eastAsia="zh-CN"/>
                <w14:textFill>
                  <w14:solidFill>
                    <w14:schemeClr w14:val="tx1"/>
                  </w14:solidFill>
                </w14:textFill>
              </w:rPr>
              <w:t>-</w:t>
            </w:r>
            <w:r>
              <w:rPr>
                <w:rFonts w:hint="eastAsia"/>
                <w:b/>
                <w:bCs/>
                <w:color w:val="000000" w:themeColor="text1"/>
                <w:kern w:val="0"/>
                <w:sz w:val="21"/>
                <w:szCs w:val="21"/>
                <w:highlight w:val="none"/>
                <w:lang w:val="en-US" w:eastAsia="zh-CN"/>
                <w14:textFill>
                  <w14:solidFill>
                    <w14:schemeClr w14:val="tx1"/>
                  </w14:solidFill>
                </w14:textFill>
              </w:rPr>
              <w:t>10</w:t>
            </w:r>
            <w:r>
              <w:rPr>
                <w:rFonts w:ascii="Times New Roman" w:hAnsi="Times New Roman"/>
                <w:b/>
                <w:bCs/>
                <w:color w:val="000000" w:themeColor="text1"/>
                <w:kern w:val="0"/>
                <w:sz w:val="21"/>
                <w:szCs w:val="21"/>
                <w:highlight w:val="none"/>
                <w14:textFill>
                  <w14:solidFill>
                    <w14:schemeClr w14:val="tx1"/>
                  </w14:solidFill>
                </w14:textFill>
              </w:rPr>
              <w:t xml:space="preserve"> 本项目主要环境保护目标一览表</w:t>
            </w:r>
          </w:p>
          <w:tbl>
            <w:tblPr>
              <w:tblStyle w:val="41"/>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75"/>
              <w:gridCol w:w="1481"/>
              <w:gridCol w:w="1266"/>
              <w:gridCol w:w="984"/>
              <w:gridCol w:w="1066"/>
              <w:gridCol w:w="2283"/>
            </w:tblGrid>
            <w:tr w14:paraId="19110C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1175" w:type="dxa"/>
                  <w:shd w:val="clear" w:color="auto" w:fill="auto"/>
                  <w:noWrap w:val="0"/>
                  <w:vAlign w:val="center"/>
                </w:tcPr>
                <w:p w14:paraId="27A9077B">
                  <w:pPr>
                    <w:autoSpaceDE w:val="0"/>
                    <w:autoSpaceDN w:val="0"/>
                    <w:adjustRightInd w:val="0"/>
                    <w:snapToGrid w:val="0"/>
                    <w:spacing w:line="280" w:lineRule="exact"/>
                    <w:jc w:val="center"/>
                    <w:rPr>
                      <w:rFonts w:ascii="Times New Roman" w:hAnsi="Times New Roman"/>
                      <w:b/>
                      <w:bCs/>
                      <w:color w:val="000000" w:themeColor="text1"/>
                      <w:kern w:val="0"/>
                      <w:szCs w:val="21"/>
                      <w:highlight w:val="none"/>
                      <w14:textFill>
                        <w14:solidFill>
                          <w14:schemeClr w14:val="tx1"/>
                        </w14:solidFill>
                      </w14:textFill>
                    </w:rPr>
                  </w:pPr>
                  <w:r>
                    <w:rPr>
                      <w:rFonts w:ascii="Times New Roman" w:hAnsi="Times New Roman"/>
                      <w:b/>
                      <w:bCs/>
                      <w:color w:val="000000" w:themeColor="text1"/>
                      <w:kern w:val="0"/>
                      <w:szCs w:val="21"/>
                      <w:highlight w:val="none"/>
                      <w14:textFill>
                        <w14:solidFill>
                          <w14:schemeClr w14:val="tx1"/>
                        </w14:solidFill>
                      </w14:textFill>
                    </w:rPr>
                    <w:t>环境要素</w:t>
                  </w:r>
                </w:p>
              </w:tc>
              <w:tc>
                <w:tcPr>
                  <w:tcW w:w="1481" w:type="dxa"/>
                  <w:shd w:val="clear" w:color="auto" w:fill="auto"/>
                  <w:noWrap w:val="0"/>
                  <w:vAlign w:val="center"/>
                </w:tcPr>
                <w:p w14:paraId="01C54C74">
                  <w:pPr>
                    <w:autoSpaceDE w:val="0"/>
                    <w:autoSpaceDN w:val="0"/>
                    <w:adjustRightInd w:val="0"/>
                    <w:snapToGrid w:val="0"/>
                    <w:spacing w:line="280" w:lineRule="exact"/>
                    <w:jc w:val="center"/>
                    <w:rPr>
                      <w:rFonts w:ascii="Times New Roman" w:hAnsi="Times New Roman"/>
                      <w:b/>
                      <w:bCs/>
                      <w:color w:val="000000" w:themeColor="text1"/>
                      <w:kern w:val="0"/>
                      <w:szCs w:val="21"/>
                      <w:highlight w:val="none"/>
                      <w14:textFill>
                        <w14:solidFill>
                          <w14:schemeClr w14:val="tx1"/>
                        </w14:solidFill>
                      </w14:textFill>
                    </w:rPr>
                  </w:pPr>
                  <w:r>
                    <w:rPr>
                      <w:rFonts w:ascii="Times New Roman" w:hAnsi="Times New Roman"/>
                      <w:b/>
                      <w:bCs/>
                      <w:color w:val="000000" w:themeColor="text1"/>
                      <w:kern w:val="0"/>
                      <w:szCs w:val="21"/>
                      <w:highlight w:val="none"/>
                      <w14:textFill>
                        <w14:solidFill>
                          <w14:schemeClr w14:val="tx1"/>
                        </w14:solidFill>
                      </w14:textFill>
                    </w:rPr>
                    <w:t>目标名称</w:t>
                  </w:r>
                </w:p>
              </w:tc>
              <w:tc>
                <w:tcPr>
                  <w:tcW w:w="1266" w:type="dxa"/>
                  <w:shd w:val="clear" w:color="auto" w:fill="auto"/>
                  <w:noWrap w:val="0"/>
                  <w:vAlign w:val="center"/>
                </w:tcPr>
                <w:p w14:paraId="111EE44F">
                  <w:pPr>
                    <w:autoSpaceDE w:val="0"/>
                    <w:autoSpaceDN w:val="0"/>
                    <w:adjustRightInd w:val="0"/>
                    <w:snapToGrid w:val="0"/>
                    <w:spacing w:line="280" w:lineRule="exact"/>
                    <w:jc w:val="center"/>
                    <w:rPr>
                      <w:rFonts w:ascii="Times New Roman" w:hAnsi="Times New Roman"/>
                      <w:b/>
                      <w:bCs/>
                      <w:color w:val="000000" w:themeColor="text1"/>
                      <w:kern w:val="0"/>
                      <w:szCs w:val="21"/>
                      <w:highlight w:val="none"/>
                      <w14:textFill>
                        <w14:solidFill>
                          <w14:schemeClr w14:val="tx1"/>
                        </w14:solidFill>
                      </w14:textFill>
                    </w:rPr>
                  </w:pPr>
                  <w:r>
                    <w:rPr>
                      <w:rFonts w:ascii="Times New Roman" w:hAnsi="Times New Roman"/>
                      <w:b/>
                      <w:bCs/>
                      <w:color w:val="000000" w:themeColor="text1"/>
                      <w:kern w:val="0"/>
                      <w:szCs w:val="21"/>
                      <w:highlight w:val="none"/>
                      <w14:textFill>
                        <w14:solidFill>
                          <w14:schemeClr w14:val="tx1"/>
                        </w14:solidFill>
                      </w14:textFill>
                    </w:rPr>
                    <w:t>规模</w:t>
                  </w:r>
                </w:p>
              </w:tc>
              <w:tc>
                <w:tcPr>
                  <w:tcW w:w="984" w:type="dxa"/>
                  <w:shd w:val="clear" w:color="auto" w:fill="auto"/>
                  <w:noWrap w:val="0"/>
                  <w:vAlign w:val="center"/>
                </w:tcPr>
                <w:p w14:paraId="1A04EC9C">
                  <w:pPr>
                    <w:autoSpaceDE w:val="0"/>
                    <w:autoSpaceDN w:val="0"/>
                    <w:adjustRightInd w:val="0"/>
                    <w:snapToGrid w:val="0"/>
                    <w:spacing w:line="280" w:lineRule="exact"/>
                    <w:jc w:val="center"/>
                    <w:rPr>
                      <w:rFonts w:ascii="Times New Roman" w:hAnsi="Times New Roman"/>
                      <w:b/>
                      <w:bCs/>
                      <w:color w:val="000000" w:themeColor="text1"/>
                      <w:kern w:val="0"/>
                      <w:szCs w:val="21"/>
                      <w:highlight w:val="none"/>
                      <w14:textFill>
                        <w14:solidFill>
                          <w14:schemeClr w14:val="tx1"/>
                        </w14:solidFill>
                      </w14:textFill>
                    </w:rPr>
                  </w:pPr>
                  <w:r>
                    <w:rPr>
                      <w:rFonts w:ascii="Times New Roman" w:hAnsi="Times New Roman"/>
                      <w:b/>
                      <w:bCs/>
                      <w:color w:val="000000" w:themeColor="text1"/>
                      <w:kern w:val="0"/>
                      <w:szCs w:val="21"/>
                      <w:highlight w:val="none"/>
                      <w14:textFill>
                        <w14:solidFill>
                          <w14:schemeClr w14:val="tx1"/>
                        </w14:solidFill>
                      </w14:textFill>
                    </w:rPr>
                    <w:t>方位</w:t>
                  </w:r>
                </w:p>
              </w:tc>
              <w:tc>
                <w:tcPr>
                  <w:tcW w:w="1066" w:type="dxa"/>
                  <w:shd w:val="clear" w:color="auto" w:fill="auto"/>
                  <w:noWrap w:val="0"/>
                  <w:vAlign w:val="center"/>
                </w:tcPr>
                <w:p w14:paraId="494177B0">
                  <w:pPr>
                    <w:autoSpaceDE w:val="0"/>
                    <w:autoSpaceDN w:val="0"/>
                    <w:adjustRightInd w:val="0"/>
                    <w:snapToGrid w:val="0"/>
                    <w:spacing w:line="280" w:lineRule="exact"/>
                    <w:jc w:val="center"/>
                    <w:rPr>
                      <w:rFonts w:ascii="Times New Roman" w:hAnsi="Times New Roman"/>
                      <w:b/>
                      <w:bCs/>
                      <w:color w:val="000000" w:themeColor="text1"/>
                      <w:kern w:val="0"/>
                      <w:szCs w:val="21"/>
                      <w:highlight w:val="none"/>
                      <w14:textFill>
                        <w14:solidFill>
                          <w14:schemeClr w14:val="tx1"/>
                        </w14:solidFill>
                      </w14:textFill>
                    </w:rPr>
                  </w:pPr>
                  <w:r>
                    <w:rPr>
                      <w:rFonts w:ascii="Times New Roman" w:hAnsi="Times New Roman"/>
                      <w:b/>
                      <w:bCs/>
                      <w:color w:val="000000" w:themeColor="text1"/>
                      <w:kern w:val="0"/>
                      <w:szCs w:val="21"/>
                      <w:highlight w:val="none"/>
                      <w14:textFill>
                        <w14:solidFill>
                          <w14:schemeClr w14:val="tx1"/>
                        </w14:solidFill>
                      </w14:textFill>
                    </w:rPr>
                    <w:t>距离（m）</w:t>
                  </w:r>
                </w:p>
              </w:tc>
              <w:tc>
                <w:tcPr>
                  <w:tcW w:w="2283" w:type="dxa"/>
                  <w:shd w:val="clear" w:color="auto" w:fill="auto"/>
                  <w:noWrap w:val="0"/>
                  <w:vAlign w:val="center"/>
                </w:tcPr>
                <w:p w14:paraId="0E3DB4E4">
                  <w:pPr>
                    <w:autoSpaceDE w:val="0"/>
                    <w:autoSpaceDN w:val="0"/>
                    <w:adjustRightInd w:val="0"/>
                    <w:snapToGrid w:val="0"/>
                    <w:spacing w:line="280" w:lineRule="exact"/>
                    <w:jc w:val="center"/>
                    <w:rPr>
                      <w:rFonts w:ascii="Times New Roman" w:hAnsi="Times New Roman"/>
                      <w:b/>
                      <w:bCs/>
                      <w:color w:val="000000" w:themeColor="text1"/>
                      <w:kern w:val="0"/>
                      <w:szCs w:val="21"/>
                      <w:highlight w:val="none"/>
                      <w14:textFill>
                        <w14:solidFill>
                          <w14:schemeClr w14:val="tx1"/>
                        </w14:solidFill>
                      </w14:textFill>
                    </w:rPr>
                  </w:pPr>
                  <w:r>
                    <w:rPr>
                      <w:rFonts w:ascii="Times New Roman" w:hAnsi="Times New Roman"/>
                      <w:b/>
                      <w:bCs/>
                      <w:color w:val="000000" w:themeColor="text1"/>
                      <w:kern w:val="0"/>
                      <w:szCs w:val="21"/>
                      <w:highlight w:val="none"/>
                      <w14:textFill>
                        <w14:solidFill>
                          <w14:schemeClr w14:val="tx1"/>
                        </w14:solidFill>
                      </w14:textFill>
                    </w:rPr>
                    <w:t>执行标准</w:t>
                  </w:r>
                </w:p>
              </w:tc>
            </w:tr>
            <w:tr w14:paraId="704657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7" w:hRule="atLeast"/>
                <w:jc w:val="center"/>
              </w:trPr>
              <w:tc>
                <w:tcPr>
                  <w:tcW w:w="1175" w:type="dxa"/>
                  <w:vMerge w:val="restart"/>
                  <w:noWrap w:val="0"/>
                  <w:vAlign w:val="center"/>
                </w:tcPr>
                <w:p w14:paraId="2665C5F1">
                  <w:pPr>
                    <w:autoSpaceDE w:val="0"/>
                    <w:autoSpaceDN w:val="0"/>
                    <w:adjustRightInd w:val="0"/>
                    <w:snapToGrid w:val="0"/>
                    <w:spacing w:line="280" w:lineRule="exact"/>
                    <w:jc w:val="center"/>
                    <w:rPr>
                      <w:rFonts w:ascii="Times New Roman" w:hAnsi="Times New Roman"/>
                      <w:color w:val="000000" w:themeColor="text1"/>
                      <w:kern w:val="0"/>
                      <w:szCs w:val="21"/>
                      <w:highlight w:val="none"/>
                      <w14:textFill>
                        <w14:solidFill>
                          <w14:schemeClr w14:val="tx1"/>
                        </w14:solidFill>
                      </w14:textFill>
                    </w:rPr>
                  </w:pPr>
                  <w:r>
                    <w:rPr>
                      <w:rFonts w:ascii="Times New Roman" w:hAnsi="Times New Roman"/>
                      <w:color w:val="000000" w:themeColor="text1"/>
                      <w:kern w:val="0"/>
                      <w:szCs w:val="21"/>
                      <w:highlight w:val="none"/>
                      <w14:textFill>
                        <w14:solidFill>
                          <w14:schemeClr w14:val="tx1"/>
                        </w14:solidFill>
                      </w14:textFill>
                    </w:rPr>
                    <w:t>大气环境</w:t>
                  </w:r>
                </w:p>
              </w:tc>
              <w:tc>
                <w:tcPr>
                  <w:tcW w:w="1481" w:type="dxa"/>
                  <w:noWrap w:val="0"/>
                  <w:vAlign w:val="center"/>
                </w:tcPr>
                <w:p w14:paraId="3E5098D9">
                  <w:pPr>
                    <w:autoSpaceDE w:val="0"/>
                    <w:autoSpaceDN w:val="0"/>
                    <w:adjustRightInd w:val="0"/>
                    <w:snapToGrid w:val="0"/>
                    <w:spacing w:line="280" w:lineRule="exact"/>
                    <w:jc w:val="center"/>
                    <w:rPr>
                      <w:rFonts w:hint="default" w:ascii="Times New Roman" w:hAnsi="Times New Roman" w:eastAsia="宋体"/>
                      <w:color w:val="000000" w:themeColor="text1"/>
                      <w:kern w:val="0"/>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公租房</w:t>
                  </w:r>
                </w:p>
              </w:tc>
              <w:tc>
                <w:tcPr>
                  <w:tcW w:w="1266" w:type="dxa"/>
                  <w:noWrap w:val="0"/>
                  <w:vAlign w:val="center"/>
                </w:tcPr>
                <w:p w14:paraId="0F8EBA62">
                  <w:pPr>
                    <w:autoSpaceDE w:val="0"/>
                    <w:autoSpaceDN w:val="0"/>
                    <w:adjustRightInd w:val="0"/>
                    <w:snapToGrid w:val="0"/>
                    <w:spacing w:line="280" w:lineRule="exact"/>
                    <w:jc w:val="center"/>
                    <w:rPr>
                      <w:rFonts w:hint="default" w:ascii="Times New Roman" w:hAnsi="Times New Roman" w:eastAsia="宋体"/>
                      <w:color w:val="000000" w:themeColor="text1"/>
                      <w:kern w:val="0"/>
                      <w:szCs w:val="21"/>
                      <w:highlight w:val="none"/>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约30人</w:t>
                  </w:r>
                </w:p>
              </w:tc>
              <w:tc>
                <w:tcPr>
                  <w:tcW w:w="984" w:type="dxa"/>
                  <w:noWrap w:val="0"/>
                  <w:vAlign w:val="center"/>
                </w:tcPr>
                <w:p w14:paraId="1F28D8FE">
                  <w:pPr>
                    <w:autoSpaceDE w:val="0"/>
                    <w:autoSpaceDN w:val="0"/>
                    <w:adjustRightInd w:val="0"/>
                    <w:snapToGrid w:val="0"/>
                    <w:spacing w:line="280" w:lineRule="exact"/>
                    <w:jc w:val="center"/>
                    <w:rPr>
                      <w:rFonts w:hint="default" w:ascii="Times New Roman" w:hAnsi="Times New Roman"/>
                      <w:color w:val="000000" w:themeColor="text1"/>
                      <w:kern w:val="0"/>
                      <w:szCs w:val="21"/>
                      <w:highlight w:val="none"/>
                      <w:lang w:val="en-US"/>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北侧</w:t>
                  </w:r>
                </w:p>
              </w:tc>
              <w:tc>
                <w:tcPr>
                  <w:tcW w:w="1066" w:type="dxa"/>
                  <w:noWrap w:val="0"/>
                  <w:vAlign w:val="center"/>
                </w:tcPr>
                <w:p w14:paraId="6DE25C45">
                  <w:pPr>
                    <w:autoSpaceDE w:val="0"/>
                    <w:autoSpaceDN w:val="0"/>
                    <w:adjustRightInd w:val="0"/>
                    <w:snapToGrid w:val="0"/>
                    <w:spacing w:line="280" w:lineRule="exact"/>
                    <w:jc w:val="center"/>
                    <w:rPr>
                      <w:rFonts w:hint="default" w:ascii="Times New Roman" w:hAnsi="Times New Roman" w:eastAsia="宋体"/>
                      <w:color w:val="000000" w:themeColor="text1"/>
                      <w:kern w:val="0"/>
                      <w:szCs w:val="21"/>
                      <w:highlight w:val="none"/>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51</w:t>
                  </w:r>
                </w:p>
              </w:tc>
              <w:tc>
                <w:tcPr>
                  <w:tcW w:w="2283" w:type="dxa"/>
                  <w:vMerge w:val="restart"/>
                  <w:noWrap w:val="0"/>
                  <w:vAlign w:val="center"/>
                </w:tcPr>
                <w:p w14:paraId="7A34E8EE">
                  <w:pPr>
                    <w:autoSpaceDE w:val="0"/>
                    <w:autoSpaceDN w:val="0"/>
                    <w:adjustRightInd w:val="0"/>
                    <w:snapToGrid w:val="0"/>
                    <w:spacing w:line="280" w:lineRule="exact"/>
                    <w:jc w:val="center"/>
                    <w:rPr>
                      <w:rFonts w:hint="default" w:ascii="Times New Roman" w:hAnsi="Times New Roman" w:eastAsia="宋体"/>
                      <w:color w:val="000000" w:themeColor="text1"/>
                      <w:kern w:val="0"/>
                      <w:szCs w:val="21"/>
                      <w:highlight w:val="none"/>
                      <w:lang w:val="en-US" w:eastAsia="zh-CN"/>
                      <w14:textFill>
                        <w14:solidFill>
                          <w14:schemeClr w14:val="tx1"/>
                        </w14:solidFill>
                      </w14:textFill>
                    </w:rPr>
                  </w:pPr>
                  <w:r>
                    <w:rPr>
                      <w:rFonts w:hint="eastAsia" w:ascii="Times New Roman" w:hAnsi="Times New Roman"/>
                      <w:color w:val="000000" w:themeColor="text1"/>
                      <w:kern w:val="0"/>
                      <w:szCs w:val="21"/>
                      <w:highlight w:val="none"/>
                      <w:lang w:val="en-US" w:eastAsia="zh-CN"/>
                      <w14:textFill>
                        <w14:solidFill>
                          <w14:schemeClr w14:val="tx1"/>
                        </w14:solidFill>
                      </w14:textFill>
                    </w:rPr>
                    <w:t>《环境空气质量标准》（GB3095-2026）二级标准</w:t>
                  </w:r>
                </w:p>
              </w:tc>
            </w:tr>
            <w:tr w14:paraId="70C925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7" w:hRule="atLeast"/>
                <w:jc w:val="center"/>
              </w:trPr>
              <w:tc>
                <w:tcPr>
                  <w:tcW w:w="1175" w:type="dxa"/>
                  <w:vMerge w:val="continue"/>
                  <w:noWrap w:val="0"/>
                  <w:vAlign w:val="center"/>
                </w:tcPr>
                <w:p w14:paraId="2AA68843">
                  <w:pPr>
                    <w:autoSpaceDE w:val="0"/>
                    <w:autoSpaceDN w:val="0"/>
                    <w:adjustRightInd w:val="0"/>
                    <w:snapToGrid w:val="0"/>
                    <w:spacing w:line="280" w:lineRule="exact"/>
                    <w:jc w:val="center"/>
                    <w:rPr>
                      <w:rFonts w:ascii="Times New Roman" w:hAnsi="Times New Roman"/>
                      <w:color w:val="000000" w:themeColor="text1"/>
                      <w:kern w:val="0"/>
                      <w:szCs w:val="21"/>
                      <w:highlight w:val="none"/>
                      <w14:textFill>
                        <w14:solidFill>
                          <w14:schemeClr w14:val="tx1"/>
                        </w14:solidFill>
                      </w14:textFill>
                    </w:rPr>
                  </w:pPr>
                </w:p>
              </w:tc>
              <w:tc>
                <w:tcPr>
                  <w:tcW w:w="1481" w:type="dxa"/>
                  <w:noWrap w:val="0"/>
                  <w:vAlign w:val="center"/>
                </w:tcPr>
                <w:p w14:paraId="56B4805F">
                  <w:pPr>
                    <w:autoSpaceDE w:val="0"/>
                    <w:autoSpaceDN w:val="0"/>
                    <w:adjustRightInd w:val="0"/>
                    <w:snapToGrid w:val="0"/>
                    <w:spacing w:line="280" w:lineRule="exact"/>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云城.书香美邸（部分在建）</w:t>
                  </w:r>
                </w:p>
              </w:tc>
              <w:tc>
                <w:tcPr>
                  <w:tcW w:w="1266" w:type="dxa"/>
                  <w:noWrap w:val="0"/>
                  <w:vAlign w:val="center"/>
                </w:tcPr>
                <w:p w14:paraId="13FE35F5">
                  <w:pPr>
                    <w:autoSpaceDE w:val="0"/>
                    <w:autoSpaceDN w:val="0"/>
                    <w:adjustRightInd w:val="0"/>
                    <w:snapToGrid w:val="0"/>
                    <w:spacing w:line="280" w:lineRule="exact"/>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tc>
              <w:tc>
                <w:tcPr>
                  <w:tcW w:w="984" w:type="dxa"/>
                  <w:noWrap w:val="0"/>
                  <w:vAlign w:val="center"/>
                </w:tcPr>
                <w:p w14:paraId="17E0D5C0">
                  <w:pPr>
                    <w:pStyle w:val="70"/>
                    <w:spacing w:line="240" w:lineRule="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西南侧</w:t>
                  </w:r>
                </w:p>
              </w:tc>
              <w:tc>
                <w:tcPr>
                  <w:tcW w:w="1066" w:type="dxa"/>
                  <w:noWrap w:val="0"/>
                  <w:vAlign w:val="center"/>
                </w:tcPr>
                <w:p w14:paraId="51AA8413">
                  <w:pPr>
                    <w:pStyle w:val="70"/>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382</w:t>
                  </w:r>
                </w:p>
              </w:tc>
              <w:tc>
                <w:tcPr>
                  <w:tcW w:w="2283" w:type="dxa"/>
                  <w:vMerge w:val="continue"/>
                  <w:noWrap w:val="0"/>
                  <w:vAlign w:val="center"/>
                </w:tcPr>
                <w:p w14:paraId="04E50922">
                  <w:pPr>
                    <w:autoSpaceDE w:val="0"/>
                    <w:autoSpaceDN w:val="0"/>
                    <w:adjustRightInd w:val="0"/>
                    <w:snapToGrid w:val="0"/>
                    <w:spacing w:line="280" w:lineRule="exact"/>
                    <w:jc w:val="center"/>
                    <w:rPr>
                      <w:rFonts w:hint="eastAsia" w:ascii="Times New Roman" w:hAnsi="Times New Roman"/>
                      <w:color w:val="000000" w:themeColor="text1"/>
                      <w:kern w:val="0"/>
                      <w:szCs w:val="21"/>
                      <w:highlight w:val="none"/>
                      <w:lang w:val="en-US" w:eastAsia="zh-CN"/>
                      <w14:textFill>
                        <w14:solidFill>
                          <w14:schemeClr w14:val="tx1"/>
                        </w14:solidFill>
                      </w14:textFill>
                    </w:rPr>
                  </w:pPr>
                </w:p>
              </w:tc>
            </w:tr>
            <w:tr w14:paraId="623E89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7" w:hRule="atLeast"/>
                <w:jc w:val="center"/>
              </w:trPr>
              <w:tc>
                <w:tcPr>
                  <w:tcW w:w="1175" w:type="dxa"/>
                  <w:vMerge w:val="continue"/>
                  <w:noWrap w:val="0"/>
                  <w:vAlign w:val="center"/>
                </w:tcPr>
                <w:p w14:paraId="3C5F2A65">
                  <w:pPr>
                    <w:autoSpaceDE w:val="0"/>
                    <w:autoSpaceDN w:val="0"/>
                    <w:adjustRightInd w:val="0"/>
                    <w:snapToGrid w:val="0"/>
                    <w:spacing w:line="280" w:lineRule="exact"/>
                    <w:jc w:val="center"/>
                    <w:rPr>
                      <w:rFonts w:ascii="Times New Roman" w:hAnsi="Times New Roman"/>
                      <w:color w:val="000000" w:themeColor="text1"/>
                      <w:kern w:val="0"/>
                      <w:szCs w:val="21"/>
                      <w:highlight w:val="none"/>
                      <w14:textFill>
                        <w14:solidFill>
                          <w14:schemeClr w14:val="tx1"/>
                        </w14:solidFill>
                      </w14:textFill>
                    </w:rPr>
                  </w:pPr>
                </w:p>
              </w:tc>
              <w:tc>
                <w:tcPr>
                  <w:tcW w:w="1481" w:type="dxa"/>
                  <w:noWrap w:val="0"/>
                  <w:vAlign w:val="center"/>
                </w:tcPr>
                <w:p w14:paraId="388BB28D">
                  <w:pPr>
                    <w:autoSpaceDE w:val="0"/>
                    <w:autoSpaceDN w:val="0"/>
                    <w:adjustRightInd w:val="0"/>
                    <w:snapToGrid w:val="0"/>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巴中经开区人才大楼</w:t>
                  </w:r>
                </w:p>
              </w:tc>
              <w:tc>
                <w:tcPr>
                  <w:tcW w:w="1266" w:type="dxa"/>
                  <w:noWrap w:val="0"/>
                  <w:vAlign w:val="center"/>
                </w:tcPr>
                <w:p w14:paraId="2B9F2C4D">
                  <w:pPr>
                    <w:autoSpaceDE w:val="0"/>
                    <w:autoSpaceDN w:val="0"/>
                    <w:adjustRightInd w:val="0"/>
                    <w:snapToGrid w:val="0"/>
                    <w:spacing w:line="280" w:lineRule="exact"/>
                    <w:jc w:val="center"/>
                    <w:rPr>
                      <w:rFonts w:hint="default" w:ascii="Times New Roman" w:hAnsi="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约100人</w:t>
                  </w:r>
                </w:p>
              </w:tc>
              <w:tc>
                <w:tcPr>
                  <w:tcW w:w="984" w:type="dxa"/>
                  <w:noWrap w:val="0"/>
                  <w:vAlign w:val="center"/>
                </w:tcPr>
                <w:p w14:paraId="00CA67F3">
                  <w:pPr>
                    <w:pStyle w:val="70"/>
                    <w:spacing w:line="240" w:lineRule="auto"/>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西侧</w:t>
                  </w:r>
                </w:p>
              </w:tc>
              <w:tc>
                <w:tcPr>
                  <w:tcW w:w="1066" w:type="dxa"/>
                  <w:noWrap w:val="0"/>
                  <w:vAlign w:val="center"/>
                </w:tcPr>
                <w:p w14:paraId="30ACCAD9">
                  <w:pPr>
                    <w:pStyle w:val="70"/>
                    <w:spacing w:line="240" w:lineRule="auto"/>
                    <w:rPr>
                      <w:rFonts w:hint="default" w:ascii="Times New Roman" w:hAnsi="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335</w:t>
                  </w:r>
                </w:p>
              </w:tc>
              <w:tc>
                <w:tcPr>
                  <w:tcW w:w="2283" w:type="dxa"/>
                  <w:vMerge w:val="continue"/>
                  <w:noWrap w:val="0"/>
                  <w:vAlign w:val="center"/>
                </w:tcPr>
                <w:p w14:paraId="6181B412">
                  <w:pPr>
                    <w:autoSpaceDE w:val="0"/>
                    <w:autoSpaceDN w:val="0"/>
                    <w:adjustRightInd w:val="0"/>
                    <w:snapToGrid w:val="0"/>
                    <w:spacing w:line="280" w:lineRule="exact"/>
                    <w:jc w:val="center"/>
                    <w:rPr>
                      <w:rFonts w:hint="eastAsia" w:ascii="Times New Roman" w:hAnsi="Times New Roman"/>
                      <w:color w:val="000000" w:themeColor="text1"/>
                      <w:kern w:val="0"/>
                      <w:szCs w:val="21"/>
                      <w:highlight w:val="none"/>
                      <w:lang w:val="en-US" w:eastAsia="zh-CN"/>
                      <w14:textFill>
                        <w14:solidFill>
                          <w14:schemeClr w14:val="tx1"/>
                        </w14:solidFill>
                      </w14:textFill>
                    </w:rPr>
                  </w:pPr>
                </w:p>
              </w:tc>
            </w:tr>
            <w:tr w14:paraId="19558E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1175" w:type="dxa"/>
                  <w:noWrap w:val="0"/>
                  <w:vAlign w:val="center"/>
                </w:tcPr>
                <w:p w14:paraId="1DBB8227">
                  <w:pPr>
                    <w:autoSpaceDE w:val="0"/>
                    <w:autoSpaceDN w:val="0"/>
                    <w:adjustRightInd w:val="0"/>
                    <w:snapToGrid w:val="0"/>
                    <w:spacing w:line="280" w:lineRule="exact"/>
                    <w:jc w:val="center"/>
                    <w:rPr>
                      <w:rFonts w:ascii="Times New Roman" w:hAnsi="Times New Roman"/>
                      <w:color w:val="000000" w:themeColor="text1"/>
                      <w:kern w:val="0"/>
                      <w:szCs w:val="21"/>
                      <w:highlight w:val="none"/>
                      <w14:textFill>
                        <w14:solidFill>
                          <w14:schemeClr w14:val="tx1"/>
                        </w14:solidFill>
                      </w14:textFill>
                    </w:rPr>
                  </w:pPr>
                  <w:r>
                    <w:rPr>
                      <w:rFonts w:ascii="Times New Roman" w:hAnsi="Times New Roman"/>
                      <w:color w:val="000000" w:themeColor="text1"/>
                      <w:kern w:val="0"/>
                      <w:szCs w:val="21"/>
                      <w:highlight w:val="none"/>
                      <w14:textFill>
                        <w14:solidFill>
                          <w14:schemeClr w14:val="tx1"/>
                        </w14:solidFill>
                      </w14:textFill>
                    </w:rPr>
                    <w:t>地表水</w:t>
                  </w:r>
                </w:p>
              </w:tc>
              <w:tc>
                <w:tcPr>
                  <w:tcW w:w="1481" w:type="dxa"/>
                  <w:noWrap w:val="0"/>
                  <w:vAlign w:val="center"/>
                </w:tcPr>
                <w:p w14:paraId="12DA4281">
                  <w:pPr>
                    <w:autoSpaceDE w:val="0"/>
                    <w:autoSpaceDN w:val="0"/>
                    <w:adjustRightInd w:val="0"/>
                    <w:snapToGrid w:val="0"/>
                    <w:spacing w:line="280" w:lineRule="exact"/>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kern w:val="0"/>
                      <w:szCs w:val="21"/>
                      <w:highlight w:val="none"/>
                      <w:lang w:val="en-US" w:eastAsia="zh-CN"/>
                      <w14:textFill>
                        <w14:solidFill>
                          <w14:schemeClr w14:val="tx1"/>
                        </w14:solidFill>
                      </w14:textFill>
                    </w:rPr>
                    <w:t>/</w:t>
                  </w:r>
                </w:p>
              </w:tc>
              <w:tc>
                <w:tcPr>
                  <w:tcW w:w="1266" w:type="dxa"/>
                  <w:noWrap w:val="0"/>
                  <w:vAlign w:val="center"/>
                </w:tcPr>
                <w:p w14:paraId="550D157C">
                  <w:pPr>
                    <w:autoSpaceDE w:val="0"/>
                    <w:autoSpaceDN w:val="0"/>
                    <w:adjustRightInd w:val="0"/>
                    <w:snapToGrid w:val="0"/>
                    <w:spacing w:line="280" w:lineRule="exact"/>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kern w:val="0"/>
                      <w:szCs w:val="21"/>
                      <w:highlight w:val="none"/>
                      <w:lang w:val="en-US" w:eastAsia="zh-CN"/>
                      <w14:textFill>
                        <w14:solidFill>
                          <w14:schemeClr w14:val="tx1"/>
                        </w14:solidFill>
                      </w14:textFill>
                    </w:rPr>
                    <w:t>/</w:t>
                  </w:r>
                </w:p>
              </w:tc>
              <w:tc>
                <w:tcPr>
                  <w:tcW w:w="984" w:type="dxa"/>
                  <w:noWrap w:val="0"/>
                  <w:vAlign w:val="center"/>
                </w:tcPr>
                <w:p w14:paraId="6CB26FDF">
                  <w:pPr>
                    <w:autoSpaceDE w:val="0"/>
                    <w:autoSpaceDN w:val="0"/>
                    <w:adjustRightInd w:val="0"/>
                    <w:snapToGrid w:val="0"/>
                    <w:spacing w:line="280" w:lineRule="exact"/>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kern w:val="0"/>
                      <w:szCs w:val="21"/>
                      <w:highlight w:val="none"/>
                      <w:lang w:val="en-US" w:eastAsia="zh-CN"/>
                      <w14:textFill>
                        <w14:solidFill>
                          <w14:schemeClr w14:val="tx1"/>
                        </w14:solidFill>
                      </w14:textFill>
                    </w:rPr>
                    <w:t>/</w:t>
                  </w:r>
                </w:p>
              </w:tc>
              <w:tc>
                <w:tcPr>
                  <w:tcW w:w="1066" w:type="dxa"/>
                  <w:noWrap w:val="0"/>
                  <w:vAlign w:val="center"/>
                </w:tcPr>
                <w:p w14:paraId="5A0FEDE2">
                  <w:pPr>
                    <w:autoSpaceDE w:val="0"/>
                    <w:autoSpaceDN w:val="0"/>
                    <w:adjustRightInd w:val="0"/>
                    <w:snapToGrid w:val="0"/>
                    <w:spacing w:line="280" w:lineRule="exact"/>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kern w:val="0"/>
                      <w:szCs w:val="21"/>
                      <w:highlight w:val="none"/>
                      <w:lang w:val="en-US" w:eastAsia="zh-CN"/>
                      <w14:textFill>
                        <w14:solidFill>
                          <w14:schemeClr w14:val="tx1"/>
                        </w14:solidFill>
                      </w14:textFill>
                    </w:rPr>
                    <w:t>/</w:t>
                  </w:r>
                </w:p>
              </w:tc>
              <w:tc>
                <w:tcPr>
                  <w:tcW w:w="2283" w:type="dxa"/>
                  <w:noWrap w:val="0"/>
                  <w:vAlign w:val="center"/>
                </w:tcPr>
                <w:p w14:paraId="1EAF0F6C">
                  <w:pPr>
                    <w:autoSpaceDE w:val="0"/>
                    <w:autoSpaceDN w:val="0"/>
                    <w:adjustRightInd w:val="0"/>
                    <w:snapToGrid w:val="0"/>
                    <w:spacing w:line="280" w:lineRule="exact"/>
                    <w:jc w:val="center"/>
                    <w:rPr>
                      <w:rFonts w:hint="eastAsia" w:ascii="Times New Roman" w:hAnsi="Times New Roman"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w:t>
                  </w:r>
                </w:p>
              </w:tc>
            </w:tr>
            <w:tr w14:paraId="7325ED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175" w:type="dxa"/>
                  <w:noWrap w:val="0"/>
                  <w:vAlign w:val="center"/>
                </w:tcPr>
                <w:p w14:paraId="696A66B1">
                  <w:pPr>
                    <w:autoSpaceDE w:val="0"/>
                    <w:autoSpaceDN w:val="0"/>
                    <w:adjustRightInd w:val="0"/>
                    <w:snapToGrid w:val="0"/>
                    <w:spacing w:line="280" w:lineRule="exact"/>
                    <w:jc w:val="center"/>
                    <w:rPr>
                      <w:rFonts w:ascii="Times New Roman" w:hAnsi="Times New Roman"/>
                      <w:color w:val="000000" w:themeColor="text1"/>
                      <w:kern w:val="0"/>
                      <w:szCs w:val="21"/>
                      <w:highlight w:val="none"/>
                      <w14:textFill>
                        <w14:solidFill>
                          <w14:schemeClr w14:val="tx1"/>
                        </w14:solidFill>
                      </w14:textFill>
                    </w:rPr>
                  </w:pPr>
                  <w:r>
                    <w:rPr>
                      <w:rFonts w:ascii="Times New Roman" w:hAnsi="Times New Roman"/>
                      <w:color w:val="000000" w:themeColor="text1"/>
                      <w:kern w:val="0"/>
                      <w:szCs w:val="21"/>
                      <w:highlight w:val="none"/>
                      <w14:textFill>
                        <w14:solidFill>
                          <w14:schemeClr w14:val="tx1"/>
                        </w14:solidFill>
                      </w14:textFill>
                    </w:rPr>
                    <w:t>声环境</w:t>
                  </w:r>
                </w:p>
              </w:tc>
              <w:tc>
                <w:tcPr>
                  <w:tcW w:w="1481" w:type="dxa"/>
                  <w:noWrap w:val="0"/>
                  <w:vAlign w:val="center"/>
                </w:tcPr>
                <w:p w14:paraId="27D4403B">
                  <w:pPr>
                    <w:autoSpaceDE w:val="0"/>
                    <w:autoSpaceDN w:val="0"/>
                    <w:adjustRightInd w:val="0"/>
                    <w:snapToGrid w:val="0"/>
                    <w:spacing w:line="280" w:lineRule="exact"/>
                    <w:jc w:val="center"/>
                    <w:rPr>
                      <w:rFonts w:hint="eastAsia" w:ascii="Times New Roman" w:hAnsi="Times New Roman" w:eastAsia="宋体"/>
                      <w:color w:val="000000" w:themeColor="text1"/>
                      <w:kern w:val="0"/>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公租房</w:t>
                  </w:r>
                </w:p>
              </w:tc>
              <w:tc>
                <w:tcPr>
                  <w:tcW w:w="1266" w:type="dxa"/>
                  <w:noWrap w:val="0"/>
                  <w:vAlign w:val="center"/>
                </w:tcPr>
                <w:p w14:paraId="6FEF10EC">
                  <w:pPr>
                    <w:autoSpaceDE w:val="0"/>
                    <w:autoSpaceDN w:val="0"/>
                    <w:adjustRightInd w:val="0"/>
                    <w:snapToGrid w:val="0"/>
                    <w:spacing w:line="280" w:lineRule="exact"/>
                    <w:jc w:val="center"/>
                    <w:rPr>
                      <w:rFonts w:hint="eastAsia" w:ascii="Times New Roman" w:hAnsi="Times New Roman" w:eastAsia="宋体"/>
                      <w:color w:val="000000" w:themeColor="text1"/>
                      <w:kern w:val="0"/>
                      <w:szCs w:val="21"/>
                      <w:highlight w:val="none"/>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约30人</w:t>
                  </w:r>
                </w:p>
              </w:tc>
              <w:tc>
                <w:tcPr>
                  <w:tcW w:w="984" w:type="dxa"/>
                  <w:noWrap w:val="0"/>
                  <w:vAlign w:val="center"/>
                </w:tcPr>
                <w:p w14:paraId="1C11E756">
                  <w:pPr>
                    <w:autoSpaceDE w:val="0"/>
                    <w:autoSpaceDN w:val="0"/>
                    <w:adjustRightInd w:val="0"/>
                    <w:snapToGrid w:val="0"/>
                    <w:spacing w:line="280" w:lineRule="exact"/>
                    <w:jc w:val="center"/>
                    <w:rPr>
                      <w:rFonts w:hint="eastAsia" w:ascii="Times New Roman" w:hAnsi="Times New Roman" w:eastAsia="宋体"/>
                      <w:color w:val="000000" w:themeColor="text1"/>
                      <w:kern w:val="0"/>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北侧</w:t>
                  </w:r>
                </w:p>
              </w:tc>
              <w:tc>
                <w:tcPr>
                  <w:tcW w:w="1066" w:type="dxa"/>
                  <w:noWrap w:val="0"/>
                  <w:vAlign w:val="center"/>
                </w:tcPr>
                <w:p w14:paraId="58C775A7">
                  <w:pPr>
                    <w:autoSpaceDE w:val="0"/>
                    <w:autoSpaceDN w:val="0"/>
                    <w:adjustRightInd w:val="0"/>
                    <w:snapToGrid w:val="0"/>
                    <w:spacing w:line="280" w:lineRule="exact"/>
                    <w:jc w:val="center"/>
                    <w:rPr>
                      <w:rFonts w:hint="eastAsia" w:ascii="Times New Roman" w:hAnsi="Times New Roman" w:eastAsia="宋体"/>
                      <w:color w:val="000000" w:themeColor="text1"/>
                      <w:kern w:val="0"/>
                      <w:szCs w:val="21"/>
                      <w:highlight w:val="none"/>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51</w:t>
                  </w:r>
                </w:p>
              </w:tc>
              <w:tc>
                <w:tcPr>
                  <w:tcW w:w="2283" w:type="dxa"/>
                  <w:noWrap w:val="0"/>
                  <w:vAlign w:val="center"/>
                </w:tcPr>
                <w:p w14:paraId="328EBCFB">
                  <w:pPr>
                    <w:autoSpaceDE w:val="0"/>
                    <w:autoSpaceDN w:val="0"/>
                    <w:adjustRightInd w:val="0"/>
                    <w:snapToGrid w:val="0"/>
                    <w:spacing w:line="280" w:lineRule="exact"/>
                    <w:jc w:val="center"/>
                    <w:rPr>
                      <w:rFonts w:hint="eastAsia" w:ascii="Times New Roman" w:hAnsi="Times New Roman" w:eastAsia="宋体"/>
                      <w:color w:val="000000" w:themeColor="text1"/>
                      <w:kern w:val="0"/>
                      <w:szCs w:val="21"/>
                      <w:highlight w:val="none"/>
                      <w:lang w:val="en-US" w:eastAsia="zh-CN"/>
                      <w14:textFill>
                        <w14:solidFill>
                          <w14:schemeClr w14:val="tx1"/>
                        </w14:solidFill>
                      </w14:textFill>
                    </w:rPr>
                  </w:pPr>
                  <w:r>
                    <w:rPr>
                      <w:rFonts w:ascii="Times New Roman" w:hAnsi="Times New Roman"/>
                      <w:color w:val="000000" w:themeColor="text1"/>
                      <w:kern w:val="0"/>
                      <w:szCs w:val="21"/>
                      <w:highlight w:val="none"/>
                      <w14:textFill>
                        <w14:solidFill>
                          <w14:schemeClr w14:val="tx1"/>
                        </w14:solidFill>
                      </w14:textFill>
                    </w:rPr>
                    <w:t>《声环境质量标准》（GB3096-2008）</w:t>
                  </w:r>
                  <w:r>
                    <w:rPr>
                      <w:rFonts w:hint="eastAsia"/>
                      <w:color w:val="000000" w:themeColor="text1"/>
                      <w:kern w:val="0"/>
                      <w:szCs w:val="21"/>
                      <w:highlight w:val="none"/>
                      <w:lang w:val="en-US" w:eastAsia="zh-CN"/>
                      <w14:textFill>
                        <w14:solidFill>
                          <w14:schemeClr w14:val="tx1"/>
                        </w14:solidFill>
                      </w14:textFill>
                    </w:rPr>
                    <w:t>2</w:t>
                  </w:r>
                  <w:r>
                    <w:rPr>
                      <w:rFonts w:ascii="Times New Roman" w:hAnsi="Times New Roman"/>
                      <w:color w:val="000000" w:themeColor="text1"/>
                      <w:kern w:val="0"/>
                      <w:szCs w:val="21"/>
                      <w:highlight w:val="none"/>
                      <w14:textFill>
                        <w14:solidFill>
                          <w14:schemeClr w14:val="tx1"/>
                        </w14:solidFill>
                      </w14:textFill>
                    </w:rPr>
                    <w:t>类标准</w:t>
                  </w:r>
                </w:p>
              </w:tc>
            </w:tr>
            <w:tr w14:paraId="244771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175" w:type="dxa"/>
                  <w:noWrap w:val="0"/>
                  <w:vAlign w:val="center"/>
                </w:tcPr>
                <w:p w14:paraId="3470761D">
                  <w:pPr>
                    <w:autoSpaceDE w:val="0"/>
                    <w:autoSpaceDN w:val="0"/>
                    <w:adjustRightInd w:val="0"/>
                    <w:snapToGrid w:val="0"/>
                    <w:spacing w:line="280" w:lineRule="exact"/>
                    <w:jc w:val="center"/>
                    <w:rPr>
                      <w:rFonts w:ascii="Times New Roman" w:hAnsi="Times New Roman"/>
                      <w:color w:val="auto"/>
                      <w:kern w:val="0"/>
                      <w:szCs w:val="21"/>
                      <w:highlight w:val="none"/>
                    </w:rPr>
                  </w:pPr>
                  <w:r>
                    <w:rPr>
                      <w:rFonts w:ascii="Times New Roman" w:hAnsi="Times New Roman"/>
                      <w:color w:val="auto"/>
                      <w:kern w:val="0"/>
                      <w:szCs w:val="21"/>
                      <w:highlight w:val="none"/>
                    </w:rPr>
                    <w:t>地下水环境</w:t>
                  </w:r>
                </w:p>
              </w:tc>
              <w:tc>
                <w:tcPr>
                  <w:tcW w:w="7080" w:type="dxa"/>
                  <w:gridSpan w:val="5"/>
                  <w:noWrap w:val="0"/>
                  <w:vAlign w:val="center"/>
                </w:tcPr>
                <w:p w14:paraId="6880B342">
                  <w:pPr>
                    <w:autoSpaceDE w:val="0"/>
                    <w:autoSpaceDN w:val="0"/>
                    <w:adjustRightInd w:val="0"/>
                    <w:snapToGrid w:val="0"/>
                    <w:spacing w:line="280" w:lineRule="exact"/>
                    <w:jc w:val="center"/>
                    <w:rPr>
                      <w:rFonts w:hint="eastAsia" w:ascii="Times New Roman" w:hAnsi="Times New Roman" w:eastAsia="宋体"/>
                      <w:color w:val="auto"/>
                      <w:kern w:val="0"/>
                      <w:szCs w:val="21"/>
                      <w:highlight w:val="none"/>
                      <w:lang w:eastAsia="zh-CN"/>
                    </w:rPr>
                  </w:pPr>
                  <w:r>
                    <w:rPr>
                      <w:rFonts w:ascii="Times New Roman" w:hAnsi="Times New Roman"/>
                      <w:color w:val="auto"/>
                      <w:kern w:val="0"/>
                      <w:szCs w:val="21"/>
                      <w:highlight w:val="none"/>
                    </w:rPr>
                    <w:t>厂界外500m范围内无地下水集中式饮用水水源和热水、矿泉水、温泉等特殊地下水资源</w:t>
                  </w:r>
                </w:p>
              </w:tc>
            </w:tr>
            <w:tr w14:paraId="59D9B9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3" w:hRule="atLeast"/>
                <w:jc w:val="center"/>
              </w:trPr>
              <w:tc>
                <w:tcPr>
                  <w:tcW w:w="1175" w:type="dxa"/>
                  <w:noWrap w:val="0"/>
                  <w:vAlign w:val="center"/>
                </w:tcPr>
                <w:p w14:paraId="1D33337F">
                  <w:pPr>
                    <w:autoSpaceDE w:val="0"/>
                    <w:autoSpaceDN w:val="0"/>
                    <w:adjustRightInd w:val="0"/>
                    <w:snapToGrid w:val="0"/>
                    <w:spacing w:line="280" w:lineRule="exact"/>
                    <w:jc w:val="center"/>
                    <w:rPr>
                      <w:rFonts w:ascii="Times New Roman" w:hAnsi="Times New Roman"/>
                      <w:color w:val="auto"/>
                      <w:kern w:val="0"/>
                      <w:szCs w:val="21"/>
                      <w:highlight w:val="none"/>
                    </w:rPr>
                  </w:pPr>
                  <w:r>
                    <w:rPr>
                      <w:rFonts w:ascii="Times New Roman" w:hAnsi="Times New Roman"/>
                      <w:color w:val="auto"/>
                      <w:kern w:val="0"/>
                      <w:szCs w:val="21"/>
                      <w:highlight w:val="none"/>
                    </w:rPr>
                    <w:t>生态环境</w:t>
                  </w:r>
                </w:p>
              </w:tc>
              <w:tc>
                <w:tcPr>
                  <w:tcW w:w="7080" w:type="dxa"/>
                  <w:gridSpan w:val="5"/>
                  <w:noWrap w:val="0"/>
                  <w:vAlign w:val="center"/>
                </w:tcPr>
                <w:p w14:paraId="4CC409B9">
                  <w:pPr>
                    <w:autoSpaceDE w:val="0"/>
                    <w:autoSpaceDN w:val="0"/>
                    <w:adjustRightInd w:val="0"/>
                    <w:snapToGrid w:val="0"/>
                    <w:spacing w:line="280" w:lineRule="exact"/>
                    <w:jc w:val="center"/>
                    <w:rPr>
                      <w:rFonts w:ascii="Times New Roman" w:hAnsi="Times New Roman"/>
                      <w:color w:val="auto"/>
                      <w:kern w:val="0"/>
                      <w:szCs w:val="21"/>
                      <w:highlight w:val="none"/>
                    </w:rPr>
                  </w:pPr>
                  <w:r>
                    <w:rPr>
                      <w:rFonts w:hint="eastAsia"/>
                      <w:color w:val="auto"/>
                      <w:szCs w:val="21"/>
                      <w:lang w:val="en-US" w:eastAsia="zh-CN"/>
                    </w:rPr>
                    <w:t>本项目</w:t>
                  </w:r>
                  <w:r>
                    <w:rPr>
                      <w:color w:val="auto"/>
                      <w:szCs w:val="21"/>
                    </w:rPr>
                    <w:t>位于工业园区内，</w:t>
                  </w:r>
                  <w:r>
                    <w:rPr>
                      <w:rFonts w:hint="eastAsia"/>
                      <w:color w:val="auto"/>
                      <w:szCs w:val="21"/>
                      <w:lang w:val="en-US" w:eastAsia="zh-CN"/>
                    </w:rPr>
                    <w:t>用地性质为工业用地</w:t>
                  </w:r>
                  <w:r>
                    <w:rPr>
                      <w:color w:val="auto"/>
                      <w:szCs w:val="21"/>
                    </w:rPr>
                    <w:t>，且用地范围内无生态环境保护目标</w:t>
                  </w:r>
                </w:p>
              </w:tc>
            </w:tr>
          </w:tbl>
          <w:p w14:paraId="7195284E">
            <w:pPr>
              <w:pStyle w:val="66"/>
              <w:rPr>
                <w:color w:val="auto"/>
              </w:rPr>
            </w:pPr>
          </w:p>
        </w:tc>
      </w:tr>
      <w:tr w14:paraId="7F7022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499" w:type="dxa"/>
            <w:tcMar>
              <w:left w:w="28" w:type="dxa"/>
              <w:right w:w="28" w:type="dxa"/>
            </w:tcMar>
            <w:vAlign w:val="center"/>
          </w:tcPr>
          <w:p w14:paraId="3E109FCB">
            <w:pPr>
              <w:adjustRightInd w:val="0"/>
              <w:snapToGrid w:val="0"/>
              <w:jc w:val="center"/>
              <w:rPr>
                <w:rFonts w:cs="宋体"/>
                <w:color w:val="auto"/>
                <w:kern w:val="0"/>
                <w:szCs w:val="21"/>
              </w:rPr>
            </w:pPr>
            <w:r>
              <w:rPr>
                <w:rFonts w:hint="eastAsia" w:cs="宋体"/>
                <w:b/>
                <w:bCs/>
                <w:color w:val="auto"/>
                <w:kern w:val="0"/>
                <w:sz w:val="24"/>
                <w:szCs w:val="24"/>
              </w:rPr>
              <w:t>污染物排放控制标准</w:t>
            </w:r>
          </w:p>
        </w:tc>
        <w:tc>
          <w:tcPr>
            <w:tcW w:w="8491" w:type="dxa"/>
          </w:tcPr>
          <w:p w14:paraId="6372BB7C">
            <w:pPr>
              <w:pStyle w:val="66"/>
              <w:spacing w:line="360" w:lineRule="auto"/>
              <w:ind w:firstLine="482"/>
              <w:rPr>
                <w:b/>
                <w:bCs/>
                <w:color w:val="auto"/>
              </w:rPr>
            </w:pPr>
            <w:r>
              <w:rPr>
                <w:rFonts w:hint="eastAsia"/>
                <w:b/>
                <w:bCs/>
                <w:color w:val="auto"/>
              </w:rPr>
              <w:t>1、废气</w:t>
            </w:r>
          </w:p>
          <w:p w14:paraId="287F3FED">
            <w:pPr>
              <w:pStyle w:val="66"/>
              <w:spacing w:line="360" w:lineRule="auto"/>
              <w:ind w:firstLine="482"/>
              <w:rPr>
                <w:b/>
                <w:bCs/>
                <w:color w:val="auto"/>
              </w:rPr>
            </w:pPr>
            <w:r>
              <w:rPr>
                <w:rFonts w:hint="eastAsia"/>
                <w:b/>
                <w:bCs/>
                <w:color w:val="auto"/>
              </w:rPr>
              <w:t>（1）施工期</w:t>
            </w:r>
          </w:p>
          <w:p w14:paraId="7517C240">
            <w:pPr>
              <w:pStyle w:val="66"/>
              <w:spacing w:line="360" w:lineRule="auto"/>
              <w:rPr>
                <w:color w:val="auto"/>
              </w:rPr>
            </w:pPr>
            <w:r>
              <w:rPr>
                <w:rFonts w:hint="eastAsia"/>
                <w:color w:val="auto"/>
              </w:rPr>
              <w:t>施工期总悬浮颗粒物（T</w:t>
            </w:r>
            <w:r>
              <w:rPr>
                <w:color w:val="auto"/>
              </w:rPr>
              <w:t>SP</w:t>
            </w:r>
            <w:r>
              <w:rPr>
                <w:rFonts w:hint="eastAsia"/>
                <w:color w:val="auto"/>
              </w:rPr>
              <w:t>）执行《四川省施工场地扬尘排放标准》（D</w:t>
            </w:r>
            <w:r>
              <w:rPr>
                <w:color w:val="auto"/>
              </w:rPr>
              <w:t>B 51/2682-2020</w:t>
            </w:r>
            <w:r>
              <w:rPr>
                <w:rFonts w:hint="eastAsia"/>
                <w:color w:val="auto"/>
              </w:rPr>
              <w:t>）表1中相应标准限值。</w:t>
            </w:r>
          </w:p>
          <w:p w14:paraId="6EC02A8E">
            <w:pPr>
              <w:pStyle w:val="68"/>
              <w:spacing w:line="240" w:lineRule="auto"/>
              <w:rPr>
                <w:rFonts w:hint="default" w:ascii="Times New Roman" w:hAnsi="Times New Roman" w:eastAsia="宋体" w:cs="Times New Roman"/>
                <w:b/>
                <w:bCs/>
                <w:color w:val="auto"/>
              </w:rPr>
            </w:pPr>
            <w:r>
              <w:rPr>
                <w:rFonts w:hint="default" w:ascii="Times New Roman" w:hAnsi="Times New Roman" w:eastAsia="宋体" w:cs="Times New Roman"/>
                <w:b/>
                <w:bCs/>
                <w:color w:val="auto"/>
              </w:rPr>
              <w:t>表3-</w:t>
            </w:r>
            <w:r>
              <w:rPr>
                <w:rFonts w:hint="eastAsia" w:eastAsia="宋体" w:cs="Times New Roman"/>
                <w:b/>
                <w:bCs/>
                <w:color w:val="auto"/>
                <w:lang w:val="en-US" w:eastAsia="zh-CN"/>
              </w:rPr>
              <w:t>11</w:t>
            </w:r>
            <w:r>
              <w:rPr>
                <w:rFonts w:hint="default" w:ascii="Times New Roman" w:hAnsi="Times New Roman" w:eastAsia="宋体" w:cs="Times New Roman"/>
                <w:b/>
                <w:bCs/>
                <w:color w:val="auto"/>
              </w:rPr>
              <w:t xml:space="preserve">  施工期总悬浮颗粒物（TSP）排放标准</w:t>
            </w:r>
          </w:p>
          <w:tbl>
            <w:tblPr>
              <w:tblStyle w:val="41"/>
              <w:tblW w:w="5000"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95"/>
              <w:gridCol w:w="789"/>
              <w:gridCol w:w="2877"/>
              <w:gridCol w:w="2073"/>
              <w:gridCol w:w="1741"/>
            </w:tblGrid>
            <w:tr w14:paraId="1538FD8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480" w:type="pct"/>
                  <w:tcMar>
                    <w:left w:w="28" w:type="dxa"/>
                    <w:right w:w="28" w:type="dxa"/>
                  </w:tcMar>
                  <w:vAlign w:val="center"/>
                </w:tcPr>
                <w:p w14:paraId="2468474C">
                  <w:pPr>
                    <w:autoSpaceDE w:val="0"/>
                    <w:autoSpaceDN w:val="0"/>
                    <w:adjustRightInd w:val="0"/>
                    <w:snapToGrid w:val="0"/>
                    <w:spacing w:line="280" w:lineRule="exact"/>
                    <w:jc w:val="center"/>
                    <w:rPr>
                      <w:rFonts w:ascii="Times New Roman" w:hAnsi="Times New Roman" w:eastAsia="宋体" w:cs="Times New Roman"/>
                      <w:b/>
                      <w:bCs/>
                      <w:color w:val="auto"/>
                      <w:kern w:val="0"/>
                      <w:szCs w:val="21"/>
                      <w:highlight w:val="none"/>
                    </w:rPr>
                  </w:pPr>
                  <w:r>
                    <w:rPr>
                      <w:rFonts w:hint="eastAsia" w:ascii="Times New Roman" w:hAnsi="Times New Roman" w:eastAsia="宋体" w:cs="Times New Roman"/>
                      <w:b/>
                      <w:bCs/>
                      <w:color w:val="auto"/>
                      <w:kern w:val="0"/>
                      <w:szCs w:val="21"/>
                      <w:highlight w:val="none"/>
                    </w:rPr>
                    <w:t>项目</w:t>
                  </w:r>
                </w:p>
              </w:tc>
              <w:tc>
                <w:tcPr>
                  <w:tcW w:w="476" w:type="pct"/>
                  <w:tcMar>
                    <w:left w:w="28" w:type="dxa"/>
                    <w:right w:w="28" w:type="dxa"/>
                  </w:tcMar>
                  <w:vAlign w:val="center"/>
                </w:tcPr>
                <w:p w14:paraId="7D2FA5A0">
                  <w:pPr>
                    <w:autoSpaceDE w:val="0"/>
                    <w:autoSpaceDN w:val="0"/>
                    <w:adjustRightInd w:val="0"/>
                    <w:snapToGrid w:val="0"/>
                    <w:spacing w:line="280" w:lineRule="exact"/>
                    <w:jc w:val="center"/>
                    <w:rPr>
                      <w:rFonts w:ascii="Times New Roman" w:hAnsi="Times New Roman" w:eastAsia="宋体" w:cs="Times New Roman"/>
                      <w:b/>
                      <w:bCs/>
                      <w:color w:val="auto"/>
                      <w:kern w:val="0"/>
                      <w:szCs w:val="21"/>
                      <w:highlight w:val="none"/>
                    </w:rPr>
                  </w:pPr>
                  <w:r>
                    <w:rPr>
                      <w:rFonts w:hint="eastAsia" w:ascii="Times New Roman" w:hAnsi="Times New Roman" w:eastAsia="宋体" w:cs="Times New Roman"/>
                      <w:b/>
                      <w:bCs/>
                      <w:color w:val="auto"/>
                      <w:kern w:val="0"/>
                      <w:szCs w:val="21"/>
                      <w:highlight w:val="none"/>
                    </w:rPr>
                    <w:t>区域</w:t>
                  </w:r>
                </w:p>
              </w:tc>
              <w:tc>
                <w:tcPr>
                  <w:tcW w:w="1738" w:type="pct"/>
                  <w:tcMar>
                    <w:left w:w="28" w:type="dxa"/>
                    <w:right w:w="28" w:type="dxa"/>
                  </w:tcMar>
                  <w:vAlign w:val="center"/>
                </w:tcPr>
                <w:p w14:paraId="49C1AA14">
                  <w:pPr>
                    <w:autoSpaceDE w:val="0"/>
                    <w:autoSpaceDN w:val="0"/>
                    <w:adjustRightInd w:val="0"/>
                    <w:snapToGrid w:val="0"/>
                    <w:spacing w:line="280" w:lineRule="exact"/>
                    <w:jc w:val="center"/>
                    <w:rPr>
                      <w:rFonts w:ascii="Times New Roman" w:hAnsi="Times New Roman" w:eastAsia="宋体" w:cs="Times New Roman"/>
                      <w:b/>
                      <w:bCs/>
                      <w:color w:val="auto"/>
                      <w:kern w:val="0"/>
                      <w:szCs w:val="21"/>
                      <w:highlight w:val="none"/>
                    </w:rPr>
                  </w:pPr>
                  <w:r>
                    <w:rPr>
                      <w:rFonts w:hint="eastAsia" w:ascii="Times New Roman" w:hAnsi="Times New Roman" w:eastAsia="宋体" w:cs="Times New Roman"/>
                      <w:b/>
                      <w:bCs/>
                      <w:color w:val="auto"/>
                      <w:kern w:val="0"/>
                      <w:szCs w:val="21"/>
                      <w:highlight w:val="none"/>
                    </w:rPr>
                    <w:t>施工阶段</w:t>
                  </w:r>
                </w:p>
              </w:tc>
              <w:tc>
                <w:tcPr>
                  <w:tcW w:w="1252" w:type="pct"/>
                  <w:vAlign w:val="center"/>
                </w:tcPr>
                <w:p w14:paraId="556A1DB7">
                  <w:pPr>
                    <w:autoSpaceDE w:val="0"/>
                    <w:autoSpaceDN w:val="0"/>
                    <w:adjustRightInd w:val="0"/>
                    <w:snapToGrid w:val="0"/>
                    <w:spacing w:line="280" w:lineRule="exact"/>
                    <w:jc w:val="center"/>
                    <w:rPr>
                      <w:rFonts w:ascii="Times New Roman" w:hAnsi="Times New Roman" w:eastAsia="宋体" w:cs="Times New Roman"/>
                      <w:b/>
                      <w:bCs/>
                      <w:color w:val="auto"/>
                      <w:kern w:val="0"/>
                      <w:szCs w:val="21"/>
                      <w:highlight w:val="none"/>
                    </w:rPr>
                  </w:pPr>
                  <w:r>
                    <w:rPr>
                      <w:rFonts w:hint="eastAsia" w:ascii="Times New Roman" w:hAnsi="Times New Roman" w:eastAsia="宋体" w:cs="Times New Roman"/>
                      <w:b/>
                      <w:bCs/>
                      <w:color w:val="auto"/>
                      <w:kern w:val="0"/>
                      <w:szCs w:val="21"/>
                      <w:highlight w:val="none"/>
                    </w:rPr>
                    <w:t>监测点排放浓度</w:t>
                  </w:r>
                  <w:r>
                    <w:rPr>
                      <w:rFonts w:ascii="Times New Roman" w:hAnsi="Times New Roman" w:eastAsia="宋体" w:cs="Times New Roman"/>
                      <w:b/>
                      <w:bCs/>
                      <w:color w:val="auto"/>
                      <w:kern w:val="0"/>
                      <w:szCs w:val="21"/>
                      <w:highlight w:val="none"/>
                    </w:rPr>
                    <w:t>（</w:t>
                  </w:r>
                  <w:r>
                    <w:rPr>
                      <w:rFonts w:hint="eastAsia" w:ascii="Times New Roman" w:hAnsi="Times New Roman" w:eastAsia="宋体" w:cs="Times New Roman"/>
                      <w:b/>
                      <w:bCs/>
                      <w:color w:val="auto"/>
                      <w:kern w:val="0"/>
                      <w:szCs w:val="21"/>
                      <w:highlight w:val="none"/>
                      <w:lang w:val="en-US" w:eastAsia="zh-CN"/>
                    </w:rPr>
                    <w:t>μ</w:t>
                  </w:r>
                  <w:r>
                    <w:rPr>
                      <w:rFonts w:ascii="Times New Roman" w:hAnsi="Times New Roman" w:eastAsia="宋体" w:cs="Times New Roman"/>
                      <w:b/>
                      <w:bCs/>
                      <w:color w:val="auto"/>
                      <w:kern w:val="0"/>
                      <w:szCs w:val="21"/>
                      <w:highlight w:val="none"/>
                    </w:rPr>
                    <w:t>g/m</w:t>
                  </w:r>
                  <w:r>
                    <w:rPr>
                      <w:rFonts w:ascii="Times New Roman" w:hAnsi="Times New Roman" w:eastAsia="宋体" w:cs="Times New Roman"/>
                      <w:b/>
                      <w:bCs/>
                      <w:color w:val="auto"/>
                      <w:kern w:val="0"/>
                      <w:szCs w:val="21"/>
                      <w:highlight w:val="none"/>
                      <w:vertAlign w:val="superscript"/>
                    </w:rPr>
                    <w:t>3</w:t>
                  </w:r>
                  <w:r>
                    <w:rPr>
                      <w:rFonts w:ascii="Times New Roman" w:hAnsi="Times New Roman" w:eastAsia="宋体" w:cs="Times New Roman"/>
                      <w:b/>
                      <w:bCs/>
                      <w:color w:val="auto"/>
                      <w:kern w:val="0"/>
                      <w:szCs w:val="21"/>
                      <w:highlight w:val="none"/>
                    </w:rPr>
                    <w:t>）</w:t>
                  </w:r>
                </w:p>
              </w:tc>
              <w:tc>
                <w:tcPr>
                  <w:tcW w:w="1051" w:type="pct"/>
                  <w:tcMar>
                    <w:left w:w="28" w:type="dxa"/>
                    <w:right w:w="28" w:type="dxa"/>
                  </w:tcMar>
                  <w:vAlign w:val="center"/>
                </w:tcPr>
                <w:p w14:paraId="469B894F">
                  <w:pPr>
                    <w:autoSpaceDE w:val="0"/>
                    <w:autoSpaceDN w:val="0"/>
                    <w:adjustRightInd w:val="0"/>
                    <w:snapToGrid w:val="0"/>
                    <w:spacing w:line="280" w:lineRule="exact"/>
                    <w:jc w:val="center"/>
                    <w:rPr>
                      <w:rFonts w:ascii="Times New Roman" w:hAnsi="Times New Roman" w:eastAsia="宋体" w:cs="Times New Roman"/>
                      <w:b/>
                      <w:bCs/>
                      <w:color w:val="auto"/>
                      <w:kern w:val="0"/>
                      <w:szCs w:val="21"/>
                      <w:highlight w:val="none"/>
                    </w:rPr>
                  </w:pPr>
                  <w:r>
                    <w:rPr>
                      <w:rFonts w:ascii="Times New Roman" w:hAnsi="Times New Roman" w:eastAsia="宋体" w:cs="Times New Roman"/>
                      <w:b/>
                      <w:bCs/>
                      <w:color w:val="auto"/>
                      <w:kern w:val="0"/>
                      <w:szCs w:val="21"/>
                      <w:highlight w:val="none"/>
                    </w:rPr>
                    <w:t>无组织排放监控浓度限值</w:t>
                  </w:r>
                </w:p>
              </w:tc>
            </w:tr>
            <w:tr w14:paraId="4FF4AFC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6" w:hRule="atLeast"/>
              </w:trPr>
              <w:tc>
                <w:tcPr>
                  <w:tcW w:w="480" w:type="pct"/>
                  <w:vMerge w:val="restart"/>
                  <w:tcMar>
                    <w:left w:w="28" w:type="dxa"/>
                    <w:right w:w="28" w:type="dxa"/>
                  </w:tcMar>
                  <w:vAlign w:val="center"/>
                </w:tcPr>
                <w:p w14:paraId="473E8DFC">
                  <w:pPr>
                    <w:pStyle w:val="70"/>
                    <w:rPr>
                      <w:color w:val="auto"/>
                      <w:sz w:val="21"/>
                      <w:szCs w:val="21"/>
                      <w:vertAlign w:val="subscript"/>
                      <w:lang w:val="zh-TW"/>
                    </w:rPr>
                  </w:pPr>
                  <w:r>
                    <w:rPr>
                      <w:color w:val="auto"/>
                      <w:sz w:val="21"/>
                      <w:szCs w:val="21"/>
                      <w:lang w:val="zh-TW"/>
                    </w:rPr>
                    <w:t>TSP</w:t>
                  </w:r>
                </w:p>
              </w:tc>
              <w:tc>
                <w:tcPr>
                  <w:tcW w:w="476" w:type="pct"/>
                  <w:vMerge w:val="restart"/>
                  <w:tcMar>
                    <w:left w:w="28" w:type="dxa"/>
                    <w:right w:w="28" w:type="dxa"/>
                  </w:tcMar>
                  <w:vAlign w:val="center"/>
                </w:tcPr>
                <w:p w14:paraId="0EF9BD74">
                  <w:pPr>
                    <w:pStyle w:val="70"/>
                    <w:rPr>
                      <w:color w:val="auto"/>
                      <w:sz w:val="21"/>
                      <w:szCs w:val="21"/>
                      <w:lang w:val="zh-TW"/>
                    </w:rPr>
                  </w:pPr>
                  <w:r>
                    <w:rPr>
                      <w:rFonts w:hint="eastAsia"/>
                      <w:color w:val="auto"/>
                      <w:sz w:val="21"/>
                      <w:szCs w:val="21"/>
                      <w:lang w:val="zh-TW"/>
                    </w:rPr>
                    <w:t>巴中市</w:t>
                  </w:r>
                </w:p>
              </w:tc>
              <w:tc>
                <w:tcPr>
                  <w:tcW w:w="1738" w:type="pct"/>
                  <w:tcMar>
                    <w:left w:w="28" w:type="dxa"/>
                    <w:right w:w="28" w:type="dxa"/>
                  </w:tcMar>
                  <w:vAlign w:val="center"/>
                </w:tcPr>
                <w:p w14:paraId="3FF57383">
                  <w:pPr>
                    <w:pStyle w:val="70"/>
                    <w:rPr>
                      <w:color w:val="auto"/>
                      <w:sz w:val="21"/>
                      <w:szCs w:val="21"/>
                      <w:lang w:val="zh-TW"/>
                    </w:rPr>
                  </w:pPr>
                  <w:r>
                    <w:rPr>
                      <w:rFonts w:hint="eastAsia"/>
                      <w:color w:val="auto"/>
                      <w:sz w:val="21"/>
                      <w:szCs w:val="21"/>
                      <w:lang w:val="zh-TW"/>
                    </w:rPr>
                    <w:t>拆除工程/土方开挖/土方回填阶段</w:t>
                  </w:r>
                </w:p>
              </w:tc>
              <w:tc>
                <w:tcPr>
                  <w:tcW w:w="1252" w:type="pct"/>
                  <w:tcMar>
                    <w:left w:w="28" w:type="dxa"/>
                    <w:right w:w="28" w:type="dxa"/>
                  </w:tcMar>
                  <w:vAlign w:val="center"/>
                </w:tcPr>
                <w:p w14:paraId="0C44A8EC">
                  <w:pPr>
                    <w:pStyle w:val="70"/>
                    <w:rPr>
                      <w:color w:val="auto"/>
                      <w:sz w:val="21"/>
                      <w:szCs w:val="21"/>
                      <w:lang w:val="zh-TW"/>
                    </w:rPr>
                  </w:pPr>
                  <w:r>
                    <w:rPr>
                      <w:rFonts w:hint="eastAsia"/>
                      <w:color w:val="auto"/>
                      <w:sz w:val="21"/>
                      <w:szCs w:val="21"/>
                      <w:lang w:val="zh-TW"/>
                    </w:rPr>
                    <w:t>600</w:t>
                  </w:r>
                </w:p>
              </w:tc>
              <w:tc>
                <w:tcPr>
                  <w:tcW w:w="1051" w:type="pct"/>
                  <w:vMerge w:val="restart"/>
                  <w:tcMar>
                    <w:left w:w="28" w:type="dxa"/>
                    <w:right w:w="28" w:type="dxa"/>
                  </w:tcMar>
                  <w:vAlign w:val="center"/>
                </w:tcPr>
                <w:p w14:paraId="1E7E47D4">
                  <w:pPr>
                    <w:pStyle w:val="70"/>
                    <w:rPr>
                      <w:color w:val="auto"/>
                      <w:sz w:val="21"/>
                      <w:szCs w:val="21"/>
                      <w:lang w:val="zh-TW"/>
                    </w:rPr>
                  </w:pPr>
                  <w:r>
                    <w:rPr>
                      <w:rFonts w:hint="eastAsia"/>
                      <w:color w:val="auto"/>
                      <w:sz w:val="21"/>
                      <w:szCs w:val="21"/>
                      <w:lang w:val="zh-TW"/>
                    </w:rPr>
                    <w:t>自监测起持续1</w:t>
                  </w:r>
                  <w:r>
                    <w:rPr>
                      <w:color w:val="auto"/>
                      <w:sz w:val="21"/>
                      <w:szCs w:val="21"/>
                      <w:lang w:val="zh-TW"/>
                    </w:rPr>
                    <w:t>5</w:t>
                  </w:r>
                  <w:r>
                    <w:rPr>
                      <w:rFonts w:hint="eastAsia"/>
                      <w:color w:val="auto"/>
                      <w:sz w:val="21"/>
                      <w:szCs w:val="21"/>
                      <w:lang w:val="zh-TW"/>
                    </w:rPr>
                    <w:t>分钟</w:t>
                  </w:r>
                </w:p>
              </w:tc>
            </w:tr>
            <w:tr w14:paraId="342263E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1" w:hRule="atLeast"/>
              </w:trPr>
              <w:tc>
                <w:tcPr>
                  <w:tcW w:w="480" w:type="pct"/>
                  <w:vMerge w:val="continue"/>
                  <w:tcMar>
                    <w:left w:w="28" w:type="dxa"/>
                    <w:right w:w="28" w:type="dxa"/>
                  </w:tcMar>
                  <w:vAlign w:val="center"/>
                </w:tcPr>
                <w:p w14:paraId="427E59DB">
                  <w:pPr>
                    <w:pStyle w:val="70"/>
                    <w:rPr>
                      <w:color w:val="auto"/>
                      <w:vertAlign w:val="subscript"/>
                      <w:lang w:val="zh-TW"/>
                    </w:rPr>
                  </w:pPr>
                </w:p>
              </w:tc>
              <w:tc>
                <w:tcPr>
                  <w:tcW w:w="476" w:type="pct"/>
                  <w:vMerge w:val="continue"/>
                  <w:tcMar>
                    <w:left w:w="28" w:type="dxa"/>
                    <w:right w:w="28" w:type="dxa"/>
                  </w:tcMar>
                  <w:vAlign w:val="center"/>
                </w:tcPr>
                <w:p w14:paraId="30539ED1">
                  <w:pPr>
                    <w:pStyle w:val="70"/>
                    <w:rPr>
                      <w:color w:val="auto"/>
                      <w:lang w:val="zh-TW"/>
                    </w:rPr>
                  </w:pPr>
                </w:p>
              </w:tc>
              <w:tc>
                <w:tcPr>
                  <w:tcW w:w="1738" w:type="pct"/>
                  <w:tcMar>
                    <w:left w:w="28" w:type="dxa"/>
                    <w:right w:w="28" w:type="dxa"/>
                  </w:tcMar>
                  <w:vAlign w:val="center"/>
                </w:tcPr>
                <w:p w14:paraId="3B044B85">
                  <w:pPr>
                    <w:pStyle w:val="70"/>
                    <w:rPr>
                      <w:color w:val="auto"/>
                      <w:sz w:val="21"/>
                      <w:szCs w:val="21"/>
                      <w:lang w:val="zh-TW"/>
                    </w:rPr>
                  </w:pPr>
                  <w:r>
                    <w:rPr>
                      <w:rFonts w:hint="eastAsia"/>
                      <w:color w:val="auto"/>
                      <w:sz w:val="21"/>
                      <w:szCs w:val="21"/>
                      <w:lang w:val="zh-TW"/>
                    </w:rPr>
                    <w:t>其他工程阶段</w:t>
                  </w:r>
                </w:p>
              </w:tc>
              <w:tc>
                <w:tcPr>
                  <w:tcW w:w="1252" w:type="pct"/>
                  <w:tcMar>
                    <w:left w:w="28" w:type="dxa"/>
                    <w:right w:w="28" w:type="dxa"/>
                  </w:tcMar>
                  <w:vAlign w:val="center"/>
                </w:tcPr>
                <w:p w14:paraId="020B3B4C">
                  <w:pPr>
                    <w:pStyle w:val="70"/>
                    <w:rPr>
                      <w:color w:val="auto"/>
                      <w:sz w:val="21"/>
                      <w:szCs w:val="21"/>
                      <w:lang w:val="zh-TW"/>
                    </w:rPr>
                  </w:pPr>
                  <w:r>
                    <w:rPr>
                      <w:rFonts w:hint="eastAsia"/>
                      <w:color w:val="auto"/>
                      <w:sz w:val="21"/>
                      <w:szCs w:val="21"/>
                      <w:lang w:val="zh-TW"/>
                    </w:rPr>
                    <w:t>250</w:t>
                  </w:r>
                </w:p>
              </w:tc>
              <w:tc>
                <w:tcPr>
                  <w:tcW w:w="1051" w:type="pct"/>
                  <w:vMerge w:val="continue"/>
                  <w:tcMar>
                    <w:left w:w="28" w:type="dxa"/>
                    <w:right w:w="28" w:type="dxa"/>
                  </w:tcMar>
                  <w:vAlign w:val="center"/>
                </w:tcPr>
                <w:p w14:paraId="761F84F0">
                  <w:pPr>
                    <w:pStyle w:val="70"/>
                    <w:rPr>
                      <w:color w:val="auto"/>
                      <w:lang w:val="zh-TW"/>
                    </w:rPr>
                  </w:pPr>
                </w:p>
              </w:tc>
            </w:tr>
          </w:tbl>
          <w:p w14:paraId="53C9F7A5">
            <w:pPr>
              <w:pStyle w:val="66"/>
              <w:spacing w:line="360" w:lineRule="auto"/>
              <w:ind w:firstLine="482"/>
              <w:rPr>
                <w:rFonts w:hint="eastAsia" w:ascii="Times New Roman" w:hAnsi="Times New Roman" w:eastAsia="宋体" w:cs="Times New Roman"/>
                <w:b/>
                <w:bCs/>
                <w:color w:val="auto"/>
              </w:rPr>
            </w:pPr>
            <w:r>
              <w:rPr>
                <w:rFonts w:hint="eastAsia" w:ascii="Times New Roman" w:hAnsi="Times New Roman" w:eastAsia="宋体" w:cs="Times New Roman"/>
                <w:b/>
                <w:bCs/>
                <w:color w:val="auto"/>
              </w:rPr>
              <w:t>（2）运营期</w:t>
            </w:r>
          </w:p>
          <w:p w14:paraId="0A8C75BE">
            <w:pPr>
              <w:pStyle w:val="66"/>
              <w:spacing w:line="360" w:lineRule="auto"/>
              <w:rPr>
                <w:rFonts w:hint="eastAsia" w:eastAsia="宋体"/>
                <w:color w:val="auto"/>
                <w:lang w:eastAsia="zh-CN"/>
              </w:rPr>
            </w:pPr>
            <w:r>
              <w:rPr>
                <w:rFonts w:hint="eastAsia"/>
                <w:color w:val="auto"/>
                <w:lang w:val="en-US" w:eastAsia="zh-CN"/>
              </w:rPr>
              <w:t>颗粒物参照执行</w:t>
            </w:r>
            <w:r>
              <w:rPr>
                <w:rFonts w:hint="default" w:ascii="Times New Roman" w:hAnsi="Times New Roman" w:cs="Times New Roman"/>
                <w:color w:val="auto"/>
              </w:rPr>
              <w:t>《电池工业污染物排放标准》（GB30484-2013）</w:t>
            </w:r>
            <w:r>
              <w:rPr>
                <w:rFonts w:hint="default" w:ascii="Times New Roman" w:hAnsi="Times New Roman" w:cs="Times New Roman"/>
                <w:color w:val="auto"/>
                <w:lang w:val="en-US" w:eastAsia="zh-CN"/>
              </w:rPr>
              <w:t>表5中锂离子/锂电池</w:t>
            </w:r>
            <w:r>
              <w:rPr>
                <w:rFonts w:hint="default" w:ascii="Times New Roman" w:hAnsi="Times New Roman" w:cs="Times New Roman"/>
                <w:color w:val="auto"/>
              </w:rPr>
              <w:t>相关</w:t>
            </w:r>
            <w:r>
              <w:rPr>
                <w:rFonts w:hint="default" w:ascii="Times New Roman" w:hAnsi="Times New Roman" w:cs="Times New Roman"/>
                <w:color w:val="auto"/>
                <w:lang w:val="en-US" w:eastAsia="zh-CN"/>
              </w:rPr>
              <w:t>限值；</w:t>
            </w:r>
            <w:r>
              <w:rPr>
                <w:rFonts w:hint="eastAsia" w:cs="Times New Roman"/>
                <w:color w:val="auto"/>
                <w:lang w:val="en-US" w:eastAsia="zh-CN"/>
              </w:rPr>
              <w:t>DA001、DA002</w:t>
            </w:r>
            <w:r>
              <w:rPr>
                <w:rFonts w:hint="eastAsia"/>
                <w:color w:val="auto"/>
                <w:lang w:val="en-US" w:eastAsia="zh-CN"/>
              </w:rPr>
              <w:t>执行</w:t>
            </w:r>
            <w:r>
              <w:rPr>
                <w:rFonts w:hint="default" w:ascii="Times New Roman" w:hAnsi="Times New Roman" w:cs="Times New Roman"/>
                <w:color w:val="auto"/>
              </w:rPr>
              <w:t>《电池工业污染物排放标准》（GB30484-2013）</w:t>
            </w:r>
            <w:r>
              <w:rPr>
                <w:rFonts w:hint="default" w:ascii="Times New Roman" w:hAnsi="Times New Roman" w:cs="Times New Roman"/>
                <w:color w:val="auto"/>
                <w:lang w:val="en-US" w:eastAsia="zh-CN"/>
              </w:rPr>
              <w:t>表5中锂离子/锂电池</w:t>
            </w:r>
            <w:r>
              <w:rPr>
                <w:rFonts w:hint="default" w:ascii="Times New Roman" w:hAnsi="Times New Roman" w:cs="Times New Roman"/>
                <w:color w:val="auto"/>
              </w:rPr>
              <w:t>相关</w:t>
            </w:r>
            <w:r>
              <w:rPr>
                <w:rFonts w:hint="default" w:ascii="Times New Roman" w:hAnsi="Times New Roman" w:cs="Times New Roman"/>
                <w:color w:val="auto"/>
                <w:lang w:val="en-US" w:eastAsia="zh-CN"/>
              </w:rPr>
              <w:t>限值；</w:t>
            </w:r>
            <w:r>
              <w:rPr>
                <w:rFonts w:hint="eastAsia" w:cs="Times New Roman"/>
                <w:color w:val="auto"/>
                <w:lang w:val="en-US" w:eastAsia="zh-CN"/>
              </w:rPr>
              <w:t>DA003参照执行</w:t>
            </w:r>
            <w:r>
              <w:rPr>
                <w:rFonts w:hint="eastAsia" w:ascii="Times New Roman" w:hAnsi="Times New Roman"/>
                <w:color w:val="auto"/>
                <w:sz w:val="24"/>
                <w:szCs w:val="24"/>
                <w:highlight w:val="none"/>
              </w:rPr>
              <w:t>《四川省固定污染源大气挥发性有机物排放标准》（DB51/2377-2017）表3、表5标准；</w:t>
            </w:r>
            <w:r>
              <w:rPr>
                <w:rFonts w:hint="eastAsia" w:ascii="Times New Roman" w:hAnsi="Times New Roman"/>
                <w:color w:val="auto"/>
                <w:sz w:val="24"/>
                <w:highlight w:val="none"/>
                <w:lang w:val="en-US" w:eastAsia="zh-CN"/>
              </w:rPr>
              <w:t>VOCs</w:t>
            </w:r>
            <w:r>
              <w:rPr>
                <w:rFonts w:hint="eastAsia" w:ascii="Times New Roman" w:hAnsi="Times New Roman"/>
                <w:color w:val="auto"/>
                <w:sz w:val="24"/>
                <w:highlight w:val="none"/>
              </w:rPr>
              <w:t>无组织排放限值执行《挥发性有机物无组织排放控制标准》（GB37822-2019）特别排放限值</w:t>
            </w:r>
            <w:r>
              <w:rPr>
                <w:rFonts w:hint="eastAsia"/>
                <w:color w:val="auto"/>
                <w:lang w:eastAsia="zh-CN"/>
              </w:rPr>
              <w:t>；</w:t>
            </w:r>
            <w:r>
              <w:rPr>
                <w:rFonts w:hint="eastAsia" w:ascii="Times New Roman" w:hAnsi="Times New Roman"/>
                <w:color w:val="auto"/>
                <w:sz w:val="24"/>
                <w:highlight w:val="none"/>
                <w:lang w:val="en-US" w:eastAsia="zh-CN"/>
              </w:rPr>
              <w:t>污水处理站产生</w:t>
            </w:r>
            <w:r>
              <w:rPr>
                <w:rFonts w:hint="eastAsia"/>
                <w:color w:val="auto"/>
                <w:sz w:val="24"/>
                <w:highlight w:val="none"/>
                <w:lang w:val="en-US" w:eastAsia="zh-CN"/>
              </w:rPr>
              <w:t>的</w:t>
            </w:r>
            <w:r>
              <w:rPr>
                <w:rFonts w:hint="eastAsia" w:ascii="Times New Roman" w:hAnsi="Times New Roman"/>
                <w:color w:val="auto"/>
                <w:sz w:val="24"/>
                <w:highlight w:val="none"/>
                <w:lang w:val="en-US" w:eastAsia="zh-CN"/>
              </w:rPr>
              <w:t>硫化氢、氨、臭气浓度执行《恶臭污染物排放标准》（GB 14554-93）表1相应排放限值。</w:t>
            </w:r>
          </w:p>
          <w:p w14:paraId="7530E89C">
            <w:pPr>
              <w:autoSpaceDE w:val="0"/>
              <w:autoSpaceDN w:val="0"/>
              <w:adjustRightInd w:val="0"/>
              <w:snapToGrid w:val="0"/>
              <w:spacing w:line="240" w:lineRule="auto"/>
              <w:jc w:val="center"/>
              <w:rPr>
                <w:rFonts w:ascii="Times New Roman" w:hAnsi="Times New Roman"/>
                <w:b/>
                <w:bCs/>
                <w:color w:val="auto"/>
                <w:kern w:val="0"/>
                <w:sz w:val="21"/>
                <w:szCs w:val="21"/>
                <w:highlight w:val="none"/>
              </w:rPr>
            </w:pPr>
            <w:r>
              <w:rPr>
                <w:rFonts w:ascii="Times New Roman" w:hAnsi="Times New Roman"/>
                <w:b/>
                <w:bCs/>
                <w:color w:val="auto"/>
                <w:kern w:val="0"/>
                <w:sz w:val="21"/>
                <w:szCs w:val="21"/>
                <w:highlight w:val="none"/>
              </w:rPr>
              <w:t>表3-</w:t>
            </w:r>
            <w:r>
              <w:rPr>
                <w:rFonts w:hint="eastAsia"/>
                <w:b/>
                <w:bCs/>
                <w:color w:val="auto"/>
                <w:kern w:val="0"/>
                <w:sz w:val="21"/>
                <w:szCs w:val="21"/>
                <w:highlight w:val="none"/>
                <w:lang w:val="en-US" w:eastAsia="zh-CN"/>
              </w:rPr>
              <w:t>12</w:t>
            </w:r>
            <w:r>
              <w:rPr>
                <w:rFonts w:ascii="Times New Roman" w:hAnsi="Times New Roman" w:eastAsia="宋体" w:cs="Times New Roman"/>
                <w:b/>
                <w:bCs/>
                <w:color w:val="auto"/>
                <w:kern w:val="0"/>
                <w:sz w:val="21"/>
                <w:szCs w:val="21"/>
                <w:highlight w:val="none"/>
              </w:rPr>
              <w:t xml:space="preserve"> </w:t>
            </w:r>
            <w:r>
              <w:rPr>
                <w:rFonts w:hint="eastAsia" w:ascii="Times New Roman" w:hAnsi="Times New Roman" w:eastAsia="宋体" w:cs="Times New Roman"/>
                <w:b/>
                <w:bCs/>
                <w:color w:val="auto"/>
                <w:kern w:val="0"/>
                <w:sz w:val="21"/>
                <w:szCs w:val="21"/>
                <w:highlight w:val="none"/>
              </w:rPr>
              <w:t>《挥发性有机物无组织排放控制标准》（GB37822-2019）</w:t>
            </w:r>
            <w:r>
              <w:rPr>
                <w:rFonts w:ascii="Times New Roman" w:hAnsi="Times New Roman" w:eastAsia="宋体" w:cs="Times New Roman"/>
                <w:b/>
                <w:bCs/>
                <w:color w:val="auto"/>
                <w:kern w:val="0"/>
                <w:sz w:val="21"/>
                <w:szCs w:val="21"/>
                <w:highlight w:val="none"/>
              </w:rPr>
              <w:t>（</w:t>
            </w:r>
            <w:r>
              <w:rPr>
                <w:rFonts w:ascii="Times New Roman" w:hAnsi="Times New Roman"/>
                <w:b/>
                <w:bCs/>
                <w:color w:val="auto"/>
                <w:kern w:val="0"/>
                <w:sz w:val="21"/>
                <w:szCs w:val="21"/>
                <w:highlight w:val="none"/>
              </w:rPr>
              <w:t>单位：mg/m</w:t>
            </w:r>
            <w:r>
              <w:rPr>
                <w:rFonts w:ascii="Times New Roman" w:hAnsi="Times New Roman"/>
                <w:b/>
                <w:bCs/>
                <w:color w:val="auto"/>
                <w:kern w:val="0"/>
                <w:sz w:val="21"/>
                <w:szCs w:val="21"/>
                <w:highlight w:val="none"/>
                <w:vertAlign w:val="superscript"/>
              </w:rPr>
              <w:t>3</w:t>
            </w:r>
            <w:r>
              <w:rPr>
                <w:rFonts w:ascii="Times New Roman" w:hAnsi="Times New Roman"/>
                <w:b/>
                <w:bCs/>
                <w:color w:val="auto"/>
                <w:kern w:val="0"/>
                <w:sz w:val="21"/>
                <w:szCs w:val="21"/>
                <w:highlight w:val="none"/>
              </w:rPr>
              <w:t>）</w:t>
            </w:r>
          </w:p>
          <w:tbl>
            <w:tblPr>
              <w:tblStyle w:val="41"/>
              <w:tblW w:w="831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06"/>
              <w:gridCol w:w="1670"/>
              <w:gridCol w:w="2837"/>
              <w:gridCol w:w="2298"/>
            </w:tblGrid>
            <w:tr w14:paraId="6D1FEF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506" w:type="dxa"/>
                  <w:shd w:val="clear" w:color="auto" w:fill="auto"/>
                  <w:noWrap w:val="0"/>
                  <w:vAlign w:val="center"/>
                </w:tcPr>
                <w:p w14:paraId="3A20A532">
                  <w:pPr>
                    <w:pStyle w:val="208"/>
                    <w:spacing w:line="280" w:lineRule="exact"/>
                    <w:ind w:firstLine="0"/>
                    <w:jc w:val="center"/>
                    <w:rPr>
                      <w:rFonts w:ascii="Times New Roman" w:hAnsi="Times New Roman"/>
                      <w:b/>
                      <w:bCs/>
                      <w:color w:val="auto"/>
                      <w:sz w:val="21"/>
                      <w:szCs w:val="21"/>
                      <w:highlight w:val="none"/>
                    </w:rPr>
                  </w:pPr>
                  <w:r>
                    <w:rPr>
                      <w:rFonts w:ascii="Times New Roman" w:hAnsi="Times New Roman"/>
                      <w:b/>
                      <w:bCs/>
                      <w:color w:val="auto"/>
                      <w:sz w:val="21"/>
                      <w:szCs w:val="21"/>
                      <w:highlight w:val="none"/>
                    </w:rPr>
                    <w:t>污染物项目</w:t>
                  </w:r>
                </w:p>
              </w:tc>
              <w:tc>
                <w:tcPr>
                  <w:tcW w:w="1670" w:type="dxa"/>
                  <w:shd w:val="clear" w:color="auto" w:fill="auto"/>
                  <w:noWrap w:val="0"/>
                  <w:vAlign w:val="center"/>
                </w:tcPr>
                <w:p w14:paraId="2A130AAE">
                  <w:pPr>
                    <w:pStyle w:val="208"/>
                    <w:spacing w:line="280" w:lineRule="exact"/>
                    <w:ind w:firstLine="0"/>
                    <w:jc w:val="center"/>
                    <w:rPr>
                      <w:rFonts w:ascii="Times New Roman" w:hAnsi="Times New Roman"/>
                      <w:b/>
                      <w:bCs/>
                      <w:color w:val="auto"/>
                      <w:sz w:val="21"/>
                      <w:szCs w:val="21"/>
                      <w:highlight w:val="none"/>
                    </w:rPr>
                  </w:pPr>
                  <w:r>
                    <w:rPr>
                      <w:rFonts w:ascii="Times New Roman" w:hAnsi="Times New Roman"/>
                      <w:b/>
                      <w:bCs/>
                      <w:color w:val="auto"/>
                      <w:sz w:val="21"/>
                      <w:szCs w:val="21"/>
                      <w:highlight w:val="none"/>
                    </w:rPr>
                    <w:t>特别排放限值</w:t>
                  </w:r>
                </w:p>
              </w:tc>
              <w:tc>
                <w:tcPr>
                  <w:tcW w:w="2837" w:type="dxa"/>
                  <w:shd w:val="clear" w:color="auto" w:fill="auto"/>
                  <w:noWrap w:val="0"/>
                  <w:vAlign w:val="center"/>
                </w:tcPr>
                <w:p w14:paraId="3412987F">
                  <w:pPr>
                    <w:pStyle w:val="208"/>
                    <w:spacing w:line="280" w:lineRule="exact"/>
                    <w:ind w:firstLine="0"/>
                    <w:jc w:val="center"/>
                    <w:rPr>
                      <w:rFonts w:ascii="Times New Roman" w:hAnsi="Times New Roman"/>
                      <w:b/>
                      <w:bCs/>
                      <w:color w:val="auto"/>
                      <w:sz w:val="21"/>
                      <w:szCs w:val="21"/>
                      <w:highlight w:val="none"/>
                    </w:rPr>
                  </w:pPr>
                  <w:r>
                    <w:rPr>
                      <w:rFonts w:ascii="Times New Roman" w:hAnsi="Times New Roman"/>
                      <w:b/>
                      <w:bCs/>
                      <w:color w:val="auto"/>
                      <w:sz w:val="21"/>
                      <w:szCs w:val="21"/>
                      <w:highlight w:val="none"/>
                    </w:rPr>
                    <w:t>限值含义</w:t>
                  </w:r>
                </w:p>
              </w:tc>
              <w:tc>
                <w:tcPr>
                  <w:tcW w:w="2298" w:type="dxa"/>
                  <w:shd w:val="clear" w:color="auto" w:fill="auto"/>
                  <w:noWrap w:val="0"/>
                  <w:vAlign w:val="center"/>
                </w:tcPr>
                <w:p w14:paraId="2A3F04A4">
                  <w:pPr>
                    <w:pStyle w:val="208"/>
                    <w:spacing w:line="280" w:lineRule="exact"/>
                    <w:ind w:firstLine="0"/>
                    <w:jc w:val="center"/>
                    <w:rPr>
                      <w:rFonts w:ascii="Times New Roman" w:hAnsi="Times New Roman"/>
                      <w:b/>
                      <w:bCs/>
                      <w:color w:val="auto"/>
                      <w:sz w:val="21"/>
                      <w:szCs w:val="21"/>
                      <w:highlight w:val="none"/>
                    </w:rPr>
                  </w:pPr>
                  <w:r>
                    <w:rPr>
                      <w:rFonts w:ascii="Times New Roman" w:hAnsi="Times New Roman"/>
                      <w:b/>
                      <w:bCs/>
                      <w:color w:val="auto"/>
                      <w:sz w:val="21"/>
                      <w:szCs w:val="21"/>
                      <w:highlight w:val="none"/>
                    </w:rPr>
                    <w:t>无组织排放浓度</w:t>
                  </w:r>
                </w:p>
              </w:tc>
            </w:tr>
            <w:tr w14:paraId="787F41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1506" w:type="dxa"/>
                  <w:vMerge w:val="restart"/>
                  <w:noWrap w:val="0"/>
                  <w:vAlign w:val="center"/>
                </w:tcPr>
                <w:p w14:paraId="7D69EC23">
                  <w:pPr>
                    <w:pStyle w:val="208"/>
                    <w:spacing w:line="280" w:lineRule="exact"/>
                    <w:ind w:firstLine="0"/>
                    <w:jc w:val="center"/>
                    <w:rPr>
                      <w:rFonts w:ascii="Times New Roman" w:hAnsi="Times New Roman"/>
                      <w:color w:val="auto"/>
                      <w:sz w:val="21"/>
                      <w:szCs w:val="21"/>
                      <w:highlight w:val="none"/>
                    </w:rPr>
                  </w:pPr>
                  <w:r>
                    <w:rPr>
                      <w:rFonts w:ascii="Times New Roman" w:hAnsi="Times New Roman"/>
                      <w:color w:val="auto"/>
                      <w:sz w:val="21"/>
                      <w:szCs w:val="21"/>
                      <w:highlight w:val="none"/>
                    </w:rPr>
                    <w:t>VOC</w:t>
                  </w:r>
                  <w:r>
                    <w:rPr>
                      <w:rFonts w:ascii="Times New Roman" w:hAnsi="Times New Roman"/>
                      <w:color w:val="auto"/>
                      <w:sz w:val="21"/>
                      <w:szCs w:val="21"/>
                      <w:highlight w:val="none"/>
                      <w:vertAlign w:val="subscript"/>
                    </w:rPr>
                    <w:t>S</w:t>
                  </w:r>
                </w:p>
              </w:tc>
              <w:tc>
                <w:tcPr>
                  <w:tcW w:w="1670" w:type="dxa"/>
                  <w:noWrap w:val="0"/>
                  <w:vAlign w:val="center"/>
                </w:tcPr>
                <w:p w14:paraId="51DCF57B">
                  <w:pPr>
                    <w:pStyle w:val="208"/>
                    <w:spacing w:line="280" w:lineRule="exact"/>
                    <w:ind w:firstLine="0"/>
                    <w:jc w:val="center"/>
                    <w:rPr>
                      <w:rFonts w:hint="default" w:ascii="Times New Roman" w:hAnsi="Times New Roman" w:eastAsia="宋体"/>
                      <w:color w:val="auto"/>
                      <w:sz w:val="21"/>
                      <w:szCs w:val="21"/>
                      <w:highlight w:val="none"/>
                      <w:lang w:val="en-US" w:eastAsia="zh-CN"/>
                    </w:rPr>
                  </w:pPr>
                  <w:r>
                    <w:rPr>
                      <w:rFonts w:hint="eastAsia" w:ascii="Times New Roman" w:hAnsi="Times New Roman"/>
                      <w:color w:val="auto"/>
                      <w:sz w:val="21"/>
                      <w:szCs w:val="21"/>
                      <w:highlight w:val="none"/>
                      <w:lang w:val="en-US" w:eastAsia="zh-CN"/>
                    </w:rPr>
                    <w:t>10</w:t>
                  </w:r>
                </w:p>
              </w:tc>
              <w:tc>
                <w:tcPr>
                  <w:tcW w:w="2837" w:type="dxa"/>
                  <w:noWrap w:val="0"/>
                  <w:vAlign w:val="center"/>
                </w:tcPr>
                <w:p w14:paraId="66C7BC5D">
                  <w:pPr>
                    <w:pStyle w:val="208"/>
                    <w:spacing w:line="280" w:lineRule="exact"/>
                    <w:ind w:firstLine="0"/>
                    <w:jc w:val="center"/>
                    <w:rPr>
                      <w:rFonts w:ascii="Times New Roman" w:hAnsi="Times New Roman"/>
                      <w:color w:val="auto"/>
                      <w:sz w:val="21"/>
                      <w:szCs w:val="21"/>
                      <w:highlight w:val="none"/>
                    </w:rPr>
                  </w:pPr>
                  <w:r>
                    <w:rPr>
                      <w:rFonts w:ascii="Times New Roman" w:hAnsi="Times New Roman"/>
                      <w:color w:val="auto"/>
                      <w:sz w:val="21"/>
                      <w:szCs w:val="21"/>
                      <w:highlight w:val="none"/>
                    </w:rPr>
                    <w:t>监控点处1h平均浓度值</w:t>
                  </w:r>
                </w:p>
              </w:tc>
              <w:tc>
                <w:tcPr>
                  <w:tcW w:w="2298" w:type="dxa"/>
                  <w:vMerge w:val="restart"/>
                  <w:noWrap w:val="0"/>
                  <w:vAlign w:val="center"/>
                </w:tcPr>
                <w:p w14:paraId="56B1EA31">
                  <w:pPr>
                    <w:pStyle w:val="208"/>
                    <w:spacing w:line="280" w:lineRule="exact"/>
                    <w:ind w:firstLine="0"/>
                    <w:jc w:val="center"/>
                    <w:rPr>
                      <w:rFonts w:ascii="Times New Roman" w:hAnsi="Times New Roman"/>
                      <w:color w:val="auto"/>
                      <w:sz w:val="21"/>
                      <w:szCs w:val="21"/>
                      <w:highlight w:val="none"/>
                    </w:rPr>
                  </w:pPr>
                  <w:r>
                    <w:rPr>
                      <w:rFonts w:ascii="Times New Roman" w:hAnsi="Times New Roman"/>
                      <w:color w:val="auto"/>
                      <w:sz w:val="21"/>
                      <w:szCs w:val="21"/>
                      <w:highlight w:val="none"/>
                    </w:rPr>
                    <w:t>在厂房外设置监控点</w:t>
                  </w:r>
                </w:p>
              </w:tc>
            </w:tr>
            <w:tr w14:paraId="4DC929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1506" w:type="dxa"/>
                  <w:vMerge w:val="continue"/>
                  <w:noWrap w:val="0"/>
                  <w:vAlign w:val="center"/>
                </w:tcPr>
                <w:p w14:paraId="4AC716EE">
                  <w:pPr>
                    <w:pStyle w:val="208"/>
                    <w:spacing w:line="280" w:lineRule="exact"/>
                    <w:ind w:firstLine="198"/>
                    <w:jc w:val="center"/>
                    <w:rPr>
                      <w:rFonts w:ascii="Times New Roman" w:hAnsi="Times New Roman"/>
                      <w:color w:val="auto"/>
                      <w:sz w:val="21"/>
                      <w:szCs w:val="21"/>
                      <w:highlight w:val="none"/>
                    </w:rPr>
                  </w:pPr>
                </w:p>
              </w:tc>
              <w:tc>
                <w:tcPr>
                  <w:tcW w:w="1670" w:type="dxa"/>
                  <w:noWrap w:val="0"/>
                  <w:vAlign w:val="center"/>
                </w:tcPr>
                <w:p w14:paraId="64D38944">
                  <w:pPr>
                    <w:pStyle w:val="208"/>
                    <w:spacing w:line="280" w:lineRule="exact"/>
                    <w:ind w:firstLine="0"/>
                    <w:jc w:val="center"/>
                    <w:rPr>
                      <w:rFonts w:hint="default" w:ascii="Times New Roman" w:hAnsi="Times New Roman" w:eastAsia="宋体"/>
                      <w:color w:val="auto"/>
                      <w:sz w:val="21"/>
                      <w:szCs w:val="21"/>
                      <w:highlight w:val="none"/>
                      <w:lang w:val="en-US" w:eastAsia="zh-CN"/>
                    </w:rPr>
                  </w:pPr>
                  <w:r>
                    <w:rPr>
                      <w:rFonts w:hint="eastAsia" w:ascii="Times New Roman" w:hAnsi="Times New Roman"/>
                      <w:color w:val="auto"/>
                      <w:sz w:val="21"/>
                      <w:szCs w:val="21"/>
                      <w:highlight w:val="none"/>
                      <w:lang w:val="en-US" w:eastAsia="zh-CN"/>
                    </w:rPr>
                    <w:t>30</w:t>
                  </w:r>
                </w:p>
              </w:tc>
              <w:tc>
                <w:tcPr>
                  <w:tcW w:w="2837" w:type="dxa"/>
                  <w:noWrap w:val="0"/>
                  <w:vAlign w:val="center"/>
                </w:tcPr>
                <w:p w14:paraId="6DE6B5B1">
                  <w:pPr>
                    <w:pStyle w:val="208"/>
                    <w:spacing w:line="280" w:lineRule="exact"/>
                    <w:ind w:firstLine="0"/>
                    <w:jc w:val="center"/>
                    <w:rPr>
                      <w:rFonts w:ascii="Times New Roman" w:hAnsi="Times New Roman"/>
                      <w:color w:val="auto"/>
                      <w:sz w:val="21"/>
                      <w:szCs w:val="21"/>
                      <w:highlight w:val="none"/>
                    </w:rPr>
                  </w:pPr>
                  <w:r>
                    <w:rPr>
                      <w:rFonts w:ascii="Times New Roman" w:hAnsi="Times New Roman"/>
                      <w:color w:val="auto"/>
                      <w:sz w:val="21"/>
                      <w:szCs w:val="21"/>
                      <w:highlight w:val="none"/>
                    </w:rPr>
                    <w:t>监控点处任意一次浓度值</w:t>
                  </w:r>
                </w:p>
              </w:tc>
              <w:tc>
                <w:tcPr>
                  <w:tcW w:w="2298" w:type="dxa"/>
                  <w:vMerge w:val="continue"/>
                  <w:noWrap w:val="0"/>
                  <w:vAlign w:val="center"/>
                </w:tcPr>
                <w:p w14:paraId="393C2357">
                  <w:pPr>
                    <w:pStyle w:val="208"/>
                    <w:spacing w:line="280" w:lineRule="exact"/>
                    <w:ind w:firstLine="0"/>
                    <w:jc w:val="center"/>
                    <w:rPr>
                      <w:rFonts w:ascii="Times New Roman" w:hAnsi="Times New Roman"/>
                      <w:color w:val="auto"/>
                      <w:sz w:val="21"/>
                      <w:szCs w:val="21"/>
                      <w:highlight w:val="none"/>
                    </w:rPr>
                  </w:pPr>
                </w:p>
              </w:tc>
            </w:tr>
          </w:tbl>
          <w:p w14:paraId="78A89460">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b/>
                <w:bCs/>
                <w:color w:val="auto"/>
                <w:kern w:val="0"/>
                <w:sz w:val="21"/>
                <w:szCs w:val="21"/>
                <w:highlight w:val="none"/>
                <w:lang w:val="en-US" w:eastAsia="zh-CN"/>
              </w:rPr>
            </w:pPr>
            <w:r>
              <w:rPr>
                <w:rFonts w:ascii="Times New Roman" w:hAnsi="Times New Roman" w:eastAsia="宋体" w:cs="Times New Roman"/>
                <w:b/>
                <w:bCs/>
                <w:color w:val="auto"/>
                <w:kern w:val="0"/>
                <w:sz w:val="21"/>
                <w:szCs w:val="21"/>
                <w:highlight w:val="none"/>
              </w:rPr>
              <w:t>表3-</w:t>
            </w:r>
            <w:r>
              <w:rPr>
                <w:rFonts w:hint="eastAsia" w:cs="Times New Roman"/>
                <w:b/>
                <w:bCs/>
                <w:color w:val="auto"/>
                <w:kern w:val="0"/>
                <w:sz w:val="21"/>
                <w:szCs w:val="21"/>
                <w:highlight w:val="none"/>
                <w:lang w:val="en-US" w:eastAsia="zh-CN"/>
              </w:rPr>
              <w:t>13</w:t>
            </w:r>
            <w:r>
              <w:rPr>
                <w:rFonts w:hint="eastAsia" w:ascii="Times New Roman" w:hAnsi="Times New Roman" w:cs="Times New Roman"/>
                <w:b/>
                <w:bCs/>
                <w:color w:val="auto"/>
                <w:kern w:val="0"/>
                <w:sz w:val="21"/>
                <w:szCs w:val="21"/>
                <w:highlight w:val="none"/>
                <w:lang w:val="en-US" w:eastAsia="zh-CN"/>
              </w:rPr>
              <w:t xml:space="preserve"> </w:t>
            </w:r>
            <w:r>
              <w:rPr>
                <w:rFonts w:hint="eastAsia" w:ascii="Times New Roman" w:hAnsi="Times New Roman" w:eastAsia="宋体" w:cs="Times New Roman"/>
                <w:b/>
                <w:bCs/>
                <w:color w:val="auto"/>
                <w:kern w:val="0"/>
                <w:sz w:val="21"/>
                <w:szCs w:val="21"/>
                <w:highlight w:val="none"/>
                <w:lang w:val="en-US" w:eastAsia="zh-CN"/>
              </w:rPr>
              <w:t>《恶臭污染物排放标准》（GB 14554-93）</w:t>
            </w:r>
            <w:r>
              <w:rPr>
                <w:rFonts w:hint="eastAsia" w:ascii="Times New Roman" w:hAnsi="Times New Roman"/>
                <w:b/>
                <w:bCs/>
                <w:color w:val="auto"/>
                <w:kern w:val="0"/>
                <w:sz w:val="21"/>
                <w:szCs w:val="21"/>
                <w:highlight w:val="none"/>
                <w:vertAlign w:val="baseline"/>
                <w:lang w:val="en-US" w:eastAsia="zh-CN"/>
              </w:rPr>
              <w:t>（mg/m</w:t>
            </w:r>
            <w:r>
              <w:rPr>
                <w:rFonts w:hint="eastAsia" w:ascii="Times New Roman" w:hAnsi="Times New Roman"/>
                <w:b/>
                <w:bCs/>
                <w:color w:val="auto"/>
                <w:kern w:val="0"/>
                <w:sz w:val="21"/>
                <w:szCs w:val="21"/>
                <w:highlight w:val="none"/>
                <w:vertAlign w:val="superscript"/>
                <w:lang w:val="en-US" w:eastAsia="zh-CN"/>
              </w:rPr>
              <w:t>3</w:t>
            </w:r>
            <w:r>
              <w:rPr>
                <w:rFonts w:hint="eastAsia" w:ascii="Times New Roman" w:hAnsi="Times New Roman"/>
                <w:b/>
                <w:bCs/>
                <w:color w:val="auto"/>
                <w:kern w:val="0"/>
                <w:sz w:val="21"/>
                <w:szCs w:val="21"/>
                <w:highlight w:val="none"/>
                <w:vertAlign w:val="baseline"/>
                <w:lang w:val="en-US" w:eastAsia="zh-CN"/>
              </w:rPr>
              <w:t>）</w:t>
            </w:r>
          </w:p>
          <w:tbl>
            <w:tblPr>
              <w:tblStyle w:val="42"/>
              <w:tblW w:w="8247"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595"/>
              <w:gridCol w:w="4652"/>
            </w:tblGrid>
            <w:tr w14:paraId="04AF650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3595" w:type="dxa"/>
                  <w:shd w:val="clear" w:color="auto" w:fill="auto"/>
                  <w:noWrap w:val="0"/>
                  <w:vAlign w:val="center"/>
                </w:tcPr>
                <w:p w14:paraId="3B427FCE">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b/>
                      <w:bCs/>
                      <w:color w:val="auto"/>
                      <w:kern w:val="0"/>
                      <w:sz w:val="21"/>
                      <w:szCs w:val="21"/>
                      <w:highlight w:val="none"/>
                      <w:vertAlign w:val="baseline"/>
                      <w:lang w:val="en-US" w:eastAsia="zh-CN"/>
                    </w:rPr>
                  </w:pPr>
                  <w:r>
                    <w:rPr>
                      <w:rFonts w:hint="eastAsia" w:ascii="Times New Roman" w:hAnsi="Times New Roman" w:eastAsia="宋体"/>
                      <w:b/>
                      <w:bCs/>
                      <w:color w:val="auto"/>
                      <w:kern w:val="0"/>
                      <w:sz w:val="21"/>
                      <w:szCs w:val="21"/>
                      <w:highlight w:val="none"/>
                      <w:vertAlign w:val="baseline"/>
                      <w:lang w:val="en-US" w:eastAsia="zh-CN"/>
                    </w:rPr>
                    <w:t>污染物</w:t>
                  </w:r>
                </w:p>
              </w:tc>
              <w:tc>
                <w:tcPr>
                  <w:tcW w:w="4652" w:type="dxa"/>
                  <w:shd w:val="clear" w:color="auto" w:fill="auto"/>
                  <w:noWrap w:val="0"/>
                  <w:vAlign w:val="center"/>
                </w:tcPr>
                <w:p w14:paraId="5F209501">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b/>
                      <w:bCs/>
                      <w:color w:val="auto"/>
                      <w:kern w:val="0"/>
                      <w:sz w:val="21"/>
                      <w:szCs w:val="21"/>
                      <w:highlight w:val="none"/>
                      <w:vertAlign w:val="baseline"/>
                      <w:lang w:val="en-US" w:eastAsia="zh-CN"/>
                    </w:rPr>
                  </w:pPr>
                  <w:r>
                    <w:rPr>
                      <w:rFonts w:hint="eastAsia" w:ascii="Times New Roman" w:hAnsi="Times New Roman"/>
                      <w:b/>
                      <w:bCs/>
                      <w:color w:val="auto"/>
                      <w:kern w:val="0"/>
                      <w:sz w:val="21"/>
                      <w:szCs w:val="21"/>
                      <w:highlight w:val="none"/>
                      <w:vertAlign w:val="baseline"/>
                      <w:lang w:val="en-US" w:eastAsia="zh-CN"/>
                    </w:rPr>
                    <w:t>无组织排放监控浓度</w:t>
                  </w:r>
                </w:p>
              </w:tc>
            </w:tr>
            <w:tr w14:paraId="3547902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95" w:type="dxa"/>
                  <w:noWrap w:val="0"/>
                  <w:vAlign w:val="center"/>
                </w:tcPr>
                <w:p w14:paraId="733B71E3">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b w:val="0"/>
                      <w:bCs w:val="0"/>
                      <w:color w:val="auto"/>
                      <w:kern w:val="0"/>
                      <w:sz w:val="21"/>
                      <w:szCs w:val="21"/>
                      <w:highlight w:val="none"/>
                      <w:vertAlign w:val="baseline"/>
                      <w:lang w:val="en-US" w:eastAsia="zh-CN"/>
                    </w:rPr>
                  </w:pPr>
                  <w:r>
                    <w:rPr>
                      <w:rFonts w:hint="eastAsia" w:ascii="Times New Roman" w:hAnsi="Times New Roman"/>
                      <w:b w:val="0"/>
                      <w:bCs w:val="0"/>
                      <w:color w:val="auto"/>
                      <w:kern w:val="0"/>
                      <w:sz w:val="21"/>
                      <w:szCs w:val="21"/>
                      <w:highlight w:val="none"/>
                      <w:vertAlign w:val="baseline"/>
                      <w:lang w:val="en-US" w:eastAsia="zh-CN"/>
                    </w:rPr>
                    <w:t>氨</w:t>
                  </w:r>
                </w:p>
              </w:tc>
              <w:tc>
                <w:tcPr>
                  <w:tcW w:w="4652" w:type="dxa"/>
                  <w:noWrap w:val="0"/>
                  <w:vAlign w:val="center"/>
                </w:tcPr>
                <w:p w14:paraId="0F279988">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b w:val="0"/>
                      <w:bCs w:val="0"/>
                      <w:color w:val="auto"/>
                      <w:kern w:val="0"/>
                      <w:sz w:val="21"/>
                      <w:szCs w:val="21"/>
                      <w:highlight w:val="none"/>
                      <w:lang w:val="en-US" w:eastAsia="zh-CN"/>
                    </w:rPr>
                  </w:pPr>
                  <w:r>
                    <w:rPr>
                      <w:rFonts w:hint="eastAsia" w:ascii="Times New Roman" w:hAnsi="Times New Roman" w:eastAsia="宋体"/>
                      <w:b w:val="0"/>
                      <w:bCs w:val="0"/>
                      <w:color w:val="auto"/>
                      <w:kern w:val="0"/>
                      <w:sz w:val="21"/>
                      <w:szCs w:val="21"/>
                      <w:highlight w:val="none"/>
                      <w:vertAlign w:val="baseline"/>
                      <w:lang w:val="en-US" w:eastAsia="zh-CN"/>
                    </w:rPr>
                    <w:t>1.5</w:t>
                  </w:r>
                </w:p>
              </w:tc>
            </w:tr>
            <w:tr w14:paraId="4F8DFCD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3595" w:type="dxa"/>
                  <w:noWrap w:val="0"/>
                  <w:vAlign w:val="center"/>
                </w:tcPr>
                <w:p w14:paraId="2C5659B6">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b w:val="0"/>
                      <w:bCs w:val="0"/>
                      <w:color w:val="auto"/>
                      <w:kern w:val="0"/>
                      <w:sz w:val="21"/>
                      <w:szCs w:val="21"/>
                      <w:highlight w:val="none"/>
                      <w:vertAlign w:val="baseline"/>
                      <w:lang w:val="en-US" w:eastAsia="zh-CN"/>
                    </w:rPr>
                  </w:pPr>
                  <w:r>
                    <w:rPr>
                      <w:rFonts w:hint="eastAsia" w:ascii="Times New Roman" w:hAnsi="Times New Roman"/>
                      <w:b w:val="0"/>
                      <w:bCs w:val="0"/>
                      <w:color w:val="auto"/>
                      <w:kern w:val="0"/>
                      <w:sz w:val="21"/>
                      <w:szCs w:val="21"/>
                      <w:highlight w:val="none"/>
                      <w:vertAlign w:val="baseline"/>
                      <w:lang w:val="en-US" w:eastAsia="zh-CN"/>
                    </w:rPr>
                    <w:t>硫化氢</w:t>
                  </w:r>
                </w:p>
              </w:tc>
              <w:tc>
                <w:tcPr>
                  <w:tcW w:w="4652" w:type="dxa"/>
                  <w:noWrap w:val="0"/>
                  <w:vAlign w:val="center"/>
                </w:tcPr>
                <w:p w14:paraId="74BF595F">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b w:val="0"/>
                      <w:bCs w:val="0"/>
                      <w:color w:val="auto"/>
                      <w:kern w:val="0"/>
                      <w:sz w:val="21"/>
                      <w:szCs w:val="21"/>
                      <w:highlight w:val="none"/>
                      <w:lang w:val="en-US" w:eastAsia="zh-CN"/>
                    </w:rPr>
                  </w:pPr>
                  <w:r>
                    <w:rPr>
                      <w:rFonts w:hint="eastAsia" w:ascii="Times New Roman" w:hAnsi="Times New Roman" w:eastAsia="宋体"/>
                      <w:b w:val="0"/>
                      <w:bCs w:val="0"/>
                      <w:color w:val="auto"/>
                      <w:kern w:val="0"/>
                      <w:sz w:val="21"/>
                      <w:szCs w:val="21"/>
                      <w:highlight w:val="none"/>
                      <w:vertAlign w:val="baseline"/>
                      <w:lang w:val="en-US" w:eastAsia="zh-CN"/>
                    </w:rPr>
                    <w:t>0.06</w:t>
                  </w:r>
                </w:p>
              </w:tc>
            </w:tr>
            <w:tr w14:paraId="5CB69C2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3595" w:type="dxa"/>
                  <w:noWrap w:val="0"/>
                  <w:vAlign w:val="center"/>
                </w:tcPr>
                <w:p w14:paraId="72B57334">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b w:val="0"/>
                      <w:bCs w:val="0"/>
                      <w:color w:val="auto"/>
                      <w:kern w:val="0"/>
                      <w:sz w:val="21"/>
                      <w:szCs w:val="21"/>
                      <w:highlight w:val="none"/>
                      <w:vertAlign w:val="baseline"/>
                      <w:lang w:val="en-US" w:eastAsia="zh-CN"/>
                    </w:rPr>
                  </w:pPr>
                  <w:r>
                    <w:rPr>
                      <w:rFonts w:hint="eastAsia" w:ascii="Times New Roman" w:hAnsi="Times New Roman"/>
                      <w:b w:val="0"/>
                      <w:bCs w:val="0"/>
                      <w:color w:val="auto"/>
                      <w:kern w:val="0"/>
                      <w:sz w:val="21"/>
                      <w:szCs w:val="21"/>
                      <w:highlight w:val="none"/>
                      <w:vertAlign w:val="baseline"/>
                      <w:lang w:val="en-US" w:eastAsia="zh-CN"/>
                    </w:rPr>
                    <w:t>臭气浓度</w:t>
                  </w:r>
                </w:p>
              </w:tc>
              <w:tc>
                <w:tcPr>
                  <w:tcW w:w="4652" w:type="dxa"/>
                  <w:noWrap w:val="0"/>
                  <w:vAlign w:val="center"/>
                </w:tcPr>
                <w:p w14:paraId="17B366E0">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b w:val="0"/>
                      <w:bCs w:val="0"/>
                      <w:color w:val="auto"/>
                      <w:kern w:val="0"/>
                      <w:sz w:val="21"/>
                      <w:szCs w:val="21"/>
                      <w:highlight w:val="none"/>
                      <w:lang w:val="en-US" w:eastAsia="zh-CN"/>
                    </w:rPr>
                  </w:pPr>
                  <w:r>
                    <w:rPr>
                      <w:rFonts w:hint="eastAsia" w:ascii="Times New Roman" w:hAnsi="Times New Roman" w:eastAsia="宋体"/>
                      <w:b w:val="0"/>
                      <w:bCs w:val="0"/>
                      <w:color w:val="auto"/>
                      <w:kern w:val="0"/>
                      <w:sz w:val="21"/>
                      <w:szCs w:val="21"/>
                      <w:highlight w:val="none"/>
                      <w:vertAlign w:val="baseline"/>
                      <w:lang w:val="en-US" w:eastAsia="zh-CN"/>
                    </w:rPr>
                    <w:t>20（无量纲）</w:t>
                  </w:r>
                </w:p>
              </w:tc>
            </w:tr>
          </w:tbl>
          <w:p w14:paraId="263FBF29">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表</w:t>
            </w:r>
            <w:r>
              <w:rPr>
                <w:rFonts w:hint="default" w:ascii="Times New Roman" w:hAnsi="Times New Roman" w:eastAsia="宋体" w:cs="Times New Roman"/>
                <w:b/>
                <w:bCs/>
                <w:color w:val="auto"/>
                <w:kern w:val="0"/>
                <w:sz w:val="21"/>
                <w:szCs w:val="21"/>
                <w:highlight w:val="none"/>
                <w:lang w:val="en-US" w:eastAsia="zh-CN"/>
              </w:rPr>
              <w:t>3-</w:t>
            </w:r>
            <w:r>
              <w:rPr>
                <w:rFonts w:hint="eastAsia" w:cs="Times New Roman"/>
                <w:b/>
                <w:bCs/>
                <w:color w:val="auto"/>
                <w:kern w:val="0"/>
                <w:sz w:val="21"/>
                <w:szCs w:val="21"/>
                <w:highlight w:val="none"/>
                <w:lang w:val="en-US" w:eastAsia="zh-CN"/>
              </w:rPr>
              <w:t>14</w:t>
            </w:r>
            <w:r>
              <w:rPr>
                <w:rFonts w:hint="default" w:ascii="Times New Roman" w:hAnsi="Times New Roman" w:eastAsia="宋体" w:cs="Times New Roman"/>
                <w:b/>
                <w:bCs/>
                <w:color w:val="auto"/>
                <w:kern w:val="0"/>
                <w:sz w:val="21"/>
                <w:szCs w:val="21"/>
                <w:highlight w:val="none"/>
                <w:lang w:val="en-US" w:eastAsia="zh-CN"/>
              </w:rPr>
              <w:t xml:space="preserve"> </w:t>
            </w:r>
            <w:r>
              <w:rPr>
                <w:rFonts w:hint="default" w:ascii="Times New Roman" w:hAnsi="Times New Roman" w:eastAsia="宋体" w:cs="Times New Roman"/>
                <w:b/>
                <w:bCs/>
                <w:color w:val="auto"/>
                <w:kern w:val="0"/>
                <w:sz w:val="21"/>
                <w:szCs w:val="21"/>
                <w:highlight w:val="none"/>
              </w:rPr>
              <w:t>《电池工业污染物排放标准》（GB30484-2013）</w:t>
            </w:r>
          </w:p>
          <w:tbl>
            <w:tblPr>
              <w:tblStyle w:val="41"/>
              <w:tblW w:w="4882" w:type="pct"/>
              <w:jc w:val="center"/>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Layout w:type="fixed"/>
              <w:tblCellMar>
                <w:top w:w="0" w:type="dxa"/>
                <w:left w:w="23" w:type="dxa"/>
                <w:bottom w:w="0" w:type="dxa"/>
                <w:right w:w="23" w:type="dxa"/>
              </w:tblCellMar>
            </w:tblPr>
            <w:tblGrid>
              <w:gridCol w:w="2141"/>
              <w:gridCol w:w="2728"/>
              <w:gridCol w:w="3211"/>
            </w:tblGrid>
            <w:tr w14:paraId="695B3632">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23" w:type="dxa"/>
                  <w:bottom w:w="0" w:type="dxa"/>
                  <w:right w:w="23" w:type="dxa"/>
                </w:tblCellMar>
              </w:tblPrEx>
              <w:trPr>
                <w:trHeight w:val="340" w:hRule="atLeast"/>
                <w:jc w:val="center"/>
              </w:trPr>
              <w:tc>
                <w:tcPr>
                  <w:tcW w:w="1324" w:type="pct"/>
                  <w:vMerge w:val="restart"/>
                  <w:noWrap w:val="0"/>
                  <w:vAlign w:val="center"/>
                </w:tcPr>
                <w:p w14:paraId="1EFFAEC8">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1"/>
                      <w:highlight w:val="none"/>
                      <w:vertAlign w:val="baseline"/>
                      <w:lang w:val="en-US" w:eastAsia="zh-CN"/>
                    </w:rPr>
                  </w:pPr>
                  <w:r>
                    <w:rPr>
                      <w:rFonts w:hint="default" w:ascii="Times New Roman" w:hAnsi="Times New Roman" w:eastAsia="宋体" w:cs="Times New Roman"/>
                      <w:b/>
                      <w:bCs/>
                      <w:color w:val="auto"/>
                      <w:kern w:val="0"/>
                      <w:sz w:val="21"/>
                      <w:szCs w:val="21"/>
                      <w:highlight w:val="none"/>
                      <w:vertAlign w:val="baseline"/>
                      <w:lang w:val="en-US" w:eastAsia="zh-CN"/>
                    </w:rPr>
                    <w:t>污染物</w:t>
                  </w:r>
                </w:p>
              </w:tc>
              <w:tc>
                <w:tcPr>
                  <w:tcW w:w="3675" w:type="pct"/>
                  <w:gridSpan w:val="2"/>
                  <w:noWrap w:val="0"/>
                  <w:vAlign w:val="center"/>
                </w:tcPr>
                <w:p w14:paraId="6EAA4C94">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1"/>
                      <w:highlight w:val="none"/>
                      <w:vertAlign w:val="baseline"/>
                      <w:lang w:val="en-US" w:eastAsia="zh-CN"/>
                    </w:rPr>
                  </w:pPr>
                  <w:r>
                    <w:rPr>
                      <w:rFonts w:hint="default" w:ascii="Times New Roman" w:hAnsi="Times New Roman" w:eastAsia="宋体" w:cs="Times New Roman"/>
                      <w:b/>
                      <w:bCs/>
                      <w:color w:val="auto"/>
                      <w:kern w:val="0"/>
                      <w:sz w:val="21"/>
                      <w:szCs w:val="21"/>
                      <w:highlight w:val="none"/>
                      <w:vertAlign w:val="baseline"/>
                      <w:lang w:val="en-US" w:eastAsia="zh-CN"/>
                    </w:rPr>
                    <w:t>标准限值（mg/</w:t>
                  </w:r>
                  <w:r>
                    <w:rPr>
                      <w:rFonts w:hint="eastAsia" w:ascii="Times New Roman" w:hAnsi="Times New Roman" w:eastAsia="宋体" w:cs="Times New Roman"/>
                      <w:b/>
                      <w:bCs/>
                      <w:color w:val="auto"/>
                      <w:kern w:val="0"/>
                      <w:sz w:val="21"/>
                      <w:szCs w:val="21"/>
                      <w:highlight w:val="none"/>
                      <w:vertAlign w:val="baseline"/>
                      <w:lang w:val="en-US" w:eastAsia="zh-CN"/>
                    </w:rPr>
                    <w:t>m</w:t>
                  </w:r>
                  <w:r>
                    <w:rPr>
                      <w:rFonts w:hint="eastAsia" w:ascii="Times New Roman" w:hAnsi="Times New Roman" w:eastAsia="宋体" w:cs="Times New Roman"/>
                      <w:b/>
                      <w:bCs/>
                      <w:color w:val="auto"/>
                      <w:kern w:val="0"/>
                      <w:sz w:val="21"/>
                      <w:szCs w:val="21"/>
                      <w:highlight w:val="none"/>
                      <w:vertAlign w:val="superscript"/>
                      <w:lang w:val="en-US" w:eastAsia="zh-CN"/>
                    </w:rPr>
                    <w:t>3</w:t>
                  </w:r>
                  <w:r>
                    <w:rPr>
                      <w:rFonts w:hint="default" w:ascii="Times New Roman" w:hAnsi="Times New Roman" w:eastAsia="宋体" w:cs="Times New Roman"/>
                      <w:b/>
                      <w:bCs/>
                      <w:color w:val="auto"/>
                      <w:kern w:val="0"/>
                      <w:sz w:val="21"/>
                      <w:szCs w:val="21"/>
                      <w:highlight w:val="none"/>
                      <w:vertAlign w:val="baseline"/>
                      <w:lang w:val="en-US" w:eastAsia="zh-CN"/>
                    </w:rPr>
                    <w:t>）</w:t>
                  </w:r>
                </w:p>
              </w:tc>
            </w:tr>
            <w:tr w14:paraId="61807034">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23" w:type="dxa"/>
                  <w:bottom w:w="0" w:type="dxa"/>
                  <w:right w:w="23" w:type="dxa"/>
                </w:tblCellMar>
              </w:tblPrEx>
              <w:trPr>
                <w:trHeight w:val="340" w:hRule="atLeast"/>
                <w:jc w:val="center"/>
              </w:trPr>
              <w:tc>
                <w:tcPr>
                  <w:tcW w:w="1324" w:type="pct"/>
                  <w:vMerge w:val="continue"/>
                  <w:noWrap w:val="0"/>
                  <w:vAlign w:val="center"/>
                </w:tcPr>
                <w:p w14:paraId="0A1A9399">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1"/>
                      <w:highlight w:val="none"/>
                      <w:vertAlign w:val="baseline"/>
                      <w:lang w:val="en-US" w:eastAsia="zh-CN"/>
                    </w:rPr>
                  </w:pPr>
                </w:p>
              </w:tc>
              <w:tc>
                <w:tcPr>
                  <w:tcW w:w="1688" w:type="pct"/>
                  <w:noWrap w:val="0"/>
                  <w:vAlign w:val="center"/>
                </w:tcPr>
                <w:p w14:paraId="03AF61BF">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1"/>
                      <w:highlight w:val="none"/>
                      <w:vertAlign w:val="baseline"/>
                      <w:lang w:val="en-US" w:eastAsia="zh-CN"/>
                    </w:rPr>
                  </w:pPr>
                  <w:r>
                    <w:rPr>
                      <w:rFonts w:hint="default" w:ascii="Times New Roman" w:hAnsi="Times New Roman" w:eastAsia="宋体" w:cs="Times New Roman"/>
                      <w:b/>
                      <w:bCs/>
                      <w:color w:val="auto"/>
                      <w:kern w:val="0"/>
                      <w:sz w:val="21"/>
                      <w:szCs w:val="21"/>
                      <w:highlight w:val="none"/>
                      <w:vertAlign w:val="baseline"/>
                      <w:lang w:val="en-US" w:eastAsia="zh-CN"/>
                    </w:rPr>
                    <w:t>有组织（</w:t>
                  </w:r>
                  <w:r>
                    <w:rPr>
                      <w:rFonts w:hint="eastAsia" w:cs="Times New Roman"/>
                      <w:b/>
                      <w:bCs/>
                      <w:color w:val="auto"/>
                      <w:kern w:val="0"/>
                      <w:sz w:val="21"/>
                      <w:szCs w:val="21"/>
                      <w:highlight w:val="none"/>
                      <w:vertAlign w:val="baseline"/>
                      <w:lang w:val="en-US" w:eastAsia="zh-CN"/>
                    </w:rPr>
                    <w:t>生产设施</w:t>
                  </w:r>
                  <w:r>
                    <w:rPr>
                      <w:rFonts w:hint="default" w:ascii="Times New Roman" w:hAnsi="Times New Roman" w:eastAsia="宋体" w:cs="Times New Roman"/>
                      <w:b/>
                      <w:bCs/>
                      <w:color w:val="auto"/>
                      <w:kern w:val="0"/>
                      <w:sz w:val="21"/>
                      <w:szCs w:val="21"/>
                      <w:highlight w:val="none"/>
                      <w:vertAlign w:val="baseline"/>
                      <w:lang w:val="en-US" w:eastAsia="zh-CN"/>
                    </w:rPr>
                    <w:t>排气筒）</w:t>
                  </w:r>
                </w:p>
              </w:tc>
              <w:tc>
                <w:tcPr>
                  <w:tcW w:w="1987" w:type="pct"/>
                  <w:noWrap w:val="0"/>
                  <w:vAlign w:val="center"/>
                </w:tcPr>
                <w:p w14:paraId="573833AC">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1"/>
                      <w:highlight w:val="none"/>
                      <w:vertAlign w:val="baseline"/>
                      <w:lang w:val="en-US" w:eastAsia="zh-CN"/>
                    </w:rPr>
                  </w:pPr>
                  <w:r>
                    <w:rPr>
                      <w:rFonts w:hint="default" w:ascii="Times New Roman" w:hAnsi="Times New Roman" w:eastAsia="宋体" w:cs="Times New Roman"/>
                      <w:b/>
                      <w:bCs/>
                      <w:color w:val="auto"/>
                      <w:kern w:val="0"/>
                      <w:sz w:val="21"/>
                      <w:szCs w:val="21"/>
                      <w:highlight w:val="none"/>
                      <w:vertAlign w:val="baseline"/>
                      <w:lang w:val="en-US" w:eastAsia="zh-CN"/>
                    </w:rPr>
                    <w:t>无组织（企业边界最高浓度限值）</w:t>
                  </w:r>
                </w:p>
              </w:tc>
            </w:tr>
            <w:tr w14:paraId="4AC2E061">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23" w:type="dxa"/>
                  <w:bottom w:w="0" w:type="dxa"/>
                  <w:right w:w="23" w:type="dxa"/>
                </w:tblCellMar>
              </w:tblPrEx>
              <w:trPr>
                <w:trHeight w:val="340" w:hRule="atLeast"/>
                <w:jc w:val="center"/>
              </w:trPr>
              <w:tc>
                <w:tcPr>
                  <w:tcW w:w="1324" w:type="pct"/>
                  <w:noWrap w:val="0"/>
                  <w:vAlign w:val="center"/>
                </w:tcPr>
                <w:p w14:paraId="6D46FB59">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rPr>
                  </w:pPr>
                  <w:r>
                    <w:rPr>
                      <w:rFonts w:hint="default" w:ascii="Times New Roman" w:hAnsi="Times New Roman" w:eastAsia="宋体" w:cs="Times New Roman"/>
                      <w:b w:val="0"/>
                      <w:bCs w:val="0"/>
                      <w:color w:val="auto"/>
                      <w:kern w:val="0"/>
                      <w:sz w:val="21"/>
                      <w:szCs w:val="21"/>
                      <w:highlight w:val="none"/>
                      <w:vertAlign w:val="baseline"/>
                      <w:lang w:val="en-US" w:eastAsia="zh-CN"/>
                    </w:rPr>
                    <w:t>挥发性有机物（以非甲烷总烃计）</w:t>
                  </w:r>
                  <w:r>
                    <w:rPr>
                      <w:rFonts w:hint="eastAsia" w:cs="Times New Roman"/>
                      <w:b w:val="0"/>
                      <w:bCs w:val="0"/>
                      <w:color w:val="auto"/>
                      <w:kern w:val="0"/>
                      <w:sz w:val="21"/>
                      <w:szCs w:val="21"/>
                      <w:highlight w:val="none"/>
                      <w:vertAlign w:val="baseline"/>
                      <w:lang w:val="en-US" w:eastAsia="zh-CN"/>
                    </w:rPr>
                    <w:t>（DA001、DA002）</w:t>
                  </w:r>
                </w:p>
              </w:tc>
              <w:tc>
                <w:tcPr>
                  <w:tcW w:w="1688" w:type="pct"/>
                  <w:noWrap w:val="0"/>
                  <w:vAlign w:val="center"/>
                </w:tcPr>
                <w:p w14:paraId="13D48A26">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rPr>
                  </w:pPr>
                  <w:r>
                    <w:rPr>
                      <w:rFonts w:hint="default" w:ascii="Times New Roman" w:hAnsi="Times New Roman" w:eastAsia="宋体" w:cs="Times New Roman"/>
                      <w:b w:val="0"/>
                      <w:bCs w:val="0"/>
                      <w:color w:val="auto"/>
                      <w:kern w:val="0"/>
                      <w:sz w:val="21"/>
                      <w:szCs w:val="21"/>
                      <w:highlight w:val="none"/>
                      <w:vertAlign w:val="baseline"/>
                      <w:lang w:val="en-US" w:eastAsia="zh-CN"/>
                    </w:rPr>
                    <w:t>50</w:t>
                  </w:r>
                </w:p>
              </w:tc>
              <w:tc>
                <w:tcPr>
                  <w:tcW w:w="1987" w:type="pct"/>
                  <w:noWrap w:val="0"/>
                  <w:vAlign w:val="center"/>
                </w:tcPr>
                <w:p w14:paraId="69919D97">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rPr>
                  </w:pPr>
                  <w:r>
                    <w:rPr>
                      <w:rFonts w:hint="default" w:ascii="Times New Roman" w:hAnsi="Times New Roman" w:eastAsia="宋体" w:cs="Times New Roman"/>
                      <w:b w:val="0"/>
                      <w:bCs w:val="0"/>
                      <w:color w:val="auto"/>
                      <w:kern w:val="0"/>
                      <w:sz w:val="21"/>
                      <w:szCs w:val="21"/>
                      <w:highlight w:val="none"/>
                      <w:vertAlign w:val="baseline"/>
                      <w:lang w:val="en-US" w:eastAsia="zh-CN"/>
                    </w:rPr>
                    <w:t>2.0</w:t>
                  </w:r>
                </w:p>
              </w:tc>
            </w:tr>
            <w:tr w14:paraId="1C9BF1AE">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23" w:type="dxa"/>
                  <w:bottom w:w="0" w:type="dxa"/>
                  <w:right w:w="23" w:type="dxa"/>
                </w:tblCellMar>
              </w:tblPrEx>
              <w:trPr>
                <w:trHeight w:val="340" w:hRule="atLeast"/>
                <w:jc w:val="center"/>
              </w:trPr>
              <w:tc>
                <w:tcPr>
                  <w:tcW w:w="1324" w:type="pct"/>
                  <w:noWrap w:val="0"/>
                  <w:vAlign w:val="center"/>
                </w:tcPr>
                <w:p w14:paraId="20779F88">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rPr>
                  </w:pPr>
                  <w:r>
                    <w:rPr>
                      <w:rFonts w:hint="default" w:ascii="Times New Roman" w:hAnsi="Times New Roman" w:eastAsia="宋体" w:cs="Times New Roman"/>
                      <w:b w:val="0"/>
                      <w:bCs w:val="0"/>
                      <w:color w:val="auto"/>
                      <w:kern w:val="0"/>
                      <w:sz w:val="21"/>
                      <w:szCs w:val="21"/>
                      <w:highlight w:val="none"/>
                      <w:vertAlign w:val="baseline"/>
                      <w:lang w:val="en-US" w:eastAsia="zh-CN"/>
                    </w:rPr>
                    <w:t>颗粒物</w:t>
                  </w:r>
                </w:p>
              </w:tc>
              <w:tc>
                <w:tcPr>
                  <w:tcW w:w="1688" w:type="pct"/>
                  <w:noWrap w:val="0"/>
                  <w:vAlign w:val="center"/>
                </w:tcPr>
                <w:p w14:paraId="48281E71">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rPr>
                  </w:pPr>
                  <w:r>
                    <w:rPr>
                      <w:rFonts w:hint="default" w:ascii="Times New Roman" w:hAnsi="Times New Roman" w:eastAsia="宋体" w:cs="Times New Roman"/>
                      <w:b w:val="0"/>
                      <w:bCs w:val="0"/>
                      <w:color w:val="auto"/>
                      <w:kern w:val="0"/>
                      <w:sz w:val="21"/>
                      <w:szCs w:val="21"/>
                      <w:highlight w:val="none"/>
                      <w:vertAlign w:val="baseline"/>
                      <w:lang w:val="en-US" w:eastAsia="zh-CN"/>
                    </w:rPr>
                    <w:t>30</w:t>
                  </w:r>
                </w:p>
              </w:tc>
              <w:tc>
                <w:tcPr>
                  <w:tcW w:w="1987" w:type="pct"/>
                  <w:noWrap w:val="0"/>
                  <w:vAlign w:val="center"/>
                </w:tcPr>
                <w:p w14:paraId="301C9C07">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kern w:val="0"/>
                      <w:sz w:val="21"/>
                      <w:szCs w:val="21"/>
                      <w:highlight w:val="none"/>
                      <w:vertAlign w:val="baseline"/>
                      <w:lang w:val="en-US" w:eastAsia="zh-CN"/>
                    </w:rPr>
                  </w:pPr>
                  <w:r>
                    <w:rPr>
                      <w:rFonts w:hint="default" w:ascii="Times New Roman" w:hAnsi="Times New Roman" w:eastAsia="宋体" w:cs="Times New Roman"/>
                      <w:b w:val="0"/>
                      <w:bCs w:val="0"/>
                      <w:color w:val="auto"/>
                      <w:kern w:val="0"/>
                      <w:sz w:val="21"/>
                      <w:szCs w:val="21"/>
                      <w:highlight w:val="none"/>
                      <w:vertAlign w:val="baseline"/>
                      <w:lang w:val="en-US" w:eastAsia="zh-CN"/>
                    </w:rPr>
                    <w:t>0.3</w:t>
                  </w:r>
                </w:p>
              </w:tc>
            </w:tr>
          </w:tbl>
          <w:p w14:paraId="7EEDBEA2">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b/>
                <w:bCs/>
                <w:color w:val="auto"/>
                <w:kern w:val="0"/>
                <w:sz w:val="24"/>
                <w:highlight w:val="none"/>
                <w:lang w:val="en-US" w:eastAsia="zh-CN"/>
              </w:rPr>
            </w:pPr>
            <w:r>
              <w:rPr>
                <w:rFonts w:ascii="Times New Roman" w:hAnsi="Times New Roman"/>
                <w:b/>
                <w:bCs/>
                <w:color w:val="auto"/>
                <w:kern w:val="0"/>
                <w:sz w:val="21"/>
                <w:szCs w:val="21"/>
                <w:highlight w:val="none"/>
              </w:rPr>
              <w:t>表3-</w:t>
            </w:r>
            <w:r>
              <w:rPr>
                <w:rFonts w:hint="eastAsia"/>
                <w:b/>
                <w:bCs/>
                <w:color w:val="auto"/>
                <w:kern w:val="0"/>
                <w:sz w:val="21"/>
                <w:szCs w:val="21"/>
                <w:highlight w:val="none"/>
                <w:lang w:val="en-US" w:eastAsia="zh-CN"/>
              </w:rPr>
              <w:t>15</w:t>
            </w:r>
            <w:r>
              <w:rPr>
                <w:rFonts w:ascii="Times New Roman" w:hAnsi="Times New Roman"/>
                <w:b/>
                <w:bCs/>
                <w:color w:val="auto"/>
                <w:kern w:val="0"/>
                <w:sz w:val="21"/>
                <w:szCs w:val="21"/>
                <w:highlight w:val="none"/>
              </w:rPr>
              <w:t xml:space="preserve"> </w:t>
            </w:r>
            <w:r>
              <w:rPr>
                <w:rFonts w:hint="eastAsia" w:ascii="Times New Roman" w:hAnsi="Times New Roman" w:eastAsia="宋体" w:cs="Times New Roman"/>
                <w:b/>
                <w:bCs/>
                <w:color w:val="auto"/>
                <w:kern w:val="0"/>
                <w:sz w:val="21"/>
                <w:szCs w:val="21"/>
                <w:highlight w:val="none"/>
              </w:rPr>
              <w:t>《四川省固定污染源大气挥发性有机物排放标准》（DB51/2377-2017）</w:t>
            </w:r>
          </w:p>
          <w:tbl>
            <w:tblPr>
              <w:tblStyle w:val="42"/>
              <w:tblW w:w="8397"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87"/>
              <w:gridCol w:w="1228"/>
              <w:gridCol w:w="1131"/>
              <w:gridCol w:w="1596"/>
              <w:gridCol w:w="1691"/>
              <w:gridCol w:w="1864"/>
            </w:tblGrid>
            <w:tr w14:paraId="2F46D19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14" w:hRule="atLeast"/>
                <w:jc w:val="center"/>
              </w:trPr>
              <w:tc>
                <w:tcPr>
                  <w:tcW w:w="887" w:type="dxa"/>
                  <w:shd w:val="clear" w:color="auto" w:fill="auto"/>
                  <w:noWrap w:val="0"/>
                  <w:vAlign w:val="center"/>
                </w:tcPr>
                <w:p w14:paraId="6850EB6C">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b/>
                      <w:bCs/>
                      <w:color w:val="auto"/>
                      <w:kern w:val="0"/>
                      <w:sz w:val="21"/>
                      <w:szCs w:val="21"/>
                      <w:highlight w:val="none"/>
                      <w:vertAlign w:val="baseline"/>
                      <w:lang w:val="en-US" w:eastAsia="zh-CN"/>
                    </w:rPr>
                  </w:pPr>
                  <w:r>
                    <w:rPr>
                      <w:rFonts w:hint="eastAsia" w:ascii="Times New Roman" w:hAnsi="Times New Roman" w:eastAsia="宋体"/>
                      <w:b/>
                      <w:bCs/>
                      <w:color w:val="auto"/>
                      <w:kern w:val="0"/>
                      <w:sz w:val="21"/>
                      <w:szCs w:val="21"/>
                      <w:highlight w:val="none"/>
                      <w:vertAlign w:val="baseline"/>
                      <w:lang w:val="en-US" w:eastAsia="zh-CN"/>
                    </w:rPr>
                    <w:t>污染物</w:t>
                  </w:r>
                </w:p>
              </w:tc>
              <w:tc>
                <w:tcPr>
                  <w:tcW w:w="1228" w:type="dxa"/>
                  <w:shd w:val="clear" w:color="auto" w:fill="auto"/>
                  <w:noWrap w:val="0"/>
                  <w:vAlign w:val="center"/>
                </w:tcPr>
                <w:p w14:paraId="299EA237">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b/>
                      <w:bCs/>
                      <w:color w:val="auto"/>
                      <w:kern w:val="0"/>
                      <w:sz w:val="21"/>
                      <w:szCs w:val="21"/>
                      <w:highlight w:val="none"/>
                      <w:vertAlign w:val="baseline"/>
                      <w:lang w:val="en-US" w:eastAsia="zh-CN"/>
                    </w:rPr>
                  </w:pPr>
                  <w:r>
                    <w:rPr>
                      <w:rFonts w:hint="eastAsia" w:ascii="Times New Roman" w:hAnsi="Times New Roman"/>
                      <w:b/>
                      <w:bCs/>
                      <w:color w:val="auto"/>
                      <w:kern w:val="0"/>
                      <w:sz w:val="21"/>
                      <w:szCs w:val="21"/>
                      <w:highlight w:val="none"/>
                      <w:vertAlign w:val="baseline"/>
                      <w:lang w:val="en-US" w:eastAsia="zh-CN"/>
                    </w:rPr>
                    <w:t>最高允许排放浓度（mg/m</w:t>
                  </w:r>
                  <w:r>
                    <w:rPr>
                      <w:rFonts w:hint="eastAsia" w:ascii="Times New Roman" w:hAnsi="Times New Roman"/>
                      <w:b/>
                      <w:bCs/>
                      <w:color w:val="auto"/>
                      <w:kern w:val="0"/>
                      <w:sz w:val="21"/>
                      <w:szCs w:val="21"/>
                      <w:highlight w:val="none"/>
                      <w:vertAlign w:val="superscript"/>
                      <w:lang w:val="en-US" w:eastAsia="zh-CN"/>
                    </w:rPr>
                    <w:t>3</w:t>
                  </w:r>
                  <w:r>
                    <w:rPr>
                      <w:rFonts w:hint="eastAsia" w:ascii="Times New Roman" w:hAnsi="Times New Roman"/>
                      <w:b/>
                      <w:bCs/>
                      <w:color w:val="auto"/>
                      <w:kern w:val="0"/>
                      <w:sz w:val="21"/>
                      <w:szCs w:val="21"/>
                      <w:highlight w:val="none"/>
                      <w:vertAlign w:val="baseline"/>
                      <w:lang w:val="en-US" w:eastAsia="zh-CN"/>
                    </w:rPr>
                    <w:t>）</w:t>
                  </w:r>
                </w:p>
              </w:tc>
              <w:tc>
                <w:tcPr>
                  <w:tcW w:w="1131" w:type="dxa"/>
                  <w:shd w:val="clear" w:color="auto" w:fill="auto"/>
                  <w:noWrap w:val="0"/>
                  <w:vAlign w:val="center"/>
                </w:tcPr>
                <w:p w14:paraId="7FC22A5D">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b/>
                      <w:bCs/>
                      <w:color w:val="auto"/>
                      <w:kern w:val="0"/>
                      <w:sz w:val="21"/>
                      <w:szCs w:val="21"/>
                      <w:highlight w:val="none"/>
                      <w:vertAlign w:val="baseline"/>
                      <w:lang w:val="en-US" w:eastAsia="zh-CN"/>
                    </w:rPr>
                  </w:pPr>
                  <w:r>
                    <w:rPr>
                      <w:rFonts w:hint="eastAsia" w:ascii="Times New Roman" w:hAnsi="Times New Roman" w:eastAsia="宋体"/>
                      <w:b/>
                      <w:bCs/>
                      <w:color w:val="auto"/>
                      <w:kern w:val="0"/>
                      <w:sz w:val="21"/>
                      <w:szCs w:val="21"/>
                      <w:highlight w:val="none"/>
                      <w:vertAlign w:val="baseline"/>
                      <w:lang w:val="en-US" w:eastAsia="zh-CN"/>
                    </w:rPr>
                    <w:t>排气筒高度（m）</w:t>
                  </w:r>
                </w:p>
              </w:tc>
              <w:tc>
                <w:tcPr>
                  <w:tcW w:w="1596" w:type="dxa"/>
                  <w:shd w:val="clear" w:color="auto" w:fill="auto"/>
                  <w:noWrap w:val="0"/>
                  <w:vAlign w:val="center"/>
                </w:tcPr>
                <w:p w14:paraId="45174C6E">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b/>
                      <w:bCs/>
                      <w:color w:val="auto"/>
                      <w:kern w:val="0"/>
                      <w:sz w:val="21"/>
                      <w:szCs w:val="21"/>
                      <w:highlight w:val="none"/>
                      <w:vertAlign w:val="baseline"/>
                      <w:lang w:val="en-US" w:eastAsia="zh-CN"/>
                    </w:rPr>
                  </w:pPr>
                  <w:r>
                    <w:rPr>
                      <w:rFonts w:hint="eastAsia"/>
                      <w:b/>
                      <w:bCs/>
                      <w:color w:val="auto"/>
                      <w:kern w:val="0"/>
                      <w:sz w:val="21"/>
                      <w:szCs w:val="21"/>
                      <w:highlight w:val="none"/>
                      <w:vertAlign w:val="baseline"/>
                      <w:lang w:val="en-US" w:eastAsia="zh-CN"/>
                    </w:rPr>
                    <w:t>排放速率（kg/h）</w:t>
                  </w:r>
                </w:p>
              </w:tc>
              <w:tc>
                <w:tcPr>
                  <w:tcW w:w="1691" w:type="dxa"/>
                  <w:shd w:val="clear" w:color="auto" w:fill="auto"/>
                  <w:noWrap w:val="0"/>
                  <w:vAlign w:val="center"/>
                </w:tcPr>
                <w:p w14:paraId="55278B4D">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b/>
                      <w:bCs/>
                      <w:color w:val="auto"/>
                      <w:kern w:val="0"/>
                      <w:sz w:val="21"/>
                      <w:szCs w:val="21"/>
                      <w:highlight w:val="none"/>
                      <w:vertAlign w:val="baseline"/>
                      <w:lang w:val="en-US" w:eastAsia="zh-CN"/>
                    </w:rPr>
                  </w:pPr>
                  <w:r>
                    <w:rPr>
                      <w:rFonts w:hint="eastAsia" w:ascii="Times New Roman" w:hAnsi="Times New Roman"/>
                      <w:b/>
                      <w:bCs/>
                      <w:color w:val="auto"/>
                      <w:kern w:val="0"/>
                      <w:sz w:val="21"/>
                      <w:szCs w:val="21"/>
                      <w:highlight w:val="none"/>
                      <w:vertAlign w:val="baseline"/>
                      <w:lang w:val="en-US" w:eastAsia="zh-CN"/>
                    </w:rPr>
                    <w:t>无组织排放监控浓度（mg/m</w:t>
                  </w:r>
                  <w:r>
                    <w:rPr>
                      <w:rFonts w:hint="eastAsia" w:ascii="Times New Roman" w:hAnsi="Times New Roman"/>
                      <w:b/>
                      <w:bCs/>
                      <w:color w:val="auto"/>
                      <w:kern w:val="0"/>
                      <w:sz w:val="21"/>
                      <w:szCs w:val="21"/>
                      <w:highlight w:val="none"/>
                      <w:vertAlign w:val="superscript"/>
                      <w:lang w:val="en-US" w:eastAsia="zh-CN"/>
                    </w:rPr>
                    <w:t>3</w:t>
                  </w:r>
                  <w:r>
                    <w:rPr>
                      <w:rFonts w:hint="eastAsia" w:ascii="Times New Roman" w:hAnsi="Times New Roman"/>
                      <w:b/>
                      <w:bCs/>
                      <w:color w:val="auto"/>
                      <w:kern w:val="0"/>
                      <w:sz w:val="21"/>
                      <w:szCs w:val="21"/>
                      <w:highlight w:val="none"/>
                      <w:vertAlign w:val="baseline"/>
                      <w:lang w:val="en-US" w:eastAsia="zh-CN"/>
                    </w:rPr>
                    <w:t>）</w:t>
                  </w:r>
                </w:p>
              </w:tc>
              <w:tc>
                <w:tcPr>
                  <w:tcW w:w="1864" w:type="dxa"/>
                  <w:shd w:val="clear" w:color="auto" w:fill="auto"/>
                  <w:noWrap w:val="0"/>
                  <w:vAlign w:val="center"/>
                </w:tcPr>
                <w:p w14:paraId="63400C5D">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b/>
                      <w:bCs/>
                      <w:color w:val="auto"/>
                      <w:kern w:val="0"/>
                      <w:sz w:val="21"/>
                      <w:szCs w:val="21"/>
                      <w:highlight w:val="none"/>
                      <w:vertAlign w:val="baseline"/>
                      <w:lang w:val="en-US" w:eastAsia="zh-CN"/>
                    </w:rPr>
                  </w:pPr>
                  <w:r>
                    <w:rPr>
                      <w:rFonts w:hint="eastAsia" w:ascii="Times New Roman" w:hAnsi="Times New Roman"/>
                      <w:b/>
                      <w:bCs/>
                      <w:color w:val="auto"/>
                      <w:kern w:val="0"/>
                      <w:sz w:val="21"/>
                      <w:szCs w:val="21"/>
                      <w:highlight w:val="none"/>
                      <w:vertAlign w:val="baseline"/>
                      <w:lang w:val="en-US" w:eastAsia="zh-CN"/>
                    </w:rPr>
                    <w:t>备注</w:t>
                  </w:r>
                </w:p>
              </w:tc>
            </w:tr>
            <w:tr w14:paraId="259251C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887" w:type="dxa"/>
                  <w:noWrap w:val="0"/>
                  <w:vAlign w:val="center"/>
                </w:tcPr>
                <w:p w14:paraId="32CE2539">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b w:val="0"/>
                      <w:bCs w:val="0"/>
                      <w:color w:val="auto"/>
                      <w:kern w:val="0"/>
                      <w:sz w:val="21"/>
                      <w:szCs w:val="21"/>
                      <w:highlight w:val="none"/>
                      <w:vertAlign w:val="baseline"/>
                      <w:lang w:val="en-US" w:eastAsia="zh-CN"/>
                    </w:rPr>
                  </w:pPr>
                  <w:r>
                    <w:rPr>
                      <w:rFonts w:hint="eastAsia" w:ascii="Times New Roman" w:hAnsi="Times New Roman"/>
                      <w:b w:val="0"/>
                      <w:bCs w:val="0"/>
                      <w:color w:val="auto"/>
                      <w:kern w:val="0"/>
                      <w:sz w:val="21"/>
                      <w:szCs w:val="21"/>
                      <w:highlight w:val="none"/>
                      <w:vertAlign w:val="baseline"/>
                      <w:lang w:val="en-US" w:eastAsia="zh-CN"/>
                    </w:rPr>
                    <w:t>VOCs</w:t>
                  </w:r>
                  <w:r>
                    <w:rPr>
                      <w:rFonts w:hint="eastAsia"/>
                      <w:b w:val="0"/>
                      <w:bCs w:val="0"/>
                      <w:color w:val="auto"/>
                      <w:kern w:val="0"/>
                      <w:sz w:val="21"/>
                      <w:szCs w:val="21"/>
                      <w:highlight w:val="none"/>
                      <w:vertAlign w:val="baseline"/>
                      <w:lang w:val="en-US" w:eastAsia="zh-CN"/>
                    </w:rPr>
                    <w:t>（DA003）</w:t>
                  </w:r>
                </w:p>
              </w:tc>
              <w:tc>
                <w:tcPr>
                  <w:tcW w:w="1228" w:type="dxa"/>
                  <w:noWrap w:val="0"/>
                  <w:vAlign w:val="center"/>
                </w:tcPr>
                <w:p w14:paraId="10B131C7">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b w:val="0"/>
                      <w:bCs w:val="0"/>
                      <w:color w:val="auto"/>
                      <w:kern w:val="0"/>
                      <w:sz w:val="21"/>
                      <w:szCs w:val="21"/>
                      <w:highlight w:val="none"/>
                      <w:vertAlign w:val="baseline"/>
                      <w:lang w:val="en-US" w:eastAsia="zh-CN"/>
                    </w:rPr>
                  </w:pPr>
                  <w:r>
                    <w:rPr>
                      <w:rFonts w:hint="eastAsia"/>
                      <w:b w:val="0"/>
                      <w:bCs w:val="0"/>
                      <w:color w:val="auto"/>
                      <w:kern w:val="0"/>
                      <w:sz w:val="21"/>
                      <w:szCs w:val="21"/>
                      <w:highlight w:val="none"/>
                      <w:vertAlign w:val="baseline"/>
                      <w:lang w:val="en-US" w:eastAsia="zh-CN"/>
                    </w:rPr>
                    <w:t>60</w:t>
                  </w:r>
                </w:p>
              </w:tc>
              <w:tc>
                <w:tcPr>
                  <w:tcW w:w="1131" w:type="dxa"/>
                  <w:noWrap w:val="0"/>
                  <w:vAlign w:val="center"/>
                </w:tcPr>
                <w:p w14:paraId="1333E7A6">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b w:val="0"/>
                      <w:bCs w:val="0"/>
                      <w:color w:val="auto"/>
                      <w:kern w:val="0"/>
                      <w:sz w:val="21"/>
                      <w:szCs w:val="21"/>
                      <w:highlight w:val="none"/>
                      <w:vertAlign w:val="baseline"/>
                      <w:lang w:val="en-US" w:eastAsia="zh-CN"/>
                    </w:rPr>
                  </w:pPr>
                  <w:r>
                    <w:rPr>
                      <w:rFonts w:hint="eastAsia"/>
                      <w:b w:val="0"/>
                      <w:bCs w:val="0"/>
                      <w:color w:val="auto"/>
                      <w:kern w:val="0"/>
                      <w:sz w:val="21"/>
                      <w:szCs w:val="21"/>
                      <w:highlight w:val="none"/>
                      <w:vertAlign w:val="baseline"/>
                      <w:lang w:val="en-US" w:eastAsia="zh-CN"/>
                    </w:rPr>
                    <w:t>15</w:t>
                  </w:r>
                </w:p>
              </w:tc>
              <w:tc>
                <w:tcPr>
                  <w:tcW w:w="1596" w:type="dxa"/>
                  <w:noWrap w:val="0"/>
                  <w:vAlign w:val="center"/>
                </w:tcPr>
                <w:p w14:paraId="146B50E5">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b w:val="0"/>
                      <w:bCs w:val="0"/>
                      <w:color w:val="auto"/>
                      <w:kern w:val="0"/>
                      <w:sz w:val="21"/>
                      <w:szCs w:val="21"/>
                      <w:highlight w:val="none"/>
                      <w:vertAlign w:val="baseline"/>
                      <w:lang w:val="en-US" w:eastAsia="zh-CN"/>
                    </w:rPr>
                  </w:pPr>
                  <w:r>
                    <w:rPr>
                      <w:rFonts w:hint="eastAsia"/>
                      <w:b w:val="0"/>
                      <w:bCs w:val="0"/>
                      <w:color w:val="auto"/>
                      <w:kern w:val="0"/>
                      <w:sz w:val="21"/>
                      <w:szCs w:val="21"/>
                      <w:highlight w:val="none"/>
                      <w:vertAlign w:val="baseline"/>
                      <w:lang w:val="en-US" w:eastAsia="zh-CN"/>
                    </w:rPr>
                    <w:t>1.7</w:t>
                  </w:r>
                </w:p>
              </w:tc>
              <w:tc>
                <w:tcPr>
                  <w:tcW w:w="1691" w:type="dxa"/>
                  <w:noWrap w:val="0"/>
                  <w:vAlign w:val="center"/>
                </w:tcPr>
                <w:p w14:paraId="5E0B45D0">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b w:val="0"/>
                      <w:bCs w:val="0"/>
                      <w:color w:val="auto"/>
                      <w:kern w:val="0"/>
                      <w:sz w:val="21"/>
                      <w:szCs w:val="21"/>
                      <w:highlight w:val="none"/>
                      <w:lang w:val="en-US" w:eastAsia="zh-CN"/>
                    </w:rPr>
                  </w:pPr>
                  <w:r>
                    <w:rPr>
                      <w:rFonts w:hint="eastAsia" w:ascii="Times New Roman" w:hAnsi="Times New Roman" w:eastAsia="宋体"/>
                      <w:b w:val="0"/>
                      <w:bCs w:val="0"/>
                      <w:color w:val="auto"/>
                      <w:kern w:val="0"/>
                      <w:sz w:val="21"/>
                      <w:szCs w:val="21"/>
                      <w:highlight w:val="none"/>
                      <w:vertAlign w:val="baseline"/>
                      <w:lang w:val="en-US" w:eastAsia="zh-CN"/>
                    </w:rPr>
                    <w:t>2.0</w:t>
                  </w:r>
                </w:p>
              </w:tc>
              <w:tc>
                <w:tcPr>
                  <w:tcW w:w="1864" w:type="dxa"/>
                  <w:noWrap w:val="0"/>
                  <w:vAlign w:val="center"/>
                </w:tcPr>
                <w:p w14:paraId="34630880">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b w:val="0"/>
                      <w:bCs w:val="0"/>
                      <w:color w:val="auto"/>
                      <w:kern w:val="0"/>
                      <w:sz w:val="21"/>
                      <w:szCs w:val="21"/>
                      <w:highlight w:val="none"/>
                      <w:lang w:val="en-US" w:eastAsia="zh-CN"/>
                    </w:rPr>
                  </w:pPr>
                  <w:r>
                    <w:rPr>
                      <w:rFonts w:hint="eastAsia"/>
                      <w:b w:val="0"/>
                      <w:bCs w:val="0"/>
                      <w:color w:val="auto"/>
                      <w:kern w:val="0"/>
                      <w:sz w:val="21"/>
                      <w:szCs w:val="21"/>
                      <w:highlight w:val="none"/>
                      <w:vertAlign w:val="baseline"/>
                      <w:lang w:val="en-US" w:eastAsia="zh-CN"/>
                    </w:rPr>
                    <w:t>未高出排气筒周围半径200m范围内建筑物3m以上，排放速率严格50%执行。</w:t>
                  </w:r>
                </w:p>
              </w:tc>
            </w:tr>
          </w:tbl>
          <w:p w14:paraId="58BDE58F">
            <w:pPr>
              <w:pStyle w:val="66"/>
              <w:spacing w:line="360" w:lineRule="auto"/>
              <w:ind w:firstLine="482"/>
              <w:rPr>
                <w:rFonts w:hint="eastAsia" w:ascii="Times New Roman" w:hAnsi="Times New Roman" w:eastAsia="宋体" w:cs="Times New Roman"/>
                <w:b/>
                <w:bCs/>
                <w:color w:val="auto"/>
              </w:rPr>
            </w:pPr>
            <w:r>
              <w:rPr>
                <w:rFonts w:hint="eastAsia" w:ascii="Times New Roman" w:hAnsi="Times New Roman" w:eastAsia="宋体" w:cs="Times New Roman"/>
                <w:b/>
                <w:bCs/>
                <w:color w:val="auto"/>
              </w:rPr>
              <w:t>2、废水</w:t>
            </w:r>
          </w:p>
          <w:p w14:paraId="6361AB43">
            <w:pPr>
              <w:pStyle w:val="66"/>
              <w:spacing w:line="360" w:lineRule="auto"/>
              <w:rPr>
                <w:rFonts w:hint="default" w:ascii="Times New Roman" w:hAnsi="Times New Roman" w:cs="Times New Roman"/>
                <w:bCs/>
                <w:color w:val="000000" w:themeColor="text1"/>
                <w:sz w:val="24"/>
                <w:lang w:val="en-US" w:eastAsia="zh-CN"/>
                <w14:textFill>
                  <w14:solidFill>
                    <w14:schemeClr w14:val="tx1"/>
                  </w14:solidFill>
                </w14:textFill>
              </w:rPr>
            </w:pPr>
            <w:r>
              <w:rPr>
                <w:rFonts w:hint="eastAsia" w:cs="Times New Roman"/>
                <w:color w:val="auto"/>
                <w:lang w:val="en-US" w:eastAsia="zh-CN"/>
              </w:rPr>
              <w:t>根据生态环境部《关于行业标准生活污水执行问题的回复》：橡胶制品工业污染物排放标准》（GB 27632-2011）和《电池工业污染物排放标准》（GB 30484-2013）均在“排水量”定义中明确外排废水包括厂区生活污水，主要考虑是防范与生产相关的厂区生活污水中混入行业特征污染物，以及生产废水经由生活污水排水管道排放等情况的发生。为此，相关企业的厂区生活污水原则上应当按行业排放标准进行管控。若生活与生产废水完全隔绝，且采取了有效措施防止二者混排等风险，这类生活污水可按一般生活污水管理。另外，</w:t>
            </w:r>
            <w:r>
              <w:rPr>
                <w:rFonts w:hint="default" w:ascii="Times New Roman" w:hAnsi="Times New Roman" w:cs="Times New Roman"/>
                <w:bCs/>
                <w:color w:val="auto"/>
                <w:sz w:val="24"/>
                <w:lang w:val="en-US" w:eastAsia="zh-CN"/>
              </w:rPr>
              <w:t>根据《关于执行电池工业污染物排放标准有关问题的复函》（环函</w:t>
            </w:r>
            <w:r>
              <w:rPr>
                <w:rFonts w:hint="default" w:ascii="Times New Roman" w:hAnsi="Times New Roman" w:eastAsia="宋体" w:cs="Times New Roman"/>
                <w:color w:val="auto"/>
                <w:lang w:eastAsia="zh-CN"/>
              </w:rPr>
              <w:t>﹝201</w:t>
            </w:r>
            <w:r>
              <w:rPr>
                <w:rFonts w:hint="default" w:ascii="Times New Roman" w:hAnsi="Times New Roman" w:eastAsia="宋体" w:cs="Times New Roman"/>
                <w:color w:val="auto"/>
                <w:lang w:val="en-US" w:eastAsia="zh-CN"/>
              </w:rPr>
              <w:t>4</w:t>
            </w:r>
            <w:r>
              <w:rPr>
                <w:rFonts w:hint="default" w:ascii="Times New Roman" w:hAnsi="Times New Roman" w:eastAsia="宋体" w:cs="Times New Roman"/>
                <w:color w:val="auto"/>
                <w:lang w:eastAsia="zh-CN"/>
              </w:rPr>
              <w:t>﹞</w:t>
            </w:r>
            <w:r>
              <w:rPr>
                <w:rFonts w:hint="default" w:ascii="Times New Roman" w:hAnsi="Times New Roman" w:cs="Times New Roman"/>
                <w:bCs/>
                <w:color w:val="auto"/>
                <w:sz w:val="24"/>
                <w:lang w:val="en-US" w:eastAsia="zh-CN"/>
              </w:rPr>
              <w:t>170号），锂离子电池</w:t>
            </w:r>
            <w:r>
              <w:rPr>
                <w:rFonts w:hint="default" w:ascii="Times New Roman" w:hAnsi="Times New Roman" w:cs="Times New Roman"/>
                <w:bCs/>
                <w:color w:val="000000" w:themeColor="text1"/>
                <w:sz w:val="24"/>
                <w:lang w:val="en-US" w:eastAsia="zh-CN"/>
                <w14:textFill>
                  <w14:solidFill>
                    <w14:schemeClr w14:val="tx1"/>
                  </w14:solidFill>
                </w14:textFill>
              </w:rPr>
              <w:t>基准排水量为0.8</w:t>
            </w:r>
            <w:r>
              <w:rPr>
                <w:rFonts w:hint="eastAsia" w:cs="Times New Roman"/>
                <w:bCs/>
                <w:color w:val="000000" w:themeColor="text1"/>
                <w:sz w:val="24"/>
                <w:lang w:val="en-US" w:eastAsia="zh-CN"/>
                <w14:textFill>
                  <w14:solidFill>
                    <w14:schemeClr w14:val="tx1"/>
                  </w14:solidFill>
                </w14:textFill>
              </w:rPr>
              <w:t>m</w:t>
            </w:r>
            <w:r>
              <w:rPr>
                <w:rFonts w:hint="eastAsia" w:cs="Times New Roman"/>
                <w:bCs/>
                <w:color w:val="000000" w:themeColor="text1"/>
                <w:sz w:val="24"/>
                <w:vertAlign w:val="superscript"/>
                <w:lang w:val="en-US" w:eastAsia="zh-CN"/>
                <w14:textFill>
                  <w14:solidFill>
                    <w14:schemeClr w14:val="tx1"/>
                  </w14:solidFill>
                </w14:textFill>
              </w:rPr>
              <w:t>3</w:t>
            </w:r>
            <w:r>
              <w:rPr>
                <w:rFonts w:hint="default" w:ascii="Times New Roman" w:hAnsi="Times New Roman" w:cs="Times New Roman"/>
                <w:bCs/>
                <w:color w:val="000000" w:themeColor="text1"/>
                <w:sz w:val="24"/>
                <w:lang w:val="en-US" w:eastAsia="zh-CN"/>
                <w14:textFill>
                  <w14:solidFill>
                    <w14:schemeClr w14:val="tx1"/>
                  </w14:solidFill>
                </w14:textFill>
              </w:rPr>
              <w:t>/万Ah</w:t>
            </w:r>
            <w:r>
              <w:rPr>
                <w:rFonts w:hint="eastAsia" w:ascii="Times New Roman" w:hAnsi="Times New Roman" w:cs="Times New Roman"/>
                <w:bCs/>
                <w:color w:val="000000" w:themeColor="text1"/>
                <w:sz w:val="24"/>
                <w:lang w:val="en-US" w:eastAsia="zh-CN"/>
                <w14:textFill>
                  <w14:solidFill>
                    <w14:schemeClr w14:val="tx1"/>
                  </w14:solidFill>
                </w14:textFill>
              </w:rPr>
              <w:t>。</w:t>
            </w:r>
          </w:p>
          <w:p w14:paraId="46E19EE7">
            <w:pPr>
              <w:pStyle w:val="66"/>
              <w:spacing w:line="360" w:lineRule="auto"/>
              <w:rPr>
                <w:rFonts w:hint="default" w:ascii="Times New Roman" w:hAnsi="Times New Roman" w:cs="Times New Roman"/>
                <w:bCs/>
                <w:color w:val="auto"/>
                <w:sz w:val="24"/>
                <w:lang w:val="en-US" w:eastAsia="zh-CN"/>
              </w:rPr>
            </w:pPr>
            <w:r>
              <w:rPr>
                <w:rFonts w:hint="eastAsia" w:ascii="宋体" w:hAnsi="宋体" w:cs="宋体"/>
                <w:color w:val="000000" w:themeColor="text1"/>
                <w:sz w:val="24"/>
                <w:szCs w:val="24"/>
                <w:lang w:val="en-US" w:eastAsia="zh-CN"/>
                <w14:textFill>
                  <w14:solidFill>
                    <w14:schemeClr w14:val="tx1"/>
                  </w14:solidFill>
                </w14:textFill>
              </w:rPr>
              <w:t>根据建设单位提供资料，</w:t>
            </w:r>
            <w:r>
              <w:rPr>
                <w:rFonts w:ascii="宋体" w:hAnsi="宋体" w:eastAsia="宋体" w:cs="宋体"/>
                <w:color w:val="000000" w:themeColor="text1"/>
                <w:sz w:val="24"/>
                <w:szCs w:val="24"/>
                <w14:textFill>
                  <w14:solidFill>
                    <w14:schemeClr w14:val="tx1"/>
                  </w14:solidFill>
                </w14:textFill>
              </w:rPr>
              <w:t>项目电芯生产设施布置于独立洁净生产区域</w:t>
            </w:r>
            <w:r>
              <w:rPr>
                <w:rFonts w:hint="eastAsia" w:ascii="宋体" w:hAnsi="宋体" w:eastAsia="宋体" w:cs="宋体"/>
                <w:color w:val="000000" w:themeColor="text1"/>
                <w:sz w:val="24"/>
                <w:szCs w:val="24"/>
                <w:lang w:val="en-US" w:eastAsia="zh-CN"/>
                <w14:textFill>
                  <w14:solidFill>
                    <w14:schemeClr w14:val="tx1"/>
                  </w14:solidFill>
                </w14:textFill>
              </w:rPr>
              <w:t>内</w:t>
            </w:r>
            <w:r>
              <w:rPr>
                <w:rFonts w:ascii="宋体" w:hAnsi="宋体" w:eastAsia="宋体" w:cs="宋体"/>
                <w:color w:val="000000" w:themeColor="text1"/>
                <w:sz w:val="24"/>
                <w:szCs w:val="24"/>
                <w14:textFill>
                  <w14:solidFill>
                    <w14:schemeClr w14:val="tx1"/>
                  </w14:solidFill>
                </w14:textFill>
              </w:rPr>
              <w:t>，与办公区物理隔离</w:t>
            </w:r>
            <w:r>
              <w:rPr>
                <w:rFonts w:hint="eastAsia" w:cs="Times New Roman"/>
                <w:color w:val="000000" w:themeColor="text1"/>
                <w:lang w:val="en-US" w:eastAsia="zh-CN"/>
                <w14:textFill>
                  <w14:solidFill>
                    <w14:schemeClr w14:val="tx1"/>
                  </w14:solidFill>
                </w14:textFill>
              </w:rPr>
              <w:t>，且</w:t>
            </w:r>
            <w:r>
              <w:rPr>
                <w:rFonts w:hint="eastAsia" w:ascii="Segoe UI" w:hAnsi="Segoe UI" w:eastAsia="宋体" w:cs="Segoe UI"/>
                <w:i w:val="0"/>
                <w:iCs w:val="0"/>
                <w:caps w:val="0"/>
                <w:color w:val="000000" w:themeColor="text1"/>
                <w:spacing w:val="0"/>
                <w:sz w:val="24"/>
                <w:szCs w:val="24"/>
                <w:shd w:val="clear" w:fill="FFFFFF"/>
                <w:lang w:val="en-US" w:eastAsia="zh-CN"/>
                <w14:textFill>
                  <w14:solidFill>
                    <w14:schemeClr w14:val="tx1"/>
                  </w14:solidFill>
                </w14:textFill>
              </w:rPr>
              <w:t>电芯生产区独立敷设废水收集管道，经收集至厂区污水治理设施处理，处理后的废水达</w:t>
            </w:r>
            <w:r>
              <w:rPr>
                <w:rFonts w:hint="default" w:ascii="Times New Roman" w:hAnsi="Times New Roman" w:eastAsia="宋体" w:cs="Times New Roman"/>
                <w:bCs/>
                <w:color w:val="000000" w:themeColor="text1"/>
                <w:sz w:val="24"/>
                <w:lang w:val="en-US" w:eastAsia="zh-CN"/>
                <w14:textFill>
                  <w14:solidFill>
                    <w14:schemeClr w14:val="tx1"/>
                  </w14:solidFill>
                </w14:textFill>
              </w:rPr>
              <w:t>《电池工业污染物排放标准》（GB 30484-2013）</w:t>
            </w:r>
            <w:r>
              <w:rPr>
                <w:rFonts w:hint="eastAsia" w:ascii="Times New Roman" w:hAnsi="Times New Roman" w:eastAsia="宋体" w:cs="Times New Roman"/>
                <w:bCs/>
                <w:color w:val="000000" w:themeColor="text1"/>
                <w:sz w:val="24"/>
                <w:lang w:val="en-US" w:eastAsia="zh-CN"/>
                <w14:textFill>
                  <w14:solidFill>
                    <w14:schemeClr w14:val="tx1"/>
                  </w14:solidFill>
                </w14:textFill>
              </w:rPr>
              <w:t>标准后汇入厂区管网再同其它废水混合排放</w:t>
            </w:r>
            <w:r>
              <w:rPr>
                <w:rFonts w:hint="eastAsia" w:cs="Times New Roman"/>
                <w:color w:val="000000" w:themeColor="text1"/>
                <w:lang w:val="en-US" w:eastAsia="zh-CN"/>
                <w14:textFill>
                  <w14:solidFill>
                    <w14:schemeClr w14:val="tx1"/>
                  </w14:solidFill>
                </w14:textFill>
              </w:rPr>
              <w:t>。因此，项目废水总排口</w:t>
            </w:r>
            <w:r>
              <w:rPr>
                <w:rFonts w:hint="default" w:ascii="Times New Roman" w:hAnsi="Times New Roman" w:cs="Times New Roman"/>
                <w:color w:val="000000" w:themeColor="text1"/>
                <w:lang w:val="en-US" w:eastAsia="zh-CN"/>
                <w14:textFill>
                  <w14:solidFill>
                    <w14:schemeClr w14:val="tx1"/>
                  </w14:solidFill>
                </w14:textFill>
              </w:rPr>
              <w:t>执行</w:t>
            </w:r>
            <w:r>
              <w:rPr>
                <w:rFonts w:hint="default" w:ascii="Times New Roman" w:hAnsi="Times New Roman" w:eastAsia="宋体" w:cs="Times New Roman"/>
                <w:bCs/>
                <w:color w:val="000000" w:themeColor="text1"/>
                <w:sz w:val="24"/>
                <w:lang w:val="en-US" w:eastAsia="zh-CN"/>
                <w14:textFill>
                  <w14:solidFill>
                    <w14:schemeClr w14:val="tx1"/>
                  </w14:solidFill>
                </w14:textFill>
              </w:rPr>
              <w:t>《电池工业污染物排放标准》（GB 30484-2013）</w:t>
            </w:r>
            <w:r>
              <w:rPr>
                <w:rFonts w:hint="default" w:ascii="Times New Roman" w:hAnsi="Times New Roman" w:cs="Times New Roman"/>
                <w:color w:val="000000" w:themeColor="text1"/>
                <w:lang w:val="en-US" w:eastAsia="zh-CN"/>
                <w14:textFill>
                  <w14:solidFill>
                    <w14:schemeClr w14:val="tx1"/>
                  </w14:solidFill>
                </w14:textFill>
              </w:rPr>
              <w:t>表2中</w:t>
            </w:r>
            <w:r>
              <w:rPr>
                <w:rFonts w:hint="eastAsia"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间接排放</w:t>
            </w:r>
            <w:r>
              <w:rPr>
                <w:rFonts w:hint="eastAsia"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限</w:t>
            </w:r>
            <w:r>
              <w:rPr>
                <w:rFonts w:hint="default" w:ascii="Times New Roman" w:hAnsi="Times New Roman" w:cs="Times New Roman"/>
                <w:color w:val="auto"/>
                <w:lang w:val="en-US" w:eastAsia="zh-CN"/>
              </w:rPr>
              <w:t>值</w:t>
            </w:r>
            <w:r>
              <w:rPr>
                <w:rFonts w:hint="default" w:ascii="Times New Roman" w:hAnsi="Times New Roman" w:cs="Times New Roman"/>
                <w:bCs/>
                <w:color w:val="auto"/>
                <w:sz w:val="24"/>
                <w:lang w:val="en-US" w:eastAsia="zh-CN"/>
              </w:rPr>
              <w:t>。</w:t>
            </w:r>
          </w:p>
          <w:p w14:paraId="74A28B31">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表3-</w:t>
            </w:r>
            <w:r>
              <w:rPr>
                <w:rFonts w:hint="eastAsia" w:cs="Times New Roman"/>
                <w:b/>
                <w:bCs/>
                <w:color w:val="auto"/>
                <w:kern w:val="0"/>
                <w:sz w:val="21"/>
                <w:szCs w:val="21"/>
                <w:highlight w:val="none"/>
                <w:lang w:val="en-US" w:eastAsia="zh-CN"/>
              </w:rPr>
              <w:t>16</w:t>
            </w:r>
            <w:r>
              <w:rPr>
                <w:rFonts w:hint="default" w:ascii="Times New Roman" w:hAnsi="Times New Roman" w:eastAsia="宋体" w:cs="Times New Roman"/>
                <w:b/>
                <w:bCs/>
                <w:color w:val="auto"/>
                <w:kern w:val="0"/>
                <w:sz w:val="21"/>
                <w:szCs w:val="21"/>
                <w:highlight w:val="none"/>
              </w:rPr>
              <w:t xml:space="preserve"> </w:t>
            </w:r>
            <w:r>
              <w:rPr>
                <w:rFonts w:hint="default" w:ascii="Times New Roman" w:hAnsi="Times New Roman" w:eastAsia="宋体" w:cs="Times New Roman"/>
                <w:b/>
                <w:bCs/>
                <w:color w:val="auto"/>
                <w:kern w:val="0"/>
                <w:sz w:val="21"/>
                <w:szCs w:val="21"/>
                <w:highlight w:val="none"/>
                <w:lang w:val="en-US" w:eastAsia="zh-CN"/>
              </w:rPr>
              <w:t>《电池工业污染物排放标准》（GB 30484-2013）</w:t>
            </w:r>
            <w:r>
              <w:rPr>
                <w:rFonts w:hint="default" w:ascii="Times New Roman" w:hAnsi="Times New Roman" w:eastAsia="宋体" w:cs="Times New Roman"/>
                <w:b/>
                <w:bCs/>
                <w:color w:val="auto"/>
                <w:kern w:val="0"/>
                <w:sz w:val="21"/>
                <w:szCs w:val="21"/>
                <w:highlight w:val="none"/>
              </w:rPr>
              <w:t xml:space="preserve">    单位：mg/L</w:t>
            </w:r>
          </w:p>
          <w:tbl>
            <w:tblPr>
              <w:tblStyle w:val="41"/>
              <w:tblW w:w="5105"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3" w:type="dxa"/>
                <w:bottom w:w="0" w:type="dxa"/>
                <w:right w:w="23" w:type="dxa"/>
              </w:tblCellMar>
            </w:tblPr>
            <w:tblGrid>
              <w:gridCol w:w="645"/>
              <w:gridCol w:w="800"/>
              <w:gridCol w:w="850"/>
              <w:gridCol w:w="575"/>
              <w:gridCol w:w="538"/>
              <w:gridCol w:w="787"/>
              <w:gridCol w:w="613"/>
              <w:gridCol w:w="487"/>
              <w:gridCol w:w="513"/>
              <w:gridCol w:w="625"/>
              <w:gridCol w:w="425"/>
              <w:gridCol w:w="412"/>
              <w:gridCol w:w="388"/>
              <w:gridCol w:w="791"/>
            </w:tblGrid>
            <w:tr w14:paraId="537DD9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400" w:hRule="atLeast"/>
                <w:jc w:val="center"/>
              </w:trPr>
              <w:tc>
                <w:tcPr>
                  <w:tcW w:w="381" w:type="pct"/>
                  <w:noWrap w:val="0"/>
                  <w:vAlign w:val="center"/>
                </w:tcPr>
                <w:p w14:paraId="4774B4F4">
                  <w:pPr>
                    <w:keepNext w:val="0"/>
                    <w:keepLines w:val="0"/>
                    <w:pageBreakBefore w:val="0"/>
                    <w:widowControl w:val="0"/>
                    <w:kinsoku/>
                    <w:wordWrap/>
                    <w:overflowPunct/>
                    <w:topLinePunct w:val="0"/>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类别</w:t>
                  </w:r>
                </w:p>
              </w:tc>
              <w:tc>
                <w:tcPr>
                  <w:tcW w:w="473" w:type="pct"/>
                  <w:noWrap w:val="0"/>
                  <w:vAlign w:val="center"/>
                </w:tcPr>
                <w:p w14:paraId="5276C146">
                  <w:pPr>
                    <w:keepNext w:val="0"/>
                    <w:keepLines w:val="0"/>
                    <w:pageBreakBefore w:val="0"/>
                    <w:widowControl w:val="0"/>
                    <w:kinsoku/>
                    <w:wordWrap/>
                    <w:overflowPunct/>
                    <w:topLinePunct w:val="0"/>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污染物</w:t>
                  </w:r>
                </w:p>
              </w:tc>
              <w:tc>
                <w:tcPr>
                  <w:tcW w:w="503" w:type="pct"/>
                  <w:noWrap w:val="0"/>
                  <w:vAlign w:val="center"/>
                </w:tcPr>
                <w:p w14:paraId="44850CFF">
                  <w:pPr>
                    <w:keepNext w:val="0"/>
                    <w:keepLines w:val="0"/>
                    <w:pageBreakBefore w:val="0"/>
                    <w:widowControl w:val="0"/>
                    <w:kinsoku/>
                    <w:wordWrap/>
                    <w:overflowPunct/>
                    <w:topLinePunct w:val="0"/>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pH（无量纲）</w:t>
                  </w:r>
                </w:p>
              </w:tc>
              <w:tc>
                <w:tcPr>
                  <w:tcW w:w="340" w:type="pct"/>
                  <w:noWrap w:val="0"/>
                  <w:vAlign w:val="center"/>
                </w:tcPr>
                <w:p w14:paraId="675A2861">
                  <w:pPr>
                    <w:keepNext w:val="0"/>
                    <w:keepLines w:val="0"/>
                    <w:pageBreakBefore w:val="0"/>
                    <w:widowControl w:val="0"/>
                    <w:kinsoku/>
                    <w:wordWrap/>
                    <w:overflowPunct/>
                    <w:topLinePunct w:val="0"/>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悬浮物</w:t>
                  </w:r>
                </w:p>
              </w:tc>
              <w:tc>
                <w:tcPr>
                  <w:tcW w:w="318" w:type="pct"/>
                  <w:noWrap w:val="0"/>
                  <w:vAlign w:val="center"/>
                </w:tcPr>
                <w:p w14:paraId="13DADC15">
                  <w:pPr>
                    <w:keepNext w:val="0"/>
                    <w:keepLines w:val="0"/>
                    <w:pageBreakBefore w:val="0"/>
                    <w:widowControl w:val="0"/>
                    <w:kinsoku/>
                    <w:wordWrap/>
                    <w:overflowPunct/>
                    <w:topLinePunct w:val="0"/>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BOD</w:t>
                  </w:r>
                  <w:r>
                    <w:rPr>
                      <w:rFonts w:hint="default" w:ascii="Times New Roman" w:hAnsi="Times New Roman" w:cs="Times New Roman"/>
                      <w:color w:val="auto"/>
                      <w:sz w:val="21"/>
                      <w:szCs w:val="21"/>
                      <w:vertAlign w:val="subscript"/>
                    </w:rPr>
                    <w:t>5</w:t>
                  </w:r>
                </w:p>
              </w:tc>
              <w:tc>
                <w:tcPr>
                  <w:tcW w:w="465" w:type="pct"/>
                  <w:noWrap w:val="0"/>
                  <w:vAlign w:val="center"/>
                </w:tcPr>
                <w:p w14:paraId="5B8DC640">
                  <w:pPr>
                    <w:keepNext w:val="0"/>
                    <w:keepLines w:val="0"/>
                    <w:pageBreakBefore w:val="0"/>
                    <w:widowControl w:val="0"/>
                    <w:kinsoku/>
                    <w:wordWrap/>
                    <w:overflowPunct/>
                    <w:topLinePunct w:val="0"/>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COD</w:t>
                  </w:r>
                  <w:r>
                    <w:rPr>
                      <w:rFonts w:hint="default" w:ascii="Times New Roman" w:hAnsi="Times New Roman" w:cs="Times New Roman"/>
                      <w:color w:val="auto"/>
                      <w:sz w:val="21"/>
                      <w:szCs w:val="21"/>
                      <w:vertAlign w:val="subscript"/>
                    </w:rPr>
                    <w:t>Cr</w:t>
                  </w:r>
                </w:p>
              </w:tc>
              <w:tc>
                <w:tcPr>
                  <w:tcW w:w="362" w:type="pct"/>
                  <w:noWrap w:val="0"/>
                  <w:vAlign w:val="center"/>
                </w:tcPr>
                <w:p w14:paraId="308546CD">
                  <w:pPr>
                    <w:keepNext w:val="0"/>
                    <w:keepLines w:val="0"/>
                    <w:pageBreakBefore w:val="0"/>
                    <w:widowControl w:val="0"/>
                    <w:kinsoku/>
                    <w:wordWrap/>
                    <w:overflowPunct/>
                    <w:topLinePunct w:val="0"/>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NH</w:t>
                  </w:r>
                  <w:r>
                    <w:rPr>
                      <w:rFonts w:hint="default" w:ascii="Times New Roman" w:hAnsi="Times New Roman" w:cs="Times New Roman"/>
                      <w:color w:val="auto"/>
                      <w:sz w:val="21"/>
                      <w:szCs w:val="21"/>
                      <w:vertAlign w:val="subscript"/>
                    </w:rPr>
                    <w:t>3</w:t>
                  </w:r>
                  <w:r>
                    <w:rPr>
                      <w:rFonts w:hint="default" w:ascii="Times New Roman" w:hAnsi="Times New Roman" w:cs="Times New Roman"/>
                      <w:color w:val="auto"/>
                      <w:sz w:val="21"/>
                      <w:szCs w:val="21"/>
                    </w:rPr>
                    <w:t>-N</w:t>
                  </w:r>
                </w:p>
              </w:tc>
              <w:tc>
                <w:tcPr>
                  <w:tcW w:w="288" w:type="pct"/>
                  <w:noWrap w:val="0"/>
                  <w:vAlign w:val="center"/>
                </w:tcPr>
                <w:p w14:paraId="00A86B71">
                  <w:pPr>
                    <w:keepNext w:val="0"/>
                    <w:keepLines w:val="0"/>
                    <w:pageBreakBefore w:val="0"/>
                    <w:widowControl w:val="0"/>
                    <w:kinsoku/>
                    <w:wordWrap/>
                    <w:overflowPunct/>
                    <w:topLinePunct w:val="0"/>
                    <w:bidi w:val="0"/>
                    <w:adjustRightInd/>
                    <w:snapToGrid/>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rPr>
                    <w:t>总磷</w:t>
                  </w:r>
                </w:p>
              </w:tc>
              <w:tc>
                <w:tcPr>
                  <w:tcW w:w="303" w:type="pct"/>
                  <w:noWrap w:val="0"/>
                  <w:vAlign w:val="center"/>
                </w:tcPr>
                <w:p w14:paraId="2E5AA338">
                  <w:pPr>
                    <w:keepNext w:val="0"/>
                    <w:keepLines w:val="0"/>
                    <w:pageBreakBefore w:val="0"/>
                    <w:widowControl w:val="0"/>
                    <w:kinsoku/>
                    <w:wordWrap/>
                    <w:overflowPunct/>
                    <w:topLinePunct w:val="0"/>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TN</w:t>
                  </w:r>
                </w:p>
              </w:tc>
              <w:tc>
                <w:tcPr>
                  <w:tcW w:w="369" w:type="pct"/>
                  <w:noWrap w:val="0"/>
                  <w:vAlign w:val="center"/>
                </w:tcPr>
                <w:p w14:paraId="75FC7D09">
                  <w:pPr>
                    <w:keepNext w:val="0"/>
                    <w:keepLines w:val="0"/>
                    <w:pageBreakBefore w:val="0"/>
                    <w:widowControl w:val="0"/>
                    <w:kinsoku/>
                    <w:wordWrap/>
                    <w:overflowPunct/>
                    <w:topLinePunct w:val="0"/>
                    <w:bidi w:val="0"/>
                    <w:adjustRightInd/>
                    <w:snapToGrid/>
                    <w:spacing w:line="240" w:lineRule="auto"/>
                    <w:ind w:firstLine="0" w:firstLineChars="0"/>
                    <w:jc w:val="center"/>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氟化物</w:t>
                  </w:r>
                </w:p>
              </w:tc>
              <w:tc>
                <w:tcPr>
                  <w:tcW w:w="251" w:type="pct"/>
                  <w:noWrap w:val="0"/>
                  <w:vAlign w:val="center"/>
                </w:tcPr>
                <w:p w14:paraId="36C35182">
                  <w:pPr>
                    <w:keepNext w:val="0"/>
                    <w:keepLines w:val="0"/>
                    <w:pageBreakBefore w:val="0"/>
                    <w:widowControl w:val="0"/>
                    <w:kinsoku/>
                    <w:wordWrap/>
                    <w:overflowPunct/>
                    <w:topLinePunct w:val="0"/>
                    <w:bidi w:val="0"/>
                    <w:adjustRightInd/>
                    <w:snapToGrid/>
                    <w:spacing w:line="240" w:lineRule="auto"/>
                    <w:ind w:firstLine="0" w:firstLineChars="0"/>
                    <w:jc w:val="center"/>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Ni</w:t>
                  </w:r>
                </w:p>
              </w:tc>
              <w:tc>
                <w:tcPr>
                  <w:tcW w:w="243" w:type="pct"/>
                  <w:noWrap w:val="0"/>
                  <w:vAlign w:val="center"/>
                </w:tcPr>
                <w:p w14:paraId="688D1444">
                  <w:pPr>
                    <w:keepNext w:val="0"/>
                    <w:keepLines w:val="0"/>
                    <w:pageBreakBefore w:val="0"/>
                    <w:widowControl w:val="0"/>
                    <w:kinsoku/>
                    <w:wordWrap/>
                    <w:overflowPunct/>
                    <w:topLinePunct w:val="0"/>
                    <w:bidi w:val="0"/>
                    <w:adjustRightInd/>
                    <w:snapToGrid/>
                    <w:spacing w:line="240" w:lineRule="auto"/>
                    <w:ind w:firstLine="0" w:firstLineChars="0"/>
                    <w:jc w:val="center"/>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Co</w:t>
                  </w:r>
                </w:p>
              </w:tc>
              <w:tc>
                <w:tcPr>
                  <w:tcW w:w="229" w:type="pct"/>
                  <w:noWrap w:val="0"/>
                  <w:vAlign w:val="center"/>
                </w:tcPr>
                <w:p w14:paraId="29E88DD0">
                  <w:pPr>
                    <w:keepNext w:val="0"/>
                    <w:keepLines w:val="0"/>
                    <w:pageBreakBefore w:val="0"/>
                    <w:widowControl w:val="0"/>
                    <w:kinsoku/>
                    <w:wordWrap/>
                    <w:overflowPunct/>
                    <w:topLinePunct w:val="0"/>
                    <w:bidi w:val="0"/>
                    <w:adjustRightInd/>
                    <w:snapToGrid/>
                    <w:spacing w:line="240" w:lineRule="auto"/>
                    <w:ind w:firstLine="0" w:firstLineChars="0"/>
                    <w:jc w:val="center"/>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Mn</w:t>
                  </w:r>
                </w:p>
              </w:tc>
              <w:tc>
                <w:tcPr>
                  <w:tcW w:w="468" w:type="pct"/>
                  <w:noWrap w:val="0"/>
                  <w:vAlign w:val="center"/>
                </w:tcPr>
                <w:p w14:paraId="3F52F0F7">
                  <w:pPr>
                    <w:keepNext w:val="0"/>
                    <w:keepLines w:val="0"/>
                    <w:pageBreakBefore w:val="0"/>
                    <w:widowControl w:val="0"/>
                    <w:kinsoku/>
                    <w:wordWrap/>
                    <w:overflowPunct/>
                    <w:topLinePunct w:val="0"/>
                    <w:bidi w:val="0"/>
                    <w:adjustRightInd/>
                    <w:snapToGrid/>
                    <w:spacing w:line="240" w:lineRule="auto"/>
                    <w:ind w:firstLine="0" w:firstLineChars="0"/>
                    <w:jc w:val="center"/>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基准排水量</w:t>
                  </w:r>
                </w:p>
              </w:tc>
            </w:tr>
            <w:tr w14:paraId="56FD65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550" w:hRule="atLeast"/>
                <w:jc w:val="center"/>
              </w:trPr>
              <w:tc>
                <w:tcPr>
                  <w:tcW w:w="381" w:type="pct"/>
                  <w:noWrap w:val="0"/>
                  <w:vAlign w:val="center"/>
                </w:tcPr>
                <w:p w14:paraId="37EDFE7C">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rPr>
                  </w:pPr>
                  <w:r>
                    <w:rPr>
                      <w:rFonts w:hint="eastAsia" w:cs="Times New Roman"/>
                      <w:color w:val="auto"/>
                      <w:kern w:val="0"/>
                      <w:sz w:val="21"/>
                      <w:szCs w:val="21"/>
                      <w:lang w:val="en-US" w:eastAsia="zh-CN"/>
                    </w:rPr>
                    <w:t>DW001</w:t>
                  </w:r>
                </w:p>
              </w:tc>
              <w:tc>
                <w:tcPr>
                  <w:tcW w:w="473" w:type="pct"/>
                  <w:noWrap w:val="0"/>
                  <w:vAlign w:val="center"/>
                </w:tcPr>
                <w:p w14:paraId="391D7FEF">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标准</w:t>
                  </w:r>
                  <w:r>
                    <w:rPr>
                      <w:rFonts w:hint="default" w:ascii="Times New Roman" w:hAnsi="Times New Roman" w:cs="Times New Roman"/>
                      <w:color w:val="auto"/>
                      <w:kern w:val="0"/>
                      <w:sz w:val="21"/>
                      <w:szCs w:val="21"/>
                      <w:lang w:val="en-US" w:eastAsia="zh-CN"/>
                    </w:rPr>
                    <w:t>限值</w:t>
                  </w:r>
                </w:p>
              </w:tc>
              <w:tc>
                <w:tcPr>
                  <w:tcW w:w="503" w:type="pct"/>
                  <w:noWrap w:val="0"/>
                  <w:vAlign w:val="center"/>
                </w:tcPr>
                <w:p w14:paraId="3E28D8A8">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cs="Times New Roman"/>
                      <w:color w:val="auto"/>
                      <w:kern w:val="0"/>
                      <w:sz w:val="21"/>
                      <w:szCs w:val="21"/>
                    </w:rPr>
                    <w:t>6~9</w:t>
                  </w:r>
                </w:p>
              </w:tc>
              <w:tc>
                <w:tcPr>
                  <w:tcW w:w="340" w:type="pct"/>
                  <w:noWrap w:val="0"/>
                  <w:vAlign w:val="center"/>
                </w:tcPr>
                <w:p w14:paraId="13445451">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cs="Times New Roman"/>
                      <w:color w:val="auto"/>
                      <w:kern w:val="0"/>
                      <w:sz w:val="21"/>
                      <w:szCs w:val="21"/>
                      <w:lang w:val="en-US" w:eastAsia="zh-CN"/>
                    </w:rPr>
                    <w:t>140</w:t>
                  </w:r>
                </w:p>
              </w:tc>
              <w:tc>
                <w:tcPr>
                  <w:tcW w:w="318" w:type="pct"/>
                  <w:noWrap w:val="0"/>
                  <w:vAlign w:val="center"/>
                </w:tcPr>
                <w:p w14:paraId="381A92A5">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cs="Times New Roman"/>
                      <w:color w:val="auto"/>
                      <w:kern w:val="0"/>
                      <w:sz w:val="21"/>
                      <w:szCs w:val="21"/>
                      <w:lang w:val="en-US" w:eastAsia="zh-CN"/>
                    </w:rPr>
                    <w:t>300</w:t>
                  </w:r>
                </w:p>
              </w:tc>
              <w:tc>
                <w:tcPr>
                  <w:tcW w:w="465" w:type="pct"/>
                  <w:noWrap w:val="0"/>
                  <w:vAlign w:val="center"/>
                </w:tcPr>
                <w:p w14:paraId="1A3A5536">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cs="Times New Roman"/>
                      <w:color w:val="auto"/>
                      <w:kern w:val="0"/>
                      <w:sz w:val="21"/>
                      <w:szCs w:val="21"/>
                      <w:lang w:val="en-US" w:eastAsia="zh-CN"/>
                    </w:rPr>
                    <w:t>150</w:t>
                  </w:r>
                </w:p>
              </w:tc>
              <w:tc>
                <w:tcPr>
                  <w:tcW w:w="362" w:type="pct"/>
                  <w:noWrap w:val="0"/>
                  <w:vAlign w:val="center"/>
                </w:tcPr>
                <w:p w14:paraId="15911573">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kern w:val="0"/>
                      <w:sz w:val="21"/>
                      <w:szCs w:val="21"/>
                      <w:lang w:val="en-US" w:eastAsia="zh-CN"/>
                    </w:rPr>
                    <w:t>30</w:t>
                  </w:r>
                </w:p>
              </w:tc>
              <w:tc>
                <w:tcPr>
                  <w:tcW w:w="288" w:type="pct"/>
                  <w:noWrap w:val="0"/>
                  <w:vAlign w:val="center"/>
                </w:tcPr>
                <w:p w14:paraId="4072C4AD">
                  <w:pPr>
                    <w:keepNext w:val="0"/>
                    <w:keepLines w:val="0"/>
                    <w:pageBreakBefore w:val="0"/>
                    <w:widowControl w:val="0"/>
                    <w:kinsoku/>
                    <w:wordWrap/>
                    <w:overflowPunct/>
                    <w:topLinePunct w:val="0"/>
                    <w:bidi w:val="0"/>
                    <w:adjustRightInd/>
                    <w:snapToGrid/>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2.0</w:t>
                  </w:r>
                </w:p>
              </w:tc>
              <w:tc>
                <w:tcPr>
                  <w:tcW w:w="303" w:type="pct"/>
                  <w:noWrap w:val="0"/>
                  <w:vAlign w:val="center"/>
                </w:tcPr>
                <w:p w14:paraId="2CDCDD1D">
                  <w:pPr>
                    <w:keepNext w:val="0"/>
                    <w:keepLines w:val="0"/>
                    <w:pageBreakBefore w:val="0"/>
                    <w:widowControl w:val="0"/>
                    <w:kinsoku/>
                    <w:wordWrap/>
                    <w:overflowPunct/>
                    <w:topLinePunct w:val="0"/>
                    <w:bidi w:val="0"/>
                    <w:adjustRightInd/>
                    <w:snapToGrid/>
                    <w:spacing w:line="240" w:lineRule="auto"/>
                    <w:ind w:firstLine="0" w:firstLineChars="0"/>
                    <w:jc w:val="center"/>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40</w:t>
                  </w:r>
                </w:p>
              </w:tc>
              <w:tc>
                <w:tcPr>
                  <w:tcW w:w="369" w:type="pct"/>
                  <w:noWrap w:val="0"/>
                  <w:vAlign w:val="center"/>
                </w:tcPr>
                <w:p w14:paraId="33A01879">
                  <w:pPr>
                    <w:keepNext w:val="0"/>
                    <w:keepLines w:val="0"/>
                    <w:pageBreakBefore w:val="0"/>
                    <w:widowControl w:val="0"/>
                    <w:kinsoku/>
                    <w:wordWrap/>
                    <w:overflowPunct/>
                    <w:topLinePunct w:val="0"/>
                    <w:bidi w:val="0"/>
                    <w:adjustRightInd/>
                    <w:snapToGrid/>
                    <w:spacing w:line="240" w:lineRule="auto"/>
                    <w:ind w:firstLine="0" w:firstLineChars="0"/>
                    <w:jc w:val="center"/>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8</w:t>
                  </w:r>
                </w:p>
              </w:tc>
              <w:tc>
                <w:tcPr>
                  <w:tcW w:w="251" w:type="pct"/>
                  <w:noWrap w:val="0"/>
                  <w:vAlign w:val="center"/>
                </w:tcPr>
                <w:p w14:paraId="25D28CFA">
                  <w:pPr>
                    <w:keepNext w:val="0"/>
                    <w:keepLines w:val="0"/>
                    <w:pageBreakBefore w:val="0"/>
                    <w:widowControl w:val="0"/>
                    <w:kinsoku/>
                    <w:wordWrap/>
                    <w:overflowPunct/>
                    <w:topLinePunct w:val="0"/>
                    <w:bidi w:val="0"/>
                    <w:adjustRightInd/>
                    <w:snapToGrid/>
                    <w:spacing w:line="240" w:lineRule="auto"/>
                    <w:ind w:firstLine="0" w:firstLineChars="0"/>
                    <w:jc w:val="center"/>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0.5</w:t>
                  </w:r>
                </w:p>
              </w:tc>
              <w:tc>
                <w:tcPr>
                  <w:tcW w:w="243" w:type="pct"/>
                  <w:noWrap w:val="0"/>
                  <w:vAlign w:val="center"/>
                </w:tcPr>
                <w:p w14:paraId="2B8AA3DA">
                  <w:pPr>
                    <w:keepNext w:val="0"/>
                    <w:keepLines w:val="0"/>
                    <w:pageBreakBefore w:val="0"/>
                    <w:widowControl w:val="0"/>
                    <w:kinsoku/>
                    <w:wordWrap/>
                    <w:overflowPunct/>
                    <w:topLinePunct w:val="0"/>
                    <w:bidi w:val="0"/>
                    <w:adjustRightInd/>
                    <w:snapToGrid/>
                    <w:spacing w:line="240" w:lineRule="auto"/>
                    <w:ind w:firstLine="0" w:firstLineChars="0"/>
                    <w:jc w:val="center"/>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0.1</w:t>
                  </w:r>
                </w:p>
              </w:tc>
              <w:tc>
                <w:tcPr>
                  <w:tcW w:w="229" w:type="pct"/>
                  <w:noWrap w:val="0"/>
                  <w:vAlign w:val="center"/>
                </w:tcPr>
                <w:p w14:paraId="123FFB83">
                  <w:pPr>
                    <w:keepNext w:val="0"/>
                    <w:keepLines w:val="0"/>
                    <w:pageBreakBefore w:val="0"/>
                    <w:widowControl w:val="0"/>
                    <w:kinsoku/>
                    <w:wordWrap/>
                    <w:overflowPunct/>
                    <w:topLinePunct w:val="0"/>
                    <w:bidi w:val="0"/>
                    <w:adjustRightInd/>
                    <w:snapToGrid/>
                    <w:spacing w:line="240" w:lineRule="auto"/>
                    <w:ind w:firstLine="0" w:firstLineChars="0"/>
                    <w:jc w:val="center"/>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1.5</w:t>
                  </w:r>
                </w:p>
              </w:tc>
              <w:tc>
                <w:tcPr>
                  <w:tcW w:w="468" w:type="pct"/>
                  <w:noWrap w:val="0"/>
                  <w:vAlign w:val="center"/>
                </w:tcPr>
                <w:p w14:paraId="379FBD86">
                  <w:pPr>
                    <w:keepNext w:val="0"/>
                    <w:keepLines w:val="0"/>
                    <w:pageBreakBefore w:val="0"/>
                    <w:widowControl w:val="0"/>
                    <w:kinsoku/>
                    <w:wordWrap/>
                    <w:overflowPunct/>
                    <w:topLinePunct w:val="0"/>
                    <w:bidi w:val="0"/>
                    <w:adjustRightInd/>
                    <w:snapToGrid/>
                    <w:spacing w:line="240" w:lineRule="auto"/>
                    <w:ind w:firstLine="0" w:firstLineChars="0"/>
                    <w:jc w:val="center"/>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0.8</w:t>
                  </w:r>
                  <w:r>
                    <w:rPr>
                      <w:rFonts w:hint="eastAsia" w:cs="Times New Roman"/>
                      <w:color w:val="000000" w:themeColor="text1"/>
                      <w:sz w:val="21"/>
                      <w:szCs w:val="21"/>
                      <w:lang w:val="en-US" w:eastAsia="zh-CN"/>
                      <w14:textFill>
                        <w14:solidFill>
                          <w14:schemeClr w14:val="tx1"/>
                        </w14:solidFill>
                      </w14:textFill>
                    </w:rPr>
                    <w:t>m</w:t>
                  </w:r>
                  <w:r>
                    <w:rPr>
                      <w:rFonts w:hint="eastAsia" w:cs="Times New Roman"/>
                      <w:color w:val="000000" w:themeColor="text1"/>
                      <w:sz w:val="21"/>
                      <w:szCs w:val="21"/>
                      <w:vertAlign w:val="superscript"/>
                      <w:lang w:val="en-US" w:eastAsia="zh-CN"/>
                      <w14:textFill>
                        <w14:solidFill>
                          <w14:schemeClr w14:val="tx1"/>
                        </w14:solidFill>
                      </w14:textFill>
                    </w:rPr>
                    <w:t>3</w:t>
                  </w:r>
                  <w:r>
                    <w:rPr>
                      <w:rFonts w:hint="default" w:ascii="Times New Roman" w:hAnsi="Times New Roman" w:cs="Times New Roman"/>
                      <w:color w:val="000000" w:themeColor="text1"/>
                      <w:sz w:val="21"/>
                      <w:szCs w:val="21"/>
                      <w:lang w:val="en-US" w:eastAsia="zh-CN"/>
                      <w14:textFill>
                        <w14:solidFill>
                          <w14:schemeClr w14:val="tx1"/>
                        </w14:solidFill>
                      </w14:textFill>
                    </w:rPr>
                    <w:t>/万</w:t>
                  </w:r>
                  <w:r>
                    <w:rPr>
                      <w:rFonts w:hint="eastAsia" w:cs="Times New Roman"/>
                      <w:color w:val="000000" w:themeColor="text1"/>
                      <w:sz w:val="21"/>
                      <w:szCs w:val="21"/>
                      <w:lang w:val="en-US" w:eastAsia="zh-CN"/>
                      <w14:textFill>
                        <w14:solidFill>
                          <w14:schemeClr w14:val="tx1"/>
                        </w14:solidFill>
                      </w14:textFill>
                    </w:rPr>
                    <w:t>Ah</w:t>
                  </w:r>
                </w:p>
              </w:tc>
            </w:tr>
            <w:tr w14:paraId="589248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650" w:hRule="atLeast"/>
                <w:jc w:val="center"/>
              </w:trPr>
              <w:tc>
                <w:tcPr>
                  <w:tcW w:w="5000" w:type="pct"/>
                  <w:gridSpan w:val="14"/>
                  <w:noWrap w:val="0"/>
                  <w:vAlign w:val="center"/>
                </w:tcPr>
                <w:p w14:paraId="04D874E1">
                  <w:pPr>
                    <w:keepNext w:val="0"/>
                    <w:keepLines w:val="0"/>
                    <w:pageBreakBefore w:val="0"/>
                    <w:widowControl w:val="0"/>
                    <w:kinsoku/>
                    <w:wordWrap/>
                    <w:overflowPunct/>
                    <w:topLinePunct w:val="0"/>
                    <w:bidi w:val="0"/>
                    <w:adjustRightInd/>
                    <w:snapToGrid/>
                    <w:spacing w:line="240" w:lineRule="auto"/>
                    <w:ind w:firstLine="0" w:firstLineChars="0"/>
                    <w:jc w:val="both"/>
                    <w:textAlignment w:val="auto"/>
                    <w:rPr>
                      <w:rFonts w:hint="eastAsia" w:cs="Times New Roman"/>
                      <w:color w:val="auto"/>
                      <w:sz w:val="21"/>
                      <w:szCs w:val="21"/>
                      <w:lang w:val="en-US" w:eastAsia="zh-CN"/>
                    </w:rPr>
                  </w:pPr>
                  <w:r>
                    <w:rPr>
                      <w:rFonts w:hint="eastAsia" w:cs="Times New Roman"/>
                      <w:color w:val="auto"/>
                      <w:sz w:val="21"/>
                      <w:szCs w:val="21"/>
                      <w:lang w:val="en-US" w:eastAsia="zh-CN"/>
                    </w:rPr>
                    <w:t>注：</w:t>
                  </w:r>
                  <w:r>
                    <w:rPr>
                      <w:rFonts w:hint="default" w:ascii="Times New Roman" w:hAnsi="Times New Roman" w:cs="Times New Roman"/>
                      <w:color w:val="auto"/>
                      <w:sz w:val="21"/>
                      <w:szCs w:val="21"/>
                      <w:lang w:val="en-US" w:eastAsia="zh-CN"/>
                    </w:rPr>
                    <w:t>由于</w:t>
                  </w:r>
                  <w:r>
                    <w:rPr>
                      <w:rFonts w:hint="default" w:ascii="Times New Roman" w:hAnsi="Times New Roman" w:eastAsia="宋体" w:cs="Times New Roman"/>
                      <w:color w:val="auto"/>
                      <w:sz w:val="21"/>
                      <w:szCs w:val="21"/>
                      <w:lang w:val="en-US" w:eastAsia="zh-CN"/>
                    </w:rPr>
                    <w:t>《电池工业污染物排放标准》（GB 30484-2013）标</w:t>
                  </w:r>
                  <w:r>
                    <w:rPr>
                      <w:rFonts w:hint="default" w:ascii="Times New Roman" w:hAnsi="Times New Roman" w:cs="Times New Roman"/>
                      <w:color w:val="auto"/>
                      <w:sz w:val="21"/>
                      <w:szCs w:val="21"/>
                      <w:lang w:val="en-US" w:eastAsia="zh-CN"/>
                    </w:rPr>
                    <w:t>准中未对BOD</w:t>
                  </w:r>
                  <w:r>
                    <w:rPr>
                      <w:rFonts w:hint="default" w:ascii="Times New Roman" w:hAnsi="Times New Roman" w:cs="Times New Roman"/>
                      <w:color w:val="auto"/>
                      <w:sz w:val="21"/>
                      <w:szCs w:val="21"/>
                      <w:vertAlign w:val="subscript"/>
                      <w:lang w:val="en-US" w:eastAsia="zh-CN"/>
                    </w:rPr>
                    <w:t>5</w:t>
                  </w:r>
                  <w:r>
                    <w:rPr>
                      <w:rFonts w:hint="default" w:ascii="Times New Roman" w:hAnsi="Times New Roman" w:cs="Times New Roman"/>
                      <w:color w:val="auto"/>
                      <w:sz w:val="21"/>
                      <w:szCs w:val="21"/>
                      <w:lang w:val="en-US" w:eastAsia="zh-CN"/>
                    </w:rPr>
                    <w:t>作出规定，因此BOD</w:t>
                  </w:r>
                  <w:r>
                    <w:rPr>
                      <w:rFonts w:hint="default" w:ascii="Times New Roman" w:hAnsi="Times New Roman" w:cs="Times New Roman"/>
                      <w:color w:val="auto"/>
                      <w:sz w:val="21"/>
                      <w:szCs w:val="21"/>
                      <w:vertAlign w:val="subscript"/>
                      <w:lang w:val="en-US" w:eastAsia="zh-CN"/>
                    </w:rPr>
                    <w:t>5</w:t>
                  </w:r>
                  <w:r>
                    <w:rPr>
                      <w:rFonts w:hint="default" w:ascii="Times New Roman" w:hAnsi="Times New Roman" w:cs="Times New Roman"/>
                      <w:color w:val="auto"/>
                      <w:sz w:val="21"/>
                      <w:szCs w:val="21"/>
                      <w:lang w:val="en-US" w:eastAsia="zh-CN"/>
                    </w:rPr>
                    <w:t>执行</w:t>
                  </w:r>
                  <w:r>
                    <w:rPr>
                      <w:rFonts w:hint="default" w:ascii="Times New Roman" w:hAnsi="Times New Roman" w:eastAsia="宋体" w:cs="Times New Roman"/>
                      <w:bCs/>
                      <w:color w:val="auto"/>
                      <w:sz w:val="21"/>
                      <w:szCs w:val="21"/>
                      <w:lang w:val="en-US" w:eastAsia="zh-CN"/>
                    </w:rPr>
                    <w:t>巴中经开区污水处理厂进水水质标准</w:t>
                  </w:r>
                  <w:r>
                    <w:rPr>
                      <w:rFonts w:hint="default" w:ascii="Times New Roman" w:hAnsi="Times New Roman" w:cs="Times New Roman"/>
                      <w:bCs/>
                      <w:color w:val="auto"/>
                      <w:sz w:val="21"/>
                      <w:szCs w:val="21"/>
                      <w:lang w:val="en-US" w:eastAsia="zh-CN"/>
                    </w:rPr>
                    <w:t>（即《污水综合排放标准》（GB8978-1996）三级标准）</w:t>
                  </w:r>
                  <w:r>
                    <w:rPr>
                      <w:rFonts w:hint="default" w:ascii="Times New Roman" w:hAnsi="Times New Roman" w:eastAsia="宋体" w:cs="Times New Roman"/>
                      <w:bCs/>
                      <w:color w:val="auto"/>
                      <w:sz w:val="21"/>
                      <w:szCs w:val="21"/>
                      <w:lang w:val="en-US" w:eastAsia="zh-CN"/>
                    </w:rPr>
                    <w:t>要求</w:t>
                  </w:r>
                  <w:r>
                    <w:rPr>
                      <w:rFonts w:hint="eastAsia" w:cs="Times New Roman"/>
                      <w:bCs/>
                      <w:color w:val="auto"/>
                      <w:sz w:val="21"/>
                      <w:szCs w:val="21"/>
                      <w:lang w:val="en-US" w:eastAsia="zh-CN"/>
                    </w:rPr>
                    <w:t>。</w:t>
                  </w:r>
                </w:p>
              </w:tc>
            </w:tr>
          </w:tbl>
          <w:p w14:paraId="719ECD57">
            <w:pPr>
              <w:pStyle w:val="66"/>
              <w:spacing w:line="360" w:lineRule="auto"/>
              <w:ind w:firstLine="482"/>
              <w:rPr>
                <w:rFonts w:hint="eastAsia" w:ascii="Times New Roman" w:hAnsi="Times New Roman" w:eastAsia="宋体" w:cs="Times New Roman"/>
                <w:b/>
                <w:bCs/>
                <w:color w:val="auto"/>
              </w:rPr>
            </w:pPr>
            <w:r>
              <w:rPr>
                <w:rFonts w:hint="eastAsia" w:ascii="Times New Roman" w:hAnsi="Times New Roman" w:eastAsia="宋体" w:cs="Times New Roman"/>
                <w:b/>
                <w:bCs/>
                <w:color w:val="auto"/>
              </w:rPr>
              <w:t>3、噪声</w:t>
            </w:r>
          </w:p>
          <w:p w14:paraId="0DC78038">
            <w:pPr>
              <w:keepLines w:val="0"/>
              <w:pageBreakBefore w:val="0"/>
              <w:kinsoku/>
              <w:wordWrap/>
              <w:overflowPunct/>
              <w:topLinePunct w:val="0"/>
              <w:bidi w:val="0"/>
              <w:spacing w:line="360" w:lineRule="auto"/>
              <w:ind w:firstLine="480" w:firstLineChars="200"/>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宋体" w:cs="Times New Roman"/>
                <w:color w:val="auto"/>
                <w:kern w:val="0"/>
                <w:sz w:val="24"/>
                <w:szCs w:val="24"/>
                <w:lang w:val="en-US" w:eastAsia="zh-CN" w:bidi="ar-SA"/>
              </w:rPr>
              <w:t>施工期噪声执行《建筑施工噪声排放标准》（GB12523-2025）标准。营运期厂界噪声执行《工业企业厂界环境噪声排放标准》（GB12348-2008）3类标准。</w:t>
            </w:r>
          </w:p>
          <w:p w14:paraId="54DE6B7E">
            <w:pPr>
              <w:keepLines w:val="0"/>
              <w:pageBreakBefore w:val="0"/>
              <w:kinsoku/>
              <w:wordWrap/>
              <w:overflowPunct/>
              <w:topLinePunct w:val="0"/>
              <w:bidi w:val="0"/>
              <w:spacing w:line="360" w:lineRule="auto"/>
              <w:ind w:firstLine="480" w:firstLineChars="200"/>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宋体" w:cs="Times New Roman"/>
                <w:color w:val="auto"/>
                <w:kern w:val="0"/>
                <w:sz w:val="24"/>
                <w:szCs w:val="24"/>
                <w:lang w:val="en-US" w:eastAsia="zh-CN" w:bidi="ar-SA"/>
              </w:rPr>
              <w:t>项目噪声执行标准具体见下表所示。</w:t>
            </w:r>
          </w:p>
          <w:p w14:paraId="2D39B1F3">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表</w:t>
            </w:r>
            <w:r>
              <w:rPr>
                <w:rFonts w:hint="default" w:ascii="Times New Roman" w:hAnsi="Times New Roman" w:eastAsia="宋体" w:cs="Times New Roman"/>
                <w:b/>
                <w:bCs/>
                <w:color w:val="auto"/>
                <w:kern w:val="0"/>
                <w:sz w:val="21"/>
                <w:szCs w:val="21"/>
                <w:highlight w:val="none"/>
                <w:lang w:val="en-US" w:eastAsia="zh-CN"/>
              </w:rPr>
              <w:t>3-</w:t>
            </w:r>
            <w:r>
              <w:rPr>
                <w:rFonts w:hint="eastAsia" w:cs="Times New Roman"/>
                <w:b/>
                <w:bCs/>
                <w:color w:val="auto"/>
                <w:kern w:val="0"/>
                <w:sz w:val="21"/>
                <w:szCs w:val="21"/>
                <w:highlight w:val="none"/>
                <w:lang w:val="en-US" w:eastAsia="zh-CN"/>
              </w:rPr>
              <w:t>17</w:t>
            </w:r>
            <w:r>
              <w:rPr>
                <w:rFonts w:hint="eastAsia" w:ascii="Times New Roman" w:hAnsi="Times New Roman" w:cs="Times New Roman"/>
                <w:b/>
                <w:bCs/>
                <w:color w:val="auto"/>
                <w:kern w:val="0"/>
                <w:sz w:val="21"/>
                <w:szCs w:val="21"/>
                <w:highlight w:val="none"/>
                <w:lang w:val="en-US" w:eastAsia="zh-CN"/>
              </w:rPr>
              <w:t xml:space="preserve"> </w:t>
            </w:r>
            <w:r>
              <w:rPr>
                <w:rFonts w:hint="default" w:ascii="Times New Roman" w:hAnsi="Times New Roman" w:eastAsia="宋体" w:cs="Times New Roman"/>
                <w:b/>
                <w:bCs/>
                <w:color w:val="auto"/>
                <w:kern w:val="0"/>
                <w:sz w:val="21"/>
                <w:szCs w:val="21"/>
                <w:highlight w:val="none"/>
                <w:lang w:eastAsia="zh-CN"/>
              </w:rPr>
              <w:t>噪声排放标准</w:t>
            </w:r>
            <w:r>
              <w:rPr>
                <w:rFonts w:hint="eastAsia" w:cs="Times New Roman"/>
                <w:b/>
                <w:bCs/>
                <w:color w:val="auto"/>
                <w:kern w:val="0"/>
                <w:sz w:val="21"/>
                <w:szCs w:val="21"/>
                <w:highlight w:val="none"/>
                <w:lang w:val="en-US" w:eastAsia="zh-CN"/>
              </w:rPr>
              <w:t xml:space="preserve"> </w:t>
            </w:r>
            <w:r>
              <w:rPr>
                <w:rFonts w:hint="default" w:ascii="Times New Roman" w:hAnsi="Times New Roman" w:eastAsia="宋体" w:cs="Times New Roman"/>
                <w:b/>
                <w:bCs/>
                <w:color w:val="auto"/>
                <w:kern w:val="0"/>
                <w:sz w:val="21"/>
                <w:szCs w:val="21"/>
                <w:highlight w:val="none"/>
              </w:rPr>
              <w:t>单位：dB（A）</w:t>
            </w:r>
          </w:p>
          <w:tbl>
            <w:tblPr>
              <w:tblStyle w:val="41"/>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63"/>
              <w:gridCol w:w="2400"/>
              <w:gridCol w:w="1167"/>
              <w:gridCol w:w="1117"/>
              <w:gridCol w:w="1116"/>
              <w:gridCol w:w="1110"/>
            </w:tblGrid>
            <w:tr w14:paraId="1C033D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74" w:type="pct"/>
                  <w:gridSpan w:val="2"/>
                  <w:vAlign w:val="center"/>
                </w:tcPr>
                <w:p w14:paraId="16F3A6FE">
                  <w:pPr>
                    <w:keepLines w:val="0"/>
                    <w:pageBreakBefore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执行标准</w:t>
                  </w:r>
                </w:p>
              </w:tc>
              <w:tc>
                <w:tcPr>
                  <w:tcW w:w="2725" w:type="pct"/>
                  <w:gridSpan w:val="4"/>
                  <w:vAlign w:val="center"/>
                </w:tcPr>
                <w:p w14:paraId="36E95A2A">
                  <w:pPr>
                    <w:keepLines w:val="0"/>
                    <w:pageBreakBefore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标准限值dB（A）</w:t>
                  </w:r>
                </w:p>
              </w:tc>
            </w:tr>
            <w:tr w14:paraId="3BBFE4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3" w:type="pct"/>
                  <w:vAlign w:val="center"/>
                </w:tcPr>
                <w:p w14:paraId="76999F74">
                  <w:pPr>
                    <w:keepLines w:val="0"/>
                    <w:pageBreakBefore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施工期</w:t>
                  </w:r>
                </w:p>
              </w:tc>
              <w:tc>
                <w:tcPr>
                  <w:tcW w:w="1450" w:type="pct"/>
                  <w:vAlign w:val="center"/>
                </w:tcPr>
                <w:p w14:paraId="55717A3A">
                  <w:pPr>
                    <w:keepLines w:val="0"/>
                    <w:pageBreakBefore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GB12523-20</w:t>
                  </w:r>
                  <w:r>
                    <w:rPr>
                      <w:rFonts w:hint="eastAsia" w:cs="Times New Roman"/>
                      <w:color w:val="auto"/>
                      <w:sz w:val="21"/>
                      <w:szCs w:val="21"/>
                      <w:lang w:val="en-US" w:eastAsia="zh-CN"/>
                    </w:rPr>
                    <w:t>25</w:t>
                  </w:r>
                </w:p>
              </w:tc>
              <w:tc>
                <w:tcPr>
                  <w:tcW w:w="705" w:type="pct"/>
                  <w:vAlign w:val="center"/>
                </w:tcPr>
                <w:p w14:paraId="513AC97B">
                  <w:pPr>
                    <w:keepLines w:val="0"/>
                    <w:pageBreakBefore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昼间</w:t>
                  </w:r>
                </w:p>
              </w:tc>
              <w:tc>
                <w:tcPr>
                  <w:tcW w:w="675" w:type="pct"/>
                  <w:vAlign w:val="center"/>
                </w:tcPr>
                <w:p w14:paraId="184A90C9">
                  <w:pPr>
                    <w:keepLines w:val="0"/>
                    <w:pageBreakBefore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70</w:t>
                  </w:r>
                </w:p>
              </w:tc>
              <w:tc>
                <w:tcPr>
                  <w:tcW w:w="674" w:type="pct"/>
                  <w:vAlign w:val="center"/>
                </w:tcPr>
                <w:p w14:paraId="089837F0">
                  <w:pPr>
                    <w:keepLines w:val="0"/>
                    <w:pageBreakBefore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夜间</w:t>
                  </w:r>
                </w:p>
              </w:tc>
              <w:tc>
                <w:tcPr>
                  <w:tcW w:w="670" w:type="pct"/>
                  <w:vAlign w:val="center"/>
                </w:tcPr>
                <w:p w14:paraId="64B067CF">
                  <w:pPr>
                    <w:keepLines w:val="0"/>
                    <w:pageBreakBefore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55</w:t>
                  </w:r>
                </w:p>
              </w:tc>
            </w:tr>
            <w:tr w14:paraId="7C2A14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3" w:type="pct"/>
                  <w:vAlign w:val="center"/>
                </w:tcPr>
                <w:p w14:paraId="224161A6">
                  <w:pPr>
                    <w:keepLines w:val="0"/>
                    <w:pageBreakBefore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营运期</w:t>
                  </w:r>
                </w:p>
              </w:tc>
              <w:tc>
                <w:tcPr>
                  <w:tcW w:w="1450" w:type="pct"/>
                  <w:vAlign w:val="center"/>
                </w:tcPr>
                <w:p w14:paraId="0CD034D3">
                  <w:pPr>
                    <w:keepLines w:val="0"/>
                    <w:pageBreakBefore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GB12348-2008 3类</w:t>
                  </w:r>
                </w:p>
              </w:tc>
              <w:tc>
                <w:tcPr>
                  <w:tcW w:w="705" w:type="pct"/>
                  <w:vAlign w:val="center"/>
                </w:tcPr>
                <w:p w14:paraId="6FDA00DB">
                  <w:pPr>
                    <w:keepLines w:val="0"/>
                    <w:pageBreakBefore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昼间</w:t>
                  </w:r>
                </w:p>
              </w:tc>
              <w:tc>
                <w:tcPr>
                  <w:tcW w:w="675" w:type="pct"/>
                  <w:vAlign w:val="center"/>
                </w:tcPr>
                <w:p w14:paraId="1AFC2B18">
                  <w:pPr>
                    <w:keepLines w:val="0"/>
                    <w:pageBreakBefore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65</w:t>
                  </w:r>
                </w:p>
              </w:tc>
              <w:tc>
                <w:tcPr>
                  <w:tcW w:w="674" w:type="pct"/>
                  <w:vAlign w:val="center"/>
                </w:tcPr>
                <w:p w14:paraId="0423DDBC">
                  <w:pPr>
                    <w:keepLines w:val="0"/>
                    <w:pageBreakBefore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夜间</w:t>
                  </w:r>
                </w:p>
              </w:tc>
              <w:tc>
                <w:tcPr>
                  <w:tcW w:w="670" w:type="pct"/>
                  <w:vAlign w:val="center"/>
                </w:tcPr>
                <w:p w14:paraId="4882D45D">
                  <w:pPr>
                    <w:keepLines w:val="0"/>
                    <w:pageBreakBefore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55</w:t>
                  </w:r>
                </w:p>
              </w:tc>
            </w:tr>
          </w:tbl>
          <w:p w14:paraId="682F2969">
            <w:pPr>
              <w:pStyle w:val="66"/>
              <w:spacing w:line="360" w:lineRule="auto"/>
              <w:ind w:firstLine="482"/>
              <w:rPr>
                <w:rFonts w:hint="eastAsia" w:ascii="Times New Roman" w:hAnsi="Times New Roman" w:eastAsia="宋体" w:cs="Times New Roman"/>
                <w:b/>
                <w:bCs/>
                <w:color w:val="auto"/>
              </w:rPr>
            </w:pPr>
            <w:r>
              <w:rPr>
                <w:rFonts w:hint="eastAsia" w:ascii="Times New Roman" w:hAnsi="Times New Roman" w:eastAsia="宋体" w:cs="Times New Roman"/>
                <w:b/>
                <w:bCs/>
                <w:color w:val="auto"/>
              </w:rPr>
              <w:t>4、固废</w:t>
            </w:r>
          </w:p>
          <w:p w14:paraId="6D703F3A">
            <w:pPr>
              <w:pStyle w:val="66"/>
              <w:spacing w:line="360" w:lineRule="auto"/>
              <w:rPr>
                <w:color w:val="auto"/>
              </w:rPr>
            </w:pPr>
            <w:r>
              <w:rPr>
                <w:rFonts w:hint="eastAsia" w:ascii="Times New Roman" w:hAnsi="Times New Roman" w:eastAsia="宋体" w:cs="Times New Roman"/>
                <w:color w:val="auto"/>
                <w:sz w:val="24"/>
                <w:highlight w:val="none"/>
              </w:rPr>
              <w:t>一般工业固体废物按照《中华人民共和国固体废物污染环境防治法》中的相关规定综合利用和处置，一般固体废物的贮存过程应满足防渗漏、防雨淋、防扬尘等环境保护要求</w:t>
            </w:r>
            <w:r>
              <w:rPr>
                <w:rFonts w:ascii="Times New Roman" w:hAnsi="Times New Roman" w:eastAsia="宋体" w:cs="Times New Roman"/>
                <w:color w:val="auto"/>
                <w:sz w:val="24"/>
                <w:highlight w:val="none"/>
              </w:rPr>
              <w:t>；危险废物执行</w:t>
            </w:r>
            <w:r>
              <w:rPr>
                <w:rFonts w:hint="eastAsia"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eastAsia="zh-CN"/>
              </w:rPr>
              <w:t>危险废物贮存污染控制标准</w:t>
            </w:r>
            <w:r>
              <w:rPr>
                <w:rFonts w:hint="eastAsia" w:ascii="Times New Roman" w:hAnsi="Times New Roman" w:eastAsia="宋体" w:cs="Times New Roman"/>
                <w:color w:val="auto"/>
                <w:sz w:val="24"/>
                <w:highlight w:val="none"/>
              </w:rPr>
              <w:t>》（GB18597-2023）的相关要求</w:t>
            </w:r>
            <w:r>
              <w:rPr>
                <w:rFonts w:hint="eastAsia"/>
                <w:color w:val="auto"/>
              </w:rPr>
              <w:t>。</w:t>
            </w:r>
          </w:p>
        </w:tc>
      </w:tr>
      <w:tr w14:paraId="6CDF44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499" w:type="dxa"/>
            <w:vAlign w:val="center"/>
          </w:tcPr>
          <w:p w14:paraId="65E15ECF">
            <w:pPr>
              <w:adjustRightInd w:val="0"/>
              <w:snapToGrid w:val="0"/>
              <w:jc w:val="center"/>
              <w:rPr>
                <w:rFonts w:cs="宋体"/>
                <w:color w:val="auto"/>
                <w:kern w:val="0"/>
                <w:szCs w:val="21"/>
              </w:rPr>
            </w:pPr>
            <w:r>
              <w:rPr>
                <w:rFonts w:hint="eastAsia" w:cs="宋体"/>
                <w:color w:val="auto"/>
                <w:kern w:val="0"/>
                <w:sz w:val="24"/>
                <w:szCs w:val="24"/>
              </w:rPr>
              <w:t>总量控制指标</w:t>
            </w:r>
          </w:p>
        </w:tc>
        <w:tc>
          <w:tcPr>
            <w:tcW w:w="8491" w:type="dxa"/>
          </w:tcPr>
          <w:p w14:paraId="13229A0A">
            <w:pPr>
              <w:pStyle w:val="208"/>
              <w:ind w:firstLine="480"/>
              <w:rPr>
                <w:rFonts w:hint="eastAsia" w:ascii="Times New Roman" w:hAnsi="Times New Roman" w:eastAsia="宋体" w:cs="Times New Roman"/>
                <w:color w:val="auto"/>
              </w:rPr>
            </w:pPr>
            <w:r>
              <w:rPr>
                <w:rFonts w:hint="eastAsia" w:ascii="Times New Roman" w:hAnsi="Times New Roman" w:eastAsia="宋体" w:cs="Times New Roman"/>
                <w:color w:val="auto"/>
              </w:rPr>
              <w:t>本次评价将给出废气污染物（VOCs）、废水污染物（COD、NH</w:t>
            </w:r>
            <w:r>
              <w:rPr>
                <w:rFonts w:hint="eastAsia" w:ascii="Times New Roman" w:hAnsi="Times New Roman" w:eastAsia="宋体" w:cs="Times New Roman"/>
                <w:color w:val="auto"/>
                <w:vertAlign w:val="subscript"/>
              </w:rPr>
              <w:t>3</w:t>
            </w:r>
            <w:r>
              <w:rPr>
                <w:rFonts w:hint="eastAsia" w:ascii="Times New Roman" w:hAnsi="Times New Roman" w:eastAsia="宋体" w:cs="Times New Roman"/>
                <w:color w:val="auto"/>
              </w:rPr>
              <w:t>-N、TP）计算值，供生态环境主管部门参考。</w:t>
            </w:r>
          </w:p>
          <w:p w14:paraId="7444548F">
            <w:pPr>
              <w:pStyle w:val="208"/>
              <w:ind w:firstLine="480"/>
              <w:rPr>
                <w:rFonts w:hint="eastAsia"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auto"/>
                <w:lang w:val="en-US" w:eastAsia="zh-CN"/>
              </w:rPr>
              <w:t>一</w:t>
            </w:r>
            <w:r>
              <w:rPr>
                <w:rFonts w:hint="eastAsia" w:ascii="Times New Roman" w:hAnsi="Times New Roman" w:eastAsia="宋体" w:cs="Times New Roman"/>
                <w:color w:val="000000" w:themeColor="text1"/>
                <w:lang w:val="en-US" w:eastAsia="zh-CN"/>
                <w14:textFill>
                  <w14:solidFill>
                    <w14:schemeClr w14:val="tx1"/>
                  </w14:solidFill>
                </w14:textFill>
              </w:rPr>
              <w:t>、废水</w:t>
            </w:r>
          </w:p>
          <w:p w14:paraId="61C478DE">
            <w:pPr>
              <w:pStyle w:val="208"/>
              <w:ind w:firstLine="480"/>
              <w:rPr>
                <w:rFonts w:hint="eastAsia"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污水处理厂处理前（</w:t>
            </w:r>
            <w:r>
              <w:rPr>
                <w:rFonts w:hint="eastAsia" w:ascii="Times New Roman" w:cs="Times New Roman"/>
                <w:color w:val="000000" w:themeColor="text1"/>
                <w:lang w:val="en-US" w:eastAsia="zh-CN"/>
                <w14:textFill>
                  <w14:solidFill>
                    <w14:schemeClr w14:val="tx1"/>
                  </w14:solidFill>
                </w14:textFill>
              </w:rPr>
              <w:t>废水总排口</w:t>
            </w:r>
            <w:r>
              <w:rPr>
                <w:rFonts w:hint="eastAsia" w:ascii="Times New Roman" w:hAnsi="Times New Roman" w:eastAsia="宋体" w:cs="Times New Roman"/>
                <w:color w:val="000000" w:themeColor="text1"/>
                <w14:textFill>
                  <w14:solidFill>
                    <w14:schemeClr w14:val="tx1"/>
                  </w14:solidFill>
                </w14:textFill>
              </w:rPr>
              <w:t>）：</w:t>
            </w:r>
          </w:p>
          <w:p w14:paraId="176081A2">
            <w:pPr>
              <w:pStyle w:val="208"/>
              <w:ind w:firstLine="480"/>
              <w:rPr>
                <w:rFonts w:hint="eastAsia"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COD=</w:t>
            </w:r>
            <w:r>
              <w:rPr>
                <w:rFonts w:hint="eastAsia" w:ascii="Times New Roman" w:cs="Times New Roman"/>
                <w:color w:val="000000" w:themeColor="text1"/>
                <w:lang w:val="en-US" w:eastAsia="zh-CN"/>
                <w14:textFill>
                  <w14:solidFill>
                    <w14:schemeClr w14:val="tx1"/>
                  </w14:solidFill>
                </w14:textFill>
              </w:rPr>
              <w:t>3580.8</w:t>
            </w:r>
            <w:r>
              <w:rPr>
                <w:rFonts w:hint="eastAsia" w:ascii="Times New Roman" w:hAnsi="Times New Roman" w:eastAsia="宋体" w:cs="Times New Roman"/>
                <w:color w:val="000000" w:themeColor="text1"/>
                <w14:textFill>
                  <w14:solidFill>
                    <w14:schemeClr w14:val="tx1"/>
                  </w14:solidFill>
                </w14:textFill>
              </w:rPr>
              <w:t>m</w:t>
            </w:r>
            <w:r>
              <w:rPr>
                <w:rFonts w:hint="eastAsia" w:ascii="Times New Roman" w:hAnsi="Times New Roman" w:eastAsia="宋体" w:cs="Times New Roman"/>
                <w:color w:val="000000" w:themeColor="text1"/>
                <w:vertAlign w:val="superscript"/>
                <w14:textFill>
                  <w14:solidFill>
                    <w14:schemeClr w14:val="tx1"/>
                  </w14:solidFill>
                </w14:textFill>
              </w:rPr>
              <w:t>3</w:t>
            </w:r>
            <w:r>
              <w:rPr>
                <w:rFonts w:hint="eastAsia" w:ascii="Times New Roman" w:hAnsi="Times New Roman" w:eastAsia="宋体" w:cs="Times New Roman"/>
                <w:color w:val="000000" w:themeColor="text1"/>
                <w14:textFill>
                  <w14:solidFill>
                    <w14:schemeClr w14:val="tx1"/>
                  </w14:solidFill>
                </w14:textFill>
              </w:rPr>
              <w:t>/a×</w:t>
            </w:r>
            <w:r>
              <w:rPr>
                <w:rFonts w:hint="eastAsia" w:ascii="Times New Roman" w:cs="Times New Roman"/>
                <w:color w:val="000000" w:themeColor="text1"/>
                <w:lang w:val="en-US" w:eastAsia="zh-CN"/>
                <w14:textFill>
                  <w14:solidFill>
                    <w14:schemeClr w14:val="tx1"/>
                  </w14:solidFill>
                </w14:textFill>
              </w:rPr>
              <w:t>150</w:t>
            </w:r>
            <w:r>
              <w:rPr>
                <w:rFonts w:hint="eastAsia" w:ascii="Times New Roman" w:hAnsi="Times New Roman" w:eastAsia="宋体" w:cs="Times New Roman"/>
                <w:color w:val="000000" w:themeColor="text1"/>
                <w14:textFill>
                  <w14:solidFill>
                    <w14:schemeClr w14:val="tx1"/>
                  </w14:solidFill>
                </w14:textFill>
              </w:rPr>
              <w:t>mg/L×10</w:t>
            </w:r>
            <w:r>
              <w:rPr>
                <w:rFonts w:hint="eastAsia" w:ascii="Times New Roman" w:hAnsi="Times New Roman" w:eastAsia="宋体" w:cs="Times New Roman"/>
                <w:color w:val="000000" w:themeColor="text1"/>
                <w:vertAlign w:val="superscript"/>
                <w14:textFill>
                  <w14:solidFill>
                    <w14:schemeClr w14:val="tx1"/>
                  </w14:solidFill>
                </w14:textFill>
              </w:rPr>
              <w:t>-6</w:t>
            </w:r>
            <w:r>
              <w:rPr>
                <w:rFonts w:hint="eastAsia" w:ascii="Times New Roman" w:hAnsi="Times New Roman" w:eastAsia="宋体" w:cs="Times New Roman"/>
                <w:color w:val="000000" w:themeColor="text1"/>
                <w:lang w:val="en-US" w:eastAsia="zh-CN"/>
                <w14:textFill>
                  <w14:solidFill>
                    <w14:schemeClr w14:val="tx1"/>
                  </w14:solidFill>
                </w14:textFill>
              </w:rPr>
              <w:t>≈</w:t>
            </w:r>
            <w:r>
              <w:rPr>
                <w:rFonts w:hint="eastAsia" w:ascii="Times New Roman" w:cs="Times New Roman"/>
                <w:color w:val="000000" w:themeColor="text1"/>
                <w:lang w:val="en-US" w:eastAsia="zh-CN"/>
                <w14:textFill>
                  <w14:solidFill>
                    <w14:schemeClr w14:val="tx1"/>
                  </w14:solidFill>
                </w14:textFill>
              </w:rPr>
              <w:t>0.54</w:t>
            </w:r>
            <w:r>
              <w:rPr>
                <w:rFonts w:hint="eastAsia" w:ascii="Times New Roman" w:hAnsi="Times New Roman" w:eastAsia="宋体" w:cs="Times New Roman"/>
                <w:color w:val="000000" w:themeColor="text1"/>
                <w14:textFill>
                  <w14:solidFill>
                    <w14:schemeClr w14:val="tx1"/>
                  </w14:solidFill>
                </w14:textFill>
              </w:rPr>
              <w:t>t/a；</w:t>
            </w:r>
          </w:p>
          <w:p w14:paraId="1DF2E336">
            <w:pPr>
              <w:pStyle w:val="208"/>
              <w:ind w:firstLine="480"/>
              <w:rPr>
                <w:rFonts w:hint="eastAsia"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NH</w:t>
            </w:r>
            <w:r>
              <w:rPr>
                <w:rFonts w:hint="eastAsia" w:ascii="Times New Roman" w:hAnsi="Times New Roman" w:eastAsia="宋体" w:cs="Times New Roman"/>
                <w:color w:val="000000" w:themeColor="text1"/>
                <w:vertAlign w:val="subscript"/>
                <w14:textFill>
                  <w14:solidFill>
                    <w14:schemeClr w14:val="tx1"/>
                  </w14:solidFill>
                </w14:textFill>
              </w:rPr>
              <w:t>3</w:t>
            </w:r>
            <w:r>
              <w:rPr>
                <w:rFonts w:hint="eastAsia" w:ascii="Times New Roman" w:hAnsi="Times New Roman" w:eastAsia="宋体" w:cs="Times New Roman"/>
                <w:color w:val="000000" w:themeColor="text1"/>
                <w14:textFill>
                  <w14:solidFill>
                    <w14:schemeClr w14:val="tx1"/>
                  </w14:solidFill>
                </w14:textFill>
              </w:rPr>
              <w:t>-N=</w:t>
            </w:r>
            <w:r>
              <w:rPr>
                <w:rFonts w:hint="eastAsia" w:ascii="Times New Roman" w:cs="Times New Roman"/>
                <w:color w:val="000000" w:themeColor="text1"/>
                <w:lang w:val="en-US" w:eastAsia="zh-CN"/>
                <w14:textFill>
                  <w14:solidFill>
                    <w14:schemeClr w14:val="tx1"/>
                  </w14:solidFill>
                </w14:textFill>
              </w:rPr>
              <w:t>3580.8</w:t>
            </w:r>
            <w:r>
              <w:rPr>
                <w:rFonts w:hint="eastAsia" w:ascii="Times New Roman" w:hAnsi="Times New Roman" w:eastAsia="宋体" w:cs="Times New Roman"/>
                <w:color w:val="000000" w:themeColor="text1"/>
                <w14:textFill>
                  <w14:solidFill>
                    <w14:schemeClr w14:val="tx1"/>
                  </w14:solidFill>
                </w14:textFill>
              </w:rPr>
              <w:t>m</w:t>
            </w:r>
            <w:r>
              <w:rPr>
                <w:rFonts w:hint="eastAsia" w:ascii="Times New Roman" w:hAnsi="Times New Roman" w:eastAsia="宋体" w:cs="Times New Roman"/>
                <w:color w:val="000000" w:themeColor="text1"/>
                <w:vertAlign w:val="superscript"/>
                <w14:textFill>
                  <w14:solidFill>
                    <w14:schemeClr w14:val="tx1"/>
                  </w14:solidFill>
                </w14:textFill>
              </w:rPr>
              <w:t>3</w:t>
            </w:r>
            <w:r>
              <w:rPr>
                <w:rFonts w:hint="eastAsia" w:ascii="Times New Roman" w:hAnsi="Times New Roman" w:eastAsia="宋体" w:cs="Times New Roman"/>
                <w:color w:val="000000" w:themeColor="text1"/>
                <w14:textFill>
                  <w14:solidFill>
                    <w14:schemeClr w14:val="tx1"/>
                  </w14:solidFill>
                </w14:textFill>
              </w:rPr>
              <w:t>/a×</w:t>
            </w:r>
            <w:r>
              <w:rPr>
                <w:rFonts w:hint="eastAsia" w:ascii="Times New Roman" w:cs="Times New Roman"/>
                <w:color w:val="000000" w:themeColor="text1"/>
                <w:lang w:val="en-US" w:eastAsia="zh-CN"/>
                <w14:textFill>
                  <w14:solidFill>
                    <w14:schemeClr w14:val="tx1"/>
                  </w14:solidFill>
                </w14:textFill>
              </w:rPr>
              <w:t>30</w:t>
            </w:r>
            <w:r>
              <w:rPr>
                <w:rFonts w:hint="eastAsia" w:ascii="Times New Roman" w:hAnsi="Times New Roman" w:eastAsia="宋体" w:cs="Times New Roman"/>
                <w:color w:val="000000" w:themeColor="text1"/>
                <w14:textFill>
                  <w14:solidFill>
                    <w14:schemeClr w14:val="tx1"/>
                  </w14:solidFill>
                </w14:textFill>
              </w:rPr>
              <w:t>mg/L×10</w:t>
            </w:r>
            <w:r>
              <w:rPr>
                <w:rFonts w:hint="eastAsia" w:ascii="Times New Roman" w:hAnsi="Times New Roman" w:eastAsia="宋体" w:cs="Times New Roman"/>
                <w:color w:val="000000" w:themeColor="text1"/>
                <w:vertAlign w:val="superscript"/>
                <w14:textFill>
                  <w14:solidFill>
                    <w14:schemeClr w14:val="tx1"/>
                  </w14:solidFill>
                </w14:textFill>
              </w:rPr>
              <w:t>-6</w:t>
            </w:r>
            <w:r>
              <w:rPr>
                <w:rFonts w:hint="eastAsia" w:ascii="Times New Roman" w:hAnsi="Times New Roman" w:eastAsia="宋体" w:cs="Times New Roman"/>
                <w:color w:val="000000" w:themeColor="text1"/>
                <w:lang w:val="en-US" w:eastAsia="zh-CN"/>
                <w14:textFill>
                  <w14:solidFill>
                    <w14:schemeClr w14:val="tx1"/>
                  </w14:solidFill>
                </w14:textFill>
              </w:rPr>
              <w:t>≈</w:t>
            </w:r>
            <w:r>
              <w:rPr>
                <w:rFonts w:hint="eastAsia" w:ascii="Times New Roman" w:cs="Times New Roman"/>
                <w:color w:val="000000" w:themeColor="text1"/>
                <w:lang w:val="en-US" w:eastAsia="zh-CN"/>
                <w14:textFill>
                  <w14:solidFill>
                    <w14:schemeClr w14:val="tx1"/>
                  </w14:solidFill>
                </w14:textFill>
              </w:rPr>
              <w:t>0.11</w:t>
            </w:r>
            <w:r>
              <w:rPr>
                <w:rFonts w:hint="eastAsia" w:ascii="Times New Roman" w:hAnsi="Times New Roman" w:eastAsia="宋体" w:cs="Times New Roman"/>
                <w:color w:val="000000" w:themeColor="text1"/>
                <w14:textFill>
                  <w14:solidFill>
                    <w14:schemeClr w14:val="tx1"/>
                  </w14:solidFill>
                </w14:textFill>
              </w:rPr>
              <w:t>t/a；</w:t>
            </w:r>
          </w:p>
          <w:p w14:paraId="76E159C3">
            <w:pPr>
              <w:pStyle w:val="208"/>
              <w:ind w:firstLine="48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TP=</w:t>
            </w:r>
            <w:r>
              <w:rPr>
                <w:rFonts w:hint="eastAsia" w:ascii="Times New Roman" w:cs="Times New Roman"/>
                <w:color w:val="000000" w:themeColor="text1"/>
                <w:lang w:val="en-US" w:eastAsia="zh-CN"/>
                <w14:textFill>
                  <w14:solidFill>
                    <w14:schemeClr w14:val="tx1"/>
                  </w14:solidFill>
                </w14:textFill>
              </w:rPr>
              <w:t>3580.8</w:t>
            </w:r>
            <w:r>
              <w:rPr>
                <w:rFonts w:hint="eastAsia" w:ascii="Times New Roman" w:hAnsi="Times New Roman" w:eastAsia="宋体" w:cs="Times New Roman"/>
                <w:color w:val="000000" w:themeColor="text1"/>
                <w14:textFill>
                  <w14:solidFill>
                    <w14:schemeClr w14:val="tx1"/>
                  </w14:solidFill>
                </w14:textFill>
              </w:rPr>
              <w:t>m</w:t>
            </w:r>
            <w:r>
              <w:rPr>
                <w:rFonts w:hint="eastAsia" w:ascii="Times New Roman" w:hAnsi="Times New Roman" w:eastAsia="宋体" w:cs="Times New Roman"/>
                <w:color w:val="000000" w:themeColor="text1"/>
                <w:vertAlign w:val="superscript"/>
                <w14:textFill>
                  <w14:solidFill>
                    <w14:schemeClr w14:val="tx1"/>
                  </w14:solidFill>
                </w14:textFill>
              </w:rPr>
              <w:t>3</w:t>
            </w:r>
            <w:r>
              <w:rPr>
                <w:rFonts w:hint="eastAsia" w:ascii="Times New Roman" w:hAnsi="Times New Roman" w:eastAsia="宋体" w:cs="Times New Roman"/>
                <w:color w:val="000000" w:themeColor="text1"/>
                <w14:textFill>
                  <w14:solidFill>
                    <w14:schemeClr w14:val="tx1"/>
                  </w14:solidFill>
                </w14:textFill>
              </w:rPr>
              <w:t>/a×</w:t>
            </w:r>
            <w:r>
              <w:rPr>
                <w:rFonts w:hint="eastAsia" w:ascii="Times New Roman" w:cs="Times New Roman"/>
                <w:color w:val="000000" w:themeColor="text1"/>
                <w:lang w:val="en-US" w:eastAsia="zh-CN"/>
                <w14:textFill>
                  <w14:solidFill>
                    <w14:schemeClr w14:val="tx1"/>
                  </w14:solidFill>
                </w14:textFill>
              </w:rPr>
              <w:t>2</w:t>
            </w:r>
            <w:r>
              <w:rPr>
                <w:rFonts w:hint="eastAsia" w:ascii="Times New Roman" w:hAnsi="Times New Roman" w:eastAsia="宋体" w:cs="Times New Roman"/>
                <w:color w:val="000000" w:themeColor="text1"/>
                <w14:textFill>
                  <w14:solidFill>
                    <w14:schemeClr w14:val="tx1"/>
                  </w14:solidFill>
                </w14:textFill>
              </w:rPr>
              <w:t>mg/L×10</w:t>
            </w:r>
            <w:r>
              <w:rPr>
                <w:rFonts w:hint="eastAsia" w:ascii="Times New Roman" w:hAnsi="Times New Roman" w:eastAsia="宋体" w:cs="Times New Roman"/>
                <w:color w:val="000000" w:themeColor="text1"/>
                <w:vertAlign w:val="superscript"/>
                <w14:textFill>
                  <w14:solidFill>
                    <w14:schemeClr w14:val="tx1"/>
                  </w14:solidFill>
                </w14:textFill>
              </w:rPr>
              <w:t>-6</w:t>
            </w:r>
            <w:r>
              <w:rPr>
                <w:rFonts w:hint="eastAsia" w:ascii="Times New Roman" w:hAnsi="Times New Roman" w:eastAsia="宋体" w:cs="Times New Roman"/>
                <w:color w:val="000000" w:themeColor="text1"/>
                <w:lang w:val="en-US" w:eastAsia="zh-CN"/>
                <w14:textFill>
                  <w14:solidFill>
                    <w14:schemeClr w14:val="tx1"/>
                  </w14:solidFill>
                </w14:textFill>
              </w:rPr>
              <w:t>≈</w:t>
            </w:r>
            <w:r>
              <w:rPr>
                <w:rFonts w:hint="eastAsia" w:ascii="Times New Roman" w:cs="Times New Roman"/>
                <w:color w:val="000000" w:themeColor="text1"/>
                <w:lang w:val="en-US" w:eastAsia="zh-CN"/>
                <w14:textFill>
                  <w14:solidFill>
                    <w14:schemeClr w14:val="tx1"/>
                  </w14:solidFill>
                </w14:textFill>
              </w:rPr>
              <w:t>0.01</w:t>
            </w:r>
            <w:r>
              <w:rPr>
                <w:rFonts w:hint="eastAsia" w:ascii="Times New Roman" w:hAnsi="Times New Roman" w:eastAsia="宋体" w:cs="Times New Roman"/>
                <w:color w:val="000000" w:themeColor="text1"/>
                <w14:textFill>
                  <w14:solidFill>
                    <w14:schemeClr w14:val="tx1"/>
                  </w14:solidFill>
                </w14:textFill>
              </w:rPr>
              <w:t>t/a；</w:t>
            </w:r>
          </w:p>
          <w:p w14:paraId="1CF94D4D">
            <w:pPr>
              <w:pStyle w:val="208"/>
              <w:ind w:firstLine="480"/>
              <w:rPr>
                <w:rFonts w:hint="eastAsia"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污水处理厂处理后（</w:t>
            </w:r>
            <w:r>
              <w:rPr>
                <w:rFonts w:hint="eastAsia" w:cs="Times New Roman"/>
                <w:bCs/>
                <w:color w:val="000000" w:themeColor="text1"/>
                <w:sz w:val="24"/>
                <w:szCs w:val="24"/>
                <w:highlight w:val="none"/>
                <w:lang w:val="en-US" w:eastAsia="zh-CN"/>
                <w14:textFill>
                  <w14:solidFill>
                    <w14:schemeClr w14:val="tx1"/>
                  </w14:solidFill>
                </w14:textFill>
              </w:rPr>
              <w:t>巴中经开区污水处理厂</w:t>
            </w:r>
            <w:r>
              <w:rPr>
                <w:rFonts w:hint="eastAsia" w:ascii="Times New Roman" w:hAnsi="Times New Roman" w:eastAsia="宋体" w:cs="Times New Roman"/>
                <w:color w:val="000000" w:themeColor="text1"/>
                <w14:textFill>
                  <w14:solidFill>
                    <w14:schemeClr w14:val="tx1"/>
                  </w14:solidFill>
                </w14:textFill>
              </w:rPr>
              <w:t>排口）：</w:t>
            </w:r>
          </w:p>
          <w:p w14:paraId="22AD1CC4">
            <w:pPr>
              <w:pStyle w:val="208"/>
              <w:ind w:firstLine="480"/>
              <w:rPr>
                <w:rFonts w:hint="eastAsia"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COD=</w:t>
            </w:r>
            <w:r>
              <w:rPr>
                <w:rFonts w:hint="eastAsia" w:ascii="Times New Roman" w:cs="Times New Roman"/>
                <w:color w:val="000000" w:themeColor="text1"/>
                <w:lang w:val="en-US" w:eastAsia="zh-CN"/>
                <w14:textFill>
                  <w14:solidFill>
                    <w14:schemeClr w14:val="tx1"/>
                  </w14:solidFill>
                </w14:textFill>
              </w:rPr>
              <w:t>3580.8</w:t>
            </w:r>
            <w:r>
              <w:rPr>
                <w:rFonts w:hint="eastAsia" w:ascii="Times New Roman" w:hAnsi="Times New Roman" w:eastAsia="宋体" w:cs="Times New Roman"/>
                <w:color w:val="000000" w:themeColor="text1"/>
                <w14:textFill>
                  <w14:solidFill>
                    <w14:schemeClr w14:val="tx1"/>
                  </w14:solidFill>
                </w14:textFill>
              </w:rPr>
              <w:t>m</w:t>
            </w:r>
            <w:r>
              <w:rPr>
                <w:rFonts w:hint="eastAsia" w:ascii="Times New Roman" w:hAnsi="Times New Roman" w:eastAsia="宋体" w:cs="Times New Roman"/>
                <w:color w:val="000000" w:themeColor="text1"/>
                <w:vertAlign w:val="superscript"/>
                <w14:textFill>
                  <w14:solidFill>
                    <w14:schemeClr w14:val="tx1"/>
                  </w14:solidFill>
                </w14:textFill>
              </w:rPr>
              <w:t>3</w:t>
            </w:r>
            <w:r>
              <w:rPr>
                <w:rFonts w:hint="eastAsia" w:ascii="Times New Roman" w:hAnsi="Times New Roman" w:eastAsia="宋体" w:cs="Times New Roman"/>
                <w:color w:val="000000" w:themeColor="text1"/>
                <w14:textFill>
                  <w14:solidFill>
                    <w14:schemeClr w14:val="tx1"/>
                  </w14:solidFill>
                </w14:textFill>
              </w:rPr>
              <w:t>/a×</w:t>
            </w:r>
            <w:r>
              <w:rPr>
                <w:rFonts w:hint="eastAsia" w:ascii="Times New Roman" w:cs="Times New Roman"/>
                <w:color w:val="000000" w:themeColor="text1"/>
                <w:lang w:val="en-US" w:eastAsia="zh-CN"/>
                <w14:textFill>
                  <w14:solidFill>
                    <w14:schemeClr w14:val="tx1"/>
                  </w14:solidFill>
                </w14:textFill>
              </w:rPr>
              <w:t>50</w:t>
            </w:r>
            <w:r>
              <w:rPr>
                <w:rFonts w:hint="eastAsia" w:ascii="Times New Roman" w:hAnsi="Times New Roman" w:eastAsia="宋体" w:cs="Times New Roman"/>
                <w:color w:val="000000" w:themeColor="text1"/>
                <w14:textFill>
                  <w14:solidFill>
                    <w14:schemeClr w14:val="tx1"/>
                  </w14:solidFill>
                </w14:textFill>
              </w:rPr>
              <w:t>mg/L×10</w:t>
            </w:r>
            <w:r>
              <w:rPr>
                <w:rFonts w:hint="eastAsia" w:ascii="Times New Roman" w:hAnsi="Times New Roman" w:eastAsia="宋体" w:cs="Times New Roman"/>
                <w:color w:val="000000" w:themeColor="text1"/>
                <w:vertAlign w:val="superscript"/>
                <w14:textFill>
                  <w14:solidFill>
                    <w14:schemeClr w14:val="tx1"/>
                  </w14:solidFill>
                </w14:textFill>
              </w:rPr>
              <w:t>-6</w:t>
            </w:r>
            <w:r>
              <w:rPr>
                <w:rFonts w:hint="eastAsia" w:ascii="Times New Roman" w:hAnsi="Times New Roman" w:eastAsia="宋体" w:cs="Times New Roman"/>
                <w:color w:val="000000" w:themeColor="text1"/>
                <w:lang w:val="en-US" w:eastAsia="zh-CN"/>
                <w14:textFill>
                  <w14:solidFill>
                    <w14:schemeClr w14:val="tx1"/>
                  </w14:solidFill>
                </w14:textFill>
              </w:rPr>
              <w:t>≈</w:t>
            </w:r>
            <w:r>
              <w:rPr>
                <w:rFonts w:hint="eastAsia" w:ascii="Times New Roman" w:cs="Times New Roman"/>
                <w:color w:val="000000" w:themeColor="text1"/>
                <w:lang w:val="en-US" w:eastAsia="zh-CN"/>
                <w14:textFill>
                  <w14:solidFill>
                    <w14:schemeClr w14:val="tx1"/>
                  </w14:solidFill>
                </w14:textFill>
              </w:rPr>
              <w:t>0.18</w:t>
            </w:r>
            <w:r>
              <w:rPr>
                <w:rFonts w:hint="eastAsia" w:ascii="Times New Roman" w:hAnsi="Times New Roman" w:eastAsia="宋体" w:cs="Times New Roman"/>
                <w:color w:val="000000" w:themeColor="text1"/>
                <w14:textFill>
                  <w14:solidFill>
                    <w14:schemeClr w14:val="tx1"/>
                  </w14:solidFill>
                </w14:textFill>
              </w:rPr>
              <w:t>t/a；</w:t>
            </w:r>
          </w:p>
          <w:p w14:paraId="214A9889">
            <w:pPr>
              <w:pStyle w:val="208"/>
              <w:ind w:firstLine="480"/>
              <w:rPr>
                <w:rFonts w:hint="eastAsia"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NH</w:t>
            </w:r>
            <w:r>
              <w:rPr>
                <w:rFonts w:hint="eastAsia" w:ascii="Times New Roman" w:hAnsi="Times New Roman" w:eastAsia="宋体" w:cs="Times New Roman"/>
                <w:color w:val="000000" w:themeColor="text1"/>
                <w:vertAlign w:val="subscript"/>
                <w14:textFill>
                  <w14:solidFill>
                    <w14:schemeClr w14:val="tx1"/>
                  </w14:solidFill>
                </w14:textFill>
              </w:rPr>
              <w:t>3</w:t>
            </w:r>
            <w:r>
              <w:rPr>
                <w:rFonts w:hint="eastAsia" w:ascii="Times New Roman" w:hAnsi="Times New Roman" w:eastAsia="宋体" w:cs="Times New Roman"/>
                <w:color w:val="000000" w:themeColor="text1"/>
                <w14:textFill>
                  <w14:solidFill>
                    <w14:schemeClr w14:val="tx1"/>
                  </w14:solidFill>
                </w14:textFill>
              </w:rPr>
              <w:t>-N=</w:t>
            </w:r>
            <w:r>
              <w:rPr>
                <w:rFonts w:hint="eastAsia" w:ascii="Times New Roman" w:cs="Times New Roman"/>
                <w:color w:val="000000" w:themeColor="text1"/>
                <w:lang w:val="en-US" w:eastAsia="zh-CN"/>
                <w14:textFill>
                  <w14:solidFill>
                    <w14:schemeClr w14:val="tx1"/>
                  </w14:solidFill>
                </w14:textFill>
              </w:rPr>
              <w:t>3580.8</w:t>
            </w:r>
            <w:r>
              <w:rPr>
                <w:rFonts w:hint="eastAsia" w:ascii="Times New Roman" w:hAnsi="Times New Roman" w:eastAsia="宋体" w:cs="Times New Roman"/>
                <w:color w:val="000000" w:themeColor="text1"/>
                <w14:textFill>
                  <w14:solidFill>
                    <w14:schemeClr w14:val="tx1"/>
                  </w14:solidFill>
                </w14:textFill>
              </w:rPr>
              <w:t>m</w:t>
            </w:r>
            <w:r>
              <w:rPr>
                <w:rFonts w:hint="eastAsia" w:ascii="Times New Roman" w:hAnsi="Times New Roman" w:eastAsia="宋体" w:cs="Times New Roman"/>
                <w:color w:val="000000" w:themeColor="text1"/>
                <w:vertAlign w:val="superscript"/>
                <w14:textFill>
                  <w14:solidFill>
                    <w14:schemeClr w14:val="tx1"/>
                  </w14:solidFill>
                </w14:textFill>
              </w:rPr>
              <w:t>3</w:t>
            </w:r>
            <w:r>
              <w:rPr>
                <w:rFonts w:hint="eastAsia" w:ascii="Times New Roman" w:hAnsi="Times New Roman" w:eastAsia="宋体" w:cs="Times New Roman"/>
                <w:color w:val="000000" w:themeColor="text1"/>
                <w14:textFill>
                  <w14:solidFill>
                    <w14:schemeClr w14:val="tx1"/>
                  </w14:solidFill>
                </w14:textFill>
              </w:rPr>
              <w:t>/a×</w:t>
            </w:r>
            <w:r>
              <w:rPr>
                <w:rFonts w:hint="eastAsia" w:ascii="Times New Roman" w:cs="Times New Roman"/>
                <w:color w:val="000000" w:themeColor="text1"/>
                <w:lang w:val="en-US" w:eastAsia="zh-CN"/>
                <w14:textFill>
                  <w14:solidFill>
                    <w14:schemeClr w14:val="tx1"/>
                  </w14:solidFill>
                </w14:textFill>
              </w:rPr>
              <w:t>5</w:t>
            </w:r>
            <w:r>
              <w:rPr>
                <w:rFonts w:hint="eastAsia" w:ascii="Times New Roman" w:hAnsi="Times New Roman" w:eastAsia="宋体" w:cs="Times New Roman"/>
                <w:color w:val="000000" w:themeColor="text1"/>
                <w14:textFill>
                  <w14:solidFill>
                    <w14:schemeClr w14:val="tx1"/>
                  </w14:solidFill>
                </w14:textFill>
              </w:rPr>
              <w:t>mg/L×10</w:t>
            </w:r>
            <w:r>
              <w:rPr>
                <w:rFonts w:hint="eastAsia" w:ascii="Times New Roman" w:hAnsi="Times New Roman" w:eastAsia="宋体" w:cs="Times New Roman"/>
                <w:color w:val="000000" w:themeColor="text1"/>
                <w:vertAlign w:val="superscript"/>
                <w14:textFill>
                  <w14:solidFill>
                    <w14:schemeClr w14:val="tx1"/>
                  </w14:solidFill>
                </w14:textFill>
              </w:rPr>
              <w:t>-6</w:t>
            </w:r>
            <w:r>
              <w:rPr>
                <w:rFonts w:hint="eastAsia" w:ascii="Times New Roman" w:hAnsi="Times New Roman" w:eastAsia="宋体" w:cs="Times New Roman"/>
                <w:color w:val="000000" w:themeColor="text1"/>
                <w:lang w:val="en-US" w:eastAsia="zh-CN"/>
                <w14:textFill>
                  <w14:solidFill>
                    <w14:schemeClr w14:val="tx1"/>
                  </w14:solidFill>
                </w14:textFill>
              </w:rPr>
              <w:t>≈</w:t>
            </w:r>
            <w:r>
              <w:rPr>
                <w:rFonts w:hint="eastAsia" w:ascii="Times New Roman" w:cs="Times New Roman"/>
                <w:color w:val="000000" w:themeColor="text1"/>
                <w:lang w:val="en-US" w:eastAsia="zh-CN"/>
                <w14:textFill>
                  <w14:solidFill>
                    <w14:schemeClr w14:val="tx1"/>
                  </w14:solidFill>
                </w14:textFill>
              </w:rPr>
              <w:t>0.018</w:t>
            </w:r>
            <w:r>
              <w:rPr>
                <w:rFonts w:hint="eastAsia" w:ascii="Times New Roman" w:hAnsi="Times New Roman" w:eastAsia="宋体" w:cs="Times New Roman"/>
                <w:color w:val="000000" w:themeColor="text1"/>
                <w14:textFill>
                  <w14:solidFill>
                    <w14:schemeClr w14:val="tx1"/>
                  </w14:solidFill>
                </w14:textFill>
              </w:rPr>
              <w:t>t/a；</w:t>
            </w:r>
          </w:p>
          <w:p w14:paraId="10A4FCF7">
            <w:pPr>
              <w:pStyle w:val="208"/>
              <w:ind w:firstLine="480"/>
              <w:rPr>
                <w:rFonts w:hint="eastAsia"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TP=</w:t>
            </w:r>
            <w:r>
              <w:rPr>
                <w:rFonts w:hint="eastAsia" w:ascii="Times New Roman" w:cs="Times New Roman"/>
                <w:color w:val="000000" w:themeColor="text1"/>
                <w:lang w:val="en-US" w:eastAsia="zh-CN"/>
                <w14:textFill>
                  <w14:solidFill>
                    <w14:schemeClr w14:val="tx1"/>
                  </w14:solidFill>
                </w14:textFill>
              </w:rPr>
              <w:t>3580.8</w:t>
            </w:r>
            <w:r>
              <w:rPr>
                <w:rFonts w:hint="eastAsia" w:ascii="Times New Roman" w:hAnsi="Times New Roman" w:eastAsia="宋体" w:cs="Times New Roman"/>
                <w:color w:val="000000" w:themeColor="text1"/>
                <w14:textFill>
                  <w14:solidFill>
                    <w14:schemeClr w14:val="tx1"/>
                  </w14:solidFill>
                </w14:textFill>
              </w:rPr>
              <w:t>m</w:t>
            </w:r>
            <w:r>
              <w:rPr>
                <w:rFonts w:hint="eastAsia" w:ascii="Times New Roman" w:hAnsi="Times New Roman" w:eastAsia="宋体" w:cs="Times New Roman"/>
                <w:color w:val="000000" w:themeColor="text1"/>
                <w:vertAlign w:val="superscript"/>
                <w14:textFill>
                  <w14:solidFill>
                    <w14:schemeClr w14:val="tx1"/>
                  </w14:solidFill>
                </w14:textFill>
              </w:rPr>
              <w:t>3</w:t>
            </w:r>
            <w:r>
              <w:rPr>
                <w:rFonts w:hint="eastAsia" w:ascii="Times New Roman" w:hAnsi="Times New Roman" w:eastAsia="宋体" w:cs="Times New Roman"/>
                <w:color w:val="000000" w:themeColor="text1"/>
                <w14:textFill>
                  <w14:solidFill>
                    <w14:schemeClr w14:val="tx1"/>
                  </w14:solidFill>
                </w14:textFill>
              </w:rPr>
              <w:t>/a×</w:t>
            </w:r>
            <w:r>
              <w:rPr>
                <w:rFonts w:hint="eastAsia" w:ascii="Times New Roman" w:cs="Times New Roman"/>
                <w:color w:val="000000" w:themeColor="text1"/>
                <w:lang w:val="en-US" w:eastAsia="zh-CN"/>
                <w14:textFill>
                  <w14:solidFill>
                    <w14:schemeClr w14:val="tx1"/>
                  </w14:solidFill>
                </w14:textFill>
              </w:rPr>
              <w:t>0.5</w:t>
            </w:r>
            <w:r>
              <w:rPr>
                <w:rFonts w:hint="eastAsia" w:ascii="Times New Roman" w:hAnsi="Times New Roman" w:eastAsia="宋体" w:cs="Times New Roman"/>
                <w:color w:val="000000" w:themeColor="text1"/>
                <w14:textFill>
                  <w14:solidFill>
                    <w14:schemeClr w14:val="tx1"/>
                  </w14:solidFill>
                </w14:textFill>
              </w:rPr>
              <w:t>mg/L×10</w:t>
            </w:r>
            <w:r>
              <w:rPr>
                <w:rFonts w:hint="eastAsia" w:ascii="Times New Roman" w:hAnsi="Times New Roman" w:eastAsia="宋体" w:cs="Times New Roman"/>
                <w:color w:val="000000" w:themeColor="text1"/>
                <w:vertAlign w:val="superscript"/>
                <w14:textFill>
                  <w14:solidFill>
                    <w14:schemeClr w14:val="tx1"/>
                  </w14:solidFill>
                </w14:textFill>
              </w:rPr>
              <w:t>-6</w:t>
            </w:r>
            <w:r>
              <w:rPr>
                <w:rFonts w:hint="eastAsia" w:ascii="Times New Roman" w:hAnsi="Times New Roman" w:eastAsia="宋体" w:cs="Times New Roman"/>
                <w:color w:val="000000" w:themeColor="text1"/>
                <w:lang w:val="en-US" w:eastAsia="zh-CN"/>
                <w14:textFill>
                  <w14:solidFill>
                    <w14:schemeClr w14:val="tx1"/>
                  </w14:solidFill>
                </w14:textFill>
              </w:rPr>
              <w:t>≈0.00</w:t>
            </w:r>
            <w:r>
              <w:rPr>
                <w:rFonts w:hint="eastAsia" w:ascii="Times New Roman" w:cs="Times New Roman"/>
                <w:color w:val="000000" w:themeColor="text1"/>
                <w:lang w:val="en-US" w:eastAsia="zh-CN"/>
                <w14:textFill>
                  <w14:solidFill>
                    <w14:schemeClr w14:val="tx1"/>
                  </w14:solidFill>
                </w14:textFill>
              </w:rPr>
              <w:t>2</w:t>
            </w:r>
            <w:r>
              <w:rPr>
                <w:rFonts w:hint="eastAsia" w:ascii="Times New Roman" w:hAnsi="Times New Roman" w:eastAsia="宋体" w:cs="Times New Roman"/>
                <w:color w:val="000000" w:themeColor="text1"/>
                <w14:textFill>
                  <w14:solidFill>
                    <w14:schemeClr w14:val="tx1"/>
                  </w14:solidFill>
                </w14:textFill>
              </w:rPr>
              <w:t>t/a；</w:t>
            </w:r>
          </w:p>
          <w:p w14:paraId="0A8AE636">
            <w:pPr>
              <w:pStyle w:val="208"/>
              <w:ind w:firstLine="480"/>
              <w:rPr>
                <w:rFonts w:hint="eastAsia"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二、废气</w:t>
            </w:r>
          </w:p>
          <w:p w14:paraId="6837D9CB">
            <w:pPr>
              <w:pStyle w:val="208"/>
              <w:ind w:firstLine="480"/>
              <w:rPr>
                <w:rFonts w:hint="eastAsia"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建议本项目总量控制指标为VOCs，以实际排放量核定，根据工程分析，建议</w:t>
            </w:r>
            <w:r>
              <w:rPr>
                <w:rFonts w:hint="eastAsia" w:ascii="Times New Roman" w:cs="Times New Roman"/>
                <w:color w:val="000000" w:themeColor="text1"/>
                <w:lang w:val="en-US" w:eastAsia="zh-CN"/>
                <w14:textFill>
                  <w14:solidFill>
                    <w14:schemeClr w14:val="tx1"/>
                  </w14:solidFill>
                </w14:textFill>
              </w:rPr>
              <w:t>VOCs</w:t>
            </w:r>
            <w:r>
              <w:rPr>
                <w:rFonts w:hint="eastAsia" w:ascii="Times New Roman" w:hAnsi="Times New Roman" w:eastAsia="宋体" w:cs="Times New Roman"/>
                <w:color w:val="000000" w:themeColor="text1"/>
                <w14:textFill>
                  <w14:solidFill>
                    <w14:schemeClr w14:val="tx1"/>
                  </w14:solidFill>
                </w14:textFill>
              </w:rPr>
              <w:t>总量控制指标</w:t>
            </w:r>
            <w:r>
              <w:rPr>
                <w:rFonts w:hint="eastAsia" w:ascii="Times New Roman" w:cs="Times New Roman"/>
                <w:color w:val="000000" w:themeColor="text1"/>
                <w:lang w:val="en-US" w:eastAsia="zh-CN"/>
                <w14:textFill>
                  <w14:solidFill>
                    <w14:schemeClr w14:val="tx1"/>
                  </w14:solidFill>
                </w14:textFill>
              </w:rPr>
              <w:t>为1.827t/a。</w:t>
            </w:r>
          </w:p>
          <w:p w14:paraId="3F42CA28">
            <w:pPr>
              <w:pStyle w:val="208"/>
              <w:ind w:firstLine="480"/>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项目总量控制指标最终由生态环境主管部门核对后调控并下达。</w:t>
            </w:r>
          </w:p>
          <w:p w14:paraId="21A18111">
            <w:pPr>
              <w:pStyle w:val="118"/>
              <w:rPr>
                <w:rFonts w:hint="eastAsia" w:ascii="Times New Roman" w:hAnsi="Times New Roman" w:eastAsia="宋体" w:cs="Times New Roman"/>
                <w:color w:val="auto"/>
                <w:lang w:val="en-US" w:eastAsia="zh-CN"/>
              </w:rPr>
            </w:pPr>
          </w:p>
          <w:p w14:paraId="15D125CF">
            <w:pPr>
              <w:rPr>
                <w:rFonts w:hint="eastAsia" w:ascii="Times New Roman" w:hAnsi="Times New Roman" w:eastAsia="宋体" w:cs="Times New Roman"/>
                <w:color w:val="auto"/>
                <w:lang w:val="en-US" w:eastAsia="zh-CN"/>
              </w:rPr>
            </w:pPr>
          </w:p>
          <w:p w14:paraId="4FA386B1">
            <w:pPr>
              <w:rPr>
                <w:rFonts w:hint="eastAsia" w:ascii="Times New Roman" w:hAnsi="Times New Roman" w:eastAsia="宋体" w:cs="Times New Roman"/>
                <w:color w:val="auto"/>
                <w:lang w:val="en-US" w:eastAsia="zh-CN"/>
              </w:rPr>
            </w:pPr>
          </w:p>
          <w:p w14:paraId="6B96CB4D">
            <w:pPr>
              <w:rPr>
                <w:rFonts w:hint="eastAsia" w:ascii="Times New Roman" w:hAnsi="Times New Roman" w:eastAsia="宋体" w:cs="Times New Roman"/>
                <w:color w:val="auto"/>
                <w:lang w:val="en-US" w:eastAsia="zh-CN"/>
              </w:rPr>
            </w:pPr>
          </w:p>
          <w:p w14:paraId="39E58108">
            <w:pPr>
              <w:rPr>
                <w:rFonts w:hint="eastAsia" w:ascii="Times New Roman" w:hAnsi="Times New Roman" w:eastAsia="宋体" w:cs="Times New Roman"/>
                <w:color w:val="auto"/>
                <w:lang w:val="en-US" w:eastAsia="zh-CN"/>
              </w:rPr>
            </w:pPr>
          </w:p>
          <w:p w14:paraId="04DB28F4">
            <w:pPr>
              <w:rPr>
                <w:rFonts w:hint="eastAsia" w:ascii="Times New Roman" w:hAnsi="Times New Roman" w:eastAsia="宋体" w:cs="Times New Roman"/>
                <w:color w:val="auto"/>
                <w:lang w:val="en-US" w:eastAsia="zh-CN"/>
              </w:rPr>
            </w:pPr>
          </w:p>
          <w:p w14:paraId="4FAC4C02">
            <w:pPr>
              <w:rPr>
                <w:rFonts w:hint="eastAsia" w:ascii="Times New Roman" w:hAnsi="Times New Roman" w:eastAsia="宋体" w:cs="Times New Roman"/>
                <w:color w:val="auto"/>
                <w:lang w:val="en-US" w:eastAsia="zh-CN"/>
              </w:rPr>
            </w:pPr>
          </w:p>
          <w:p w14:paraId="2B46D63C">
            <w:pPr>
              <w:rPr>
                <w:rFonts w:hint="eastAsia" w:ascii="Times New Roman" w:hAnsi="Times New Roman" w:eastAsia="宋体" w:cs="Times New Roman"/>
                <w:color w:val="auto"/>
                <w:lang w:val="en-US" w:eastAsia="zh-CN"/>
              </w:rPr>
            </w:pPr>
          </w:p>
          <w:p w14:paraId="391B3C9B">
            <w:pPr>
              <w:rPr>
                <w:rFonts w:hint="eastAsia" w:ascii="Times New Roman" w:hAnsi="Times New Roman" w:eastAsia="宋体" w:cs="Times New Roman"/>
                <w:color w:val="auto"/>
                <w:lang w:val="en-US" w:eastAsia="zh-CN"/>
              </w:rPr>
            </w:pPr>
          </w:p>
          <w:p w14:paraId="42E3A84E">
            <w:pPr>
              <w:rPr>
                <w:rFonts w:hint="eastAsia" w:ascii="Times New Roman" w:hAnsi="Times New Roman" w:eastAsia="宋体" w:cs="Times New Roman"/>
                <w:color w:val="auto"/>
                <w:lang w:val="en-US" w:eastAsia="zh-CN"/>
              </w:rPr>
            </w:pPr>
          </w:p>
          <w:p w14:paraId="393C42D5">
            <w:pPr>
              <w:rPr>
                <w:rFonts w:hint="eastAsia" w:ascii="Times New Roman" w:hAnsi="Times New Roman" w:eastAsia="宋体" w:cs="Times New Roman"/>
                <w:color w:val="auto"/>
                <w:lang w:val="en-US" w:eastAsia="zh-CN"/>
              </w:rPr>
            </w:pPr>
          </w:p>
          <w:p w14:paraId="45311EDD">
            <w:pPr>
              <w:rPr>
                <w:rFonts w:hint="eastAsia" w:ascii="Times New Roman" w:hAnsi="Times New Roman" w:eastAsia="宋体" w:cs="Times New Roman"/>
                <w:color w:val="auto"/>
                <w:lang w:val="en-US" w:eastAsia="zh-CN"/>
              </w:rPr>
            </w:pPr>
          </w:p>
          <w:p w14:paraId="7546594E">
            <w:pPr>
              <w:rPr>
                <w:rFonts w:hint="eastAsia" w:ascii="Times New Roman" w:hAnsi="Times New Roman" w:eastAsia="宋体" w:cs="Times New Roman"/>
                <w:color w:val="auto"/>
                <w:lang w:val="en-US" w:eastAsia="zh-CN"/>
              </w:rPr>
            </w:pPr>
          </w:p>
          <w:p w14:paraId="787368CA">
            <w:pPr>
              <w:rPr>
                <w:rFonts w:hint="eastAsia" w:ascii="Times New Roman" w:hAnsi="Times New Roman" w:eastAsia="宋体" w:cs="Times New Roman"/>
                <w:color w:val="auto"/>
                <w:lang w:val="en-US" w:eastAsia="zh-CN"/>
              </w:rPr>
            </w:pPr>
          </w:p>
          <w:p w14:paraId="6C3B2552">
            <w:pPr>
              <w:rPr>
                <w:rFonts w:hint="eastAsia" w:ascii="Times New Roman" w:hAnsi="Times New Roman" w:eastAsia="宋体" w:cs="Times New Roman"/>
                <w:color w:val="auto"/>
                <w:lang w:val="en-US" w:eastAsia="zh-CN"/>
              </w:rPr>
            </w:pPr>
          </w:p>
          <w:p w14:paraId="410C5672">
            <w:pPr>
              <w:rPr>
                <w:rFonts w:hint="eastAsia" w:ascii="Times New Roman" w:hAnsi="Times New Roman" w:eastAsia="宋体" w:cs="Times New Roman"/>
                <w:color w:val="auto"/>
                <w:lang w:val="en-US" w:eastAsia="zh-CN"/>
              </w:rPr>
            </w:pPr>
          </w:p>
          <w:p w14:paraId="355ACEC1">
            <w:pPr>
              <w:rPr>
                <w:rFonts w:hint="eastAsia" w:ascii="Times New Roman" w:hAnsi="Times New Roman" w:eastAsia="宋体" w:cs="Times New Roman"/>
                <w:color w:val="auto"/>
                <w:lang w:val="en-US" w:eastAsia="zh-CN"/>
              </w:rPr>
            </w:pPr>
          </w:p>
          <w:p w14:paraId="5BACAA39">
            <w:pPr>
              <w:rPr>
                <w:rFonts w:hint="eastAsia" w:ascii="Times New Roman" w:hAnsi="Times New Roman" w:eastAsia="宋体" w:cs="Times New Roman"/>
                <w:color w:val="auto"/>
                <w:lang w:val="en-US" w:eastAsia="zh-CN"/>
              </w:rPr>
            </w:pPr>
          </w:p>
          <w:p w14:paraId="3AEFB507">
            <w:pPr>
              <w:rPr>
                <w:rFonts w:hint="eastAsia" w:ascii="Times New Roman" w:hAnsi="Times New Roman" w:eastAsia="宋体" w:cs="Times New Roman"/>
                <w:color w:val="auto"/>
                <w:lang w:val="en-US" w:eastAsia="zh-CN"/>
              </w:rPr>
            </w:pPr>
          </w:p>
          <w:p w14:paraId="12BEFA18">
            <w:pPr>
              <w:rPr>
                <w:rFonts w:hint="eastAsia" w:ascii="Times New Roman" w:hAnsi="Times New Roman" w:eastAsia="宋体" w:cs="Times New Roman"/>
                <w:color w:val="auto"/>
                <w:lang w:val="en-US" w:eastAsia="zh-CN"/>
              </w:rPr>
            </w:pPr>
          </w:p>
          <w:p w14:paraId="2E5F02CA">
            <w:pPr>
              <w:rPr>
                <w:rFonts w:hint="eastAsia" w:ascii="Times New Roman" w:hAnsi="Times New Roman" w:eastAsia="宋体" w:cs="Times New Roman"/>
                <w:color w:val="auto"/>
                <w:lang w:val="en-US" w:eastAsia="zh-CN"/>
              </w:rPr>
            </w:pPr>
          </w:p>
          <w:p w14:paraId="18188823">
            <w:pPr>
              <w:rPr>
                <w:rFonts w:hint="eastAsia" w:ascii="Times New Roman" w:hAnsi="Times New Roman" w:eastAsia="宋体" w:cs="Times New Roman"/>
                <w:color w:val="auto"/>
                <w:lang w:val="en-US" w:eastAsia="zh-CN"/>
              </w:rPr>
            </w:pPr>
          </w:p>
          <w:p w14:paraId="76E97AD0">
            <w:pPr>
              <w:rPr>
                <w:rFonts w:hint="eastAsia" w:ascii="Times New Roman" w:hAnsi="Times New Roman" w:eastAsia="宋体" w:cs="Times New Roman"/>
                <w:color w:val="auto"/>
                <w:lang w:val="en-US" w:eastAsia="zh-CN"/>
              </w:rPr>
            </w:pPr>
          </w:p>
          <w:p w14:paraId="095568B1">
            <w:pPr>
              <w:rPr>
                <w:rFonts w:hint="eastAsia" w:ascii="Times New Roman" w:hAnsi="Times New Roman" w:eastAsia="宋体" w:cs="Times New Roman"/>
                <w:color w:val="auto"/>
                <w:lang w:val="en-US" w:eastAsia="zh-CN"/>
              </w:rPr>
            </w:pPr>
          </w:p>
          <w:p w14:paraId="05468BF6">
            <w:pPr>
              <w:rPr>
                <w:rFonts w:hint="eastAsia" w:ascii="Times New Roman" w:hAnsi="Times New Roman" w:eastAsia="宋体" w:cs="Times New Roman"/>
                <w:color w:val="auto"/>
                <w:lang w:val="en-US" w:eastAsia="zh-CN"/>
              </w:rPr>
            </w:pPr>
          </w:p>
          <w:p w14:paraId="7929578E">
            <w:pPr>
              <w:rPr>
                <w:rFonts w:hint="eastAsia" w:ascii="Times New Roman" w:hAnsi="Times New Roman" w:eastAsia="宋体" w:cs="Times New Roman"/>
                <w:color w:val="auto"/>
                <w:lang w:val="en-US" w:eastAsia="zh-CN"/>
              </w:rPr>
            </w:pPr>
          </w:p>
          <w:p w14:paraId="069B10E0">
            <w:pPr>
              <w:rPr>
                <w:rFonts w:hint="eastAsia" w:ascii="Times New Roman" w:hAnsi="Times New Roman" w:eastAsia="宋体" w:cs="Times New Roman"/>
                <w:color w:val="auto"/>
                <w:lang w:val="en-US" w:eastAsia="zh-CN"/>
              </w:rPr>
            </w:pPr>
          </w:p>
          <w:p w14:paraId="2DF0D165">
            <w:pPr>
              <w:rPr>
                <w:rFonts w:hint="eastAsia" w:ascii="Times New Roman" w:hAnsi="Times New Roman" w:eastAsia="宋体" w:cs="Times New Roman"/>
                <w:color w:val="auto"/>
                <w:lang w:val="en-US" w:eastAsia="zh-CN"/>
              </w:rPr>
            </w:pPr>
          </w:p>
          <w:p w14:paraId="2BF1E360">
            <w:pPr>
              <w:rPr>
                <w:rFonts w:hint="eastAsia" w:ascii="Times New Roman" w:hAnsi="Times New Roman" w:eastAsia="宋体" w:cs="Times New Roman"/>
                <w:color w:val="auto"/>
                <w:lang w:val="en-US" w:eastAsia="zh-CN"/>
              </w:rPr>
            </w:pPr>
          </w:p>
          <w:p w14:paraId="5179F28B">
            <w:pPr>
              <w:rPr>
                <w:rFonts w:hint="eastAsia" w:ascii="Times New Roman" w:hAnsi="Times New Roman" w:eastAsia="宋体" w:cs="Times New Roman"/>
                <w:color w:val="auto"/>
                <w:lang w:val="en-US" w:eastAsia="zh-CN"/>
              </w:rPr>
            </w:pPr>
          </w:p>
          <w:p w14:paraId="35A55D24">
            <w:pPr>
              <w:rPr>
                <w:rFonts w:hint="eastAsia" w:ascii="Times New Roman" w:hAnsi="Times New Roman" w:eastAsia="宋体" w:cs="Times New Roman"/>
                <w:color w:val="auto"/>
                <w:lang w:val="en-US" w:eastAsia="zh-CN"/>
              </w:rPr>
            </w:pPr>
          </w:p>
          <w:p w14:paraId="4822DFA1">
            <w:pPr>
              <w:rPr>
                <w:rFonts w:hint="eastAsia" w:ascii="Times New Roman" w:hAnsi="Times New Roman" w:eastAsia="宋体" w:cs="Times New Roman"/>
                <w:color w:val="auto"/>
                <w:lang w:val="en-US" w:eastAsia="zh-CN"/>
              </w:rPr>
            </w:pPr>
          </w:p>
          <w:p w14:paraId="3F9C3FC4">
            <w:pPr>
              <w:rPr>
                <w:rFonts w:hint="eastAsia" w:ascii="Times New Roman" w:hAnsi="Times New Roman" w:eastAsia="宋体" w:cs="Times New Roman"/>
                <w:color w:val="auto"/>
                <w:lang w:val="en-US" w:eastAsia="zh-CN"/>
              </w:rPr>
            </w:pPr>
          </w:p>
          <w:p w14:paraId="468F0D90">
            <w:pPr>
              <w:rPr>
                <w:rFonts w:hint="eastAsia" w:ascii="Times New Roman" w:hAnsi="Times New Roman" w:eastAsia="宋体" w:cs="Times New Roman"/>
                <w:color w:val="auto"/>
                <w:lang w:val="en-US" w:eastAsia="zh-CN"/>
              </w:rPr>
            </w:pPr>
          </w:p>
          <w:p w14:paraId="0194AF44">
            <w:pPr>
              <w:rPr>
                <w:rFonts w:hint="eastAsia" w:ascii="Times New Roman" w:hAnsi="Times New Roman" w:eastAsia="宋体" w:cs="Times New Roman"/>
                <w:color w:val="auto"/>
                <w:lang w:val="en-US" w:eastAsia="zh-CN"/>
              </w:rPr>
            </w:pPr>
          </w:p>
          <w:p w14:paraId="59F88449">
            <w:pPr>
              <w:rPr>
                <w:rFonts w:hint="eastAsia" w:ascii="Times New Roman" w:hAnsi="Times New Roman" w:eastAsia="宋体" w:cs="Times New Roman"/>
                <w:color w:val="auto"/>
                <w:lang w:val="en-US" w:eastAsia="zh-CN"/>
              </w:rPr>
            </w:pPr>
          </w:p>
          <w:p w14:paraId="405B43A2">
            <w:pPr>
              <w:rPr>
                <w:rFonts w:hint="eastAsia" w:ascii="Times New Roman" w:hAnsi="Times New Roman" w:eastAsia="宋体" w:cs="Times New Roman"/>
                <w:color w:val="auto"/>
                <w:lang w:val="en-US" w:eastAsia="zh-CN"/>
              </w:rPr>
            </w:pPr>
          </w:p>
          <w:p w14:paraId="46EDFE15">
            <w:pPr>
              <w:rPr>
                <w:rFonts w:hint="eastAsia" w:ascii="Times New Roman" w:hAnsi="Times New Roman" w:eastAsia="宋体" w:cs="Times New Roman"/>
                <w:color w:val="auto"/>
                <w:lang w:val="en-US" w:eastAsia="zh-CN"/>
              </w:rPr>
            </w:pPr>
          </w:p>
          <w:p w14:paraId="15B1F278">
            <w:pPr>
              <w:rPr>
                <w:rFonts w:hint="eastAsia" w:ascii="Times New Roman" w:hAnsi="Times New Roman" w:eastAsia="宋体" w:cs="Times New Roman"/>
                <w:color w:val="auto"/>
                <w:lang w:val="en-US" w:eastAsia="zh-CN"/>
              </w:rPr>
            </w:pPr>
          </w:p>
          <w:p w14:paraId="22862550">
            <w:pPr>
              <w:rPr>
                <w:rFonts w:hint="eastAsia" w:ascii="Times New Roman" w:hAnsi="Times New Roman" w:eastAsia="宋体" w:cs="Times New Roman"/>
                <w:color w:val="auto"/>
                <w:lang w:val="en-US" w:eastAsia="zh-CN"/>
              </w:rPr>
            </w:pPr>
          </w:p>
          <w:p w14:paraId="41CC9C25">
            <w:pPr>
              <w:rPr>
                <w:rFonts w:hint="eastAsia" w:ascii="Times New Roman" w:hAnsi="Times New Roman" w:eastAsia="宋体" w:cs="Times New Roman"/>
                <w:color w:val="auto"/>
                <w:lang w:val="en-US" w:eastAsia="zh-CN"/>
              </w:rPr>
            </w:pPr>
          </w:p>
          <w:p w14:paraId="5E8AA26F">
            <w:pPr>
              <w:rPr>
                <w:rFonts w:hint="eastAsia" w:ascii="Times New Roman" w:hAnsi="Times New Roman" w:eastAsia="宋体" w:cs="Times New Roman"/>
                <w:color w:val="auto"/>
                <w:lang w:val="en-US" w:eastAsia="zh-CN"/>
              </w:rPr>
            </w:pPr>
          </w:p>
          <w:p w14:paraId="53B6407A">
            <w:pPr>
              <w:rPr>
                <w:rFonts w:hint="eastAsia" w:ascii="Times New Roman" w:hAnsi="Times New Roman" w:eastAsia="宋体" w:cs="Times New Roman"/>
                <w:color w:val="auto"/>
                <w:lang w:val="en-US" w:eastAsia="zh-CN"/>
              </w:rPr>
            </w:pPr>
          </w:p>
          <w:p w14:paraId="7F37611C">
            <w:pPr>
              <w:rPr>
                <w:rFonts w:hint="eastAsia" w:ascii="Times New Roman" w:hAnsi="Times New Roman" w:eastAsia="宋体" w:cs="Times New Roman"/>
                <w:color w:val="auto"/>
                <w:lang w:val="en-US" w:eastAsia="zh-CN"/>
              </w:rPr>
            </w:pPr>
          </w:p>
          <w:p w14:paraId="3C8C5DC2">
            <w:pPr>
              <w:rPr>
                <w:rFonts w:hint="eastAsia" w:ascii="Times New Roman" w:hAnsi="Times New Roman" w:eastAsia="宋体" w:cs="Times New Roman"/>
                <w:color w:val="auto"/>
                <w:lang w:val="en-US" w:eastAsia="zh-CN"/>
              </w:rPr>
            </w:pPr>
          </w:p>
          <w:p w14:paraId="7DE2952F">
            <w:pPr>
              <w:rPr>
                <w:rFonts w:hint="eastAsia" w:ascii="Times New Roman" w:hAnsi="Times New Roman" w:eastAsia="宋体" w:cs="Times New Roman"/>
                <w:color w:val="auto"/>
                <w:lang w:val="en-US" w:eastAsia="zh-CN"/>
              </w:rPr>
            </w:pPr>
          </w:p>
          <w:p w14:paraId="7315A0A5">
            <w:pPr>
              <w:rPr>
                <w:rFonts w:hint="eastAsia" w:ascii="Times New Roman" w:hAnsi="Times New Roman" w:eastAsia="宋体" w:cs="Times New Roman"/>
                <w:color w:val="auto"/>
                <w:lang w:val="en-US" w:eastAsia="zh-CN"/>
              </w:rPr>
            </w:pPr>
          </w:p>
        </w:tc>
      </w:tr>
    </w:tbl>
    <w:p w14:paraId="45EF96E7">
      <w:pPr>
        <w:pStyle w:val="37"/>
        <w:jc w:val="center"/>
        <w:outlineLvl w:val="0"/>
        <w:rPr>
          <w:rFonts w:hint="eastAsia" w:ascii="黑体" w:hAnsi="黑体" w:eastAsia="黑体"/>
          <w:snapToGrid w:val="0"/>
          <w:color w:val="auto"/>
          <w:sz w:val="30"/>
          <w:szCs w:val="30"/>
        </w:rPr>
      </w:pPr>
      <w:r>
        <w:rPr>
          <w:rFonts w:ascii="黑体" w:hAnsi="黑体" w:eastAsia="黑体"/>
          <w:snapToGrid w:val="0"/>
          <w:color w:val="auto"/>
          <w:sz w:val="36"/>
          <w:szCs w:val="36"/>
        </w:rPr>
        <w:br w:type="page"/>
      </w:r>
      <w:bookmarkStart w:id="18" w:name="_Toc13313"/>
      <w:bookmarkStart w:id="19" w:name="_Toc186098080"/>
      <w:bookmarkStart w:id="20" w:name="_Toc31021"/>
      <w:r>
        <w:rPr>
          <w:rFonts w:hint="eastAsia" w:ascii="黑体" w:hAnsi="黑体" w:eastAsia="黑体"/>
          <w:snapToGrid w:val="0"/>
          <w:color w:val="auto"/>
          <w:sz w:val="30"/>
          <w:szCs w:val="30"/>
        </w:rPr>
        <w:t>四、主要环境影响和保护措施</w:t>
      </w:r>
      <w:bookmarkEnd w:id="18"/>
      <w:bookmarkEnd w:id="19"/>
      <w:bookmarkEnd w:id="20"/>
    </w:p>
    <w:tbl>
      <w:tblPr>
        <w:tblStyle w:val="41"/>
        <w:tblW w:w="890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46"/>
        <w:gridCol w:w="8162"/>
      </w:tblGrid>
      <w:tr w14:paraId="0D4DE5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49" w:hRule="atLeast"/>
          <w:jc w:val="center"/>
        </w:trPr>
        <w:tc>
          <w:tcPr>
            <w:tcW w:w="746" w:type="dxa"/>
            <w:tcMar>
              <w:left w:w="28" w:type="dxa"/>
              <w:right w:w="28" w:type="dxa"/>
            </w:tcMar>
            <w:vAlign w:val="center"/>
          </w:tcPr>
          <w:p w14:paraId="6AA5E527">
            <w:pPr>
              <w:pStyle w:val="37"/>
              <w:adjustRightInd w:val="0"/>
              <w:snapToGrid w:val="0"/>
              <w:spacing w:before="0" w:beforeAutospacing="0" w:after="0" w:afterAutospacing="0"/>
              <w:jc w:val="center"/>
              <w:rPr>
                <w:rFonts w:ascii="Times New Roman" w:hAnsi="Times New Roman" w:cs="宋体"/>
                <w:bCs/>
                <w:color w:val="auto"/>
                <w:kern w:val="2"/>
                <w:sz w:val="21"/>
                <w:szCs w:val="21"/>
              </w:rPr>
            </w:pPr>
            <w:r>
              <w:rPr>
                <w:rFonts w:hint="eastAsia" w:ascii="Times New Roman" w:hAnsi="Times New Roman" w:cs="宋体"/>
                <w:b/>
                <w:bCs/>
                <w:color w:val="auto"/>
                <w:kern w:val="2"/>
                <w:sz w:val="24"/>
                <w:szCs w:val="24"/>
              </w:rPr>
              <w:t>施工期环境保护措施</w:t>
            </w:r>
          </w:p>
        </w:tc>
        <w:tc>
          <w:tcPr>
            <w:tcW w:w="8162" w:type="dxa"/>
          </w:tcPr>
          <w:p w14:paraId="0B66BBAA">
            <w:pPr>
              <w:pStyle w:val="66"/>
              <w:spacing w:line="360" w:lineRule="auto"/>
              <w:rPr>
                <w:color w:val="auto"/>
              </w:rPr>
            </w:pPr>
            <w:r>
              <w:rPr>
                <w:rFonts w:hint="eastAsia" w:ascii="Times New Roman" w:hAnsi="Times New Roman" w:eastAsia="宋体" w:cs="Times New Roman"/>
                <w:color w:val="auto"/>
                <w:sz w:val="24"/>
                <w:highlight w:val="none"/>
              </w:rPr>
              <w:t>本项目</w:t>
            </w:r>
            <w:r>
              <w:rPr>
                <w:rFonts w:hint="eastAsia" w:cs="Times New Roman"/>
                <w:color w:val="auto"/>
                <w:sz w:val="24"/>
                <w:highlight w:val="none"/>
                <w:lang w:val="en-US" w:eastAsia="zh-CN"/>
              </w:rPr>
              <w:t>租赁</w:t>
            </w:r>
            <w:r>
              <w:rPr>
                <w:rFonts w:hint="eastAsia" w:ascii="Times New Roman" w:hAnsi="Times New Roman" w:eastAsia="宋体" w:cs="Times New Roman"/>
                <w:color w:val="auto"/>
              </w:rPr>
              <w:t>低空</w:t>
            </w:r>
            <w:r>
              <w:rPr>
                <w:rFonts w:hint="eastAsia" w:cs="Times New Roman"/>
                <w:color w:val="auto"/>
                <w:lang w:val="en-US" w:eastAsia="zh-CN"/>
              </w:rPr>
              <w:t>数字</w:t>
            </w:r>
            <w:r>
              <w:rPr>
                <w:rFonts w:hint="eastAsia" w:ascii="Times New Roman" w:hAnsi="Times New Roman" w:eastAsia="宋体" w:cs="Times New Roman"/>
                <w:color w:val="auto"/>
              </w:rPr>
              <w:t>经济产业园标准化厂房</w:t>
            </w:r>
            <w:r>
              <w:rPr>
                <w:rFonts w:hint="eastAsia" w:ascii="Times New Roman" w:hAnsi="Times New Roman" w:eastAsia="宋体" w:cs="Times New Roman"/>
                <w:color w:val="auto"/>
                <w:sz w:val="24"/>
                <w:highlight w:val="none"/>
                <w:lang w:val="en-US" w:eastAsia="zh-CN"/>
              </w:rPr>
              <w:t>进行建设，</w:t>
            </w:r>
            <w:r>
              <w:rPr>
                <w:rFonts w:hint="eastAsia" w:ascii="Times New Roman" w:hAnsi="Times New Roman" w:eastAsia="宋体" w:cs="Times New Roman"/>
                <w:color w:val="auto"/>
                <w:sz w:val="24"/>
                <w:highlight w:val="none"/>
              </w:rPr>
              <w:t>因此，项目施工期不涉及表土剥离、建筑基础开挖</w:t>
            </w: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rPr>
              <w:t>主要建设内容包括建筑适应性改造、装饰、设备安装与调试等。施工期将产生扬尘、建筑垃圾、装修废气、噪声、设备安装产生的包装废弃物、施工人员的生活污水、生活垃圾等，其排放量随施工期和施工强度不同而有所变化。但这些污染是暂时性的，会随着施工结束而消失</w:t>
            </w:r>
            <w:r>
              <w:rPr>
                <w:rFonts w:hint="eastAsia"/>
                <w:color w:val="auto"/>
              </w:rPr>
              <w:t>。</w:t>
            </w:r>
          </w:p>
          <w:p w14:paraId="168D3964">
            <w:pPr>
              <w:autoSpaceDE w:val="0"/>
              <w:autoSpaceDN w:val="0"/>
              <w:spacing w:line="360" w:lineRule="auto"/>
              <w:ind w:firstLine="482" w:firstLineChars="200"/>
              <w:rPr>
                <w:rFonts w:ascii="Times New Roman" w:hAnsi="Times New Roman"/>
                <w:b/>
                <w:bCs/>
                <w:color w:val="auto"/>
                <w:sz w:val="24"/>
                <w:highlight w:val="none"/>
              </w:rPr>
            </w:pPr>
            <w:r>
              <w:rPr>
                <w:rFonts w:hint="eastAsia" w:ascii="Times New Roman" w:hAnsi="Times New Roman"/>
                <w:b/>
                <w:bCs/>
                <w:color w:val="auto"/>
                <w:sz w:val="24"/>
                <w:highlight w:val="none"/>
              </w:rPr>
              <w:t>1、废气治理措施</w:t>
            </w:r>
          </w:p>
          <w:p w14:paraId="22128E14">
            <w:pPr>
              <w:adjustRightInd w:val="0"/>
              <w:snapToGrid w:val="0"/>
              <w:spacing w:line="360" w:lineRule="auto"/>
              <w:ind w:firstLine="480" w:firstLineChars="200"/>
              <w:rPr>
                <w:rFonts w:hint="eastAsia" w:ascii="Times New Roman" w:hAnsi="Times New Roman"/>
                <w:color w:val="auto"/>
                <w:sz w:val="24"/>
                <w:highlight w:val="none"/>
              </w:rPr>
            </w:pPr>
            <w:r>
              <w:rPr>
                <w:rFonts w:hint="eastAsia" w:ascii="Times New Roman" w:hAnsi="Times New Roman" w:eastAsia="宋体" w:cs="Times New Roman"/>
                <w:color w:val="auto"/>
                <w:sz w:val="24"/>
              </w:rPr>
              <w:t>本项目施工作业废气主要为建筑适应性改造和车辆运输产生的少量扬尘以及室内简单装饰产生的装修废气。本项目</w:t>
            </w:r>
            <w:r>
              <w:rPr>
                <w:rFonts w:hint="eastAsia" w:cs="Times New Roman"/>
                <w:color w:val="auto"/>
                <w:sz w:val="24"/>
                <w:lang w:val="en-US" w:eastAsia="zh-CN"/>
              </w:rPr>
              <w:t>通过</w:t>
            </w:r>
            <w:r>
              <w:rPr>
                <w:rFonts w:hint="eastAsia" w:ascii="Times New Roman" w:hAnsi="Times New Roman" w:eastAsia="宋体" w:cs="Times New Roman"/>
                <w:color w:val="auto"/>
                <w:sz w:val="24"/>
              </w:rPr>
              <w:t>湿法作业、洒水降尘等措施可使扬尘得到有效控制，扬尘排放可满足《四川省施工场地扬尘排放标准》（DB51/2682-2020）相应阶段排放限值要求，不会对周边环境造成不利影响。装修废气通过采用环保装饰材料、加强通风换气等措施，降低有害装修气体的排放。总体而言，本项目施工期对环境空气影响较小，且影响是暂时性的，随着工程施工期结束而消失</w:t>
            </w:r>
            <w:r>
              <w:rPr>
                <w:rFonts w:hint="eastAsia" w:ascii="Times New Roman" w:hAnsi="Times New Roman"/>
                <w:color w:val="auto"/>
                <w:sz w:val="24"/>
                <w:highlight w:val="none"/>
              </w:rPr>
              <w:t>。</w:t>
            </w:r>
          </w:p>
          <w:p w14:paraId="198A8696">
            <w:pPr>
              <w:autoSpaceDE w:val="0"/>
              <w:autoSpaceDN w:val="0"/>
              <w:spacing w:line="360" w:lineRule="auto"/>
              <w:ind w:firstLine="482" w:firstLineChars="200"/>
              <w:rPr>
                <w:rFonts w:ascii="Times New Roman" w:hAnsi="Times New Roman"/>
                <w:b/>
                <w:bCs/>
                <w:color w:val="auto"/>
                <w:sz w:val="24"/>
                <w:highlight w:val="none"/>
              </w:rPr>
            </w:pPr>
            <w:r>
              <w:rPr>
                <w:rFonts w:hint="eastAsia" w:ascii="Times New Roman" w:hAnsi="Times New Roman"/>
                <w:b/>
                <w:bCs/>
                <w:color w:val="auto"/>
                <w:sz w:val="24"/>
                <w:highlight w:val="none"/>
              </w:rPr>
              <w:t>2、废水治理措施</w:t>
            </w:r>
          </w:p>
          <w:p w14:paraId="55C3DD27">
            <w:pPr>
              <w:adjustRightInd w:val="0"/>
              <w:snapToGrid w:val="0"/>
              <w:spacing w:line="360" w:lineRule="auto"/>
              <w:ind w:firstLine="480" w:firstLineChars="200"/>
              <w:rPr>
                <w:rFonts w:ascii="Times New Roman" w:hAnsi="Times New Roman"/>
                <w:color w:val="auto"/>
                <w:sz w:val="24"/>
                <w:highlight w:val="none"/>
              </w:rPr>
            </w:pPr>
            <w:r>
              <w:rPr>
                <w:rFonts w:hint="eastAsia" w:ascii="Times New Roman" w:hAnsi="Times New Roman" w:eastAsia="宋体" w:cs="Times New Roman"/>
                <w:color w:val="auto"/>
                <w:sz w:val="24"/>
              </w:rPr>
              <w:t>本项目施工期不产生施工废水</w:t>
            </w:r>
            <w:r>
              <w:rPr>
                <w:rFonts w:hint="eastAsia" w:cs="Times New Roman"/>
                <w:color w:val="auto"/>
                <w:sz w:val="24"/>
                <w:lang w:eastAsia="zh-CN"/>
              </w:rPr>
              <w:t>，</w:t>
            </w:r>
            <w:r>
              <w:rPr>
                <w:rFonts w:hint="eastAsia" w:ascii="Times New Roman" w:hAnsi="Times New Roman" w:eastAsia="宋体" w:cs="Times New Roman"/>
                <w:color w:val="auto"/>
                <w:sz w:val="24"/>
              </w:rPr>
              <w:t>主要废水来源于施工人员生活污水，主要污染物为SS、CODcr、氨氮等。本项目高峰期施工人员按每天</w:t>
            </w:r>
            <w:r>
              <w:rPr>
                <w:rFonts w:hint="eastAsia" w:ascii="Times New Roman" w:hAnsi="Times New Roman" w:eastAsia="宋体" w:cs="Times New Roman"/>
                <w:color w:val="auto"/>
                <w:sz w:val="24"/>
                <w:lang w:val="en-US" w:eastAsia="zh-CN"/>
              </w:rPr>
              <w:t>1</w:t>
            </w:r>
            <w:r>
              <w:rPr>
                <w:rFonts w:hint="eastAsia" w:ascii="Times New Roman" w:hAnsi="Times New Roman" w:eastAsia="宋体" w:cs="Times New Roman"/>
                <w:color w:val="auto"/>
                <w:sz w:val="24"/>
              </w:rPr>
              <w:t>0人次计，生活用水按30L/人次·d计，则施工期生活用水量为0.</w:t>
            </w:r>
            <w:r>
              <w:rPr>
                <w:rFonts w:hint="eastAsia" w:ascii="Times New Roman" w:hAnsi="Times New Roman" w:eastAsia="宋体" w:cs="Times New Roman"/>
                <w:color w:val="auto"/>
                <w:sz w:val="24"/>
                <w:lang w:val="en-US" w:eastAsia="zh-CN"/>
              </w:rPr>
              <w:t>3</w:t>
            </w:r>
            <w:r>
              <w:rPr>
                <w:rFonts w:hint="eastAsia" w:ascii="Times New Roman" w:hAnsi="Times New Roman" w:eastAsia="宋体" w:cs="Times New Roman"/>
                <w:color w:val="auto"/>
                <w:sz w:val="24"/>
              </w:rPr>
              <w:t>m</w:t>
            </w:r>
            <w:r>
              <w:rPr>
                <w:rFonts w:hint="eastAsia" w:ascii="Times New Roman" w:hAnsi="Times New Roman" w:eastAsia="宋体" w:cs="Times New Roman"/>
                <w:color w:val="auto"/>
                <w:sz w:val="24"/>
                <w:vertAlign w:val="superscript"/>
              </w:rPr>
              <w:t>3</w:t>
            </w:r>
            <w:r>
              <w:rPr>
                <w:rFonts w:hint="eastAsia" w:ascii="Times New Roman" w:hAnsi="Times New Roman" w:eastAsia="宋体" w:cs="Times New Roman"/>
                <w:color w:val="auto"/>
                <w:sz w:val="24"/>
              </w:rPr>
              <w:t>/d，排污系数按0.85计，生活污水产生量为0.</w:t>
            </w:r>
            <w:r>
              <w:rPr>
                <w:rFonts w:hint="eastAsia" w:ascii="Times New Roman" w:hAnsi="Times New Roman" w:eastAsia="宋体" w:cs="Times New Roman"/>
                <w:color w:val="auto"/>
                <w:sz w:val="24"/>
                <w:lang w:val="en-US" w:eastAsia="zh-CN"/>
              </w:rPr>
              <w:t>26</w:t>
            </w:r>
            <w:r>
              <w:rPr>
                <w:rFonts w:hint="eastAsia" w:ascii="Times New Roman" w:hAnsi="Times New Roman" w:eastAsia="宋体" w:cs="Times New Roman"/>
                <w:color w:val="auto"/>
                <w:sz w:val="24"/>
              </w:rPr>
              <w:t>m</w:t>
            </w:r>
            <w:r>
              <w:rPr>
                <w:rFonts w:hint="eastAsia" w:ascii="Times New Roman" w:hAnsi="Times New Roman" w:eastAsia="宋体" w:cs="Times New Roman"/>
                <w:color w:val="auto"/>
                <w:sz w:val="24"/>
                <w:vertAlign w:val="superscript"/>
              </w:rPr>
              <w:t>3</w:t>
            </w:r>
            <w:r>
              <w:rPr>
                <w:rFonts w:hint="eastAsia" w:ascii="Times New Roman" w:hAnsi="Times New Roman" w:eastAsia="宋体" w:cs="Times New Roman"/>
                <w:color w:val="auto"/>
                <w:sz w:val="24"/>
              </w:rPr>
              <w:t>/d。生活污水依托</w:t>
            </w:r>
            <w:r>
              <w:rPr>
                <w:rFonts w:hint="eastAsia" w:cs="Times New Roman"/>
                <w:color w:val="auto"/>
                <w:sz w:val="24"/>
                <w:lang w:val="en-US" w:eastAsia="zh-CN"/>
              </w:rPr>
              <w:t>园区</w:t>
            </w:r>
            <w:r>
              <w:rPr>
                <w:rFonts w:hint="eastAsia" w:ascii="Times New Roman" w:hAnsi="Times New Roman" w:eastAsia="宋体" w:cs="Times New Roman"/>
                <w:color w:val="auto"/>
                <w:sz w:val="24"/>
              </w:rPr>
              <w:t>预处理池处理后排入市政污水管网，最终进入</w:t>
            </w:r>
            <w:r>
              <w:rPr>
                <w:rFonts w:hint="eastAsia" w:cs="Times New Roman"/>
                <w:color w:val="auto"/>
                <w:sz w:val="24"/>
                <w:lang w:val="en-US" w:eastAsia="zh-CN"/>
              </w:rPr>
              <w:t>巴中经开区污水处理厂</w:t>
            </w:r>
            <w:r>
              <w:rPr>
                <w:rFonts w:hint="eastAsia" w:ascii="Times New Roman" w:hAnsi="Times New Roman" w:eastAsia="宋体" w:cs="Times New Roman"/>
                <w:color w:val="auto"/>
                <w:sz w:val="24"/>
              </w:rPr>
              <w:t>处理达到</w:t>
            </w:r>
            <w:r>
              <w:rPr>
                <w:rFonts w:hint="eastAsia" w:ascii="宋体" w:hAnsi="宋体" w:eastAsia="宋体"/>
                <w:sz w:val="24"/>
                <w:szCs w:val="24"/>
              </w:rPr>
              <w:t>《城镇生活污水处理厂污染物排放标准》（</w:t>
            </w:r>
            <w:r>
              <w:rPr>
                <w:rFonts w:hint="eastAsia" w:ascii="TimesNewRomanPSMT" w:hAnsi="TimesNewRomanPSMT" w:eastAsia="TimesNewRomanPSMT"/>
                <w:sz w:val="24"/>
                <w:szCs w:val="24"/>
              </w:rPr>
              <w:t>GB18918-2002</w:t>
            </w:r>
            <w:r>
              <w:rPr>
                <w:rFonts w:hint="default" w:ascii="Times New Roman" w:hAnsi="Times New Roman" w:eastAsia="宋体" w:cs="Times New Roman"/>
                <w:sz w:val="24"/>
                <w:szCs w:val="24"/>
              </w:rPr>
              <w:t>）</w:t>
            </w:r>
            <w:r>
              <w:rPr>
                <w:rFonts w:hint="default" w:ascii="Times New Roman" w:hAnsi="Times New Roman" w:eastAsia="宋体" w:cs="Times New Roman"/>
                <w:sz w:val="24"/>
                <w:szCs w:val="24"/>
                <w:lang w:val="en-US" w:eastAsia="zh-CN"/>
              </w:rPr>
              <w:t>一级A</w:t>
            </w:r>
            <w:r>
              <w:rPr>
                <w:rFonts w:hint="default" w:ascii="Times New Roman" w:hAnsi="Times New Roman" w:eastAsia="宋体" w:cs="Times New Roman"/>
                <w:sz w:val="24"/>
                <w:szCs w:val="24"/>
              </w:rPr>
              <w:t>标</w:t>
            </w:r>
            <w:r>
              <w:rPr>
                <w:rFonts w:hint="eastAsia" w:ascii="Times New Roman" w:hAnsi="Times New Roman" w:eastAsia="宋体" w:cs="Times New Roman"/>
                <w:color w:val="auto"/>
                <w:sz w:val="24"/>
              </w:rPr>
              <w:t>后排入</w:t>
            </w:r>
            <w:r>
              <w:rPr>
                <w:rFonts w:hint="eastAsia" w:cs="Times New Roman"/>
                <w:color w:val="auto"/>
                <w:sz w:val="24"/>
                <w:lang w:val="en-US" w:eastAsia="zh-CN"/>
              </w:rPr>
              <w:t>巴河</w:t>
            </w:r>
            <w:r>
              <w:rPr>
                <w:rFonts w:hint="eastAsia" w:ascii="Times New Roman" w:hAnsi="Times New Roman"/>
                <w:color w:val="auto"/>
                <w:sz w:val="24"/>
                <w:highlight w:val="none"/>
              </w:rPr>
              <w:t>。</w:t>
            </w:r>
          </w:p>
          <w:p w14:paraId="4D2BCF25">
            <w:pPr>
              <w:autoSpaceDE w:val="0"/>
              <w:autoSpaceDN w:val="0"/>
              <w:spacing w:line="360" w:lineRule="auto"/>
              <w:ind w:firstLine="482" w:firstLineChars="200"/>
              <w:rPr>
                <w:rFonts w:ascii="Times New Roman" w:hAnsi="Times New Roman"/>
                <w:b/>
                <w:bCs/>
                <w:color w:val="auto"/>
                <w:sz w:val="24"/>
                <w:highlight w:val="none"/>
              </w:rPr>
            </w:pPr>
            <w:r>
              <w:rPr>
                <w:rFonts w:hint="eastAsia" w:ascii="Times New Roman" w:hAnsi="Times New Roman"/>
                <w:b/>
                <w:bCs/>
                <w:color w:val="auto"/>
                <w:sz w:val="24"/>
                <w:highlight w:val="none"/>
              </w:rPr>
              <w:t>3、噪声治理措施</w:t>
            </w:r>
          </w:p>
          <w:p w14:paraId="0D87632F">
            <w:pPr>
              <w:adjustRightInd w:val="0"/>
              <w:snapToGrid w:val="0"/>
              <w:spacing w:line="360" w:lineRule="auto"/>
              <w:ind w:firstLine="480" w:firstLineChars="200"/>
              <w:rPr>
                <w:rFonts w:hint="eastAsia" w:ascii="Times New Roman" w:hAnsi="Times New Roman"/>
                <w:color w:val="auto"/>
                <w:sz w:val="24"/>
                <w:highlight w:val="none"/>
              </w:rPr>
            </w:pPr>
            <w:r>
              <w:rPr>
                <w:rFonts w:hint="eastAsia" w:ascii="Times New Roman" w:hAnsi="Times New Roman"/>
                <w:color w:val="auto"/>
                <w:sz w:val="24"/>
                <w:highlight w:val="none"/>
              </w:rPr>
              <w:t>①减少人为噪音，建设单位严格执行《</w:t>
            </w:r>
            <w:r>
              <w:rPr>
                <w:rFonts w:hint="eastAsia" w:ascii="Times New Roman" w:hAnsi="Times New Roman"/>
                <w:color w:val="auto"/>
                <w:sz w:val="24"/>
                <w:highlight w:val="none"/>
                <w:lang w:val="en-US" w:eastAsia="zh-CN"/>
              </w:rPr>
              <w:t>建设</w:t>
            </w:r>
            <w:r>
              <w:rPr>
                <w:rFonts w:hint="eastAsia" w:ascii="Times New Roman" w:hAnsi="Times New Roman"/>
                <w:color w:val="auto"/>
                <w:sz w:val="24"/>
                <w:highlight w:val="none"/>
              </w:rPr>
              <w:t>工程施工现场管理规定》进行文明施工，建立健全现场噪声管理责任制，加强对施工人员的素质培养，尽量减少人为的大声喧哗，增强全体施工人员防噪声扰民的意识。</w:t>
            </w:r>
          </w:p>
          <w:p w14:paraId="1E09FBF0">
            <w:pPr>
              <w:adjustRightInd w:val="0"/>
              <w:snapToGrid w:val="0"/>
              <w:spacing w:line="360" w:lineRule="auto"/>
              <w:ind w:firstLine="480" w:firstLineChars="200"/>
              <w:rPr>
                <w:rFonts w:hint="eastAsia" w:ascii="Times New Roman" w:hAnsi="Times New Roman"/>
                <w:color w:val="auto"/>
                <w:sz w:val="24"/>
                <w:highlight w:val="none"/>
              </w:rPr>
            </w:pPr>
            <w:r>
              <w:rPr>
                <w:rFonts w:hint="eastAsia" w:ascii="Times New Roman" w:hAnsi="Times New Roman"/>
                <w:color w:val="auto"/>
                <w:sz w:val="24"/>
                <w:highlight w:val="none"/>
              </w:rPr>
              <w:t>②合理安排各类施工机械施工工作时间。将强噪声作业尽量安排在白天进行，杜绝在夜间施工。如有其他特殊需要，确需在夜间进行超过噪声标准施工的，施工前建设单位向有关部门申请，经批准后方可进行夜间施工。</w:t>
            </w:r>
          </w:p>
          <w:p w14:paraId="079017EA">
            <w:pPr>
              <w:adjustRightInd w:val="0"/>
              <w:snapToGrid w:val="0"/>
              <w:spacing w:line="360" w:lineRule="auto"/>
              <w:ind w:firstLine="480" w:firstLineChars="200"/>
              <w:rPr>
                <w:rFonts w:hint="eastAsia" w:ascii="Times New Roman" w:hAnsi="Times New Roman"/>
                <w:color w:val="auto"/>
                <w:sz w:val="24"/>
                <w:highlight w:val="none"/>
              </w:rPr>
            </w:pPr>
            <w:r>
              <w:rPr>
                <w:rFonts w:hint="eastAsia" w:ascii="Times New Roman" w:hAnsi="Times New Roman"/>
                <w:color w:val="auto"/>
                <w:sz w:val="24"/>
                <w:highlight w:val="none"/>
              </w:rPr>
              <w:t>③优化运输车辆进出施工场地路径，尽量避免在敏感目标附近停留，</w:t>
            </w:r>
            <w:r>
              <w:rPr>
                <w:rFonts w:hint="eastAsia"/>
                <w:color w:val="auto"/>
                <w:sz w:val="24"/>
                <w:highlight w:val="none"/>
                <w:lang w:eastAsia="zh-CN"/>
              </w:rPr>
              <w:t>途经</w:t>
            </w:r>
            <w:r>
              <w:rPr>
                <w:rFonts w:hint="eastAsia" w:ascii="Times New Roman" w:hAnsi="Times New Roman"/>
                <w:color w:val="auto"/>
                <w:sz w:val="24"/>
                <w:highlight w:val="none"/>
              </w:rPr>
              <w:t>敏感目标附近时禁止鸣笛。</w:t>
            </w:r>
          </w:p>
          <w:p w14:paraId="3E0FF0D0">
            <w:pPr>
              <w:autoSpaceDE w:val="0"/>
              <w:autoSpaceDN w:val="0"/>
              <w:spacing w:line="360" w:lineRule="auto"/>
              <w:ind w:firstLine="482" w:firstLineChars="200"/>
              <w:rPr>
                <w:rFonts w:ascii="Times New Roman" w:hAnsi="Times New Roman"/>
                <w:b/>
                <w:bCs/>
                <w:color w:val="auto"/>
                <w:sz w:val="24"/>
                <w:highlight w:val="none"/>
              </w:rPr>
            </w:pPr>
            <w:r>
              <w:rPr>
                <w:rFonts w:hint="eastAsia" w:ascii="Times New Roman" w:hAnsi="Times New Roman"/>
                <w:b/>
                <w:bCs/>
                <w:color w:val="auto"/>
                <w:sz w:val="24"/>
                <w:highlight w:val="none"/>
              </w:rPr>
              <w:t>4、固废治理措施</w:t>
            </w:r>
          </w:p>
          <w:p w14:paraId="7D0B373B">
            <w:pPr>
              <w:adjustRightInd w:val="0"/>
              <w:snapToGrid w:val="0"/>
              <w:spacing w:line="360" w:lineRule="auto"/>
              <w:ind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施工期固体废物设备废包装材料（如纸板、泡沫及木条等）、建筑垃圾和施工人员产生的生活垃圾。</w:t>
            </w:r>
          </w:p>
          <w:p w14:paraId="2692567A">
            <w:pPr>
              <w:adjustRightInd w:val="0"/>
              <w:snapToGrid w:val="0"/>
              <w:spacing w:line="360" w:lineRule="auto"/>
              <w:ind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建筑垃圾及时清运至建设部门指定的地点堆放，可回收处理的废弃建筑材料和废包装材料由废品回收公司回收处置；施工期施工人员生活垃圾产生量按0.5kg/人·d计算，施工高峰期施工人员约</w:t>
            </w:r>
            <w:r>
              <w:rPr>
                <w:rFonts w:hint="eastAsia" w:ascii="Times New Roman" w:hAnsi="Times New Roman" w:eastAsia="宋体" w:cs="Times New Roman"/>
                <w:color w:val="auto"/>
                <w:sz w:val="24"/>
                <w:lang w:val="en-US" w:eastAsia="zh-CN"/>
              </w:rPr>
              <w:t>1</w:t>
            </w:r>
            <w:r>
              <w:rPr>
                <w:rFonts w:hint="eastAsia" w:ascii="Times New Roman" w:hAnsi="Times New Roman" w:eastAsia="宋体" w:cs="Times New Roman"/>
                <w:color w:val="auto"/>
                <w:sz w:val="24"/>
              </w:rPr>
              <w:t>0人，施工生活垃圾产生量为</w:t>
            </w:r>
            <w:r>
              <w:rPr>
                <w:rFonts w:hint="eastAsia" w:ascii="Times New Roman" w:hAnsi="Times New Roman" w:eastAsia="宋体" w:cs="Times New Roman"/>
                <w:color w:val="auto"/>
                <w:sz w:val="24"/>
                <w:lang w:val="en-US" w:eastAsia="zh-CN"/>
              </w:rPr>
              <w:t>5</w:t>
            </w:r>
            <w:r>
              <w:rPr>
                <w:rFonts w:hint="eastAsia" w:ascii="Times New Roman" w:hAnsi="Times New Roman" w:eastAsia="宋体" w:cs="Times New Roman"/>
                <w:color w:val="auto"/>
                <w:sz w:val="24"/>
              </w:rPr>
              <w:t>kg/d，通过园区已设置垃圾桶收集后交由环卫部门清运处置。项目施工期固废均能得到合理处置，不会对环境造成二次污染。</w:t>
            </w:r>
          </w:p>
          <w:p w14:paraId="4C5ADC44">
            <w:pPr>
              <w:pStyle w:val="66"/>
              <w:spacing w:line="360" w:lineRule="auto"/>
              <w:rPr>
                <w:color w:val="auto"/>
              </w:rPr>
            </w:pPr>
            <w:r>
              <w:rPr>
                <w:rFonts w:hint="eastAsia" w:ascii="Times New Roman" w:hAnsi="Times New Roman" w:eastAsia="宋体" w:cs="Times New Roman"/>
                <w:color w:val="auto"/>
                <w:sz w:val="24"/>
              </w:rPr>
              <w:t>综上所述，项目施工期间在采取相应的预防、治理措施后，施工期对环境影响很小，且施工期较短，施工结束后，施工期的影响也随之消失</w:t>
            </w:r>
            <w:r>
              <w:rPr>
                <w:rFonts w:hint="eastAsia"/>
                <w:color w:val="auto"/>
              </w:rPr>
              <w:t>。</w:t>
            </w:r>
          </w:p>
        </w:tc>
      </w:tr>
      <w:tr w14:paraId="415750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49" w:hRule="atLeast"/>
          <w:jc w:val="center"/>
        </w:trPr>
        <w:tc>
          <w:tcPr>
            <w:tcW w:w="746" w:type="dxa"/>
            <w:tcMar>
              <w:left w:w="28" w:type="dxa"/>
              <w:right w:w="28" w:type="dxa"/>
            </w:tcMar>
            <w:vAlign w:val="center"/>
          </w:tcPr>
          <w:p w14:paraId="699CA44E">
            <w:pPr>
              <w:pStyle w:val="66"/>
              <w:spacing w:line="240" w:lineRule="auto"/>
              <w:ind w:firstLine="0" w:firstLineChars="0"/>
              <w:rPr>
                <w:rFonts w:hint="eastAsia" w:ascii="Times New Roman" w:hAnsi="Times New Roman" w:cs="宋体"/>
                <w:b/>
                <w:bCs/>
                <w:color w:val="auto"/>
                <w:kern w:val="2"/>
                <w:sz w:val="24"/>
                <w:szCs w:val="24"/>
              </w:rPr>
            </w:pPr>
            <w:r>
              <w:rPr>
                <w:rFonts w:hint="eastAsia"/>
                <w:b/>
                <w:bCs/>
                <w:color w:val="auto"/>
                <w:sz w:val="24"/>
                <w:szCs w:val="24"/>
              </w:rPr>
              <w:t>运营期环境影响和保护措施</w:t>
            </w:r>
          </w:p>
        </w:tc>
        <w:tc>
          <w:tcPr>
            <w:tcW w:w="8162" w:type="dxa"/>
            <w:vAlign w:val="top"/>
          </w:tcPr>
          <w:p w14:paraId="19883603">
            <w:pPr>
              <w:bidi w:val="0"/>
              <w:spacing w:line="360" w:lineRule="auto"/>
              <w:ind w:firstLine="482" w:firstLineChars="200"/>
              <w:rPr>
                <w:rFonts w:hint="default" w:ascii="Times New Roman" w:hAnsi="Times New Roman" w:cs="Times New Roman"/>
                <w:b/>
                <w:bCs/>
                <w:color w:val="auto"/>
                <w:sz w:val="24"/>
                <w:lang w:val="en-US" w:eastAsia="zh-CN"/>
              </w:rPr>
            </w:pPr>
            <w:r>
              <w:rPr>
                <w:rFonts w:hint="eastAsia" w:ascii="Times New Roman" w:hAnsi="Times New Roman" w:cs="Times New Roman"/>
                <w:b/>
                <w:bCs/>
                <w:color w:val="auto"/>
                <w:sz w:val="24"/>
                <w:lang w:val="en-US" w:eastAsia="zh-CN"/>
              </w:rPr>
              <w:t>1、废气</w:t>
            </w:r>
          </w:p>
          <w:p w14:paraId="50E6A6D2">
            <w:pPr>
              <w:keepNext w:val="0"/>
              <w:keepLines w:val="0"/>
              <w:pageBreakBefore w:val="0"/>
              <w:widowControl w:val="0"/>
              <w:kinsoku/>
              <w:wordWrap/>
              <w:overflowPunct/>
              <w:topLinePunct w:val="0"/>
              <w:bidi w:val="0"/>
              <w:spacing w:line="360" w:lineRule="auto"/>
              <w:ind w:firstLine="482" w:firstLineChars="200"/>
              <w:textAlignment w:val="auto"/>
              <w:rPr>
                <w:rFonts w:hint="default" w:ascii="Times New Roman" w:hAnsi="Times New Roman" w:cs="Times New Roman"/>
                <w:b/>
                <w:bCs/>
                <w:color w:val="auto"/>
                <w:sz w:val="24"/>
                <w:lang w:val="en-US" w:eastAsia="zh-CN"/>
              </w:rPr>
            </w:pPr>
            <w:r>
              <w:rPr>
                <w:rFonts w:hint="eastAsia" w:ascii="Times New Roman" w:hAnsi="Times New Roman" w:cs="Times New Roman"/>
                <w:b/>
                <w:bCs/>
                <w:color w:val="auto"/>
                <w:sz w:val="24"/>
                <w:lang w:val="en-US" w:eastAsia="zh-CN"/>
              </w:rPr>
              <w:t>（1）废气源强分析</w:t>
            </w:r>
          </w:p>
          <w:p w14:paraId="2ABFD96E">
            <w:pPr>
              <w:keepNext w:val="0"/>
              <w:keepLines w:val="0"/>
              <w:pageBreakBefore w:val="0"/>
              <w:widowControl w:val="0"/>
              <w:kinsoku/>
              <w:wordWrap/>
              <w:overflowPunct/>
              <w:topLinePunct w:val="0"/>
              <w:bidi w:val="0"/>
              <w:spacing w:line="360" w:lineRule="auto"/>
              <w:ind w:firstLine="482" w:firstLineChars="200"/>
              <w:textAlignment w:val="auto"/>
              <w:rPr>
                <w:rFonts w:hint="eastAsia" w:ascii="宋体" w:hAnsi="宋体" w:eastAsia="宋体" w:cs="宋体"/>
                <w:b/>
                <w:bCs/>
                <w:color w:val="auto"/>
                <w:sz w:val="24"/>
                <w:szCs w:val="24"/>
                <w:lang w:val="en-US" w:eastAsia="zh-CN"/>
              </w:rPr>
            </w:pPr>
            <w:r>
              <w:rPr>
                <w:rFonts w:hint="default" w:ascii="Times New Roman" w:hAnsi="Times New Roman" w:cs="Times New Roman"/>
                <w:b/>
                <w:bCs/>
                <w:color w:val="auto"/>
                <w:sz w:val="24"/>
                <w:szCs w:val="24"/>
                <w:lang w:val="en-US" w:eastAsia="zh-CN"/>
              </w:rPr>
              <w:t>1</w:t>
            </w:r>
            <w:r>
              <w:rPr>
                <w:rFonts w:hint="eastAsia" w:ascii="宋体" w:hAnsi="宋体" w:cs="宋体"/>
                <w:b/>
                <w:bCs/>
                <w:color w:val="auto"/>
                <w:sz w:val="24"/>
                <w:szCs w:val="24"/>
                <w:lang w:val="en-US" w:eastAsia="zh-CN"/>
              </w:rPr>
              <w:t>）</w:t>
            </w:r>
            <w:r>
              <w:rPr>
                <w:rFonts w:hint="eastAsia" w:ascii="宋体" w:hAnsi="宋体" w:eastAsia="宋体" w:cs="宋体"/>
                <w:b/>
                <w:bCs/>
                <w:color w:val="auto"/>
                <w:kern w:val="18"/>
                <w:sz w:val="24"/>
                <w:szCs w:val="24"/>
                <w:lang w:val="en-US" w:eastAsia="zh-CN" w:bidi="ar-SA"/>
              </w:rPr>
              <w:t>投料粉尘</w:t>
            </w:r>
          </w:p>
          <w:p w14:paraId="20C497BA">
            <w:pPr>
              <w:widowControl/>
              <w:spacing w:line="360" w:lineRule="auto"/>
              <w:ind w:firstLine="528"/>
              <w:jc w:val="both"/>
              <w:rPr>
                <w:rFonts w:hint="eastAsia" w:ascii="宋体" w:hAnsi="宋体"/>
                <w:color w:val="auto"/>
                <w:spacing w:val="2"/>
                <w:sz w:val="24"/>
                <w:szCs w:val="24"/>
              </w:rPr>
            </w:pPr>
            <w:r>
              <w:rPr>
                <w:rFonts w:hint="eastAsia" w:ascii="宋体" w:hAnsi="宋体"/>
                <w:color w:val="auto"/>
                <w:spacing w:val="2"/>
                <w:sz w:val="24"/>
                <w:szCs w:val="24"/>
              </w:rPr>
              <w:t>正极、负极制浆分散搅拌过程均为物料机械混合过程，不改变原有物料化学物质结构，不发生化学反应。</w:t>
            </w:r>
          </w:p>
          <w:p w14:paraId="4328CF59">
            <w:pPr>
              <w:keepNext w:val="0"/>
              <w:keepLines w:val="0"/>
              <w:pageBreakBefore w:val="0"/>
              <w:widowControl w:val="0"/>
              <w:kinsoku/>
              <w:wordWrap/>
              <w:overflowPunct/>
              <w:topLinePunct w:val="0"/>
              <w:bidi w:val="0"/>
              <w:spacing w:line="360" w:lineRule="auto"/>
              <w:ind w:firstLine="488" w:firstLineChars="200"/>
              <w:textAlignment w:val="auto"/>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eastAsia" w:ascii="宋体" w:hAnsi="宋体"/>
                <w:color w:val="auto"/>
                <w:spacing w:val="2"/>
                <w:sz w:val="24"/>
                <w:szCs w:val="24"/>
              </w:rPr>
              <w:t>各种粉料为袋装，使用时，放置在粉料加料口上，由人工将袋底部打开，通过</w:t>
            </w:r>
            <w:r>
              <w:rPr>
                <w:rFonts w:hint="eastAsia" w:ascii="宋体" w:hAnsi="宋体"/>
                <w:color w:val="000000" w:themeColor="text1"/>
                <w:spacing w:val="2"/>
                <w:sz w:val="24"/>
                <w:szCs w:val="24"/>
                <w14:textFill>
                  <w14:solidFill>
                    <w14:schemeClr w14:val="tx1"/>
                  </w14:solidFill>
                </w14:textFill>
              </w:rPr>
              <w:t>进料口将粉料负压吸入制浆系统各加料罐，加料过程中料仓为微负压状态，少量粉尘作为无组织散失。加料罐中粉料通过管道由真空泵密闭输送加料，输送过程均为自动化</w:t>
            </w:r>
            <w:r>
              <w:rPr>
                <w:rFonts w:hint="default" w:ascii="Times New Roman" w:hAnsi="Times New Roman" w:cs="Times New Roman"/>
                <w:color w:val="000000" w:themeColor="text1"/>
                <w:sz w:val="24"/>
                <w:szCs w:val="24"/>
                <w:lang w:val="en-US" w:eastAsia="zh-CN"/>
                <w14:textFill>
                  <w14:solidFill>
                    <w14:schemeClr w14:val="tx1"/>
                  </w14:solidFill>
                </w14:textFill>
              </w:rPr>
              <w:t>。</w:t>
            </w:r>
          </w:p>
          <w:p w14:paraId="0D2EDE74">
            <w:pPr>
              <w:keepNext w:val="0"/>
              <w:keepLines w:val="0"/>
              <w:pageBreakBefore w:val="0"/>
              <w:widowControl w:val="0"/>
              <w:kinsoku/>
              <w:wordWrap/>
              <w:overflowPunct/>
              <w:topLinePunct w:val="0"/>
              <w:bidi w:val="0"/>
              <w:spacing w:line="360" w:lineRule="auto"/>
              <w:ind w:firstLine="488" w:firstLineChars="200"/>
              <w:textAlignment w:val="auto"/>
              <w:rPr>
                <w:rFonts w:hint="default" w:ascii="Times New Roman" w:hAnsi="Times New Roman" w:eastAsia="宋体" w:cs="Times New Roman"/>
                <w:color w:val="000000" w:themeColor="text1"/>
                <w:spacing w:val="2"/>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pacing w:val="2"/>
                <w:sz w:val="24"/>
                <w:szCs w:val="24"/>
                <w:lang w:val="en-US" w:eastAsia="zh-CN"/>
                <w14:textFill>
                  <w14:solidFill>
                    <w14:schemeClr w14:val="tx1"/>
                  </w14:solidFill>
                </w14:textFill>
              </w:rPr>
              <w:t>参照《排放源统计调查产排污核算方法和系数手册</w:t>
            </w:r>
            <w:r>
              <w:rPr>
                <w:rFonts w:hint="eastAsia" w:ascii="Times New Roman" w:hAnsi="Times New Roman" w:eastAsia="宋体" w:cs="Times New Roman"/>
                <w:color w:val="000000" w:themeColor="text1"/>
                <w:spacing w:val="2"/>
                <w:sz w:val="24"/>
                <w:szCs w:val="24"/>
                <w:lang w:val="en-US" w:eastAsia="zh-CN"/>
                <w14:textFill>
                  <w14:solidFill>
                    <w14:schemeClr w14:val="tx1"/>
                  </w14:solidFill>
                </w14:textFill>
              </w:rPr>
              <w:t xml:space="preserve"> 电池制造行业系数手册</w:t>
            </w:r>
            <w:r>
              <w:rPr>
                <w:rFonts w:hint="default" w:ascii="Times New Roman" w:hAnsi="Times New Roman" w:eastAsia="宋体" w:cs="Times New Roman"/>
                <w:color w:val="000000" w:themeColor="text1"/>
                <w:spacing w:val="2"/>
                <w:sz w:val="24"/>
                <w:szCs w:val="24"/>
                <w:lang w:val="en-US" w:eastAsia="zh-CN"/>
                <w14:textFill>
                  <w14:solidFill>
                    <w14:schemeClr w14:val="tx1"/>
                  </w14:solidFill>
                </w14:textFill>
              </w:rPr>
              <w:t>》中C384其他电池制造业系数手册中的产污系数，颗粒物产生系数为110g/万只。本项目</w:t>
            </w:r>
            <w:r>
              <w:rPr>
                <w:rFonts w:hint="eastAsia" w:cs="Times New Roman"/>
                <w:color w:val="000000" w:themeColor="text1"/>
                <w:spacing w:val="2"/>
                <w:sz w:val="24"/>
                <w:szCs w:val="24"/>
                <w:lang w:val="en-US" w:eastAsia="zh-CN"/>
                <w14:textFill>
                  <w14:solidFill>
                    <w14:schemeClr w14:val="tx1"/>
                  </w14:solidFill>
                </w14:textFill>
              </w:rPr>
              <w:t>电池总产能</w:t>
            </w:r>
            <w:r>
              <w:rPr>
                <w:rFonts w:hint="default" w:ascii="Times New Roman" w:hAnsi="Times New Roman" w:eastAsia="宋体" w:cs="Times New Roman"/>
                <w:color w:val="000000" w:themeColor="text1"/>
                <w:spacing w:val="2"/>
                <w:sz w:val="24"/>
                <w:szCs w:val="24"/>
                <w:lang w:val="en-US" w:eastAsia="zh-CN"/>
                <w14:textFill>
                  <w14:solidFill>
                    <w14:schemeClr w14:val="tx1"/>
                  </w14:solidFill>
                </w14:textFill>
              </w:rPr>
              <w:t>为</w:t>
            </w:r>
            <w:r>
              <w:rPr>
                <w:rFonts w:hint="eastAsia" w:cs="Times New Roman"/>
                <w:color w:val="000000" w:themeColor="text1"/>
                <w:spacing w:val="2"/>
                <w:sz w:val="24"/>
                <w:szCs w:val="24"/>
                <w:lang w:val="en-US" w:eastAsia="zh-CN"/>
                <w14:textFill>
                  <w14:solidFill>
                    <w14:schemeClr w14:val="tx1"/>
                  </w14:solidFill>
                </w14:textFill>
              </w:rPr>
              <w:t>600</w:t>
            </w:r>
            <w:r>
              <w:rPr>
                <w:rFonts w:hint="default" w:ascii="Times New Roman" w:hAnsi="Times New Roman" w:eastAsia="宋体" w:cs="Times New Roman"/>
                <w:color w:val="000000" w:themeColor="text1"/>
                <w:spacing w:val="2"/>
                <w:sz w:val="24"/>
                <w:szCs w:val="24"/>
                <w:lang w:val="en-US" w:eastAsia="zh-CN"/>
                <w14:textFill>
                  <w14:solidFill>
                    <w14:schemeClr w14:val="tx1"/>
                  </w14:solidFill>
                </w14:textFill>
              </w:rPr>
              <w:t>万只</w:t>
            </w:r>
            <w:r>
              <w:rPr>
                <w:rFonts w:hint="eastAsia" w:cs="Times New Roman"/>
                <w:color w:val="000000" w:themeColor="text1"/>
                <w:spacing w:val="2"/>
                <w:sz w:val="24"/>
                <w:szCs w:val="24"/>
                <w:lang w:val="en-US" w:eastAsia="zh-CN"/>
                <w14:textFill>
                  <w14:solidFill>
                    <w14:schemeClr w14:val="tx1"/>
                  </w14:solidFill>
                </w14:textFill>
              </w:rPr>
              <w:t>/年</w:t>
            </w:r>
            <w:r>
              <w:rPr>
                <w:rFonts w:hint="default" w:ascii="Times New Roman" w:hAnsi="Times New Roman" w:eastAsia="宋体" w:cs="Times New Roman"/>
                <w:color w:val="000000" w:themeColor="text1"/>
                <w:spacing w:val="2"/>
                <w:sz w:val="24"/>
                <w:szCs w:val="24"/>
                <w:lang w:val="en-US" w:eastAsia="zh-CN"/>
                <w14:textFill>
                  <w14:solidFill>
                    <w14:schemeClr w14:val="tx1"/>
                  </w14:solidFill>
                </w14:textFill>
              </w:rPr>
              <w:t>，则颗粒物产生量约</w:t>
            </w:r>
            <w:r>
              <w:rPr>
                <w:rFonts w:hint="eastAsia" w:cs="Times New Roman"/>
                <w:color w:val="000000" w:themeColor="text1"/>
                <w:spacing w:val="2"/>
                <w:sz w:val="24"/>
                <w:szCs w:val="24"/>
                <w:lang w:val="en-US" w:eastAsia="zh-CN"/>
                <w14:textFill>
                  <w14:solidFill>
                    <w14:schemeClr w14:val="tx1"/>
                  </w14:solidFill>
                </w14:textFill>
              </w:rPr>
              <w:t>0.066</w:t>
            </w:r>
            <w:r>
              <w:rPr>
                <w:rFonts w:hint="default" w:ascii="Times New Roman" w:hAnsi="Times New Roman" w:eastAsia="宋体" w:cs="Times New Roman"/>
                <w:color w:val="000000" w:themeColor="text1"/>
                <w:spacing w:val="2"/>
                <w:sz w:val="24"/>
                <w:szCs w:val="24"/>
                <w:lang w:val="en-US" w:eastAsia="zh-CN"/>
                <w14:textFill>
                  <w14:solidFill>
                    <w14:schemeClr w14:val="tx1"/>
                  </w14:solidFill>
                </w14:textFill>
              </w:rPr>
              <w:t>t/a</w:t>
            </w:r>
            <w:r>
              <w:rPr>
                <w:rFonts w:hint="eastAsia" w:cs="Times New Roman"/>
                <w:color w:val="000000" w:themeColor="text1"/>
                <w:spacing w:val="2"/>
                <w:sz w:val="24"/>
                <w:szCs w:val="24"/>
                <w:lang w:val="en-US" w:eastAsia="zh-CN"/>
                <w14:textFill>
                  <w14:solidFill>
                    <w14:schemeClr w14:val="tx1"/>
                  </w14:solidFill>
                </w14:textFill>
              </w:rPr>
              <w:t>，产生速率约为0</w:t>
            </w:r>
            <w:r>
              <w:rPr>
                <w:rFonts w:hint="eastAsia" w:ascii="Times New Roman" w:hAnsi="Times New Roman" w:eastAsia="宋体" w:cs="Times New Roman"/>
                <w:color w:val="000000" w:themeColor="text1"/>
                <w:spacing w:val="2"/>
                <w:sz w:val="24"/>
                <w:szCs w:val="24"/>
                <w:lang w:val="en-US" w:eastAsia="zh-CN"/>
                <w14:textFill>
                  <w14:solidFill>
                    <w14:schemeClr w14:val="tx1"/>
                  </w14:solidFill>
                </w14:textFill>
              </w:rPr>
              <w:t>.011kg/h，其中超充高倍率锂离子蓄电池、高比能高倍率固态电池</w:t>
            </w:r>
            <w:r>
              <w:rPr>
                <w:rFonts w:hint="eastAsia" w:cs="Times New Roman"/>
                <w:color w:val="000000" w:themeColor="text1"/>
                <w:spacing w:val="2"/>
                <w:sz w:val="24"/>
                <w:szCs w:val="24"/>
                <w:lang w:val="en-US" w:eastAsia="zh-CN"/>
                <w14:textFill>
                  <w14:solidFill>
                    <w14:schemeClr w14:val="tx1"/>
                  </w14:solidFill>
                </w14:textFill>
              </w:rPr>
              <w:t>产品产量为380万只/年，其</w:t>
            </w:r>
            <w:r>
              <w:rPr>
                <w:rFonts w:hint="eastAsia" w:ascii="Times New Roman" w:hAnsi="Times New Roman" w:eastAsia="宋体" w:cs="Times New Roman"/>
                <w:color w:val="000000" w:themeColor="text1"/>
                <w:spacing w:val="2"/>
                <w:sz w:val="24"/>
                <w:szCs w:val="24"/>
                <w:lang w:val="en-US" w:eastAsia="zh-CN"/>
                <w14:textFill>
                  <w14:solidFill>
                    <w14:schemeClr w14:val="tx1"/>
                  </w14:solidFill>
                </w14:textFill>
              </w:rPr>
              <w:t>正极原材料</w:t>
            </w:r>
            <w:r>
              <w:rPr>
                <w:rFonts w:hint="eastAsia" w:cs="Times New Roman"/>
                <w:color w:val="000000" w:themeColor="text1"/>
                <w:spacing w:val="2"/>
                <w:sz w:val="24"/>
                <w:szCs w:val="24"/>
                <w:lang w:val="en-US" w:eastAsia="zh-CN"/>
                <w14:textFill>
                  <w14:solidFill>
                    <w14:schemeClr w14:val="tx1"/>
                  </w14:solidFill>
                </w14:textFill>
              </w:rPr>
              <w:t>为镍钴锰酸锂，因此粉尘中含有重金属镍，以镍及其化合物计，产生量约为0.042t/a，产生速率为0.007kg/h</w:t>
            </w:r>
            <w:r>
              <w:rPr>
                <w:rFonts w:hint="default" w:ascii="Times New Roman" w:hAnsi="Times New Roman" w:eastAsia="宋体" w:cs="Times New Roman"/>
                <w:color w:val="000000" w:themeColor="text1"/>
                <w:spacing w:val="2"/>
                <w:sz w:val="24"/>
                <w:szCs w:val="24"/>
                <w:lang w:val="en-US" w:eastAsia="zh-CN"/>
                <w14:textFill>
                  <w14:solidFill>
                    <w14:schemeClr w14:val="tx1"/>
                  </w14:solidFill>
                </w14:textFill>
              </w:rPr>
              <w:t>。</w:t>
            </w:r>
          </w:p>
          <w:p w14:paraId="467A3ADE">
            <w:pPr>
              <w:keepNext w:val="0"/>
              <w:keepLines w:val="0"/>
              <w:pageBreakBefore w:val="0"/>
              <w:widowControl w:val="0"/>
              <w:shd w:val="clear"/>
              <w:kinsoku/>
              <w:wordWrap/>
              <w:overflowPunct/>
              <w:topLinePunct w:val="0"/>
              <w:bidi w:val="0"/>
              <w:spacing w:line="360" w:lineRule="auto"/>
              <w:ind w:firstLine="482" w:firstLineChars="200"/>
              <w:textAlignment w:val="auto"/>
              <w:rPr>
                <w:rFonts w:hint="default"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拟采取治理措施：</w:t>
            </w:r>
            <w:r>
              <w:rPr>
                <w:rFonts w:hint="eastAsia" w:cs="Times New Roman"/>
                <w:b w:val="0"/>
                <w:bCs w:val="0"/>
                <w:color w:val="000000" w:themeColor="text1"/>
                <w:sz w:val="24"/>
                <w:szCs w:val="24"/>
                <w:lang w:val="en-US" w:eastAsia="zh-CN"/>
                <w14:textFill>
                  <w14:solidFill>
                    <w14:schemeClr w14:val="tx1"/>
                  </w14:solidFill>
                </w14:textFill>
              </w:rPr>
              <w:t>本项目投料在密闭投料间进行，</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投料产生的颗粒物</w:t>
            </w:r>
            <w:r>
              <w:rPr>
                <w:rFonts w:hint="eastAsia" w:cs="Times New Roman"/>
                <w:color w:val="000000" w:themeColor="text1"/>
                <w:sz w:val="24"/>
                <w:szCs w:val="24"/>
                <w:lang w:val="en-US" w:eastAsia="zh-CN"/>
                <w14:textFill>
                  <w14:solidFill>
                    <w14:schemeClr w14:val="tx1"/>
                  </w14:solidFill>
                </w14:textFill>
              </w:rPr>
              <w:t>经设备自带</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滤芯除尘器</w:t>
            </w:r>
            <w:r>
              <w:rPr>
                <w:rFonts w:hint="eastAsia" w:cs="Times New Roman"/>
                <w:color w:val="000000" w:themeColor="text1"/>
                <w:sz w:val="24"/>
                <w:szCs w:val="24"/>
                <w:lang w:val="en-US" w:eastAsia="zh-CN"/>
                <w14:textFill>
                  <w14:solidFill>
                    <w14:schemeClr w14:val="tx1"/>
                  </w14:solidFill>
                </w14:textFill>
              </w:rPr>
              <w:t>（TA001）</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收集</w:t>
            </w:r>
            <w:r>
              <w:rPr>
                <w:rFonts w:hint="eastAsia" w:cs="Times New Roman"/>
                <w:color w:val="000000" w:themeColor="text1"/>
                <w:sz w:val="24"/>
                <w:szCs w:val="24"/>
                <w:lang w:val="en-US" w:eastAsia="zh-CN"/>
                <w14:textFill>
                  <w14:solidFill>
                    <w14:schemeClr w14:val="tx1"/>
                  </w14:solidFill>
                </w14:textFill>
              </w:rPr>
              <w:t>（</w:t>
            </w:r>
            <w:r>
              <w:rPr>
                <w:rFonts w:hint="eastAsia" w:cs="Times New Roman"/>
                <w:b w:val="0"/>
                <w:bCs w:val="0"/>
                <w:color w:val="000000" w:themeColor="text1"/>
                <w:sz w:val="24"/>
                <w:szCs w:val="24"/>
                <w:lang w:val="en-US" w:eastAsia="zh-CN"/>
                <w14:textFill>
                  <w14:solidFill>
                    <w14:schemeClr w14:val="tx1"/>
                  </w14:solidFill>
                </w14:textFill>
              </w:rPr>
              <w:t>投料设备自带引风机持续抽风，使投料设备腔体内部形成微负压，粉料拆包、下落过程扬起的粉尘，在负压气流牵引下，进入设备上部</w:t>
            </w:r>
            <w:r>
              <w:rPr>
                <w:rFonts w:ascii="宋体" w:hAnsi="宋体" w:eastAsia="宋体" w:cs="宋体"/>
                <w:color w:val="000000" w:themeColor="text1"/>
                <w:sz w:val="24"/>
                <w:szCs w:val="24"/>
                <w14:textFill>
                  <w14:solidFill>
                    <w14:schemeClr w14:val="tx1"/>
                  </w14:solidFill>
                </w14:textFill>
              </w:rPr>
              <w:t>滤</w:t>
            </w:r>
            <w:r>
              <w:rPr>
                <w:rFonts w:hint="eastAsia" w:ascii="宋体" w:hAnsi="宋体" w:eastAsia="宋体" w:cs="宋体"/>
                <w:color w:val="000000" w:themeColor="text1"/>
                <w:sz w:val="24"/>
                <w:szCs w:val="24"/>
                <w:lang w:val="en-US" w:eastAsia="zh-CN"/>
                <w14:textFill>
                  <w14:solidFill>
                    <w14:schemeClr w14:val="tx1"/>
                  </w14:solidFill>
                </w14:textFill>
              </w:rPr>
              <w:t>芯</w:t>
            </w:r>
            <w:r>
              <w:rPr>
                <w:rFonts w:ascii="宋体" w:hAnsi="宋体" w:eastAsia="宋体" w:cs="宋体"/>
                <w:color w:val="000000" w:themeColor="text1"/>
                <w:sz w:val="24"/>
                <w:szCs w:val="24"/>
                <w14:textFill>
                  <w14:solidFill>
                    <w14:schemeClr w14:val="tx1"/>
                  </w14:solidFill>
                </w14:textFill>
              </w:rPr>
              <w:t>除尘单元</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参考《袋式除尘工程通用技术规范》（</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HJ 2020-2012</w:t>
            </w:r>
            <w:r>
              <w:rPr>
                <w:rFonts w:hint="eastAsia" w:ascii="宋体" w:hAnsi="宋体" w:eastAsia="宋体" w:cs="宋体"/>
                <w:color w:val="000000" w:themeColor="text1"/>
                <w:sz w:val="24"/>
                <w:szCs w:val="24"/>
                <w:lang w:val="en-US" w:eastAsia="zh-CN"/>
                <w14:textFill>
                  <w14:solidFill>
                    <w14:schemeClr w14:val="tx1"/>
                  </w14:solidFill>
                </w14:textFill>
              </w:rPr>
              <w:t>）</w:t>
            </w:r>
            <w:r>
              <w:rPr>
                <w:rFonts w:hint="eastAsia" w:ascii="宋体" w:hAnsi="宋体" w:cs="宋体"/>
                <w:color w:val="000000" w:themeColor="text1"/>
                <w:sz w:val="24"/>
                <w:szCs w:val="24"/>
                <w:lang w:val="en-US" w:eastAsia="zh-CN"/>
                <w14:textFill>
                  <w14:solidFill>
                    <w14:schemeClr w14:val="tx1"/>
                  </w14:solidFill>
                </w14:textFill>
              </w:rPr>
              <w:t>及《排放源统计调查产排污核算方法和系数手册》“</w:t>
            </w:r>
            <w:r>
              <w:rPr>
                <w:rFonts w:hint="eastAsia" w:ascii="Times New Roman" w:hAnsi="Times New Roman" w:eastAsia="宋体" w:cs="Times New Roman"/>
                <w:b w:val="0"/>
                <w:bCs w:val="0"/>
                <w:color w:val="000000" w:themeColor="text1"/>
                <w:sz w:val="24"/>
                <w:highlight w:val="none"/>
                <w:lang w:val="en-US" w:eastAsia="zh-CN"/>
                <w14:textFill>
                  <w14:solidFill>
                    <w14:schemeClr w14:val="tx1"/>
                  </w14:solidFill>
                </w14:textFill>
              </w:rPr>
              <w:t>384电池制造行业系数手册</w:t>
            </w:r>
            <w:r>
              <w:rPr>
                <w:rFonts w:hint="eastAsia" w:ascii="宋体" w:hAnsi="宋体" w:cs="宋体"/>
                <w:color w:val="000000" w:themeColor="text1"/>
                <w:sz w:val="24"/>
                <w:szCs w:val="24"/>
                <w:lang w:val="en-US" w:eastAsia="zh-CN"/>
                <w14:textFill>
                  <w14:solidFill>
                    <w14:schemeClr w14:val="tx1"/>
                  </w14:solidFill>
                </w14:textFill>
              </w:rPr>
              <w:t>”</w:t>
            </w:r>
            <w:r>
              <w:rPr>
                <w:rFonts w:hint="eastAsia" w:cs="Times New Roman"/>
                <w:b w:val="0"/>
                <w:bCs w:val="0"/>
                <w:color w:val="000000" w:themeColor="text1"/>
                <w:sz w:val="24"/>
                <w:szCs w:val="24"/>
                <w:lang w:val="en-US" w:eastAsia="zh-CN"/>
                <w14:textFill>
                  <w14:solidFill>
                    <w14:schemeClr w14:val="tx1"/>
                  </w14:solidFill>
                </w14:textFill>
              </w:rPr>
              <w:t>，本次评价收集效率取90%，</w:t>
            </w:r>
            <w:r>
              <w:rPr>
                <w:rFonts w:hint="eastAsia" w:cs="Times New Roman"/>
                <w:color w:val="000000" w:themeColor="text1"/>
                <w:sz w:val="24"/>
                <w:szCs w:val="24"/>
                <w:lang w:val="en-US" w:eastAsia="zh-CN"/>
                <w14:textFill>
                  <w14:solidFill>
                    <w14:schemeClr w14:val="tx1"/>
                  </w14:solidFill>
                </w14:textFill>
              </w:rPr>
              <w:t>处理效率取95%），同时为保证电池生产过程中的温湿度和洁净需要，车间需设置</w:t>
            </w:r>
            <w:r>
              <w:rPr>
                <w:rFonts w:hint="eastAsia" w:cs="Times New Roman"/>
                <w:b w:val="0"/>
                <w:bCs w:val="0"/>
                <w:color w:val="000000" w:themeColor="text1"/>
                <w:sz w:val="24"/>
                <w:szCs w:val="24"/>
                <w:shd w:val="clear"/>
                <w:lang w:val="en-US" w:eastAsia="zh-CN"/>
                <w14:textFill>
                  <w14:solidFill>
                    <w14:schemeClr w14:val="tx1"/>
                  </w14:solidFill>
                </w14:textFill>
              </w:rPr>
              <w:t>洁净系统</w:t>
            </w:r>
            <w:r>
              <w:rPr>
                <w:rFonts w:hint="eastAsia" w:cs="Times New Roman"/>
                <w:color w:val="000000" w:themeColor="text1"/>
                <w:sz w:val="24"/>
                <w:szCs w:val="24"/>
                <w:lang w:val="en-US" w:eastAsia="zh-CN"/>
                <w14:textFill>
                  <w14:solidFill>
                    <w14:schemeClr w14:val="tx1"/>
                  </w14:solidFill>
                </w14:textFill>
              </w:rPr>
              <w:t>（含初效过滤+中效过滤+高效过滤，过滤效率约为95%）对车间内含尘、潮湿的空气进行二次除尘处理，则颗粒物无组织排放量约为0.0005t/a，镍及其化合物排放量约为0.0003t/a，项目年工作时长6000h，颗粒物排放速率约为0.0001kg/h，镍及其化合物排放速率为0.00005kg/h。</w:t>
            </w:r>
          </w:p>
          <w:p w14:paraId="66874A1F">
            <w:pPr>
              <w:keepNext w:val="0"/>
              <w:keepLines w:val="0"/>
              <w:pageBreakBefore w:val="0"/>
              <w:widowControl w:val="0"/>
              <w:numPr>
                <w:ilvl w:val="0"/>
                <w:numId w:val="4"/>
              </w:numPr>
              <w:kinsoku/>
              <w:wordWrap/>
              <w:overflowPunct/>
              <w:topLinePunct w:val="0"/>
              <w:bidi w:val="0"/>
              <w:spacing w:line="360" w:lineRule="auto"/>
              <w:ind w:firstLine="482" w:firstLineChars="200"/>
              <w:textAlignment w:val="auto"/>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涂布烘干废气</w:t>
            </w:r>
          </w:p>
          <w:p w14:paraId="1F0A80C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正</w:t>
            </w:r>
            <w:r>
              <w:rPr>
                <w:rFonts w:hint="eastAsia" w:cs="Times New Roman"/>
                <w:color w:val="000000" w:themeColor="text1"/>
                <w:sz w:val="24"/>
                <w:szCs w:val="24"/>
                <w:highlight w:val="none"/>
                <w:lang w:val="en-US" w:eastAsia="zh-CN"/>
                <w14:textFill>
                  <w14:solidFill>
                    <w14:schemeClr w14:val="tx1"/>
                  </w14:solidFill>
                </w14:textFill>
              </w:rPr>
              <w:t>、负</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极</w:t>
            </w:r>
            <w:r>
              <w:rPr>
                <w:rFonts w:hint="eastAsia" w:cs="Times New Roman"/>
                <w:color w:val="000000" w:themeColor="text1"/>
                <w:sz w:val="24"/>
                <w:szCs w:val="24"/>
                <w:highlight w:val="none"/>
                <w:lang w:val="en-US" w:eastAsia="zh-CN"/>
                <w14:textFill>
                  <w14:solidFill>
                    <w14:schemeClr w14:val="tx1"/>
                  </w14:solidFill>
                </w14:textFill>
              </w:rPr>
              <w:t>匀浆均</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在30℃密闭搅拌工况下，NMP饱和蒸气压低、挥发量极小，搅拌过程基本无废气逸散，有机废气主要来源于涂布烘干工序。</w:t>
            </w:r>
          </w:p>
          <w:p w14:paraId="204887D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ascii="宋体" w:hAnsi="宋体" w:eastAsia="宋体" w:cs="宋体"/>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本项目涂布烘干温度远低于PVDF热分解温度（270℃），PVDF不发生分解，无氟化物污染物</w:t>
            </w:r>
            <w:r>
              <w:rPr>
                <w:rFonts w:hint="default" w:cs="Times New Roman"/>
                <w:color w:val="000000" w:themeColor="text1"/>
                <w:sz w:val="24"/>
                <w:szCs w:val="24"/>
                <w:highlight w:val="none"/>
                <w:lang w:val="en-US" w:eastAsia="zh-CN"/>
                <w14:textFill>
                  <w14:solidFill>
                    <w14:schemeClr w14:val="tx1"/>
                  </w14:solidFill>
                </w14:textFill>
              </w:rPr>
              <w:t>产生</w:t>
            </w:r>
            <w:r>
              <w:rPr>
                <w:rFonts w:hint="eastAsia" w:cs="Times New Roman"/>
                <w:color w:val="000000" w:themeColor="text1"/>
                <w:sz w:val="24"/>
                <w:szCs w:val="24"/>
                <w:highlight w:val="none"/>
                <w:lang w:val="en-US" w:eastAsia="zh-CN"/>
                <w14:textFill>
                  <w14:solidFill>
                    <w14:schemeClr w14:val="tx1"/>
                  </w14:solidFill>
                </w14:textFill>
              </w:rPr>
              <w:t>，</w:t>
            </w:r>
            <w:r>
              <w:rPr>
                <w:rFonts w:hint="eastAsia" w:cs="Times New Roman"/>
                <w:color w:val="000000" w:themeColor="text1"/>
                <w:sz w:val="24"/>
                <w:szCs w:val="24"/>
                <w:lang w:val="en-US" w:eastAsia="zh-CN"/>
                <w14:textFill>
                  <w14:solidFill>
                    <w14:schemeClr w14:val="tx1"/>
                  </w14:solidFill>
                </w14:textFill>
              </w:rPr>
              <w:t>本项目NMP总年消耗量为1456.2t/a，其中：聚酰亚胺浆料年用量16.3t（含NMP占比92%，折合NMP约15t/a），碳纳米管导电浆料年用量282.2t（含NMP占比95%，折合NMP约268.1t/a），其余为外购纯NMP原料，项目</w:t>
            </w:r>
            <w:r>
              <w:rPr>
                <w:rFonts w:hint="default" w:ascii="Times New Roman" w:hAnsi="Times New Roman" w:cs="Times New Roman"/>
                <w:color w:val="000000" w:themeColor="text1"/>
                <w:sz w:val="24"/>
                <w:szCs w:val="24"/>
                <w:lang w:val="en-US" w:eastAsia="zh-CN"/>
                <w14:textFill>
                  <w14:solidFill>
                    <w14:schemeClr w14:val="tx1"/>
                  </w14:solidFill>
                </w14:textFill>
              </w:rPr>
              <w:t>年运行</w:t>
            </w:r>
            <w:r>
              <w:rPr>
                <w:rFonts w:hint="eastAsia" w:cs="Times New Roman"/>
                <w:color w:val="000000" w:themeColor="text1"/>
                <w:sz w:val="24"/>
                <w:szCs w:val="24"/>
                <w:lang w:val="en-US" w:eastAsia="zh-CN"/>
                <w14:textFill>
                  <w14:solidFill>
                    <w14:schemeClr w14:val="tx1"/>
                  </w14:solidFill>
                </w14:textFill>
              </w:rPr>
              <w:t>60</w:t>
            </w:r>
            <w:r>
              <w:rPr>
                <w:rFonts w:hint="default" w:ascii="Times New Roman" w:hAnsi="Times New Roman" w:cs="Times New Roman"/>
                <w:color w:val="000000" w:themeColor="text1"/>
                <w:sz w:val="24"/>
                <w:szCs w:val="24"/>
                <w:lang w:val="en-US" w:eastAsia="zh-CN"/>
                <w14:textFill>
                  <w14:solidFill>
                    <w14:schemeClr w14:val="tx1"/>
                  </w14:solidFill>
                </w14:textFill>
              </w:rPr>
              <w:t>00h，</w:t>
            </w:r>
            <w:r>
              <w:rPr>
                <w:rFonts w:hint="eastAsia" w:ascii="Times New Roman" w:hAnsi="Times New Roman" w:cs="Times New Roman"/>
                <w:color w:val="000000" w:themeColor="text1"/>
                <w:sz w:val="24"/>
                <w:szCs w:val="24"/>
                <w:lang w:val="en-US" w:eastAsia="zh-CN"/>
                <w14:textFill>
                  <w14:solidFill>
                    <w14:schemeClr w14:val="tx1"/>
                  </w14:solidFill>
                </w14:textFill>
              </w:rPr>
              <w:t>本次评价按NMP全挥发</w:t>
            </w:r>
            <w:r>
              <w:rPr>
                <w:rFonts w:hint="default" w:ascii="Times New Roman" w:hAnsi="Times New Roman" w:cs="Times New Roman"/>
                <w:color w:val="000000" w:themeColor="text1"/>
                <w:sz w:val="24"/>
                <w:szCs w:val="24"/>
                <w:lang w:val="en-US" w:eastAsia="zh-CN"/>
                <w14:textFill>
                  <w14:solidFill>
                    <w14:schemeClr w14:val="tx1"/>
                  </w14:solidFill>
                </w14:textFill>
              </w:rPr>
              <w:t>核算</w:t>
            </w:r>
            <w:r>
              <w:rPr>
                <w:rFonts w:hint="eastAsia" w:ascii="Times New Roman" w:hAnsi="Times New Roman" w:cs="Times New Roman"/>
                <w:color w:val="000000" w:themeColor="text1"/>
                <w:sz w:val="24"/>
                <w:szCs w:val="24"/>
                <w:lang w:val="en-US" w:eastAsia="zh-CN"/>
                <w14:textFill>
                  <w14:solidFill>
                    <w14:schemeClr w14:val="tx1"/>
                  </w14:solidFill>
                </w14:textFill>
              </w:rPr>
              <w:t>，则NMP废气</w:t>
            </w:r>
            <w:r>
              <w:rPr>
                <w:rFonts w:hint="default" w:ascii="Times New Roman" w:hAnsi="Times New Roman" w:cs="Times New Roman"/>
                <w:color w:val="000000" w:themeColor="text1"/>
                <w:sz w:val="24"/>
                <w:szCs w:val="24"/>
                <w:lang w:val="en-US" w:eastAsia="zh-CN"/>
                <w14:textFill>
                  <w14:solidFill>
                    <w14:schemeClr w14:val="tx1"/>
                  </w14:solidFill>
                </w14:textFill>
              </w:rPr>
              <w:t>产生量</w:t>
            </w:r>
            <w:r>
              <w:rPr>
                <w:rFonts w:hint="eastAsia" w:cs="Times New Roman"/>
                <w:color w:val="000000" w:themeColor="text1"/>
                <w:sz w:val="24"/>
                <w:szCs w:val="24"/>
                <w:lang w:val="en-US" w:eastAsia="zh-CN"/>
                <w14:textFill>
                  <w14:solidFill>
                    <w14:schemeClr w14:val="tx1"/>
                  </w14:solidFill>
                </w14:textFill>
              </w:rPr>
              <w:t>1456.2t</w:t>
            </w:r>
            <w:r>
              <w:rPr>
                <w:rFonts w:hint="default" w:ascii="Times New Roman" w:hAnsi="Times New Roman" w:cs="Times New Roman"/>
                <w:color w:val="000000" w:themeColor="text1"/>
                <w:sz w:val="24"/>
                <w:szCs w:val="24"/>
                <w:lang w:val="en-US" w:eastAsia="zh-CN"/>
                <w14:textFill>
                  <w14:solidFill>
                    <w14:schemeClr w14:val="tx1"/>
                  </w14:solidFill>
                </w14:textFill>
              </w:rPr>
              <w:t>/a，产生速率</w:t>
            </w:r>
            <w:r>
              <w:rPr>
                <w:rFonts w:hint="eastAsia" w:cs="Times New Roman"/>
                <w:color w:val="000000" w:themeColor="text1"/>
                <w:sz w:val="24"/>
                <w:szCs w:val="24"/>
                <w:lang w:val="en-US" w:eastAsia="zh-CN"/>
                <w14:textFill>
                  <w14:solidFill>
                    <w14:schemeClr w14:val="tx1"/>
                  </w14:solidFill>
                </w14:textFill>
              </w:rPr>
              <w:t>为242.7</w:t>
            </w:r>
            <w:r>
              <w:rPr>
                <w:rFonts w:hint="default" w:ascii="Times New Roman" w:hAnsi="Times New Roman" w:cs="Times New Roman"/>
                <w:color w:val="000000" w:themeColor="text1"/>
                <w:sz w:val="24"/>
                <w:szCs w:val="24"/>
                <w:lang w:val="en-US" w:eastAsia="zh-CN"/>
                <w14:textFill>
                  <w14:solidFill>
                    <w14:schemeClr w14:val="tx1"/>
                  </w14:solidFill>
                </w14:textFill>
              </w:rPr>
              <w:t>kg/h</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w:t>
            </w:r>
          </w:p>
          <w:p w14:paraId="7BCB3999">
            <w:pPr>
              <w:keepNext w:val="0"/>
              <w:keepLines w:val="0"/>
              <w:pageBreakBefore w:val="0"/>
              <w:widowControl w:val="0"/>
              <w:kinsoku/>
              <w:wordWrap/>
              <w:overflowPunct/>
              <w:topLinePunct w:val="0"/>
              <w:bidi w:val="0"/>
              <w:spacing w:line="360" w:lineRule="auto"/>
              <w:ind w:firstLine="482" w:firstLineChars="200"/>
              <w:textAlignment w:val="auto"/>
              <w:rPr>
                <w:rFonts w:hint="default" w:ascii="Times New Roman" w:hAnsi="Times New Roman" w:eastAsia="宋体" w:cs="Times New Roman"/>
                <w:color w:val="000000" w:themeColor="text1"/>
                <w:kern w:val="0"/>
                <w:sz w:val="24"/>
                <w:szCs w:val="24"/>
                <w:highlight w:val="none"/>
                <w:shd w:val="clear"/>
                <w:lang w:val="en-US" w:eastAsia="zh-CN" w:bidi="ar"/>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拟采取治理措施：</w:t>
            </w:r>
            <w:r>
              <w:rPr>
                <w:rFonts w:hint="eastAsia" w:cs="Times New Roman"/>
                <w:color w:val="000000" w:themeColor="text1"/>
                <w:sz w:val="24"/>
                <w:szCs w:val="24"/>
                <w:highlight w:val="none"/>
                <w:lang w:val="en-US" w:eastAsia="zh-CN"/>
                <w14:textFill>
                  <w14:solidFill>
                    <w14:schemeClr w14:val="tx1"/>
                  </w14:solidFill>
                </w14:textFill>
              </w:rPr>
              <w:t>本项目涂布机</w:t>
            </w:r>
            <w:r>
              <w:rPr>
                <w:rFonts w:hint="eastAsia" w:cs="Times New Roman"/>
                <w:color w:val="000000" w:themeColor="text1"/>
                <w:kern w:val="0"/>
                <w:sz w:val="24"/>
                <w:szCs w:val="24"/>
                <w:highlight w:val="none"/>
                <w:lang w:val="en-US" w:eastAsia="zh-CN" w:bidi="ar"/>
                <w14:textFill>
                  <w14:solidFill>
                    <w14:schemeClr w14:val="tx1"/>
                  </w14:solidFill>
                </w14:textFill>
              </w:rPr>
              <w:t>自带电</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烘箱，</w:t>
            </w:r>
            <w:r>
              <w:rPr>
                <w:rFonts w:ascii="宋体" w:hAnsi="宋体" w:eastAsia="宋体" w:cs="宋体"/>
                <w:color w:val="000000" w:themeColor="text1"/>
                <w:sz w:val="24"/>
                <w:szCs w:val="24"/>
                <w14:textFill>
                  <w14:solidFill>
                    <w14:schemeClr w14:val="tx1"/>
                  </w14:solidFill>
                </w14:textFill>
              </w:rPr>
              <w:t>涂布后的箔材连续进入涂布机烘道，烘道本体密闭，仅前后设置供箔材通行的工艺狭缝；系统通过调节排风机、回风机风量，使烘箱内部维持</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40Pa</w:t>
            </w:r>
            <w:r>
              <w:rPr>
                <w:rFonts w:ascii="宋体" w:hAnsi="宋体" w:eastAsia="宋体" w:cs="宋体"/>
                <w:color w:val="000000" w:themeColor="text1"/>
                <w:sz w:val="24"/>
                <w:szCs w:val="24"/>
                <w14:textFill>
                  <w14:solidFill>
                    <w14:schemeClr w14:val="tx1"/>
                  </w14:solidFill>
                </w14:textFill>
              </w:rPr>
              <w:t>微负压</w:t>
            </w:r>
            <w:r>
              <w:rPr>
                <w:rFonts w:hint="eastAsia" w:cs="Times New Roman"/>
                <w:color w:val="000000" w:themeColor="text1"/>
                <w:kern w:val="0"/>
                <w:sz w:val="24"/>
                <w:szCs w:val="24"/>
                <w:highlight w:val="none"/>
                <w:lang w:val="en-US" w:eastAsia="zh-CN" w:bidi="ar"/>
                <w14:textFill>
                  <w14:solidFill>
                    <w14:schemeClr w14:val="tx1"/>
                  </w14:solidFill>
                </w14:textFill>
              </w:rPr>
              <w:t>，烘烤完毕后，对箱内废气进行真空抽至烘箱顶部排放，并通过管道将烘箱内的NMP有机废气引至NMP回收系统</w:t>
            </w:r>
            <w:r>
              <w:rPr>
                <w:rFonts w:hint="default" w:ascii="Times New Roman" w:hAnsi="Times New Roman" w:eastAsia="宋体" w:cs="Times New Roman"/>
                <w:color w:val="000000" w:themeColor="text1"/>
                <w:kern w:val="0"/>
                <w:sz w:val="24"/>
                <w:szCs w:val="24"/>
                <w:highlight w:val="none"/>
                <w:shd w:val="clear"/>
                <w:lang w:val="en-US" w:eastAsia="zh-CN" w:bidi="ar"/>
                <w14:textFill>
                  <w14:solidFill>
                    <w14:schemeClr w14:val="tx1"/>
                  </w14:solidFill>
                </w14:textFill>
              </w:rPr>
              <w:t>（TA00</w:t>
            </w:r>
            <w:r>
              <w:rPr>
                <w:rFonts w:hint="eastAsia" w:cs="Times New Roman"/>
                <w:color w:val="000000" w:themeColor="text1"/>
                <w:kern w:val="0"/>
                <w:sz w:val="24"/>
                <w:szCs w:val="24"/>
                <w:highlight w:val="none"/>
                <w:shd w:val="clear"/>
                <w:lang w:val="en-US" w:eastAsia="zh-CN" w:bidi="ar"/>
                <w14:textFill>
                  <w14:solidFill>
                    <w14:schemeClr w14:val="tx1"/>
                  </w14:solidFill>
                </w14:textFill>
              </w:rPr>
              <w:t>2</w:t>
            </w:r>
            <w:r>
              <w:rPr>
                <w:rFonts w:hint="default" w:ascii="Times New Roman" w:hAnsi="Times New Roman" w:eastAsia="宋体" w:cs="Times New Roman"/>
                <w:color w:val="000000" w:themeColor="text1"/>
                <w:kern w:val="0"/>
                <w:sz w:val="24"/>
                <w:szCs w:val="24"/>
                <w:highlight w:val="none"/>
                <w:shd w:val="clear"/>
                <w:lang w:val="en-US" w:eastAsia="zh-CN" w:bidi="ar"/>
                <w14:textFill>
                  <w14:solidFill>
                    <w14:schemeClr w14:val="tx1"/>
                  </w14:solidFill>
                </w14:textFill>
              </w:rPr>
              <w:t>，采用</w:t>
            </w:r>
            <w:r>
              <w:rPr>
                <w:rFonts w:hint="eastAsia" w:ascii="Times New Roman" w:hAnsi="Times New Roman" w:eastAsia="宋体" w:cs="Times New Roman"/>
                <w:color w:val="000000" w:themeColor="text1"/>
                <w:kern w:val="0"/>
                <w:sz w:val="24"/>
                <w:szCs w:val="24"/>
                <w:highlight w:val="none"/>
                <w:shd w:val="clear"/>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highlight w:val="none"/>
                <w:shd w:val="clear"/>
                <w:lang w:val="en-US" w:eastAsia="zh-CN" w:bidi="ar"/>
                <w14:textFill>
                  <w14:solidFill>
                    <w14:schemeClr w14:val="tx1"/>
                  </w14:solidFill>
                </w14:textFill>
              </w:rPr>
              <w:t>二级冷凝回收+转轮</w:t>
            </w:r>
            <w:r>
              <w:rPr>
                <w:rFonts w:hint="eastAsia" w:cs="Times New Roman"/>
                <w:color w:val="000000" w:themeColor="text1"/>
                <w:kern w:val="0"/>
                <w:sz w:val="24"/>
                <w:szCs w:val="24"/>
                <w:highlight w:val="none"/>
                <w:shd w:val="clear"/>
                <w:lang w:val="en-US" w:eastAsia="zh-CN" w:bidi="ar"/>
                <w14:textFill>
                  <w14:solidFill>
                    <w14:schemeClr w14:val="tx1"/>
                  </w14:solidFill>
                </w14:textFill>
              </w:rPr>
              <w:t>吸附脱附</w:t>
            </w:r>
            <w:r>
              <w:rPr>
                <w:rFonts w:hint="eastAsia" w:ascii="Times New Roman" w:hAnsi="Times New Roman" w:eastAsia="宋体" w:cs="Times New Roman"/>
                <w:color w:val="000000" w:themeColor="text1"/>
                <w:kern w:val="0"/>
                <w:sz w:val="24"/>
                <w:szCs w:val="24"/>
                <w:highlight w:val="none"/>
                <w:shd w:val="clear"/>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highlight w:val="none"/>
                <w:shd w:val="clear"/>
                <w:lang w:val="en-US" w:eastAsia="zh-CN" w:bidi="ar"/>
                <w14:textFill>
                  <w14:solidFill>
                    <w14:schemeClr w14:val="tx1"/>
                  </w14:solidFill>
                </w14:textFill>
              </w:rPr>
              <w:t>回收工艺</w:t>
            </w:r>
            <w:r>
              <w:rPr>
                <w:rFonts w:hint="eastAsia" w:ascii="Times New Roman" w:hAnsi="Times New Roman" w:eastAsia="宋体" w:cs="Times New Roman"/>
                <w:color w:val="000000" w:themeColor="text1"/>
                <w:kern w:val="0"/>
                <w:sz w:val="24"/>
                <w:szCs w:val="24"/>
                <w:highlight w:val="none"/>
                <w:shd w:val="clear"/>
                <w:lang w:val="en-US" w:eastAsia="zh-CN" w:bidi="ar"/>
                <w14:textFill>
                  <w14:solidFill>
                    <w14:schemeClr w14:val="tx1"/>
                  </w14:solidFill>
                </w14:textFill>
              </w:rPr>
              <w:t>（收集效率为100%，</w:t>
            </w:r>
            <w:r>
              <w:rPr>
                <w:rFonts w:hint="eastAsia" w:cs="Times New Roman"/>
                <w:color w:val="000000" w:themeColor="text1"/>
                <w:kern w:val="0"/>
                <w:sz w:val="24"/>
                <w:szCs w:val="24"/>
                <w:highlight w:val="none"/>
                <w:shd w:val="clear"/>
                <w:lang w:val="en-US" w:eastAsia="zh-CN" w:bidi="ar"/>
                <w14:textFill>
                  <w14:solidFill>
                    <w14:schemeClr w14:val="tx1"/>
                  </w14:solidFill>
                </w14:textFill>
              </w:rPr>
              <w:t>根据《排放源统计调查产排污核算方法和系数手册》-384电池制造行业系数手册及</w:t>
            </w:r>
            <w:r>
              <w:rPr>
                <w:rFonts w:hint="eastAsia" w:ascii="Times New Roman" w:hAnsi="Times New Roman" w:eastAsia="宋体" w:cs="Times New Roman"/>
                <w:color w:val="000000" w:themeColor="text1"/>
                <w:kern w:val="0"/>
                <w:sz w:val="24"/>
                <w:szCs w:val="24"/>
                <w:highlight w:val="none"/>
                <w:shd w:val="clear"/>
                <w:lang w:val="en-US" w:eastAsia="zh-CN" w:bidi="ar"/>
                <w14:textFill>
                  <w14:solidFill>
                    <w14:schemeClr w14:val="tx1"/>
                  </w14:solidFill>
                </w14:textFill>
              </w:rPr>
              <w:t>《吸附法工业有机废气治理工程技术规范》</w:t>
            </w:r>
            <w:r>
              <w:rPr>
                <w:rFonts w:hint="eastAsia" w:ascii="宋体" w:hAnsi="宋体" w:eastAsia="宋体" w:cs="宋体"/>
                <w:color w:val="000000" w:themeColor="text1"/>
                <w:kern w:val="0"/>
                <w:sz w:val="24"/>
                <w:szCs w:val="24"/>
                <w:highlight w:val="none"/>
                <w:shd w:val="clear"/>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highlight w:val="none"/>
                <w:shd w:val="clear"/>
                <w:lang w:val="en-US" w:eastAsia="zh-CN" w:bidi="ar"/>
                <w14:textFill>
                  <w14:solidFill>
                    <w14:schemeClr w14:val="tx1"/>
                  </w14:solidFill>
                </w14:textFill>
              </w:rPr>
              <w:t>HJ 2026-2013</w:t>
            </w:r>
            <w:r>
              <w:rPr>
                <w:rFonts w:hint="eastAsia" w:ascii="宋体" w:hAnsi="宋体" w:eastAsia="宋体" w:cs="宋体"/>
                <w:color w:val="000000" w:themeColor="text1"/>
                <w:kern w:val="0"/>
                <w:sz w:val="24"/>
                <w:szCs w:val="24"/>
                <w:highlight w:val="none"/>
                <w:shd w:val="clear"/>
                <w:lang w:val="en-US" w:eastAsia="zh-CN" w:bidi="ar"/>
                <w14:textFill>
                  <w14:solidFill>
                    <w14:schemeClr w14:val="tx1"/>
                  </w14:solidFill>
                </w14:textFill>
              </w:rPr>
              <w:t>)</w:t>
            </w:r>
            <w:r>
              <w:rPr>
                <w:rFonts w:hint="eastAsia" w:cs="Times New Roman"/>
                <w:color w:val="000000" w:themeColor="text1"/>
                <w:kern w:val="0"/>
                <w:sz w:val="24"/>
                <w:szCs w:val="24"/>
                <w:highlight w:val="none"/>
                <w:shd w:val="clear"/>
                <w:lang w:val="en-US" w:eastAsia="zh-CN" w:bidi="ar"/>
                <w14:textFill>
                  <w14:solidFill>
                    <w14:schemeClr w14:val="tx1"/>
                  </w14:solidFill>
                </w14:textFill>
              </w:rPr>
              <w:t>，冷凝法处理效率不低于99</w:t>
            </w:r>
            <w:r>
              <w:rPr>
                <w:rFonts w:hint="eastAsia" w:ascii="Times New Roman" w:hAnsi="Times New Roman" w:eastAsia="宋体" w:cs="Times New Roman"/>
                <w:color w:val="000000" w:themeColor="text1"/>
                <w:kern w:val="0"/>
                <w:sz w:val="24"/>
                <w:szCs w:val="24"/>
                <w:highlight w:val="none"/>
                <w:shd w:val="clear"/>
                <w:lang w:val="en-US" w:eastAsia="zh-CN" w:bidi="ar"/>
                <w14:textFill>
                  <w14:solidFill>
                    <w14:schemeClr w14:val="tx1"/>
                  </w14:solidFill>
                </w14:textFill>
              </w:rPr>
              <w:t>%，吸附装置的净化效率不得低于90%，</w:t>
            </w:r>
            <w:r>
              <w:rPr>
                <w:rFonts w:hint="default" w:ascii="Times New Roman" w:hAnsi="Times New Roman" w:cs="Times New Roman"/>
                <w:color w:val="000000" w:themeColor="text1"/>
                <w:sz w:val="24"/>
                <w:szCs w:val="24"/>
                <w:highlight w:val="none"/>
                <w:shd w:val="clear"/>
                <w:lang w:val="en-US" w:eastAsia="zh-CN"/>
                <w14:textFill>
                  <w14:solidFill>
                    <w14:schemeClr w14:val="tx1"/>
                  </w14:solidFill>
                </w14:textFill>
              </w:rPr>
              <w:t>则该工艺总体处理效率为</w:t>
            </w:r>
            <w:r>
              <w:rPr>
                <w:rFonts w:hint="eastAsia" w:cs="Times New Roman"/>
                <w:color w:val="000000" w:themeColor="text1"/>
                <w:sz w:val="24"/>
                <w:szCs w:val="24"/>
                <w:highlight w:val="none"/>
                <w:shd w:val="clear"/>
                <w:lang w:val="en-US" w:eastAsia="zh-CN"/>
                <w14:textFill>
                  <w14:solidFill>
                    <w14:schemeClr w14:val="tx1"/>
                  </w14:solidFill>
                </w14:textFill>
              </w:rPr>
              <w:t>1-（1-99%）×（1-90%）=</w:t>
            </w:r>
            <w:r>
              <w:rPr>
                <w:rFonts w:hint="default" w:ascii="Times New Roman" w:hAnsi="Times New Roman" w:cs="Times New Roman"/>
                <w:color w:val="000000" w:themeColor="text1"/>
                <w:sz w:val="24"/>
                <w:szCs w:val="24"/>
                <w:highlight w:val="none"/>
                <w:shd w:val="clear"/>
                <w:lang w:val="en-US" w:eastAsia="zh-CN"/>
                <w14:textFill>
                  <w14:solidFill>
                    <w14:schemeClr w14:val="tx1"/>
                  </w14:solidFill>
                </w14:textFill>
              </w:rPr>
              <w:t>99.9%</w:t>
            </w:r>
            <w:r>
              <w:rPr>
                <w:rFonts w:hint="eastAsia" w:cs="Times New Roman"/>
                <w:color w:val="000000" w:themeColor="text1"/>
                <w:sz w:val="24"/>
                <w:szCs w:val="24"/>
                <w:highlight w:val="none"/>
                <w:shd w:val="clear"/>
                <w:lang w:val="en-US" w:eastAsia="zh-CN"/>
                <w14:textFill>
                  <w14:solidFill>
                    <w14:schemeClr w14:val="tx1"/>
                  </w14:solidFill>
                </w14:textFill>
              </w:rPr>
              <w:t>，根据建设提供资料，设备配套</w:t>
            </w:r>
            <w:r>
              <w:rPr>
                <w:rFonts w:hint="eastAsia" w:ascii="Times New Roman" w:hAnsi="Times New Roman" w:cs="Times New Roman"/>
                <w:color w:val="000000" w:themeColor="text1"/>
                <w:sz w:val="24"/>
                <w:szCs w:val="24"/>
                <w:highlight w:val="none"/>
                <w:shd w:val="clear"/>
                <w:lang w:val="en-US" w:eastAsia="zh-CN"/>
                <w14:textFill>
                  <w14:solidFill>
                    <w14:schemeClr w14:val="tx1"/>
                  </w14:solidFill>
                </w14:textFill>
              </w:rPr>
              <w:t>风机风量为</w:t>
            </w:r>
            <w:r>
              <w:rPr>
                <w:rFonts w:hint="eastAsia" w:cs="Times New Roman"/>
                <w:color w:val="000000" w:themeColor="text1"/>
                <w:kern w:val="0"/>
                <w:sz w:val="24"/>
                <w:szCs w:val="24"/>
                <w:highlight w:val="none"/>
                <w:shd w:val="clear"/>
                <w:lang w:val="en-US" w:eastAsia="zh-CN" w:bidi="ar"/>
                <w14:textFill>
                  <w14:solidFill>
                    <w14:schemeClr w14:val="tx1"/>
                  </w14:solidFill>
                </w14:textFill>
              </w:rPr>
              <w:t>35000</w:t>
            </w:r>
            <w:r>
              <w:rPr>
                <w:rFonts w:hint="eastAsia" w:ascii="Times New Roman" w:hAnsi="Times New Roman" w:eastAsia="宋体" w:cs="Times New Roman"/>
                <w:color w:val="000000" w:themeColor="text1"/>
                <w:kern w:val="0"/>
                <w:sz w:val="24"/>
                <w:szCs w:val="24"/>
                <w:highlight w:val="none"/>
                <w:shd w:val="clear"/>
                <w:lang w:val="en-US" w:eastAsia="zh-CN" w:bidi="ar"/>
                <w14:textFill>
                  <w14:solidFill>
                    <w14:schemeClr w14:val="tx1"/>
                  </w14:solidFill>
                </w14:textFill>
              </w:rPr>
              <w:t>m</w:t>
            </w:r>
            <w:r>
              <w:rPr>
                <w:rFonts w:hint="eastAsia" w:ascii="Times New Roman" w:hAnsi="Times New Roman" w:eastAsia="宋体" w:cs="Times New Roman"/>
                <w:color w:val="000000" w:themeColor="text1"/>
                <w:kern w:val="0"/>
                <w:sz w:val="24"/>
                <w:szCs w:val="24"/>
                <w:highlight w:val="none"/>
                <w:shd w:val="clear"/>
                <w:vertAlign w:val="superscript"/>
                <w:lang w:val="en-US" w:eastAsia="zh-CN" w:bidi="ar"/>
                <w14:textFill>
                  <w14:solidFill>
                    <w14:schemeClr w14:val="tx1"/>
                  </w14:solidFill>
                </w14:textFill>
              </w:rPr>
              <w:t>3</w:t>
            </w:r>
            <w:r>
              <w:rPr>
                <w:rFonts w:hint="default" w:ascii="Times New Roman" w:hAnsi="Times New Roman" w:eastAsia="宋体" w:cs="Times New Roman"/>
                <w:color w:val="000000" w:themeColor="text1"/>
                <w:kern w:val="0"/>
                <w:sz w:val="24"/>
                <w:szCs w:val="24"/>
                <w:highlight w:val="none"/>
                <w:shd w:val="clear"/>
                <w:lang w:val="en-US" w:eastAsia="zh-CN" w:bidi="ar"/>
                <w14:textFill>
                  <w14:solidFill>
                    <w14:schemeClr w14:val="tx1"/>
                  </w14:solidFill>
                </w14:textFill>
              </w:rPr>
              <w:t>/h</w:t>
            </w:r>
            <w:r>
              <w:rPr>
                <w:rFonts w:hint="eastAsia" w:ascii="Times New Roman" w:hAnsi="Times New Roman" w:eastAsia="宋体" w:cs="Times New Roman"/>
                <w:color w:val="000000" w:themeColor="text1"/>
                <w:kern w:val="0"/>
                <w:sz w:val="24"/>
                <w:szCs w:val="24"/>
                <w:highlight w:val="none"/>
                <w:shd w:val="clear"/>
                <w:lang w:val="en-US" w:eastAsia="zh-CN" w:bidi="ar"/>
                <w14:textFill>
                  <w14:solidFill>
                    <w14:schemeClr w14:val="tx1"/>
                  </w14:solidFill>
                </w14:textFill>
              </w:rPr>
              <w:t>）</w:t>
            </w:r>
            <w:r>
              <w:rPr>
                <w:rFonts w:hint="eastAsia" w:cs="Times New Roman"/>
                <w:color w:val="000000" w:themeColor="text1"/>
                <w:kern w:val="0"/>
                <w:sz w:val="24"/>
                <w:szCs w:val="24"/>
                <w:highlight w:val="none"/>
                <w:shd w:val="clear"/>
                <w:lang w:val="en-US" w:eastAsia="zh-CN" w:bidi="ar"/>
                <w14:textFill>
                  <w14:solidFill>
                    <w14:schemeClr w14:val="tx1"/>
                  </w14:solidFill>
                </w14:textFill>
              </w:rPr>
              <w:t>，</w:t>
            </w:r>
            <w:r>
              <w:rPr>
                <w:rFonts w:hint="eastAsia" w:cs="Times New Roman"/>
                <w:color w:val="000000" w:themeColor="text1"/>
                <w:kern w:val="0"/>
                <w:sz w:val="24"/>
                <w:szCs w:val="24"/>
                <w:highlight w:val="none"/>
                <w:lang w:val="en-US" w:eastAsia="zh-CN" w:bidi="ar"/>
                <w14:textFill>
                  <w14:solidFill>
                    <w14:schemeClr w14:val="tx1"/>
                  </w14:solidFill>
                </w14:textFill>
              </w:rPr>
              <w:t>由于烘箱是密闭状态，且排气口直接采用管道接入，因此废气收集率按照100%计算，</w:t>
            </w:r>
            <w:r>
              <w:rPr>
                <w:rFonts w:hint="default" w:ascii="Times New Roman" w:hAnsi="Times New Roman" w:eastAsia="宋体" w:cs="Times New Roman"/>
                <w:color w:val="000000" w:themeColor="text1"/>
                <w:kern w:val="0"/>
                <w:sz w:val="24"/>
                <w:szCs w:val="24"/>
                <w:highlight w:val="none"/>
                <w:shd w:val="clear"/>
                <w:lang w:val="en-US" w:eastAsia="zh-CN" w:bidi="ar"/>
                <w14:textFill>
                  <w14:solidFill>
                    <w14:schemeClr w14:val="tx1"/>
                  </w14:solidFill>
                </w14:textFill>
              </w:rPr>
              <w:t>未回收的废气经1根</w:t>
            </w:r>
            <w:r>
              <w:rPr>
                <w:rFonts w:hint="eastAsia" w:cs="Times New Roman"/>
                <w:color w:val="000000" w:themeColor="text1"/>
                <w:kern w:val="0"/>
                <w:sz w:val="24"/>
                <w:szCs w:val="24"/>
                <w:highlight w:val="none"/>
                <w:shd w:val="clear"/>
                <w:lang w:val="en-US" w:eastAsia="zh-CN" w:bidi="ar"/>
                <w14:textFill>
                  <w14:solidFill>
                    <w14:schemeClr w14:val="tx1"/>
                  </w14:solidFill>
                </w14:textFill>
              </w:rPr>
              <w:t>25</w:t>
            </w:r>
            <w:r>
              <w:rPr>
                <w:rFonts w:hint="default" w:ascii="Times New Roman" w:hAnsi="Times New Roman" w:eastAsia="宋体" w:cs="Times New Roman"/>
                <w:color w:val="000000" w:themeColor="text1"/>
                <w:kern w:val="0"/>
                <w:sz w:val="24"/>
                <w:szCs w:val="24"/>
                <w:highlight w:val="none"/>
                <w:shd w:val="clear"/>
                <w:lang w:val="en-US" w:eastAsia="zh-CN" w:bidi="ar"/>
                <w14:textFill>
                  <w14:solidFill>
                    <w14:schemeClr w14:val="tx1"/>
                  </w14:solidFill>
                </w14:textFill>
              </w:rPr>
              <w:t>m高排气筒（DA001）排放</w:t>
            </w:r>
            <w:r>
              <w:rPr>
                <w:rFonts w:hint="eastAsia" w:ascii="Times New Roman" w:hAnsi="Times New Roman" w:eastAsia="宋体" w:cs="Times New Roman"/>
                <w:color w:val="000000" w:themeColor="text1"/>
                <w:kern w:val="0"/>
                <w:sz w:val="24"/>
                <w:szCs w:val="24"/>
                <w:highlight w:val="none"/>
                <w:shd w:val="clear"/>
                <w:lang w:val="en-US" w:eastAsia="zh-CN" w:bidi="ar"/>
                <w14:textFill>
                  <w14:solidFill>
                    <w14:schemeClr w14:val="tx1"/>
                  </w14:solidFill>
                </w14:textFill>
              </w:rPr>
              <w:t>，</w:t>
            </w:r>
            <w:r>
              <w:rPr>
                <w:rFonts w:hint="default" w:ascii="Times New Roman" w:hAnsi="Times New Roman" w:cs="Times New Roman"/>
                <w:color w:val="000000" w:themeColor="text1"/>
                <w:sz w:val="24"/>
                <w:szCs w:val="24"/>
                <w:highlight w:val="none"/>
                <w:shd w:val="clear"/>
                <w:lang w:val="en-US" w:eastAsia="zh-CN"/>
                <w14:textFill>
                  <w14:solidFill>
                    <w14:schemeClr w14:val="tx1"/>
                  </w14:solidFill>
                </w14:textFill>
              </w:rPr>
              <w:t>有组织挥发性有机物（以非甲烷总烃计）排放量</w:t>
            </w:r>
            <w:r>
              <w:rPr>
                <w:rFonts w:hint="eastAsia" w:cs="Times New Roman"/>
                <w:color w:val="000000" w:themeColor="text1"/>
                <w:sz w:val="24"/>
                <w:szCs w:val="24"/>
                <w:highlight w:val="none"/>
                <w:shd w:val="clear"/>
                <w:lang w:val="en-US" w:eastAsia="zh-CN"/>
                <w14:textFill>
                  <w14:solidFill>
                    <w14:schemeClr w14:val="tx1"/>
                  </w14:solidFill>
                </w14:textFill>
              </w:rPr>
              <w:t>约</w:t>
            </w:r>
            <w:r>
              <w:rPr>
                <w:rFonts w:hint="default" w:ascii="Times New Roman" w:hAnsi="Times New Roman" w:cs="Times New Roman"/>
                <w:color w:val="000000" w:themeColor="text1"/>
                <w:sz w:val="24"/>
                <w:szCs w:val="24"/>
                <w:highlight w:val="none"/>
                <w:shd w:val="clear"/>
                <w:lang w:val="en-US" w:eastAsia="zh-CN"/>
                <w14:textFill>
                  <w14:solidFill>
                    <w14:schemeClr w14:val="tx1"/>
                  </w14:solidFill>
                </w14:textFill>
              </w:rPr>
              <w:t>为</w:t>
            </w:r>
            <w:r>
              <w:rPr>
                <w:rFonts w:hint="eastAsia" w:cs="Times New Roman"/>
                <w:color w:val="000000" w:themeColor="text1"/>
                <w:sz w:val="24"/>
                <w:szCs w:val="24"/>
                <w:shd w:val="clear"/>
                <w:lang w:val="en-US" w:eastAsia="zh-CN"/>
                <w14:textFill>
                  <w14:solidFill>
                    <w14:schemeClr w14:val="tx1"/>
                  </w14:solidFill>
                </w14:textFill>
              </w:rPr>
              <w:t>1.46</w:t>
            </w:r>
            <w:r>
              <w:rPr>
                <w:rFonts w:hint="default" w:ascii="Times New Roman" w:hAnsi="Times New Roman" w:cs="Times New Roman"/>
                <w:color w:val="000000" w:themeColor="text1"/>
                <w:sz w:val="24"/>
                <w:szCs w:val="24"/>
                <w:shd w:val="clear"/>
                <w:lang w:val="en-US" w:eastAsia="zh-CN"/>
                <w14:textFill>
                  <w14:solidFill>
                    <w14:schemeClr w14:val="tx1"/>
                  </w14:solidFill>
                </w14:textFill>
              </w:rPr>
              <w:t>t/a</w:t>
            </w:r>
            <w:r>
              <w:rPr>
                <w:rFonts w:hint="eastAsia" w:cs="Times New Roman"/>
                <w:color w:val="000000" w:themeColor="text1"/>
                <w:sz w:val="24"/>
                <w:szCs w:val="24"/>
                <w:shd w:val="clear"/>
                <w:lang w:val="en-US" w:eastAsia="zh-CN"/>
                <w14:textFill>
                  <w14:solidFill>
                    <w14:schemeClr w14:val="tx1"/>
                  </w14:solidFill>
                </w14:textFill>
              </w:rPr>
              <w:t>，</w:t>
            </w:r>
            <w:r>
              <w:rPr>
                <w:rFonts w:hint="default" w:ascii="Times New Roman" w:hAnsi="Times New Roman" w:cs="Times New Roman"/>
                <w:color w:val="000000" w:themeColor="text1"/>
                <w:sz w:val="24"/>
                <w:szCs w:val="24"/>
                <w:shd w:val="clear"/>
                <w:lang w:val="en-US" w:eastAsia="zh-CN"/>
                <w14:textFill>
                  <w14:solidFill>
                    <w14:schemeClr w14:val="tx1"/>
                  </w14:solidFill>
                </w14:textFill>
              </w:rPr>
              <w:t>排放速率</w:t>
            </w:r>
            <w:r>
              <w:rPr>
                <w:rFonts w:hint="eastAsia" w:cs="Times New Roman"/>
                <w:color w:val="000000" w:themeColor="text1"/>
                <w:sz w:val="24"/>
                <w:szCs w:val="24"/>
                <w:shd w:val="clear"/>
                <w:lang w:val="en-US" w:eastAsia="zh-CN"/>
                <w14:textFill>
                  <w14:solidFill>
                    <w14:schemeClr w14:val="tx1"/>
                  </w14:solidFill>
                </w14:textFill>
              </w:rPr>
              <w:t>约</w:t>
            </w:r>
            <w:r>
              <w:rPr>
                <w:rFonts w:hint="default" w:ascii="Times New Roman" w:hAnsi="Times New Roman" w:cs="Times New Roman"/>
                <w:color w:val="000000" w:themeColor="text1"/>
                <w:sz w:val="24"/>
                <w:szCs w:val="24"/>
                <w:shd w:val="clear"/>
                <w:lang w:val="en-US" w:eastAsia="zh-CN"/>
                <w14:textFill>
                  <w14:solidFill>
                    <w14:schemeClr w14:val="tx1"/>
                  </w14:solidFill>
                </w14:textFill>
              </w:rPr>
              <w:t>为</w:t>
            </w:r>
            <w:r>
              <w:rPr>
                <w:rFonts w:hint="eastAsia" w:cs="Times New Roman"/>
                <w:color w:val="000000" w:themeColor="text1"/>
                <w:sz w:val="24"/>
                <w:szCs w:val="24"/>
                <w:shd w:val="clear"/>
                <w:lang w:val="en-US" w:eastAsia="zh-CN"/>
                <w14:textFill>
                  <w14:solidFill>
                    <w14:schemeClr w14:val="tx1"/>
                  </w14:solidFill>
                </w14:textFill>
              </w:rPr>
              <w:t>0.24</w:t>
            </w:r>
            <w:r>
              <w:rPr>
                <w:rFonts w:hint="default" w:ascii="Times New Roman" w:hAnsi="Times New Roman" w:cs="Times New Roman"/>
                <w:color w:val="000000" w:themeColor="text1"/>
                <w:sz w:val="24"/>
                <w:szCs w:val="24"/>
                <w:shd w:val="clear"/>
                <w:lang w:val="en-US" w:eastAsia="zh-CN"/>
                <w14:textFill>
                  <w14:solidFill>
                    <w14:schemeClr w14:val="tx1"/>
                  </w14:solidFill>
                </w14:textFill>
              </w:rPr>
              <w:t>kg/h</w:t>
            </w:r>
            <w:r>
              <w:rPr>
                <w:rFonts w:hint="eastAsia" w:cs="Times New Roman"/>
                <w:color w:val="000000" w:themeColor="text1"/>
                <w:sz w:val="24"/>
                <w:szCs w:val="24"/>
                <w:shd w:val="clear"/>
                <w:lang w:val="en-US" w:eastAsia="zh-CN"/>
                <w14:textFill>
                  <w14:solidFill>
                    <w14:schemeClr w14:val="tx1"/>
                  </w14:solidFill>
                </w14:textFill>
              </w:rPr>
              <w:t>，</w:t>
            </w:r>
            <w:r>
              <w:rPr>
                <w:rFonts w:hint="default" w:ascii="Times New Roman" w:hAnsi="Times New Roman" w:cs="Times New Roman"/>
                <w:color w:val="000000" w:themeColor="text1"/>
                <w:sz w:val="24"/>
                <w:szCs w:val="24"/>
                <w:shd w:val="clear"/>
                <w:lang w:val="en-US" w:eastAsia="zh-CN"/>
                <w14:textFill>
                  <w14:solidFill>
                    <w14:schemeClr w14:val="tx1"/>
                  </w14:solidFill>
                </w14:textFill>
              </w:rPr>
              <w:t>排放浓度</w:t>
            </w:r>
            <w:r>
              <w:rPr>
                <w:rFonts w:hint="eastAsia" w:cs="Times New Roman"/>
                <w:color w:val="000000" w:themeColor="text1"/>
                <w:sz w:val="24"/>
                <w:szCs w:val="24"/>
                <w:shd w:val="clear"/>
                <w:lang w:val="en-US" w:eastAsia="zh-CN"/>
                <w14:textFill>
                  <w14:solidFill>
                    <w14:schemeClr w14:val="tx1"/>
                  </w14:solidFill>
                </w14:textFill>
              </w:rPr>
              <w:t>约</w:t>
            </w:r>
            <w:r>
              <w:rPr>
                <w:rFonts w:hint="default" w:ascii="Times New Roman" w:hAnsi="Times New Roman" w:cs="Times New Roman"/>
                <w:color w:val="000000" w:themeColor="text1"/>
                <w:sz w:val="24"/>
                <w:szCs w:val="24"/>
                <w:shd w:val="clear"/>
                <w:lang w:val="en-US" w:eastAsia="zh-CN"/>
                <w14:textFill>
                  <w14:solidFill>
                    <w14:schemeClr w14:val="tx1"/>
                  </w14:solidFill>
                </w14:textFill>
              </w:rPr>
              <w:t>为</w:t>
            </w:r>
            <w:r>
              <w:rPr>
                <w:rFonts w:hint="eastAsia" w:cs="Times New Roman"/>
                <w:color w:val="000000" w:themeColor="text1"/>
                <w:sz w:val="24"/>
                <w:szCs w:val="24"/>
                <w:shd w:val="clear"/>
                <w:lang w:val="en-US" w:eastAsia="zh-CN"/>
                <w14:textFill>
                  <w14:solidFill>
                    <w14:schemeClr w14:val="tx1"/>
                  </w14:solidFill>
                </w14:textFill>
              </w:rPr>
              <w:t>6.86</w:t>
            </w:r>
            <w:r>
              <w:rPr>
                <w:rFonts w:hint="default" w:ascii="Times New Roman" w:hAnsi="Times New Roman" w:cs="Times New Roman"/>
                <w:color w:val="000000" w:themeColor="text1"/>
                <w:sz w:val="24"/>
                <w:szCs w:val="24"/>
                <w:shd w:val="clear"/>
                <w:lang w:val="en-US" w:eastAsia="zh-CN"/>
                <w14:textFill>
                  <w14:solidFill>
                    <w14:schemeClr w14:val="tx1"/>
                  </w14:solidFill>
                </w14:textFill>
              </w:rPr>
              <w:t>mg/</w:t>
            </w:r>
            <w:r>
              <w:rPr>
                <w:rFonts w:hint="eastAsia" w:cs="Times New Roman"/>
                <w:color w:val="000000" w:themeColor="text1"/>
                <w:sz w:val="24"/>
                <w:szCs w:val="24"/>
                <w:shd w:val="clear"/>
                <w:lang w:val="en-US" w:eastAsia="zh-CN"/>
                <w14:textFill>
                  <w14:solidFill>
                    <w14:schemeClr w14:val="tx1"/>
                  </w14:solidFill>
                </w14:textFill>
              </w:rPr>
              <w:t>m</w:t>
            </w:r>
            <w:r>
              <w:rPr>
                <w:rFonts w:hint="eastAsia" w:cs="Times New Roman"/>
                <w:color w:val="000000" w:themeColor="text1"/>
                <w:sz w:val="24"/>
                <w:szCs w:val="24"/>
                <w:shd w:val="clear"/>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kern w:val="0"/>
                <w:sz w:val="24"/>
                <w:szCs w:val="24"/>
                <w:highlight w:val="none"/>
                <w:shd w:val="clear"/>
                <w:lang w:val="en-US" w:eastAsia="zh-CN" w:bidi="ar"/>
                <w14:textFill>
                  <w14:solidFill>
                    <w14:schemeClr w14:val="tx1"/>
                  </w14:solidFill>
                </w14:textFill>
              </w:rPr>
              <w:t>。</w:t>
            </w:r>
          </w:p>
          <w:p w14:paraId="57C44F64">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cs="Times New Roman"/>
                <w:b/>
                <w:bCs/>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二级冷凝回收+转轮</w:t>
            </w: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吸附脱附装置风量核算</w:t>
            </w:r>
            <w:r>
              <w:rPr>
                <w:rFonts w:hint="eastAsia" w:cs="Times New Roman"/>
                <w:b/>
                <w:bCs/>
                <w:color w:val="000000" w:themeColor="text1"/>
                <w:sz w:val="24"/>
                <w:szCs w:val="24"/>
                <w:lang w:val="en-US" w:eastAsia="zh-CN"/>
                <w14:textFill>
                  <w14:solidFill>
                    <w14:schemeClr w14:val="tx1"/>
                  </w14:solidFill>
                </w14:textFill>
              </w:rPr>
              <w:t>：</w:t>
            </w:r>
          </w:p>
          <w:p w14:paraId="778F22C2">
            <w:pPr>
              <w:keepNext w:val="0"/>
              <w:keepLines w:val="0"/>
              <w:pageBreakBefore w:val="0"/>
              <w:widowControl w:val="0"/>
              <w:kinsoku/>
              <w:wordWrap/>
              <w:overflowPunct/>
              <w:topLinePunct w:val="0"/>
              <w:bidi w:val="0"/>
              <w:spacing w:line="360" w:lineRule="auto"/>
              <w:ind w:firstLine="480" w:firstLineChars="200"/>
              <w:textAlignment w:val="auto"/>
              <w:rPr>
                <w:rFonts w:hint="default" w:ascii="Times New Roman" w:hAnsi="Times New Roman" w:eastAsia="宋体" w:cs="Times New Roman"/>
                <w:color w:val="000000" w:themeColor="text1"/>
                <w:kern w:val="0"/>
                <w:sz w:val="24"/>
                <w:szCs w:val="24"/>
                <w:highlight w:val="none"/>
                <w:shd w:val="clear"/>
                <w:lang w:val="en-US" w:eastAsia="zh-CN" w:bidi="ar"/>
                <w14:textFill>
                  <w14:solidFill>
                    <w14:schemeClr w14:val="tx1"/>
                  </w14:solidFill>
                </w14:textFill>
              </w:rPr>
            </w:pPr>
            <w:r>
              <w:rPr>
                <w:rFonts w:hint="eastAsia" w:cs="Times New Roman"/>
                <w:color w:val="000000" w:themeColor="text1"/>
                <w:kern w:val="0"/>
                <w:sz w:val="24"/>
                <w:szCs w:val="24"/>
                <w:highlight w:val="none"/>
                <w:shd w:val="clear"/>
                <w:lang w:val="en-US" w:eastAsia="zh-CN" w:bidi="ar"/>
                <w14:textFill>
                  <w14:solidFill>
                    <w14:schemeClr w14:val="tx1"/>
                  </w14:solidFill>
                </w14:textFill>
              </w:rPr>
              <w:t>根据建设单位提供资料，烘箱容积为65m</w:t>
            </w:r>
            <w:r>
              <w:rPr>
                <w:rFonts w:hint="eastAsia" w:cs="Times New Roman"/>
                <w:color w:val="000000" w:themeColor="text1"/>
                <w:kern w:val="0"/>
                <w:sz w:val="24"/>
                <w:szCs w:val="24"/>
                <w:highlight w:val="none"/>
                <w:shd w:val="clear"/>
                <w:vertAlign w:val="superscript"/>
                <w:lang w:val="en-US" w:eastAsia="zh-CN" w:bidi="ar"/>
                <w14:textFill>
                  <w14:solidFill>
                    <w14:schemeClr w14:val="tx1"/>
                  </w14:solidFill>
                </w14:textFill>
              </w:rPr>
              <w:t>3</w:t>
            </w:r>
            <w:r>
              <w:rPr>
                <w:rFonts w:hint="eastAsia" w:cs="Times New Roman"/>
                <w:color w:val="000000" w:themeColor="text1"/>
                <w:kern w:val="0"/>
                <w:sz w:val="24"/>
                <w:szCs w:val="24"/>
                <w:highlight w:val="none"/>
                <w:shd w:val="clear"/>
                <w:lang w:val="en-US" w:eastAsia="zh-CN" w:bidi="ar"/>
                <w14:textFill>
                  <w14:solidFill>
                    <w14:schemeClr w14:val="tx1"/>
                  </w14:solidFill>
                </w14:textFill>
              </w:rPr>
              <w:t>，拟设计风机风量35000</w:t>
            </w:r>
            <w:r>
              <w:rPr>
                <w:rFonts w:hint="eastAsia" w:ascii="Times New Roman" w:hAnsi="Times New Roman" w:eastAsia="宋体" w:cs="Times New Roman"/>
                <w:color w:val="000000" w:themeColor="text1"/>
                <w:kern w:val="0"/>
                <w:sz w:val="24"/>
                <w:szCs w:val="24"/>
                <w:highlight w:val="none"/>
                <w:shd w:val="clear"/>
                <w:lang w:val="en-US" w:eastAsia="zh-CN" w:bidi="ar"/>
                <w14:textFill>
                  <w14:solidFill>
                    <w14:schemeClr w14:val="tx1"/>
                  </w14:solidFill>
                </w14:textFill>
              </w:rPr>
              <w:t>m</w:t>
            </w:r>
            <w:r>
              <w:rPr>
                <w:rFonts w:hint="eastAsia" w:ascii="Times New Roman" w:hAnsi="Times New Roman" w:eastAsia="宋体" w:cs="Times New Roman"/>
                <w:color w:val="000000" w:themeColor="text1"/>
                <w:kern w:val="0"/>
                <w:sz w:val="24"/>
                <w:szCs w:val="24"/>
                <w:highlight w:val="none"/>
                <w:shd w:val="clear"/>
                <w:vertAlign w:val="superscript"/>
                <w:lang w:val="en-US" w:eastAsia="zh-CN" w:bidi="ar"/>
                <w14:textFill>
                  <w14:solidFill>
                    <w14:schemeClr w14:val="tx1"/>
                  </w14:solidFill>
                </w14:textFill>
              </w:rPr>
              <w:t>3</w:t>
            </w:r>
            <w:r>
              <w:rPr>
                <w:rFonts w:hint="default" w:ascii="Times New Roman" w:hAnsi="Times New Roman" w:eastAsia="宋体" w:cs="Times New Roman"/>
                <w:color w:val="000000" w:themeColor="text1"/>
                <w:kern w:val="0"/>
                <w:sz w:val="24"/>
                <w:szCs w:val="24"/>
                <w:highlight w:val="none"/>
                <w:shd w:val="clear"/>
                <w:lang w:val="en-US" w:eastAsia="zh-CN" w:bidi="ar"/>
                <w14:textFill>
                  <w14:solidFill>
                    <w14:schemeClr w14:val="tx1"/>
                  </w14:solidFill>
                </w14:textFill>
              </w:rPr>
              <w:t>/h</w:t>
            </w:r>
            <w:r>
              <w:rPr>
                <w:rFonts w:hint="eastAsia" w:cs="Times New Roman"/>
                <w:color w:val="000000" w:themeColor="text1"/>
                <w:kern w:val="0"/>
                <w:sz w:val="24"/>
                <w:szCs w:val="24"/>
                <w:highlight w:val="none"/>
                <w:shd w:val="clear"/>
                <w:lang w:val="en-US" w:eastAsia="zh-CN" w:bidi="ar"/>
                <w14:textFill>
                  <w14:solidFill>
                    <w14:schemeClr w14:val="tx1"/>
                  </w14:solidFill>
                </w14:textFill>
              </w:rPr>
              <w:t>，</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参考《工业企业卫生设计标准》</w:t>
            </w:r>
            <w:r>
              <w:rPr>
                <w:rFonts w:hint="eastAsia" w:cs="Times New Roman"/>
                <w:color w:val="000000" w:themeColor="text1"/>
                <w:kern w:val="2"/>
                <w:sz w:val="24"/>
                <w:szCs w:val="24"/>
                <w:highlight w:val="none"/>
                <w:lang w:val="en-US" w:eastAsia="zh-CN" w:bidi="ar-SA"/>
                <w14:textFill>
                  <w14:solidFill>
                    <w14:schemeClr w14:val="tx1"/>
                  </w14:solidFill>
                </w14:textFill>
              </w:rPr>
              <w:t>（</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GBZ 1-2010</w:t>
            </w:r>
            <w:r>
              <w:rPr>
                <w:rFonts w:hint="eastAsia" w:cs="Times New Roman"/>
                <w:color w:val="000000" w:themeColor="text1"/>
                <w:kern w:val="2"/>
                <w:sz w:val="24"/>
                <w:szCs w:val="24"/>
                <w:highlight w:val="none"/>
                <w:lang w:val="en-US" w:eastAsia="zh-CN" w:bidi="ar-SA"/>
                <w14:textFill>
                  <w14:solidFill>
                    <w14:schemeClr w14:val="tx1"/>
                  </w14:solidFill>
                </w14:textFill>
              </w:rPr>
              <w:t>）</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中“6.1.5.2 a</w:t>
            </w:r>
            <w:r>
              <w:rPr>
                <w:rFonts w:hint="eastAsia" w:cs="Times New Roman"/>
                <w:color w:val="000000" w:themeColor="text1"/>
                <w:kern w:val="2"/>
                <w:sz w:val="24"/>
                <w:szCs w:val="24"/>
                <w:highlight w:val="none"/>
                <w:lang w:val="en-US" w:eastAsia="zh-CN" w:bidi="ar-SA"/>
                <w14:textFill>
                  <w14:solidFill>
                    <w14:schemeClr w14:val="tx1"/>
                  </w14:solidFill>
                </w14:textFill>
              </w:rPr>
              <w:t xml:space="preserve"> </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事故通风宜由</w:t>
            </w:r>
            <w:r>
              <w:rPr>
                <w:rFonts w:hint="eastAsia" w:cs="Times New Roman"/>
                <w:color w:val="000000" w:themeColor="text1"/>
                <w:kern w:val="2"/>
                <w:sz w:val="24"/>
                <w:szCs w:val="24"/>
                <w:highlight w:val="none"/>
                <w:lang w:val="en-US" w:eastAsia="zh-CN" w:bidi="ar-SA"/>
                <w14:textFill>
                  <w14:solidFill>
                    <w14:schemeClr w14:val="tx1"/>
                  </w14:solidFill>
                </w14:textFill>
              </w:rPr>
              <w:t>经常</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使用的通风系统和事故通风系统......事故通风系统风量宜根据工艺设计要求通过计算确定，但换气次数不宜＜12次/h”的相关要求。风机风量＝</w:t>
            </w:r>
            <w:r>
              <w:rPr>
                <w:rFonts w:hint="eastAsia" w:cs="Times New Roman"/>
                <w:color w:val="000000" w:themeColor="text1"/>
                <w:kern w:val="0"/>
                <w:sz w:val="24"/>
                <w:szCs w:val="24"/>
                <w:highlight w:val="none"/>
                <w:shd w:val="clear"/>
                <w:lang w:val="en-US" w:eastAsia="zh-CN" w:bidi="ar"/>
                <w14:textFill>
                  <w14:solidFill>
                    <w14:schemeClr w14:val="tx1"/>
                  </w14:solidFill>
                </w14:textFill>
              </w:rPr>
              <w:t>容积</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×换气次数＝</w:t>
            </w:r>
            <w:r>
              <w:rPr>
                <w:rFonts w:hint="eastAsia" w:cs="Times New Roman"/>
                <w:color w:val="000000" w:themeColor="text1"/>
                <w:kern w:val="2"/>
                <w:sz w:val="24"/>
                <w:szCs w:val="24"/>
                <w:highlight w:val="none"/>
                <w:lang w:val="en-US" w:eastAsia="zh-CN" w:bidi="ar-SA"/>
                <w14:textFill>
                  <w14:solidFill>
                    <w14:schemeClr w14:val="tx1"/>
                  </w14:solidFill>
                </w14:textFill>
              </w:rPr>
              <w:t>65</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×12＝</w:t>
            </w:r>
            <w:r>
              <w:rPr>
                <w:rFonts w:hint="eastAsia" w:cs="Times New Roman"/>
                <w:color w:val="000000" w:themeColor="text1"/>
                <w:kern w:val="2"/>
                <w:sz w:val="24"/>
                <w:szCs w:val="24"/>
                <w:highlight w:val="none"/>
                <w:lang w:val="en-US" w:eastAsia="zh-CN" w:bidi="ar-SA"/>
                <w14:textFill>
                  <w14:solidFill>
                    <w14:schemeClr w14:val="tx1"/>
                  </w14:solidFill>
                </w14:textFill>
              </w:rPr>
              <w:t>780</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m</w:t>
            </w:r>
            <w:r>
              <w:rPr>
                <w:rFonts w:hint="eastAsia" w:ascii="Times New Roman" w:hAnsi="Times New Roman" w:eastAsia="宋体" w:cs="Times New Roman"/>
                <w:color w:val="000000" w:themeColor="text1"/>
                <w:kern w:val="2"/>
                <w:sz w:val="24"/>
                <w:szCs w:val="24"/>
                <w:highlight w:val="none"/>
                <w:vertAlign w:val="superscript"/>
                <w:lang w:val="en-US" w:eastAsia="zh-CN" w:bidi="ar-SA"/>
                <w14:textFill>
                  <w14:solidFill>
                    <w14:schemeClr w14:val="tx1"/>
                  </w14:solidFill>
                </w14:textFill>
              </w:rPr>
              <w:t>3</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/h</w:t>
            </w:r>
            <w:r>
              <w:rPr>
                <w:rFonts w:hint="eastAsia" w:cs="Times New Roman"/>
                <w:color w:val="000000" w:themeColor="text1"/>
                <w:kern w:val="2"/>
                <w:sz w:val="24"/>
                <w:szCs w:val="24"/>
                <w:highlight w:val="none"/>
                <w:lang w:val="en-US" w:eastAsia="zh-CN" w:bidi="ar-SA"/>
                <w14:textFill>
                  <w14:solidFill>
                    <w14:schemeClr w14:val="tx1"/>
                  </w14:solidFill>
                </w14:textFill>
              </w:rPr>
              <w:t>，</w:t>
            </w:r>
            <w:r>
              <w:rPr>
                <w:rFonts w:hint="eastAsia" w:ascii="Times New Roman" w:hAnsi="Times New Roman"/>
                <w:color w:val="000000" w:themeColor="text1"/>
                <w:sz w:val="24"/>
                <w:highlight w:val="none"/>
                <w:lang w:val="en-US" w:eastAsia="zh-CN"/>
                <w14:textFill>
                  <w14:solidFill>
                    <w14:schemeClr w14:val="tx1"/>
                  </w14:solidFill>
                </w14:textFill>
              </w:rPr>
              <w:t>考虑风管、弯头等损耗，</w:t>
            </w:r>
            <w:r>
              <w:rPr>
                <w:rFonts w:hint="eastAsia"/>
                <w:color w:val="000000" w:themeColor="text1"/>
                <w:sz w:val="24"/>
                <w:highlight w:val="none"/>
                <w:lang w:val="en-US" w:eastAsia="zh-CN"/>
                <w14:textFill>
                  <w14:solidFill>
                    <w14:schemeClr w14:val="tx1"/>
                  </w14:solidFill>
                </w14:textFill>
              </w:rPr>
              <w:t>建设单位设计风量大于核算风量，满足相关工序风量要求。</w:t>
            </w:r>
          </w:p>
          <w:p w14:paraId="518C5C7B">
            <w:pPr>
              <w:keepNext w:val="0"/>
              <w:keepLines w:val="0"/>
              <w:pageBreakBefore w:val="0"/>
              <w:widowControl w:val="0"/>
              <w:kinsoku/>
              <w:wordWrap/>
              <w:overflowPunct/>
              <w:topLinePunct w:val="0"/>
              <w:bidi w:val="0"/>
              <w:spacing w:line="360" w:lineRule="auto"/>
              <w:ind w:firstLine="482" w:firstLineChars="200"/>
              <w:textAlignment w:val="auto"/>
              <w:rPr>
                <w:rFonts w:hint="eastAsia" w:ascii="Times New Roman" w:hAnsi="Times New Roman" w:eastAsia="宋体" w:cs="Times New Roman"/>
                <w:b/>
                <w:bCs/>
                <w:color w:val="000000" w:themeColor="text1"/>
                <w:sz w:val="24"/>
                <w:szCs w:val="24"/>
                <w:shd w:val="clear" w:fill="FFFF00"/>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shd w:val="clear"/>
                <w:lang w:val="en-US" w:eastAsia="zh-CN"/>
                <w14:textFill>
                  <w14:solidFill>
                    <w14:schemeClr w14:val="tx1"/>
                  </w14:solidFill>
                </w14:textFill>
              </w:rPr>
              <w:t>3）分切粉尘</w:t>
            </w:r>
          </w:p>
          <w:p w14:paraId="472CCBAE">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val="0"/>
                <w:color w:val="000000" w:themeColor="text1"/>
                <w:sz w:val="24"/>
                <w:szCs w:val="24"/>
                <w:shd w:val="clear" w:fill="FFFF00"/>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shd w:val="clear"/>
                <w:lang w:val="en-US" w:eastAsia="zh-CN"/>
                <w14:textFill>
                  <w14:solidFill>
                    <w14:schemeClr w14:val="tx1"/>
                  </w14:solidFill>
                </w14:textFill>
              </w:rPr>
              <w:t>本项目极片采用</w:t>
            </w:r>
            <w:r>
              <w:rPr>
                <w:rFonts w:hint="eastAsia" w:cs="Times New Roman"/>
                <w:b w:val="0"/>
                <w:bCs w:val="0"/>
                <w:color w:val="000000" w:themeColor="text1"/>
                <w:sz w:val="24"/>
                <w:szCs w:val="24"/>
                <w:shd w:val="clear"/>
                <w:lang w:val="en-US" w:eastAsia="zh-CN"/>
                <w14:textFill>
                  <w14:solidFill>
                    <w14:schemeClr w14:val="tx1"/>
                  </w14:solidFill>
                </w14:textFill>
              </w:rPr>
              <w:t>激光模分一体机、</w:t>
            </w:r>
            <w:r>
              <w:rPr>
                <w:rFonts w:hint="default" w:cs="Times New Roman"/>
                <w:b w:val="0"/>
                <w:bCs w:val="0"/>
                <w:color w:val="000000" w:themeColor="text1"/>
                <w:sz w:val="24"/>
                <w:szCs w:val="24"/>
                <w:shd w:val="clear"/>
                <w:lang w:val="en-US" w:eastAsia="zh-CN"/>
                <w14:textFill>
                  <w14:solidFill>
                    <w14:schemeClr w14:val="tx1"/>
                  </w14:solidFill>
                </w14:textFill>
              </w:rPr>
              <w:t>辊</w:t>
            </w:r>
            <w:r>
              <w:rPr>
                <w:rFonts w:hint="eastAsia" w:cs="Times New Roman"/>
                <w:b w:val="0"/>
                <w:bCs w:val="0"/>
                <w:color w:val="000000" w:themeColor="text1"/>
                <w:sz w:val="24"/>
                <w:szCs w:val="24"/>
                <w:shd w:val="clear"/>
                <w:lang w:val="en-US" w:eastAsia="zh-CN"/>
                <w14:textFill>
                  <w14:solidFill>
                    <w14:schemeClr w14:val="tx1"/>
                  </w14:solidFill>
                </w14:textFill>
              </w:rPr>
              <w:t>分一体机</w:t>
            </w:r>
            <w:r>
              <w:rPr>
                <w:rFonts w:hint="default" w:ascii="Times New Roman" w:hAnsi="Times New Roman" w:eastAsia="宋体" w:cs="Times New Roman"/>
                <w:b w:val="0"/>
                <w:bCs w:val="0"/>
                <w:color w:val="000000" w:themeColor="text1"/>
                <w:sz w:val="24"/>
                <w:szCs w:val="24"/>
                <w:shd w:val="clear"/>
                <w:lang w:val="en-US" w:eastAsia="zh-CN"/>
                <w14:textFill>
                  <w14:solidFill>
                    <w14:schemeClr w14:val="tx1"/>
                  </w14:solidFill>
                </w14:textFill>
              </w:rPr>
              <w:t>进行模切</w:t>
            </w:r>
            <w:r>
              <w:rPr>
                <w:rFonts w:hint="eastAsia" w:cs="Times New Roman"/>
                <w:b w:val="0"/>
                <w:bCs w:val="0"/>
                <w:color w:val="000000" w:themeColor="text1"/>
                <w:sz w:val="24"/>
                <w:szCs w:val="24"/>
                <w:shd w:val="clear"/>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4"/>
                <w:szCs w:val="24"/>
                <w:shd w:val="clear"/>
                <w:lang w:val="en-US" w:eastAsia="zh-CN"/>
                <w14:textFill>
                  <w14:solidFill>
                    <w14:schemeClr w14:val="tx1"/>
                  </w14:solidFill>
                </w14:textFill>
              </w:rPr>
              <w:t>分条，设备裁切精度高、刀口规整，生产过程以产生极片、边角微屑为主，无大面积涂层脱落及大颗粒粉尘散发</w:t>
            </w:r>
            <w:r>
              <w:rPr>
                <w:rFonts w:hint="eastAsia" w:ascii="Times New Roman" w:hAnsi="Times New Roman" w:eastAsia="宋体" w:cs="Times New Roman"/>
                <w:b w:val="0"/>
                <w:bCs w:val="0"/>
                <w:color w:val="000000" w:themeColor="text1"/>
                <w:sz w:val="24"/>
                <w:szCs w:val="24"/>
                <w:shd w:val="clear"/>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4"/>
                <w:szCs w:val="24"/>
                <w:shd w:val="clear"/>
                <w:lang w:val="en-US" w:eastAsia="zh-CN"/>
                <w14:textFill>
                  <w14:solidFill>
                    <w14:schemeClr w14:val="tx1"/>
                  </w14:solidFill>
                </w14:textFill>
              </w:rPr>
              <w:t>模切</w:t>
            </w:r>
            <w:r>
              <w:rPr>
                <w:rFonts w:hint="eastAsia" w:cs="Times New Roman"/>
                <w:b w:val="0"/>
                <w:bCs w:val="0"/>
                <w:color w:val="000000" w:themeColor="text1"/>
                <w:sz w:val="24"/>
                <w:szCs w:val="24"/>
                <w:shd w:val="clear"/>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4"/>
                <w:szCs w:val="24"/>
                <w:shd w:val="clear"/>
                <w:lang w:val="en-US" w:eastAsia="zh-CN"/>
                <w14:textFill>
                  <w14:solidFill>
                    <w14:schemeClr w14:val="tx1"/>
                  </w14:solidFill>
                </w14:textFill>
              </w:rPr>
              <w:t>分条过程</w:t>
            </w:r>
            <w:r>
              <w:rPr>
                <w:rFonts w:hint="eastAsia" w:ascii="Times New Roman" w:hAnsi="Times New Roman" w:eastAsia="宋体" w:cs="Times New Roman"/>
                <w:b w:val="0"/>
                <w:bCs w:val="0"/>
                <w:color w:val="000000" w:themeColor="text1"/>
                <w:sz w:val="24"/>
                <w:szCs w:val="24"/>
                <w:shd w:val="clear"/>
                <w:lang w:val="en-US" w:eastAsia="zh-CN"/>
                <w14:textFill>
                  <w14:solidFill>
                    <w14:schemeClr w14:val="tx1"/>
                  </w14:solidFill>
                </w14:textFill>
              </w:rPr>
              <w:t>中</w:t>
            </w:r>
            <w:r>
              <w:rPr>
                <w:rFonts w:hint="default" w:ascii="Times New Roman" w:hAnsi="Times New Roman" w:eastAsia="宋体" w:cs="Times New Roman"/>
                <w:b w:val="0"/>
                <w:bCs w:val="0"/>
                <w:color w:val="000000" w:themeColor="text1"/>
                <w:sz w:val="24"/>
                <w:szCs w:val="24"/>
                <w:shd w:val="clear"/>
                <w:lang w:val="en-US" w:eastAsia="zh-CN"/>
                <w14:textFill>
                  <w14:solidFill>
                    <w14:schemeClr w14:val="tx1"/>
                  </w14:solidFill>
                </w14:textFill>
              </w:rPr>
              <w:t>粉尘产生量极少，</w:t>
            </w: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本次环评不进行定量计算，仅进行定性分析</w:t>
            </w:r>
            <w:r>
              <w:rPr>
                <w:rFonts w:hint="eastAsia" w:cs="Times New Roman"/>
                <w:b w:val="0"/>
                <w:bCs w:val="0"/>
                <w:color w:val="000000" w:themeColor="text1"/>
                <w:sz w:val="24"/>
                <w:szCs w:val="24"/>
                <w:shd w:val="clear"/>
                <w:lang w:val="en-US" w:eastAsia="zh-CN"/>
                <w14:textFill>
                  <w14:solidFill>
                    <w14:schemeClr w14:val="tx1"/>
                  </w14:solidFill>
                </w14:textFill>
              </w:rPr>
              <w:t>，粉尘</w:t>
            </w:r>
            <w:r>
              <w:rPr>
                <w:rFonts w:hint="eastAsia" w:cs="Times New Roman"/>
                <w:color w:val="000000" w:themeColor="text1"/>
                <w:sz w:val="24"/>
                <w:szCs w:val="24"/>
                <w:lang w:val="en-US" w:eastAsia="zh-CN"/>
                <w14:textFill>
                  <w14:solidFill>
                    <w14:schemeClr w14:val="tx1"/>
                  </w14:solidFill>
                </w14:textFill>
              </w:rPr>
              <w:t>经设备自带</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滤芯除尘器</w:t>
            </w:r>
            <w:r>
              <w:rPr>
                <w:rFonts w:hint="eastAsia" w:cs="Times New Roman"/>
                <w:color w:val="000000" w:themeColor="text1"/>
                <w:sz w:val="24"/>
                <w:szCs w:val="24"/>
                <w:lang w:val="en-US" w:eastAsia="zh-CN"/>
                <w14:textFill>
                  <w14:solidFill>
                    <w14:schemeClr w14:val="tx1"/>
                  </w14:solidFill>
                </w14:textFill>
              </w:rPr>
              <w:t>（TA003）</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收集</w:t>
            </w:r>
            <w:r>
              <w:rPr>
                <w:rFonts w:hint="eastAsia" w:cs="Times New Roman"/>
                <w:color w:val="000000" w:themeColor="text1"/>
                <w:sz w:val="24"/>
                <w:szCs w:val="24"/>
                <w:lang w:val="en-US" w:eastAsia="zh-CN"/>
                <w14:textFill>
                  <w14:solidFill>
                    <w14:schemeClr w14:val="tx1"/>
                  </w14:solidFill>
                </w14:textFill>
              </w:rPr>
              <w:t>，同时为保证电池生产过程中的温湿度和洁净需要，车间设置</w:t>
            </w:r>
            <w:r>
              <w:rPr>
                <w:rFonts w:hint="eastAsia" w:cs="Times New Roman"/>
                <w:b w:val="0"/>
                <w:bCs w:val="0"/>
                <w:color w:val="000000" w:themeColor="text1"/>
                <w:sz w:val="24"/>
                <w:szCs w:val="24"/>
                <w:shd w:val="clear"/>
                <w:lang w:val="en-US" w:eastAsia="zh-CN"/>
                <w14:textFill>
                  <w14:solidFill>
                    <w14:schemeClr w14:val="tx1"/>
                  </w14:solidFill>
                </w14:textFill>
              </w:rPr>
              <w:t>洁净系统</w:t>
            </w:r>
            <w:r>
              <w:rPr>
                <w:rFonts w:hint="eastAsia" w:cs="Times New Roman"/>
                <w:color w:val="000000" w:themeColor="text1"/>
                <w:sz w:val="24"/>
                <w:szCs w:val="24"/>
                <w:lang w:val="en-US" w:eastAsia="zh-CN"/>
                <w14:textFill>
                  <w14:solidFill>
                    <w14:schemeClr w14:val="tx1"/>
                  </w14:solidFill>
                </w14:textFill>
              </w:rPr>
              <w:t>对车间内含尘、潮湿的空气进行二次除尘处理。</w:t>
            </w:r>
          </w:p>
          <w:p w14:paraId="09F35B02">
            <w:pPr>
              <w:keepNext w:val="0"/>
              <w:keepLines w:val="0"/>
              <w:pageBreakBefore w:val="0"/>
              <w:widowControl w:val="0"/>
              <w:shd w:val="clear"/>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cs="Times New Roman"/>
                <w:b/>
                <w:bCs/>
                <w:color w:val="000000" w:themeColor="text1"/>
                <w:sz w:val="24"/>
                <w:szCs w:val="24"/>
                <w:lang w:val="en-US" w:eastAsia="zh-CN"/>
                <w14:textFill>
                  <w14:solidFill>
                    <w14:schemeClr w14:val="tx1"/>
                  </w14:solidFill>
                </w14:textFill>
              </w:rPr>
            </w:pPr>
            <w:r>
              <w:rPr>
                <w:rFonts w:hint="eastAsia" w:cs="Times New Roman"/>
                <w:b/>
                <w:bCs/>
                <w:color w:val="000000" w:themeColor="text1"/>
                <w:sz w:val="24"/>
                <w:szCs w:val="24"/>
                <w:lang w:val="en-US" w:eastAsia="zh-CN"/>
                <w14:textFill>
                  <w14:solidFill>
                    <w14:schemeClr w14:val="tx1"/>
                  </w14:solidFill>
                </w14:textFill>
              </w:rPr>
              <w:t>4）</w:t>
            </w:r>
            <w:r>
              <w:rPr>
                <w:rFonts w:hint="default" w:ascii="Times New Roman" w:hAnsi="Times New Roman" w:cs="Times New Roman"/>
                <w:b/>
                <w:bCs/>
                <w:color w:val="000000" w:themeColor="text1"/>
                <w:sz w:val="24"/>
                <w:szCs w:val="24"/>
                <w:lang w:val="en-US" w:eastAsia="zh-CN"/>
                <w14:textFill>
                  <w14:solidFill>
                    <w14:schemeClr w14:val="tx1"/>
                  </w14:solidFill>
                </w14:textFill>
              </w:rPr>
              <w:t>注液废气</w:t>
            </w:r>
          </w:p>
          <w:p w14:paraId="2FC46220">
            <w:pPr>
              <w:keepNext w:val="0"/>
              <w:keepLines w:val="0"/>
              <w:pageBreakBefore w:val="0"/>
              <w:widowControl w:val="0"/>
              <w:kinsoku/>
              <w:wordWrap/>
              <w:overflowPunct/>
              <w:topLinePunct w:val="0"/>
              <w:bidi w:val="0"/>
              <w:spacing w:line="360" w:lineRule="auto"/>
              <w:ind w:firstLine="480" w:firstLineChars="200"/>
              <w:textAlignment w:val="auto"/>
              <w:rPr>
                <w:rFonts w:hint="eastAsia" w:cs="Times New Roman"/>
                <w:color w:val="000000" w:themeColor="text1"/>
                <w:kern w:val="0"/>
                <w:sz w:val="24"/>
                <w:szCs w:val="24"/>
                <w:highlight w:val="none"/>
                <w:lang w:val="en-US" w:eastAsia="zh-CN" w:bidi="ar"/>
                <w14:textFill>
                  <w14:solidFill>
                    <w14:schemeClr w14:val="tx1"/>
                  </w14:solidFill>
                </w14:textFill>
              </w:rPr>
            </w:pPr>
            <w:r>
              <w:rPr>
                <w:rFonts w:hint="eastAsia" w:cs="Times New Roman"/>
                <w:color w:val="000000" w:themeColor="text1"/>
                <w:kern w:val="0"/>
                <w:sz w:val="24"/>
                <w:szCs w:val="24"/>
                <w:highlight w:val="none"/>
                <w:lang w:val="en-US" w:eastAsia="zh-CN" w:bidi="ar"/>
                <w14:textFill>
                  <w14:solidFill>
                    <w14:schemeClr w14:val="tx1"/>
                  </w14:solidFill>
                </w14:textFill>
              </w:rPr>
              <w:t>项目注液工序设置在全自动密闭注液机内完成，电解液采用密闭管道自动输送，电芯抽真</w:t>
            </w:r>
            <w:r>
              <w:rPr>
                <w:rFonts w:hint="default" w:cs="Times New Roman"/>
                <w:color w:val="000000" w:themeColor="text1"/>
                <w:kern w:val="0"/>
                <w:sz w:val="24"/>
                <w:szCs w:val="24"/>
                <w:highlight w:val="none"/>
                <w:lang w:val="en-US" w:eastAsia="zh-CN" w:bidi="ar"/>
                <w14:textFill>
                  <w14:solidFill>
                    <w14:schemeClr w14:val="tx1"/>
                  </w14:solidFill>
                </w14:textFill>
              </w:rPr>
              <w:t>空后定量注液并</w:t>
            </w:r>
            <w:r>
              <w:rPr>
                <w:rFonts w:hint="eastAsia" w:cs="Times New Roman"/>
                <w:color w:val="000000" w:themeColor="text1"/>
                <w:kern w:val="0"/>
                <w:sz w:val="24"/>
                <w:szCs w:val="24"/>
                <w:highlight w:val="none"/>
                <w:lang w:val="en-US" w:eastAsia="zh-CN" w:bidi="ar"/>
                <w14:textFill>
                  <w14:solidFill>
                    <w14:schemeClr w14:val="tx1"/>
                  </w14:solidFill>
                </w14:textFill>
              </w:rPr>
              <w:t>及时</w:t>
            </w:r>
            <w:r>
              <w:rPr>
                <w:rFonts w:hint="default" w:cs="Times New Roman"/>
                <w:color w:val="000000" w:themeColor="text1"/>
                <w:kern w:val="0"/>
                <w:sz w:val="24"/>
                <w:szCs w:val="24"/>
                <w:highlight w:val="none"/>
                <w:lang w:val="en-US" w:eastAsia="zh-CN" w:bidi="ar"/>
                <w14:textFill>
                  <w14:solidFill>
                    <w14:schemeClr w14:val="tx1"/>
                  </w14:solidFill>
                </w14:textFill>
              </w:rPr>
              <w:t>封口，全程密闭操作，无敞口挥发环节。本项目注液系统配套真空抽气装置</w:t>
            </w:r>
            <w:r>
              <w:rPr>
                <w:rFonts w:hint="eastAsia" w:cs="Times New Roman"/>
                <w:color w:val="000000" w:themeColor="text1"/>
                <w:kern w:val="0"/>
                <w:sz w:val="24"/>
                <w:szCs w:val="24"/>
                <w:highlight w:val="none"/>
                <w:lang w:val="en-US" w:eastAsia="zh-CN" w:bidi="ar"/>
                <w14:textFill>
                  <w14:solidFill>
                    <w14:schemeClr w14:val="tx1"/>
                  </w14:solidFill>
                </w14:textFill>
              </w:rPr>
              <w:t>。</w:t>
            </w:r>
            <w:r>
              <w:rPr>
                <w:rFonts w:hint="default" w:cs="Times New Roman"/>
                <w:color w:val="000000" w:themeColor="text1"/>
                <w:kern w:val="0"/>
                <w:sz w:val="24"/>
                <w:szCs w:val="24"/>
                <w:highlight w:val="none"/>
                <w:lang w:val="en-US" w:eastAsia="zh-CN" w:bidi="ar"/>
                <w14:textFill>
                  <w14:solidFill>
                    <w14:schemeClr w14:val="tx1"/>
                  </w14:solidFill>
                </w14:textFill>
              </w:rPr>
              <w:t>电解液中含六氟磷酸锂，遇空气及水汽易水解产生PF</w:t>
            </w:r>
            <w:r>
              <w:rPr>
                <w:rFonts w:hint="eastAsia" w:cs="Times New Roman"/>
                <w:color w:val="000000" w:themeColor="text1"/>
                <w:kern w:val="0"/>
                <w:sz w:val="24"/>
                <w:szCs w:val="24"/>
                <w:highlight w:val="none"/>
                <w:vertAlign w:val="subscript"/>
                <w:lang w:val="en-US" w:eastAsia="zh-CN" w:bidi="ar"/>
                <w14:textFill>
                  <w14:solidFill>
                    <w14:schemeClr w14:val="tx1"/>
                  </w14:solidFill>
                </w14:textFill>
              </w:rPr>
              <w:t>5</w:t>
            </w:r>
            <w:r>
              <w:rPr>
                <w:rFonts w:hint="default" w:cs="Times New Roman"/>
                <w:color w:val="000000" w:themeColor="text1"/>
                <w:kern w:val="0"/>
                <w:sz w:val="24"/>
                <w:szCs w:val="24"/>
                <w:highlight w:val="none"/>
                <w:lang w:val="en-US" w:eastAsia="zh-CN" w:bidi="ar"/>
                <w14:textFill>
                  <w14:solidFill>
                    <w14:schemeClr w14:val="tx1"/>
                  </w14:solidFill>
                </w14:textFill>
              </w:rPr>
              <w:t>、氟化氢等腐蚀性污染物</w:t>
            </w:r>
            <w:r>
              <w:rPr>
                <w:rFonts w:hint="eastAsia" w:cs="Times New Roman"/>
                <w:color w:val="000000" w:themeColor="text1"/>
                <w:kern w:val="0"/>
                <w:sz w:val="24"/>
                <w:szCs w:val="24"/>
                <w:highlight w:val="none"/>
                <w:lang w:val="en-US" w:eastAsia="zh-CN" w:bidi="ar"/>
                <w14:textFill>
                  <w14:solidFill>
                    <w14:schemeClr w14:val="tx1"/>
                  </w14:solidFill>
                </w14:textFill>
              </w:rPr>
              <w:t>，但由于本项目注入电解液前已保持真空环境，无空气和水汽，在注液过程中</w:t>
            </w:r>
            <w:r>
              <w:rPr>
                <w:rFonts w:hint="default" w:cs="Times New Roman"/>
                <w:color w:val="000000" w:themeColor="text1"/>
                <w:kern w:val="0"/>
                <w:sz w:val="24"/>
                <w:szCs w:val="24"/>
                <w:highlight w:val="none"/>
                <w:lang w:val="en-US" w:eastAsia="zh-CN" w:bidi="ar"/>
                <w14:textFill>
                  <w14:solidFill>
                    <w14:schemeClr w14:val="tx1"/>
                  </w14:solidFill>
                </w14:textFill>
              </w:rPr>
              <w:t>六氟磷酸锂</w:t>
            </w:r>
            <w:r>
              <w:rPr>
                <w:rFonts w:hint="eastAsia" w:cs="Times New Roman"/>
                <w:color w:val="000000" w:themeColor="text1"/>
                <w:kern w:val="0"/>
                <w:sz w:val="24"/>
                <w:szCs w:val="24"/>
                <w:highlight w:val="none"/>
                <w:lang w:val="en-US" w:eastAsia="zh-CN" w:bidi="ar"/>
                <w14:textFill>
                  <w14:solidFill>
                    <w14:schemeClr w14:val="tx1"/>
                  </w14:solidFill>
                </w14:textFill>
              </w:rPr>
              <w:t>不会发生水解和氧化反应，不会产生</w:t>
            </w:r>
            <w:r>
              <w:rPr>
                <w:rFonts w:hint="default" w:cs="Times New Roman"/>
                <w:color w:val="000000" w:themeColor="text1"/>
                <w:kern w:val="0"/>
                <w:sz w:val="24"/>
                <w:szCs w:val="24"/>
                <w:highlight w:val="none"/>
                <w:lang w:val="en-US" w:eastAsia="zh-CN" w:bidi="ar"/>
                <w14:textFill>
                  <w14:solidFill>
                    <w14:schemeClr w14:val="tx1"/>
                  </w14:solidFill>
                </w14:textFill>
              </w:rPr>
              <w:t>PF</w:t>
            </w:r>
            <w:r>
              <w:rPr>
                <w:rFonts w:hint="eastAsia" w:cs="Times New Roman"/>
                <w:color w:val="000000" w:themeColor="text1"/>
                <w:kern w:val="0"/>
                <w:sz w:val="24"/>
                <w:szCs w:val="24"/>
                <w:highlight w:val="none"/>
                <w:vertAlign w:val="subscript"/>
                <w:lang w:val="en-US" w:eastAsia="zh-CN" w:bidi="ar"/>
                <w14:textFill>
                  <w14:solidFill>
                    <w14:schemeClr w14:val="tx1"/>
                  </w14:solidFill>
                </w14:textFill>
              </w:rPr>
              <w:t>5</w:t>
            </w:r>
            <w:r>
              <w:rPr>
                <w:rFonts w:hint="default" w:cs="Times New Roman"/>
                <w:color w:val="000000" w:themeColor="text1"/>
                <w:kern w:val="0"/>
                <w:sz w:val="24"/>
                <w:szCs w:val="24"/>
                <w:highlight w:val="none"/>
                <w:lang w:val="en-US" w:eastAsia="zh-CN" w:bidi="ar"/>
                <w14:textFill>
                  <w14:solidFill>
                    <w14:schemeClr w14:val="tx1"/>
                  </w14:solidFill>
                </w14:textFill>
              </w:rPr>
              <w:t>、氟化氢等腐蚀性污染物</w:t>
            </w:r>
            <w:r>
              <w:rPr>
                <w:rFonts w:hint="eastAsia" w:cs="Times New Roman"/>
                <w:color w:val="000000" w:themeColor="text1"/>
                <w:kern w:val="0"/>
                <w:sz w:val="24"/>
                <w:szCs w:val="24"/>
                <w:highlight w:val="none"/>
                <w:lang w:val="en-US" w:eastAsia="zh-CN" w:bidi="ar"/>
                <w14:textFill>
                  <w14:solidFill>
                    <w14:schemeClr w14:val="tx1"/>
                  </w14:solidFill>
                </w14:textFill>
              </w:rPr>
              <w:t>。</w:t>
            </w:r>
          </w:p>
          <w:p w14:paraId="3D7B62A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eastAsia" w:cs="Times New Roman"/>
                <w:b w:val="0"/>
                <w:bCs w:val="0"/>
                <w:color w:val="000000" w:themeColor="text1"/>
                <w:sz w:val="24"/>
                <w:szCs w:val="24"/>
                <w:lang w:val="en-US" w:eastAsia="zh-CN"/>
                <w14:textFill>
                  <w14:solidFill>
                    <w14:schemeClr w14:val="tx1"/>
                  </w14:solidFill>
                </w14:textFill>
              </w:rPr>
              <w:t>本次注液过程中产生的有机物挥发量类比河南德之誉检测技术有限公司于2025年12月12日对洛阳储变电系统有限公司出具的《废气、废水、噪声检测》检测报告，其活性炭吸附装置进口速率为0.017-0.019kg/h，以最不利影响分析，本项目取最大进口速率0.019kg/h，根据《洛阳储变电系统有限公司年产20万KWh新能源储变电系统项目环境影响报告表》可知，该项目年工作时长3300h，年用电解液66.98t，注液工序密闭，密闭管道收集，收集效率按95%计，则废气产生量约为0.066t/a，约为电解液的0.1%。</w:t>
            </w: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本项目电解液使用量为</w:t>
            </w:r>
            <w:r>
              <w:rPr>
                <w:rFonts w:hint="eastAsia" w:cs="Times New Roman"/>
                <w:b w:val="0"/>
                <w:bCs w:val="0"/>
                <w:color w:val="000000" w:themeColor="text1"/>
                <w:sz w:val="24"/>
                <w:szCs w:val="24"/>
                <w:lang w:val="en-US" w:eastAsia="zh-CN"/>
                <w14:textFill>
                  <w14:solidFill>
                    <w14:schemeClr w14:val="tx1"/>
                  </w14:solidFill>
                </w14:textFill>
              </w:rPr>
              <w:t>1230</w:t>
            </w: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t/a</w:t>
            </w:r>
            <w:r>
              <w:rPr>
                <w:rFonts w:hint="eastAsia" w:cs="Times New Roman"/>
                <w:color w:val="000000" w:themeColor="text1"/>
                <w:sz w:val="24"/>
                <w:szCs w:val="24"/>
                <w:lang w:val="en-US" w:eastAsia="zh-CN"/>
                <w14:textFill>
                  <w14:solidFill>
                    <w14:schemeClr w14:val="tx1"/>
                  </w14:solidFill>
                </w14:textFill>
              </w:rPr>
              <w:t>，</w:t>
            </w:r>
            <w:r>
              <w:rPr>
                <w:rFonts w:hint="default" w:ascii="Times New Roman" w:hAnsi="Times New Roman" w:cs="Times New Roman"/>
                <w:color w:val="000000" w:themeColor="text1"/>
                <w:sz w:val="24"/>
                <w:szCs w:val="24"/>
                <w:lang w:val="en-US" w:eastAsia="zh-CN"/>
                <w14:textFill>
                  <w14:solidFill>
                    <w14:schemeClr w14:val="tx1"/>
                  </w14:solidFill>
                </w14:textFill>
              </w:rPr>
              <w:t>则电解液注液生产过程中挥发性有机物（以非甲烷总烃计）产生量为</w:t>
            </w:r>
            <w:r>
              <w:rPr>
                <w:rFonts w:hint="eastAsia" w:cs="Times New Roman"/>
                <w:color w:val="000000" w:themeColor="text1"/>
                <w:sz w:val="24"/>
                <w:szCs w:val="24"/>
                <w:lang w:val="en-US" w:eastAsia="zh-CN"/>
                <w14:textFill>
                  <w14:solidFill>
                    <w14:schemeClr w14:val="tx1"/>
                  </w14:solidFill>
                </w14:textFill>
              </w:rPr>
              <w:t>1.23</w:t>
            </w:r>
            <w:r>
              <w:rPr>
                <w:rFonts w:hint="default" w:ascii="Times New Roman" w:hAnsi="Times New Roman" w:cs="Times New Roman"/>
                <w:color w:val="000000" w:themeColor="text1"/>
                <w:sz w:val="24"/>
                <w:szCs w:val="24"/>
                <w:lang w:val="en-US" w:eastAsia="zh-CN"/>
                <w14:textFill>
                  <w14:solidFill>
                    <w14:schemeClr w14:val="tx1"/>
                  </w14:solidFill>
                </w14:textFill>
              </w:rPr>
              <w:t>t/a。</w:t>
            </w:r>
          </w:p>
          <w:p w14:paraId="2CEDC380">
            <w:pPr>
              <w:pStyle w:val="66"/>
              <w:keepNext w:val="0"/>
              <w:keepLines w:val="0"/>
              <w:pageBreakBefore w:val="0"/>
              <w:widowControl w:val="0"/>
              <w:kinsoku/>
              <w:wordWrap/>
              <w:overflowPunct/>
              <w:topLinePunct w:val="0"/>
              <w:bidi w:val="0"/>
              <w:spacing w:line="360" w:lineRule="auto"/>
              <w:ind w:firstLine="482" w:firstLineChars="200"/>
              <w:textAlignment w:val="auto"/>
              <w:rPr>
                <w:rFonts w:hint="eastAsia" w:cs="Times New Roman"/>
                <w:color w:val="000000" w:themeColor="text1"/>
                <w:sz w:val="24"/>
                <w:szCs w:val="24"/>
                <w:shd w:val="clear"/>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拟采取治理措施</w:t>
            </w:r>
            <w:r>
              <w:rPr>
                <w:rFonts w:hint="default" w:ascii="宋体" w:hAnsi="宋体" w:eastAsia="宋体" w:cs="宋体"/>
                <w:b/>
                <w:bCs/>
                <w:color w:val="000000" w:themeColor="text1"/>
                <w:sz w:val="24"/>
                <w:szCs w:val="24"/>
                <w:lang w:val="en-US" w:eastAsia="zh-CN"/>
                <w14:textFill>
                  <w14:solidFill>
                    <w14:schemeClr w14:val="tx1"/>
                  </w14:solidFill>
                </w14:textFill>
              </w:rPr>
              <w:t>：</w:t>
            </w:r>
            <w:r>
              <w:rPr>
                <w:rFonts w:hint="default" w:ascii="宋体" w:hAnsi="宋体" w:eastAsia="宋体" w:cs="宋体"/>
                <w:b w:val="0"/>
                <w:bCs w:val="0"/>
                <w:color w:val="000000" w:themeColor="text1"/>
                <w:sz w:val="24"/>
                <w:szCs w:val="24"/>
                <w:lang w:val="en-US" w:eastAsia="zh-CN"/>
                <w14:textFill>
                  <w14:solidFill>
                    <w14:schemeClr w14:val="tx1"/>
                  </w14:solidFill>
                </w14:textFill>
              </w:rPr>
              <w:t>本</w:t>
            </w:r>
            <w:r>
              <w:rPr>
                <w:rFonts w:hint="default" w:ascii="Times New Roman" w:hAnsi="Times New Roman" w:cs="Times New Roman"/>
                <w:color w:val="000000" w:themeColor="text1"/>
                <w:sz w:val="24"/>
                <w:szCs w:val="24"/>
                <w14:textFill>
                  <w14:solidFill>
                    <w14:schemeClr w14:val="tx1"/>
                  </w14:solidFill>
                </w14:textFill>
              </w:rPr>
              <w:t>项目</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注液</w:t>
            </w:r>
            <w:r>
              <w:rPr>
                <w:rFonts w:hint="eastAsia" w:cs="Times New Roman"/>
                <w:color w:val="000000" w:themeColor="text1"/>
                <w:kern w:val="0"/>
                <w:sz w:val="24"/>
                <w:szCs w:val="24"/>
                <w:lang w:val="en-US" w:eastAsia="zh-CN" w:bidi="ar"/>
                <w14:textFill>
                  <w14:solidFill>
                    <w14:schemeClr w14:val="tx1"/>
                  </w14:solidFill>
                </w14:textFill>
              </w:rPr>
              <w:t>在密闭注液系统内操作，其中产生的有机废气经密闭管道收集（参考《主要污染物总量减排核算技术指南》（2022年修订），密闭管道收集率为95%）</w:t>
            </w:r>
            <w:r>
              <w:rPr>
                <w:rFonts w:hint="eastAsia" w:cs="Times New Roman"/>
                <w:color w:val="000000" w:themeColor="text1"/>
                <w:sz w:val="24"/>
                <w:szCs w:val="24"/>
                <w:lang w:eastAsia="zh-CN"/>
                <w14:textFill>
                  <w14:solidFill>
                    <w14:schemeClr w14:val="tx1"/>
                  </w14:solidFill>
                </w14:textFill>
              </w:rPr>
              <w:t>，</w:t>
            </w:r>
            <w:r>
              <w:rPr>
                <w:rFonts w:hint="eastAsia" w:cs="Times New Roman"/>
                <w:color w:val="000000" w:themeColor="text1"/>
                <w:sz w:val="24"/>
                <w:szCs w:val="24"/>
                <w:lang w:val="en-US" w:eastAsia="zh-CN"/>
                <w14:textFill>
                  <w14:solidFill>
                    <w14:schemeClr w14:val="tx1"/>
                  </w14:solidFill>
                </w14:textFill>
              </w:rPr>
              <w:t>经二级活性炭处理（TA004，</w:t>
            </w:r>
            <w:r>
              <w:rPr>
                <w:rFonts w:hint="eastAsia" w:cs="Times New Roman"/>
                <w:color w:val="000000" w:themeColor="text1"/>
                <w:kern w:val="0"/>
                <w:sz w:val="24"/>
                <w:szCs w:val="24"/>
                <w:lang w:val="en-US" w:eastAsia="zh-CN" w:bidi="ar"/>
                <w14:textFill>
                  <w14:solidFill>
                    <w14:schemeClr w14:val="tx1"/>
                  </w14:solidFill>
                </w14:textFill>
              </w:rPr>
              <w:t>参考《主要污染物总量减排核算技术指南》（2022年修订），活性炭集中再生活化VOCs去除率为50%，二级活性炭吸附装置去除效率为1-（1-50%）×（1-50%）＝</w:t>
            </w:r>
            <w:r>
              <w:rPr>
                <w:rFonts w:hint="eastAsia" w:cs="Times New Roman"/>
                <w:color w:val="000000" w:themeColor="text1"/>
                <w:sz w:val="24"/>
                <w:szCs w:val="24"/>
                <w:lang w:val="en-US" w:eastAsia="zh-CN"/>
                <w14:textFill>
                  <w14:solidFill>
                    <w14:schemeClr w14:val="tx1"/>
                  </w14:solidFill>
                </w14:textFill>
              </w:rPr>
              <w:t>75%，</w:t>
            </w:r>
            <w:r>
              <w:rPr>
                <w:rFonts w:hint="eastAsia" w:cs="Times New Roman"/>
                <w:color w:val="000000" w:themeColor="text1"/>
                <w:sz w:val="24"/>
                <w:szCs w:val="24"/>
                <w:shd w:val="clear"/>
                <w:lang w:val="en-US" w:eastAsia="zh-CN"/>
                <w14:textFill>
                  <w14:solidFill>
                    <w14:schemeClr w14:val="tx1"/>
                  </w14:solidFill>
                </w14:textFill>
              </w:rPr>
              <w:t>风机风量为6000m</w:t>
            </w:r>
            <w:r>
              <w:rPr>
                <w:rFonts w:hint="eastAsia" w:cs="Times New Roman"/>
                <w:color w:val="000000" w:themeColor="text1"/>
                <w:sz w:val="24"/>
                <w:szCs w:val="24"/>
                <w:shd w:val="clear"/>
                <w:vertAlign w:val="superscript"/>
                <w:lang w:val="en-US" w:eastAsia="zh-CN"/>
                <w14:textFill>
                  <w14:solidFill>
                    <w14:schemeClr w14:val="tx1"/>
                  </w14:solidFill>
                </w14:textFill>
              </w:rPr>
              <w:t>3</w:t>
            </w:r>
            <w:r>
              <w:rPr>
                <w:rFonts w:hint="eastAsia" w:cs="Times New Roman"/>
                <w:color w:val="000000" w:themeColor="text1"/>
                <w:sz w:val="24"/>
                <w:szCs w:val="24"/>
                <w:shd w:val="clear"/>
                <w:lang w:val="en-US" w:eastAsia="zh-CN"/>
                <w14:textFill>
                  <w14:solidFill>
                    <w14:schemeClr w14:val="tx1"/>
                  </w14:solidFill>
                </w14:textFill>
              </w:rPr>
              <w:t>/h）后通过25m高排气筒（DA002）排放，</w:t>
            </w:r>
            <w:r>
              <w:rPr>
                <w:rFonts w:hint="default" w:ascii="Times New Roman" w:hAnsi="Times New Roman" w:cs="Times New Roman"/>
                <w:color w:val="000000" w:themeColor="text1"/>
                <w:sz w:val="24"/>
                <w:szCs w:val="24"/>
                <w:shd w:val="clear"/>
                <w:lang w:val="en-US" w:eastAsia="zh-CN"/>
                <w14:textFill>
                  <w14:solidFill>
                    <w14:schemeClr w14:val="tx1"/>
                  </w14:solidFill>
                </w14:textFill>
              </w:rPr>
              <w:t>年工作时间为</w:t>
            </w:r>
            <w:r>
              <w:rPr>
                <w:rFonts w:hint="eastAsia" w:cs="Times New Roman"/>
                <w:color w:val="000000" w:themeColor="text1"/>
                <w:sz w:val="24"/>
                <w:szCs w:val="24"/>
                <w:shd w:val="clear"/>
                <w:lang w:val="en-US" w:eastAsia="zh-CN"/>
                <w14:textFill>
                  <w14:solidFill>
                    <w14:schemeClr w14:val="tx1"/>
                  </w14:solidFill>
                </w14:textFill>
              </w:rPr>
              <w:t>6000</w:t>
            </w:r>
            <w:r>
              <w:rPr>
                <w:rFonts w:hint="default" w:ascii="Times New Roman" w:hAnsi="Times New Roman" w:cs="Times New Roman"/>
                <w:color w:val="000000" w:themeColor="text1"/>
                <w:sz w:val="24"/>
                <w:szCs w:val="24"/>
                <w:shd w:val="clear"/>
                <w:lang w:val="en-US" w:eastAsia="zh-CN"/>
                <w14:textFill>
                  <w14:solidFill>
                    <w14:schemeClr w14:val="tx1"/>
                  </w14:solidFill>
                </w14:textFill>
              </w:rPr>
              <w:t>h，则挥发性有机物（以非甲烷总烃计）有组织排放量</w:t>
            </w:r>
            <w:r>
              <w:rPr>
                <w:rFonts w:hint="eastAsia" w:cs="Times New Roman"/>
                <w:color w:val="000000" w:themeColor="text1"/>
                <w:sz w:val="24"/>
                <w:szCs w:val="24"/>
                <w:shd w:val="clear"/>
                <w:lang w:val="en-US" w:eastAsia="zh-CN"/>
                <w14:textFill>
                  <w14:solidFill>
                    <w14:schemeClr w14:val="tx1"/>
                  </w14:solidFill>
                </w14:textFill>
              </w:rPr>
              <w:t>约为0.3</w:t>
            </w:r>
            <w:r>
              <w:rPr>
                <w:rFonts w:hint="default" w:ascii="Times New Roman" w:hAnsi="Times New Roman" w:cs="Times New Roman"/>
                <w:color w:val="000000" w:themeColor="text1"/>
                <w:sz w:val="24"/>
                <w:szCs w:val="24"/>
                <w:shd w:val="clear"/>
                <w:lang w:val="en-US" w:eastAsia="zh-CN"/>
                <w14:textFill>
                  <w14:solidFill>
                    <w14:schemeClr w14:val="tx1"/>
                  </w14:solidFill>
                </w14:textFill>
              </w:rPr>
              <w:t>t/a</w:t>
            </w:r>
            <w:r>
              <w:rPr>
                <w:rFonts w:hint="eastAsia" w:cs="Times New Roman"/>
                <w:color w:val="000000" w:themeColor="text1"/>
                <w:sz w:val="24"/>
                <w:szCs w:val="24"/>
                <w:shd w:val="clear"/>
                <w:lang w:val="en-US" w:eastAsia="zh-CN"/>
                <w14:textFill>
                  <w14:solidFill>
                    <w14:schemeClr w14:val="tx1"/>
                  </w14:solidFill>
                </w14:textFill>
              </w:rPr>
              <w:t>，</w:t>
            </w:r>
            <w:r>
              <w:rPr>
                <w:rFonts w:hint="default" w:ascii="Times New Roman" w:hAnsi="Times New Roman" w:cs="Times New Roman"/>
                <w:color w:val="000000" w:themeColor="text1"/>
                <w:sz w:val="24"/>
                <w:szCs w:val="24"/>
                <w:shd w:val="clear"/>
                <w:lang w:val="en-US" w:eastAsia="zh-CN"/>
                <w14:textFill>
                  <w14:solidFill>
                    <w14:schemeClr w14:val="tx1"/>
                  </w14:solidFill>
                </w14:textFill>
              </w:rPr>
              <w:t>排放速率</w:t>
            </w:r>
            <w:r>
              <w:rPr>
                <w:rFonts w:hint="eastAsia" w:cs="Times New Roman"/>
                <w:color w:val="000000" w:themeColor="text1"/>
                <w:sz w:val="24"/>
                <w:szCs w:val="24"/>
                <w:shd w:val="clear"/>
                <w:lang w:val="en-US" w:eastAsia="zh-CN"/>
                <w14:textFill>
                  <w14:solidFill>
                    <w14:schemeClr w14:val="tx1"/>
                  </w14:solidFill>
                </w14:textFill>
              </w:rPr>
              <w:t>约</w:t>
            </w:r>
            <w:r>
              <w:rPr>
                <w:rFonts w:hint="default" w:ascii="Times New Roman" w:hAnsi="Times New Roman" w:cs="Times New Roman"/>
                <w:color w:val="000000" w:themeColor="text1"/>
                <w:sz w:val="24"/>
                <w:szCs w:val="24"/>
                <w:shd w:val="clear"/>
                <w:lang w:val="en-US" w:eastAsia="zh-CN"/>
                <w14:textFill>
                  <w14:solidFill>
                    <w14:schemeClr w14:val="tx1"/>
                  </w14:solidFill>
                </w14:textFill>
              </w:rPr>
              <w:t>为</w:t>
            </w:r>
            <w:r>
              <w:rPr>
                <w:rFonts w:hint="eastAsia" w:cs="Times New Roman"/>
                <w:color w:val="000000" w:themeColor="text1"/>
                <w:sz w:val="24"/>
                <w:szCs w:val="24"/>
                <w:shd w:val="clear"/>
                <w:lang w:val="en-US" w:eastAsia="zh-CN"/>
                <w14:textFill>
                  <w14:solidFill>
                    <w14:schemeClr w14:val="tx1"/>
                  </w14:solidFill>
                </w14:textFill>
              </w:rPr>
              <w:t>0.05</w:t>
            </w:r>
            <w:r>
              <w:rPr>
                <w:rFonts w:hint="default" w:ascii="Times New Roman" w:hAnsi="Times New Roman" w:cs="Times New Roman"/>
                <w:color w:val="000000" w:themeColor="text1"/>
                <w:sz w:val="24"/>
                <w:szCs w:val="24"/>
                <w:shd w:val="clear"/>
                <w:lang w:val="en-US" w:eastAsia="zh-CN"/>
                <w14:textFill>
                  <w14:solidFill>
                    <w14:schemeClr w14:val="tx1"/>
                  </w14:solidFill>
                </w14:textFill>
              </w:rPr>
              <w:t>kg/h</w:t>
            </w:r>
            <w:r>
              <w:rPr>
                <w:rFonts w:hint="eastAsia" w:cs="Times New Roman"/>
                <w:color w:val="000000" w:themeColor="text1"/>
                <w:sz w:val="24"/>
                <w:szCs w:val="24"/>
                <w:shd w:val="clear"/>
                <w:lang w:val="en-US" w:eastAsia="zh-CN"/>
                <w14:textFill>
                  <w14:solidFill>
                    <w14:schemeClr w14:val="tx1"/>
                  </w14:solidFill>
                </w14:textFill>
              </w:rPr>
              <w:t>，</w:t>
            </w:r>
            <w:r>
              <w:rPr>
                <w:rFonts w:hint="default" w:ascii="Times New Roman" w:hAnsi="Times New Roman" w:cs="Times New Roman"/>
                <w:color w:val="000000" w:themeColor="text1"/>
                <w:sz w:val="24"/>
                <w:szCs w:val="24"/>
                <w:shd w:val="clear"/>
                <w:lang w:val="en-US" w:eastAsia="zh-CN"/>
                <w14:textFill>
                  <w14:solidFill>
                    <w14:schemeClr w14:val="tx1"/>
                  </w14:solidFill>
                </w14:textFill>
              </w:rPr>
              <w:t>排放浓度</w:t>
            </w:r>
            <w:r>
              <w:rPr>
                <w:rFonts w:hint="eastAsia" w:cs="Times New Roman"/>
                <w:color w:val="000000" w:themeColor="text1"/>
                <w:sz w:val="24"/>
                <w:szCs w:val="24"/>
                <w:shd w:val="clear"/>
                <w:lang w:val="en-US" w:eastAsia="zh-CN"/>
                <w14:textFill>
                  <w14:solidFill>
                    <w14:schemeClr w14:val="tx1"/>
                  </w14:solidFill>
                </w14:textFill>
              </w:rPr>
              <w:t>约</w:t>
            </w:r>
            <w:r>
              <w:rPr>
                <w:rFonts w:hint="default" w:ascii="Times New Roman" w:hAnsi="Times New Roman" w:cs="Times New Roman"/>
                <w:color w:val="000000" w:themeColor="text1"/>
                <w:sz w:val="24"/>
                <w:szCs w:val="24"/>
                <w:shd w:val="clear"/>
                <w:lang w:val="en-US" w:eastAsia="zh-CN"/>
                <w14:textFill>
                  <w14:solidFill>
                    <w14:schemeClr w14:val="tx1"/>
                  </w14:solidFill>
                </w14:textFill>
              </w:rPr>
              <w:t>为</w:t>
            </w:r>
            <w:r>
              <w:rPr>
                <w:rFonts w:hint="eastAsia" w:cs="Times New Roman"/>
                <w:color w:val="000000" w:themeColor="text1"/>
                <w:sz w:val="24"/>
                <w:szCs w:val="24"/>
                <w:shd w:val="clear"/>
                <w:lang w:val="en-US" w:eastAsia="zh-CN"/>
                <w14:textFill>
                  <w14:solidFill>
                    <w14:schemeClr w14:val="tx1"/>
                  </w14:solidFill>
                </w14:textFill>
              </w:rPr>
              <w:t>8.3</w:t>
            </w:r>
            <w:r>
              <w:rPr>
                <w:rFonts w:hint="default" w:ascii="Times New Roman" w:hAnsi="Times New Roman" w:cs="Times New Roman"/>
                <w:color w:val="000000" w:themeColor="text1"/>
                <w:sz w:val="24"/>
                <w:szCs w:val="24"/>
                <w:shd w:val="clear"/>
                <w:lang w:val="en-US" w:eastAsia="zh-CN"/>
                <w14:textFill>
                  <w14:solidFill>
                    <w14:schemeClr w14:val="tx1"/>
                  </w14:solidFill>
                </w14:textFill>
              </w:rPr>
              <w:t>mg/</w:t>
            </w:r>
            <w:r>
              <w:rPr>
                <w:rFonts w:hint="eastAsia" w:cs="Times New Roman"/>
                <w:color w:val="000000" w:themeColor="text1"/>
                <w:sz w:val="24"/>
                <w:szCs w:val="24"/>
                <w:shd w:val="clear"/>
                <w:lang w:val="en-US" w:eastAsia="zh-CN"/>
                <w14:textFill>
                  <w14:solidFill>
                    <w14:schemeClr w14:val="tx1"/>
                  </w14:solidFill>
                </w14:textFill>
              </w:rPr>
              <w:t>m</w:t>
            </w:r>
            <w:r>
              <w:rPr>
                <w:rFonts w:hint="eastAsia" w:cs="Times New Roman"/>
                <w:color w:val="000000" w:themeColor="text1"/>
                <w:sz w:val="24"/>
                <w:szCs w:val="24"/>
                <w:shd w:val="clear"/>
                <w:vertAlign w:val="superscript"/>
                <w:lang w:val="en-US" w:eastAsia="zh-CN"/>
                <w14:textFill>
                  <w14:solidFill>
                    <w14:schemeClr w14:val="tx1"/>
                  </w14:solidFill>
                </w14:textFill>
              </w:rPr>
              <w:t>3</w:t>
            </w:r>
            <w:r>
              <w:rPr>
                <w:rFonts w:hint="eastAsia" w:cs="Times New Roman"/>
                <w:color w:val="000000" w:themeColor="text1"/>
                <w:sz w:val="24"/>
                <w:szCs w:val="24"/>
                <w:shd w:val="clear"/>
                <w:lang w:val="en-US" w:eastAsia="zh-CN"/>
                <w14:textFill>
                  <w14:solidFill>
                    <w14:schemeClr w14:val="tx1"/>
                  </w14:solidFill>
                </w14:textFill>
              </w:rPr>
              <w:t>；无组织排放量约为0.062t/a，</w:t>
            </w:r>
            <w:r>
              <w:rPr>
                <w:rFonts w:hint="default" w:ascii="Times New Roman" w:hAnsi="Times New Roman" w:cs="Times New Roman"/>
                <w:color w:val="000000" w:themeColor="text1"/>
                <w:sz w:val="24"/>
                <w:szCs w:val="24"/>
                <w:shd w:val="clear"/>
                <w:lang w:val="en-US" w:eastAsia="zh-CN"/>
                <w14:textFill>
                  <w14:solidFill>
                    <w14:schemeClr w14:val="tx1"/>
                  </w14:solidFill>
                </w14:textFill>
              </w:rPr>
              <w:t>排放速率</w:t>
            </w:r>
            <w:r>
              <w:rPr>
                <w:rFonts w:hint="eastAsia" w:cs="Times New Roman"/>
                <w:color w:val="000000" w:themeColor="text1"/>
                <w:sz w:val="24"/>
                <w:szCs w:val="24"/>
                <w:shd w:val="clear"/>
                <w:lang w:val="en-US" w:eastAsia="zh-CN"/>
                <w14:textFill>
                  <w14:solidFill>
                    <w14:schemeClr w14:val="tx1"/>
                  </w14:solidFill>
                </w14:textFill>
              </w:rPr>
              <w:t>约</w:t>
            </w:r>
            <w:r>
              <w:rPr>
                <w:rFonts w:hint="default" w:ascii="Times New Roman" w:hAnsi="Times New Roman" w:cs="Times New Roman"/>
                <w:color w:val="000000" w:themeColor="text1"/>
                <w:sz w:val="24"/>
                <w:szCs w:val="24"/>
                <w:shd w:val="clear"/>
                <w:lang w:val="en-US" w:eastAsia="zh-CN"/>
                <w14:textFill>
                  <w14:solidFill>
                    <w14:schemeClr w14:val="tx1"/>
                  </w14:solidFill>
                </w14:textFill>
              </w:rPr>
              <w:t>为</w:t>
            </w:r>
            <w:r>
              <w:rPr>
                <w:rFonts w:hint="eastAsia" w:cs="Times New Roman"/>
                <w:color w:val="000000" w:themeColor="text1"/>
                <w:sz w:val="24"/>
                <w:szCs w:val="24"/>
                <w:shd w:val="clear"/>
                <w:lang w:val="en-US" w:eastAsia="zh-CN"/>
                <w14:textFill>
                  <w14:solidFill>
                    <w14:schemeClr w14:val="tx1"/>
                  </w14:solidFill>
                </w14:textFill>
              </w:rPr>
              <w:t>0.01</w:t>
            </w:r>
            <w:r>
              <w:rPr>
                <w:rFonts w:hint="default" w:ascii="Times New Roman" w:hAnsi="Times New Roman" w:cs="Times New Roman"/>
                <w:color w:val="000000" w:themeColor="text1"/>
                <w:sz w:val="24"/>
                <w:szCs w:val="24"/>
                <w:shd w:val="clear"/>
                <w:lang w:val="en-US" w:eastAsia="zh-CN"/>
                <w14:textFill>
                  <w14:solidFill>
                    <w14:schemeClr w14:val="tx1"/>
                  </w14:solidFill>
                </w14:textFill>
              </w:rPr>
              <w:t>kg/h</w:t>
            </w:r>
            <w:r>
              <w:rPr>
                <w:rFonts w:hint="eastAsia" w:cs="Times New Roman"/>
                <w:color w:val="000000" w:themeColor="text1"/>
                <w:sz w:val="24"/>
                <w:szCs w:val="24"/>
                <w:shd w:val="clear"/>
                <w:lang w:val="en-US" w:eastAsia="zh-CN"/>
                <w14:textFill>
                  <w14:solidFill>
                    <w14:schemeClr w14:val="tx1"/>
                  </w14:solidFill>
                </w14:textFill>
              </w:rPr>
              <w:t>。</w:t>
            </w:r>
          </w:p>
          <w:p w14:paraId="7250452C">
            <w:pPr>
              <w:pStyle w:val="66"/>
              <w:keepNext w:val="0"/>
              <w:keepLines w:val="0"/>
              <w:pageBreakBefore w:val="0"/>
              <w:widowControl w:val="0"/>
              <w:kinsoku/>
              <w:wordWrap/>
              <w:overflowPunct/>
              <w:topLinePunct w:val="0"/>
              <w:bidi w:val="0"/>
              <w:spacing w:line="360" w:lineRule="auto"/>
              <w:ind w:firstLine="480" w:firstLineChars="200"/>
              <w:textAlignment w:val="auto"/>
              <w:rPr>
                <w:rFonts w:hint="eastAsia" w:cs="Times New Roman"/>
                <w:b w:val="0"/>
                <w:bCs w:val="0"/>
                <w:color w:val="000000" w:themeColor="text1"/>
                <w:sz w:val="24"/>
                <w:szCs w:val="24"/>
                <w:shd w:val="clear"/>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shd w:val="clear"/>
                <w:lang w:val="en-US" w:eastAsia="zh-CN"/>
                <w14:textFill>
                  <w14:solidFill>
                    <w14:schemeClr w14:val="tx1"/>
                  </w14:solidFill>
                </w14:textFill>
              </w:rPr>
              <w:t>项目类比《洛阳储变电系统有限公司年产20万KWh新能源储变电系统项目环境影响报告表》</w:t>
            </w:r>
            <w:r>
              <w:rPr>
                <w:rFonts w:hint="eastAsia" w:cs="Times New Roman"/>
                <w:b w:val="0"/>
                <w:bCs w:val="0"/>
                <w:color w:val="000000" w:themeColor="text1"/>
                <w:sz w:val="24"/>
                <w:szCs w:val="24"/>
                <w:shd w:val="clear"/>
                <w:lang w:val="en-US" w:eastAsia="zh-CN"/>
                <w14:textFill>
                  <w14:solidFill>
                    <w14:schemeClr w14:val="tx1"/>
                  </w14:solidFill>
                </w14:textFill>
              </w:rPr>
              <w:t>可行性分析详见下表：</w:t>
            </w:r>
          </w:p>
          <w:p w14:paraId="0933C0EE">
            <w:pPr>
              <w:pStyle w:val="66"/>
              <w:keepNext w:val="0"/>
              <w:keepLines w:val="0"/>
              <w:pageBreakBefore w:val="0"/>
              <w:widowControl w:val="0"/>
              <w:kinsoku/>
              <w:wordWrap/>
              <w:overflowPunct/>
              <w:topLinePunct w:val="0"/>
              <w:bidi w:val="0"/>
              <w:spacing w:line="240" w:lineRule="auto"/>
              <w:ind w:left="0" w:leftChars="0" w:firstLine="0" w:firstLineChars="0"/>
              <w:jc w:val="center"/>
              <w:textAlignment w:val="auto"/>
              <w:rPr>
                <w:rFonts w:hint="eastAsia" w:cs="Times New Roman"/>
                <w:b/>
                <w:bCs/>
                <w:color w:val="000000" w:themeColor="text1"/>
                <w:sz w:val="21"/>
                <w:szCs w:val="21"/>
                <w:shd w:val="clear"/>
                <w:lang w:val="en-US" w:eastAsia="zh-CN"/>
                <w14:textFill>
                  <w14:solidFill>
                    <w14:schemeClr w14:val="tx1"/>
                  </w14:solidFill>
                </w14:textFill>
              </w:rPr>
            </w:pPr>
            <w:r>
              <w:rPr>
                <w:rFonts w:hint="eastAsia" w:cs="Times New Roman"/>
                <w:b/>
                <w:bCs/>
                <w:color w:val="000000" w:themeColor="text1"/>
                <w:sz w:val="21"/>
                <w:szCs w:val="21"/>
                <w:shd w:val="clear"/>
                <w:lang w:val="en-US" w:eastAsia="zh-CN"/>
                <w14:textFill>
                  <w14:solidFill>
                    <w14:schemeClr w14:val="tx1"/>
                  </w14:solidFill>
                </w14:textFill>
              </w:rPr>
              <w:t>表4-1 本项目与类比情况一览表</w:t>
            </w:r>
          </w:p>
          <w:tbl>
            <w:tblPr>
              <w:tblStyle w:val="42"/>
              <w:tblW w:w="7946" w:type="dxa"/>
              <w:tblInd w:w="5"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38"/>
              <w:gridCol w:w="3180"/>
              <w:gridCol w:w="2475"/>
              <w:gridCol w:w="1253"/>
            </w:tblGrid>
            <w:tr w14:paraId="4EA218B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38" w:type="dxa"/>
                  <w:vAlign w:val="center"/>
                </w:tcPr>
                <w:p w14:paraId="0DEB64F8">
                  <w:pPr>
                    <w:pStyle w:val="66"/>
                    <w:keepNext w:val="0"/>
                    <w:keepLines w:val="0"/>
                    <w:pageBreakBefore w:val="0"/>
                    <w:widowControl w:val="0"/>
                    <w:kinsoku/>
                    <w:wordWrap/>
                    <w:overflowPunct/>
                    <w:topLinePunct w:val="0"/>
                    <w:bidi w:val="0"/>
                    <w:spacing w:line="240" w:lineRule="auto"/>
                    <w:ind w:left="0" w:leftChars="0" w:firstLine="0" w:firstLineChars="0"/>
                    <w:jc w:val="center"/>
                    <w:textAlignment w:val="auto"/>
                    <w:rPr>
                      <w:rFonts w:hint="default" w:cs="Times New Roman"/>
                      <w:b/>
                      <w:bCs/>
                      <w:color w:val="000000" w:themeColor="text1"/>
                      <w:sz w:val="21"/>
                      <w:szCs w:val="21"/>
                      <w:shd w:val="clear"/>
                      <w:vertAlign w:val="baseline"/>
                      <w:lang w:val="en-US" w:eastAsia="zh-CN"/>
                      <w14:textFill>
                        <w14:solidFill>
                          <w14:schemeClr w14:val="tx1"/>
                        </w14:solidFill>
                      </w14:textFill>
                    </w:rPr>
                  </w:pPr>
                  <w:r>
                    <w:rPr>
                      <w:rFonts w:hint="eastAsia" w:cs="Times New Roman"/>
                      <w:b/>
                      <w:bCs/>
                      <w:color w:val="000000" w:themeColor="text1"/>
                      <w:sz w:val="21"/>
                      <w:szCs w:val="21"/>
                      <w:shd w:val="clear"/>
                      <w:vertAlign w:val="baseline"/>
                      <w:lang w:val="en-US" w:eastAsia="zh-CN"/>
                      <w14:textFill>
                        <w14:solidFill>
                          <w14:schemeClr w14:val="tx1"/>
                        </w14:solidFill>
                      </w14:textFill>
                    </w:rPr>
                    <w:t>类比项目</w:t>
                  </w:r>
                </w:p>
              </w:tc>
              <w:tc>
                <w:tcPr>
                  <w:tcW w:w="3180" w:type="dxa"/>
                  <w:vAlign w:val="center"/>
                </w:tcPr>
                <w:p w14:paraId="0971F546">
                  <w:pPr>
                    <w:pStyle w:val="66"/>
                    <w:keepNext w:val="0"/>
                    <w:keepLines w:val="0"/>
                    <w:pageBreakBefore w:val="0"/>
                    <w:widowControl w:val="0"/>
                    <w:kinsoku/>
                    <w:wordWrap/>
                    <w:overflowPunct/>
                    <w:topLinePunct w:val="0"/>
                    <w:bidi w:val="0"/>
                    <w:spacing w:line="240" w:lineRule="auto"/>
                    <w:ind w:left="0" w:leftChars="0" w:firstLine="0" w:firstLineChars="0"/>
                    <w:jc w:val="center"/>
                    <w:textAlignment w:val="auto"/>
                    <w:rPr>
                      <w:rFonts w:hint="default" w:cs="Times New Roman"/>
                      <w:b/>
                      <w:bCs/>
                      <w:color w:val="000000" w:themeColor="text1"/>
                      <w:sz w:val="21"/>
                      <w:szCs w:val="21"/>
                      <w:shd w:val="clear"/>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shd w:val="clear"/>
                      <w:lang w:val="en-US" w:eastAsia="zh-CN"/>
                      <w14:textFill>
                        <w14:solidFill>
                          <w14:schemeClr w14:val="tx1"/>
                        </w14:solidFill>
                      </w14:textFill>
                    </w:rPr>
                    <w:t>《洛阳储变电系统有限公司年产20万KWh新能源储变电系统项目环境影响报告表》</w:t>
                  </w:r>
                </w:p>
              </w:tc>
              <w:tc>
                <w:tcPr>
                  <w:tcW w:w="2475" w:type="dxa"/>
                  <w:vAlign w:val="center"/>
                </w:tcPr>
                <w:p w14:paraId="12DF71E8">
                  <w:pPr>
                    <w:pStyle w:val="66"/>
                    <w:keepNext w:val="0"/>
                    <w:keepLines w:val="0"/>
                    <w:pageBreakBefore w:val="0"/>
                    <w:widowControl w:val="0"/>
                    <w:kinsoku/>
                    <w:wordWrap/>
                    <w:overflowPunct/>
                    <w:topLinePunct w:val="0"/>
                    <w:bidi w:val="0"/>
                    <w:spacing w:line="240" w:lineRule="auto"/>
                    <w:ind w:left="0" w:leftChars="0" w:firstLine="0" w:firstLineChars="0"/>
                    <w:jc w:val="center"/>
                    <w:textAlignment w:val="auto"/>
                    <w:rPr>
                      <w:rFonts w:hint="default" w:cs="Times New Roman"/>
                      <w:b/>
                      <w:bCs/>
                      <w:color w:val="000000" w:themeColor="text1"/>
                      <w:sz w:val="21"/>
                      <w:szCs w:val="21"/>
                      <w:shd w:val="clear"/>
                      <w:vertAlign w:val="baseli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vertAlign w:val="baseline"/>
                      <w:lang w:val="en-US" w:eastAsia="zh-CN"/>
                      <w14:textFill>
                        <w14:solidFill>
                          <w14:schemeClr w14:val="tx1"/>
                        </w14:solidFill>
                      </w14:textFill>
                    </w:rPr>
                    <w:t>本项目</w:t>
                  </w:r>
                </w:p>
              </w:tc>
              <w:tc>
                <w:tcPr>
                  <w:tcW w:w="1253" w:type="dxa"/>
                  <w:vAlign w:val="center"/>
                </w:tcPr>
                <w:p w14:paraId="297F9B54">
                  <w:pPr>
                    <w:pStyle w:val="66"/>
                    <w:keepNext w:val="0"/>
                    <w:keepLines w:val="0"/>
                    <w:pageBreakBefore w:val="0"/>
                    <w:widowControl w:val="0"/>
                    <w:kinsoku/>
                    <w:wordWrap/>
                    <w:overflowPunct/>
                    <w:topLinePunct w:val="0"/>
                    <w:bidi w:val="0"/>
                    <w:spacing w:line="240" w:lineRule="auto"/>
                    <w:ind w:left="0" w:leftChars="0" w:firstLine="0" w:firstLineChars="0"/>
                    <w:jc w:val="center"/>
                    <w:textAlignment w:val="auto"/>
                    <w:rPr>
                      <w:rFonts w:hint="default" w:cs="Times New Roman"/>
                      <w:b/>
                      <w:bCs/>
                      <w:color w:val="000000" w:themeColor="text1"/>
                      <w:sz w:val="21"/>
                      <w:szCs w:val="21"/>
                      <w:shd w:val="clear"/>
                      <w:vertAlign w:val="baseli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vertAlign w:val="baseline"/>
                      <w:lang w:val="en-US" w:eastAsia="zh-CN"/>
                      <w14:textFill>
                        <w14:solidFill>
                          <w14:schemeClr w14:val="tx1"/>
                        </w14:solidFill>
                      </w14:textFill>
                    </w:rPr>
                    <w:t>类比情况</w:t>
                  </w:r>
                </w:p>
              </w:tc>
            </w:tr>
            <w:tr w14:paraId="200755C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38" w:type="dxa"/>
                  <w:vAlign w:val="center"/>
                </w:tcPr>
                <w:p w14:paraId="220B2F83">
                  <w:pPr>
                    <w:pStyle w:val="66"/>
                    <w:keepNext w:val="0"/>
                    <w:keepLines w:val="0"/>
                    <w:pageBreakBefore w:val="0"/>
                    <w:widowControl w:val="0"/>
                    <w:kinsoku/>
                    <w:wordWrap/>
                    <w:overflowPunct/>
                    <w:topLinePunct w:val="0"/>
                    <w:bidi w:val="0"/>
                    <w:spacing w:line="240" w:lineRule="auto"/>
                    <w:ind w:left="0" w:leftChars="0" w:firstLine="0" w:firstLineChars="0"/>
                    <w:jc w:val="center"/>
                    <w:textAlignment w:val="auto"/>
                    <w:rPr>
                      <w:rFonts w:hint="default" w:ascii="Times New Roman" w:hAnsi="Times New Roman" w:eastAsia="宋体" w:cs="Times New Roman"/>
                      <w:b w:val="0"/>
                      <w:bCs w:val="0"/>
                      <w:color w:val="000000" w:themeColor="text1"/>
                      <w:sz w:val="21"/>
                      <w:szCs w:val="21"/>
                      <w:shd w:val="clear"/>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shd w:val="clear"/>
                      <w:vertAlign w:val="baseline"/>
                      <w:lang w:val="en-US" w:eastAsia="zh-CN"/>
                      <w14:textFill>
                        <w14:solidFill>
                          <w14:schemeClr w14:val="tx1"/>
                        </w14:solidFill>
                      </w14:textFill>
                    </w:rPr>
                    <w:t>产品</w:t>
                  </w:r>
                </w:p>
              </w:tc>
              <w:tc>
                <w:tcPr>
                  <w:tcW w:w="3180" w:type="dxa"/>
                  <w:vAlign w:val="center"/>
                </w:tcPr>
                <w:p w14:paraId="6AD246AF">
                  <w:pPr>
                    <w:pStyle w:val="66"/>
                    <w:keepNext w:val="0"/>
                    <w:keepLines w:val="0"/>
                    <w:pageBreakBefore w:val="0"/>
                    <w:widowControl w:val="0"/>
                    <w:kinsoku/>
                    <w:wordWrap/>
                    <w:overflowPunct/>
                    <w:topLinePunct w:val="0"/>
                    <w:bidi w:val="0"/>
                    <w:spacing w:line="240" w:lineRule="auto"/>
                    <w:ind w:left="0" w:leftChars="0" w:firstLine="0" w:firstLineChars="0"/>
                    <w:jc w:val="center"/>
                    <w:textAlignment w:val="auto"/>
                    <w:rPr>
                      <w:rFonts w:hint="eastAsia" w:ascii="Times New Roman" w:hAnsi="Times New Roman" w:eastAsia="宋体" w:cs="Times New Roman"/>
                      <w:b w:val="0"/>
                      <w:bCs w:val="0"/>
                      <w:color w:val="000000" w:themeColor="text1"/>
                      <w:sz w:val="21"/>
                      <w:szCs w:val="21"/>
                      <w:shd w:val="clear"/>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shd w:val="clear"/>
                      <w:vertAlign w:val="baseline"/>
                      <w:lang w:val="en-US" w:eastAsia="zh-CN"/>
                      <w14:textFill>
                        <w14:solidFill>
                          <w14:schemeClr w14:val="tx1"/>
                        </w14:solidFill>
                      </w14:textFill>
                    </w:rPr>
                    <w:t>年产单体电池5万kWh</w:t>
                  </w:r>
                </w:p>
                <w:p w14:paraId="3781F2A8">
                  <w:pPr>
                    <w:pStyle w:val="66"/>
                    <w:keepNext w:val="0"/>
                    <w:keepLines w:val="0"/>
                    <w:pageBreakBefore w:val="0"/>
                    <w:widowControl w:val="0"/>
                    <w:kinsoku/>
                    <w:wordWrap/>
                    <w:overflowPunct/>
                    <w:topLinePunct w:val="0"/>
                    <w:bidi w:val="0"/>
                    <w:spacing w:line="240" w:lineRule="auto"/>
                    <w:ind w:left="0" w:leftChars="0" w:firstLine="0" w:firstLineChars="0"/>
                    <w:jc w:val="center"/>
                    <w:textAlignment w:val="auto"/>
                    <w:rPr>
                      <w:rFonts w:hint="eastAsia" w:ascii="Times New Roman" w:hAnsi="Times New Roman" w:eastAsia="宋体" w:cs="Times New Roman"/>
                      <w:b w:val="0"/>
                      <w:bCs w:val="0"/>
                      <w:color w:val="000000" w:themeColor="text1"/>
                      <w:sz w:val="21"/>
                      <w:szCs w:val="21"/>
                      <w:shd w:val="clear"/>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shd w:val="clear"/>
                      <w:vertAlign w:val="baseline"/>
                      <w:lang w:val="en-US" w:eastAsia="zh-CN"/>
                      <w14:textFill>
                        <w14:solidFill>
                          <w14:schemeClr w14:val="tx1"/>
                        </w14:solidFill>
                      </w14:textFill>
                    </w:rPr>
                    <w:t>（磷酸铁锂2万kWh/a、钴酸锂电池3万kWh/a）</w:t>
                  </w:r>
                </w:p>
              </w:tc>
              <w:tc>
                <w:tcPr>
                  <w:tcW w:w="2475" w:type="dxa"/>
                  <w:vAlign w:val="center"/>
                </w:tcPr>
                <w:p w14:paraId="4D8C8F2B">
                  <w:pPr>
                    <w:pStyle w:val="66"/>
                    <w:keepNext w:val="0"/>
                    <w:keepLines w:val="0"/>
                    <w:pageBreakBefore w:val="0"/>
                    <w:widowControl w:val="0"/>
                    <w:kinsoku/>
                    <w:wordWrap/>
                    <w:overflowPunct/>
                    <w:topLinePunct w:val="0"/>
                    <w:bidi w:val="0"/>
                    <w:spacing w:line="240" w:lineRule="auto"/>
                    <w:ind w:left="0" w:leftChars="0" w:firstLine="0" w:firstLineChars="0"/>
                    <w:jc w:val="center"/>
                    <w:textAlignment w:val="auto"/>
                    <w:rPr>
                      <w:rFonts w:hint="default" w:ascii="Times New Roman" w:hAnsi="Times New Roman" w:eastAsia="宋体" w:cs="Times New Roman"/>
                      <w:b w:val="0"/>
                      <w:bCs w:val="0"/>
                      <w:color w:val="000000" w:themeColor="text1"/>
                      <w:sz w:val="21"/>
                      <w:szCs w:val="21"/>
                      <w:shd w:val="clear"/>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shd w:val="clear"/>
                      <w:vertAlign w:val="baseline"/>
                      <w:lang w:val="en-US" w:eastAsia="zh-CN"/>
                      <w14:textFill>
                        <w14:solidFill>
                          <w14:schemeClr w14:val="tx1"/>
                        </w14:solidFill>
                      </w14:textFill>
                    </w:rPr>
                    <w:t>年产1GWh高倍率半固态电池</w:t>
                  </w:r>
                </w:p>
              </w:tc>
              <w:tc>
                <w:tcPr>
                  <w:tcW w:w="1253" w:type="dxa"/>
                  <w:vAlign w:val="center"/>
                </w:tcPr>
                <w:p w14:paraId="004239D2">
                  <w:pPr>
                    <w:pStyle w:val="66"/>
                    <w:keepNext w:val="0"/>
                    <w:keepLines w:val="0"/>
                    <w:pageBreakBefore w:val="0"/>
                    <w:widowControl w:val="0"/>
                    <w:kinsoku/>
                    <w:wordWrap/>
                    <w:overflowPunct/>
                    <w:topLinePunct w:val="0"/>
                    <w:bidi w:val="0"/>
                    <w:spacing w:line="240" w:lineRule="auto"/>
                    <w:ind w:left="0" w:leftChars="0" w:firstLine="0" w:firstLineChars="0"/>
                    <w:jc w:val="center"/>
                    <w:textAlignment w:val="auto"/>
                    <w:rPr>
                      <w:rFonts w:hint="default" w:ascii="Times New Roman" w:hAnsi="Times New Roman" w:eastAsia="宋体" w:cs="Times New Roman"/>
                      <w:b w:val="0"/>
                      <w:bCs w:val="0"/>
                      <w:color w:val="000000" w:themeColor="text1"/>
                      <w:sz w:val="21"/>
                      <w:szCs w:val="21"/>
                      <w:shd w:val="clear"/>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shd w:val="clear"/>
                      <w:vertAlign w:val="baseline"/>
                      <w:lang w:val="en-US" w:eastAsia="zh-CN"/>
                      <w14:textFill>
                        <w14:solidFill>
                          <w14:schemeClr w14:val="tx1"/>
                        </w14:solidFill>
                      </w14:textFill>
                    </w:rPr>
                    <w:t>基本一致</w:t>
                  </w:r>
                </w:p>
              </w:tc>
            </w:tr>
            <w:tr w14:paraId="3D7105B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38" w:type="dxa"/>
                  <w:vAlign w:val="center"/>
                </w:tcPr>
                <w:p w14:paraId="70609369">
                  <w:pPr>
                    <w:pStyle w:val="66"/>
                    <w:keepNext w:val="0"/>
                    <w:keepLines w:val="0"/>
                    <w:pageBreakBefore w:val="0"/>
                    <w:widowControl w:val="0"/>
                    <w:kinsoku/>
                    <w:wordWrap/>
                    <w:overflowPunct/>
                    <w:topLinePunct w:val="0"/>
                    <w:bidi w:val="0"/>
                    <w:spacing w:line="240" w:lineRule="auto"/>
                    <w:ind w:left="0" w:leftChars="0" w:firstLine="0" w:firstLineChars="0"/>
                    <w:jc w:val="center"/>
                    <w:textAlignment w:val="auto"/>
                    <w:rPr>
                      <w:rFonts w:hint="default" w:ascii="Times New Roman" w:hAnsi="Times New Roman" w:eastAsia="宋体" w:cs="Times New Roman"/>
                      <w:b w:val="0"/>
                      <w:bCs w:val="0"/>
                      <w:color w:val="000000" w:themeColor="text1"/>
                      <w:sz w:val="21"/>
                      <w:szCs w:val="21"/>
                      <w:shd w:val="clear"/>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shd w:val="clear"/>
                      <w:vertAlign w:val="baseline"/>
                      <w:lang w:val="en-US" w:eastAsia="zh-CN"/>
                      <w14:textFill>
                        <w14:solidFill>
                          <w14:schemeClr w14:val="tx1"/>
                        </w14:solidFill>
                      </w14:textFill>
                    </w:rPr>
                    <w:t>原辅料</w:t>
                  </w:r>
                </w:p>
              </w:tc>
              <w:tc>
                <w:tcPr>
                  <w:tcW w:w="3180" w:type="dxa"/>
                  <w:vAlign w:val="center"/>
                </w:tcPr>
                <w:p w14:paraId="6FA28A8F">
                  <w:pPr>
                    <w:pStyle w:val="66"/>
                    <w:keepNext w:val="0"/>
                    <w:keepLines w:val="0"/>
                    <w:pageBreakBefore w:val="0"/>
                    <w:widowControl w:val="0"/>
                    <w:kinsoku/>
                    <w:wordWrap/>
                    <w:overflowPunct/>
                    <w:topLinePunct w:val="0"/>
                    <w:bidi w:val="0"/>
                    <w:spacing w:line="240" w:lineRule="auto"/>
                    <w:ind w:left="0" w:leftChars="0" w:firstLine="0" w:firstLineChars="0"/>
                    <w:jc w:val="center"/>
                    <w:textAlignment w:val="auto"/>
                    <w:rPr>
                      <w:rFonts w:hint="eastAsia" w:ascii="Times New Roman" w:hAnsi="Times New Roman" w:eastAsia="宋体" w:cs="Times New Roman"/>
                      <w:b w:val="0"/>
                      <w:bCs w:val="0"/>
                      <w:color w:val="000000" w:themeColor="text1"/>
                      <w:sz w:val="21"/>
                      <w:szCs w:val="21"/>
                      <w:shd w:val="clear"/>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shd w:val="clear"/>
                      <w:vertAlign w:val="baseline"/>
                      <w:lang w:val="en-US" w:eastAsia="zh-CN"/>
                      <w14:textFill>
                        <w14:solidFill>
                          <w14:schemeClr w14:val="tx1"/>
                        </w14:solidFill>
                      </w14:textFill>
                    </w:rPr>
                    <w:t>磷酸铁锂、钴酸锂、CNT、聚偏氟乙烯PVDF、NMP、石墨、CNT、羧甲基纤维素钠盐、电解液（六氟磷酸锂和碳酸乙烯酯、碳酸丙烯酯、碳酸二甲酯、碳酸二乙酯等成分组成）、铝塑膜等</w:t>
                  </w:r>
                </w:p>
              </w:tc>
              <w:tc>
                <w:tcPr>
                  <w:tcW w:w="2475" w:type="dxa"/>
                  <w:vAlign w:val="center"/>
                </w:tcPr>
                <w:p w14:paraId="3957A217">
                  <w:pPr>
                    <w:pStyle w:val="66"/>
                    <w:keepNext w:val="0"/>
                    <w:keepLines w:val="0"/>
                    <w:pageBreakBefore w:val="0"/>
                    <w:widowControl w:val="0"/>
                    <w:kinsoku/>
                    <w:wordWrap/>
                    <w:overflowPunct/>
                    <w:topLinePunct w:val="0"/>
                    <w:bidi w:val="0"/>
                    <w:spacing w:line="240" w:lineRule="auto"/>
                    <w:ind w:left="0" w:leftChars="0" w:firstLine="0" w:firstLineChars="0"/>
                    <w:jc w:val="center"/>
                    <w:textAlignment w:val="auto"/>
                    <w:rPr>
                      <w:rFonts w:hint="default" w:ascii="Times New Roman" w:hAnsi="Times New Roman" w:eastAsia="宋体" w:cs="Times New Roman"/>
                      <w:b w:val="0"/>
                      <w:bCs w:val="0"/>
                      <w:color w:val="000000" w:themeColor="text1"/>
                      <w:sz w:val="21"/>
                      <w:szCs w:val="21"/>
                      <w:shd w:val="clear"/>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shd w:val="clear"/>
                      <w:vertAlign w:val="baseline"/>
                      <w:lang w:val="en-US" w:eastAsia="zh-CN"/>
                      <w14:textFill>
                        <w14:solidFill>
                          <w14:schemeClr w14:val="tx1"/>
                        </w14:solidFill>
                      </w14:textFill>
                    </w:rPr>
                    <w:t>磷酸铁锂、镍钴锰酸锂、CNT、聚偏氟乙烯PVDF、NMP、石墨、CNT、羧甲基纤维素钠盐、电解液（碳酸二甲酯、碳酸二乙酯、碳酸甲乙酯、丙酸乙酯、丙酸丙酯、碳酸乙烯酯、碳酸丙烯酯、六氟磷酸锂成分组成）、铝塑膜等</w:t>
                  </w:r>
                </w:p>
              </w:tc>
              <w:tc>
                <w:tcPr>
                  <w:tcW w:w="1253" w:type="dxa"/>
                  <w:vAlign w:val="center"/>
                </w:tcPr>
                <w:p w14:paraId="29166CDD">
                  <w:pPr>
                    <w:pStyle w:val="66"/>
                    <w:keepNext w:val="0"/>
                    <w:keepLines w:val="0"/>
                    <w:pageBreakBefore w:val="0"/>
                    <w:widowControl w:val="0"/>
                    <w:kinsoku/>
                    <w:wordWrap/>
                    <w:overflowPunct/>
                    <w:topLinePunct w:val="0"/>
                    <w:bidi w:val="0"/>
                    <w:spacing w:line="240" w:lineRule="auto"/>
                    <w:ind w:left="0" w:leftChars="0" w:firstLine="0" w:firstLineChars="0"/>
                    <w:jc w:val="center"/>
                    <w:textAlignment w:val="auto"/>
                    <w:rPr>
                      <w:rFonts w:hint="default" w:ascii="Times New Roman" w:hAnsi="Times New Roman" w:eastAsia="宋体" w:cs="Times New Roman"/>
                      <w:b w:val="0"/>
                      <w:bCs w:val="0"/>
                      <w:color w:val="000000" w:themeColor="text1"/>
                      <w:sz w:val="21"/>
                      <w:szCs w:val="21"/>
                      <w:shd w:val="clear"/>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shd w:val="clear"/>
                      <w:vertAlign w:val="baseline"/>
                      <w:lang w:val="en-US" w:eastAsia="zh-CN"/>
                      <w14:textFill>
                        <w14:solidFill>
                          <w14:schemeClr w14:val="tx1"/>
                        </w14:solidFill>
                      </w14:textFill>
                    </w:rPr>
                    <w:t>基本一致</w:t>
                  </w:r>
                </w:p>
              </w:tc>
            </w:tr>
            <w:tr w14:paraId="550147A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038" w:type="dxa"/>
                  <w:vAlign w:val="center"/>
                </w:tcPr>
                <w:p w14:paraId="72B7D2CC">
                  <w:pPr>
                    <w:pStyle w:val="66"/>
                    <w:keepNext w:val="0"/>
                    <w:keepLines w:val="0"/>
                    <w:pageBreakBefore w:val="0"/>
                    <w:widowControl w:val="0"/>
                    <w:kinsoku/>
                    <w:wordWrap/>
                    <w:overflowPunct/>
                    <w:topLinePunct w:val="0"/>
                    <w:bidi w:val="0"/>
                    <w:spacing w:line="240" w:lineRule="auto"/>
                    <w:ind w:left="0" w:leftChars="0" w:firstLine="0" w:firstLineChars="0"/>
                    <w:jc w:val="center"/>
                    <w:textAlignment w:val="auto"/>
                    <w:rPr>
                      <w:rFonts w:hint="default" w:cs="Times New Roman"/>
                      <w:b w:val="0"/>
                      <w:bCs w:val="0"/>
                      <w:color w:val="000000" w:themeColor="text1"/>
                      <w:sz w:val="21"/>
                      <w:szCs w:val="21"/>
                      <w:shd w:val="clear"/>
                      <w:vertAlign w:val="baseline"/>
                      <w:lang w:val="en-US" w:eastAsia="zh-CN"/>
                      <w14:textFill>
                        <w14:solidFill>
                          <w14:schemeClr w14:val="tx1"/>
                        </w14:solidFill>
                      </w14:textFill>
                    </w:rPr>
                  </w:pPr>
                  <w:r>
                    <w:rPr>
                      <w:rFonts w:hint="eastAsia" w:cs="Times New Roman"/>
                      <w:b w:val="0"/>
                      <w:bCs w:val="0"/>
                      <w:color w:val="000000" w:themeColor="text1"/>
                      <w:sz w:val="21"/>
                      <w:szCs w:val="21"/>
                      <w:shd w:val="clear"/>
                      <w:vertAlign w:val="baseline"/>
                      <w:lang w:val="en-US" w:eastAsia="zh-CN"/>
                      <w14:textFill>
                        <w14:solidFill>
                          <w14:schemeClr w14:val="tx1"/>
                        </w14:solidFill>
                      </w14:textFill>
                    </w:rPr>
                    <w:t>工艺流程</w:t>
                  </w:r>
                </w:p>
              </w:tc>
              <w:tc>
                <w:tcPr>
                  <w:tcW w:w="3180" w:type="dxa"/>
                  <w:vAlign w:val="center"/>
                </w:tcPr>
                <w:p w14:paraId="4873AD9C">
                  <w:pPr>
                    <w:pStyle w:val="66"/>
                    <w:keepNext w:val="0"/>
                    <w:keepLines w:val="0"/>
                    <w:pageBreakBefore w:val="0"/>
                    <w:widowControl w:val="0"/>
                    <w:kinsoku/>
                    <w:wordWrap/>
                    <w:overflowPunct/>
                    <w:topLinePunct w:val="0"/>
                    <w:bidi w:val="0"/>
                    <w:spacing w:line="240" w:lineRule="auto"/>
                    <w:ind w:left="0" w:leftChars="0" w:firstLine="0" w:firstLineChars="0"/>
                    <w:jc w:val="center"/>
                    <w:textAlignment w:val="auto"/>
                    <w:rPr>
                      <w:rFonts w:hint="default" w:cs="Times New Roman"/>
                      <w:b w:val="0"/>
                      <w:bCs w:val="0"/>
                      <w:color w:val="000000" w:themeColor="text1"/>
                      <w:sz w:val="21"/>
                      <w:szCs w:val="21"/>
                      <w:shd w:val="clear"/>
                      <w:vertAlign w:val="baseline"/>
                      <w:lang w:val="en-US" w:eastAsia="zh-CN"/>
                      <w14:textFill>
                        <w14:solidFill>
                          <w14:schemeClr w14:val="tx1"/>
                        </w14:solidFill>
                      </w14:textFill>
                    </w:rPr>
                  </w:pPr>
                  <w:r>
                    <w:rPr>
                      <w:rFonts w:hint="eastAsia" w:cs="Times New Roman"/>
                      <w:b w:val="0"/>
                      <w:bCs w:val="0"/>
                      <w:color w:val="000000" w:themeColor="text1"/>
                      <w:sz w:val="21"/>
                      <w:szCs w:val="21"/>
                      <w:shd w:val="clear"/>
                      <w:vertAlign w:val="baseline"/>
                      <w:lang w:val="en-US" w:eastAsia="zh-CN"/>
                      <w14:textFill>
                        <w14:solidFill>
                          <w14:schemeClr w14:val="tx1"/>
                        </w14:solidFill>
                      </w14:textFill>
                    </w:rPr>
                    <w:t>正负极极片制造-叠片-热压-极耳预焊-极耳裁切-铝塑膜成型-封边-电池干燥-注电解液-真空静置-真空预封-二次封装-高温常温静置-化成-定容</w:t>
                  </w:r>
                </w:p>
              </w:tc>
              <w:tc>
                <w:tcPr>
                  <w:tcW w:w="2475" w:type="dxa"/>
                  <w:vAlign w:val="center"/>
                </w:tcPr>
                <w:p w14:paraId="4D4A04A9">
                  <w:pPr>
                    <w:pStyle w:val="66"/>
                    <w:keepNext w:val="0"/>
                    <w:keepLines w:val="0"/>
                    <w:pageBreakBefore w:val="0"/>
                    <w:widowControl w:val="0"/>
                    <w:kinsoku/>
                    <w:wordWrap/>
                    <w:overflowPunct/>
                    <w:topLinePunct w:val="0"/>
                    <w:bidi w:val="0"/>
                    <w:spacing w:line="240" w:lineRule="auto"/>
                    <w:ind w:left="0" w:leftChars="0" w:firstLine="0" w:firstLineChars="0"/>
                    <w:jc w:val="center"/>
                    <w:textAlignment w:val="auto"/>
                    <w:rPr>
                      <w:rFonts w:hint="default" w:cs="Times New Roman"/>
                      <w:b w:val="0"/>
                      <w:bCs w:val="0"/>
                      <w:color w:val="000000" w:themeColor="text1"/>
                      <w:sz w:val="21"/>
                      <w:szCs w:val="21"/>
                      <w:shd w:val="clear"/>
                      <w:vertAlign w:val="baseline"/>
                      <w:lang w:val="en-US" w:eastAsia="zh-CN"/>
                      <w14:textFill>
                        <w14:solidFill>
                          <w14:schemeClr w14:val="tx1"/>
                        </w14:solidFill>
                      </w14:textFill>
                    </w:rPr>
                  </w:pPr>
                  <w:r>
                    <w:rPr>
                      <w:rFonts w:hint="eastAsia" w:cs="Times New Roman"/>
                      <w:b w:val="0"/>
                      <w:bCs w:val="0"/>
                      <w:color w:val="000000" w:themeColor="text1"/>
                      <w:sz w:val="21"/>
                      <w:szCs w:val="21"/>
                      <w:shd w:val="clear"/>
                      <w:vertAlign w:val="baseline"/>
                      <w:lang w:val="en-US" w:eastAsia="zh-CN"/>
                      <w14:textFill>
                        <w14:solidFill>
                          <w14:schemeClr w14:val="tx1"/>
                        </w14:solidFill>
                      </w14:textFill>
                    </w:rPr>
                    <w:t>正负极极片制造-叠片-热压-极耳焊接-装配-电芯干燥-注液-静置-化成-二封线-分容-高温静置-常温静置-OCV测试</w:t>
                  </w:r>
                </w:p>
              </w:tc>
              <w:tc>
                <w:tcPr>
                  <w:tcW w:w="1253" w:type="dxa"/>
                  <w:vAlign w:val="center"/>
                </w:tcPr>
                <w:p w14:paraId="05AF1E18">
                  <w:pPr>
                    <w:pStyle w:val="66"/>
                    <w:keepNext w:val="0"/>
                    <w:keepLines w:val="0"/>
                    <w:pageBreakBefore w:val="0"/>
                    <w:widowControl w:val="0"/>
                    <w:kinsoku/>
                    <w:wordWrap/>
                    <w:overflowPunct/>
                    <w:topLinePunct w:val="0"/>
                    <w:bidi w:val="0"/>
                    <w:spacing w:line="240" w:lineRule="auto"/>
                    <w:ind w:left="0" w:leftChars="0" w:firstLine="0" w:firstLineChars="0"/>
                    <w:jc w:val="center"/>
                    <w:textAlignment w:val="auto"/>
                    <w:rPr>
                      <w:rFonts w:hint="default" w:cs="Times New Roman"/>
                      <w:b w:val="0"/>
                      <w:bCs w:val="0"/>
                      <w:color w:val="000000" w:themeColor="text1"/>
                      <w:sz w:val="21"/>
                      <w:szCs w:val="21"/>
                      <w:shd w:val="clear"/>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shd w:val="clear"/>
                      <w:vertAlign w:val="baseline"/>
                      <w:lang w:val="en-US" w:eastAsia="zh-CN"/>
                      <w14:textFill>
                        <w14:solidFill>
                          <w14:schemeClr w14:val="tx1"/>
                        </w14:solidFill>
                      </w14:textFill>
                    </w:rPr>
                    <w:t>基本一致</w:t>
                  </w:r>
                </w:p>
              </w:tc>
            </w:tr>
          </w:tbl>
          <w:p w14:paraId="34077DF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Times New Roman"/>
                <w:b/>
                <w:bCs/>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b w:val="0"/>
                <w:bCs/>
                <w:color w:val="000000" w:themeColor="text1"/>
                <w:sz w:val="24"/>
                <w:szCs w:val="22"/>
                <w:lang w:val="en-US" w:eastAsia="zh-CN"/>
                <w14:textFill>
                  <w14:solidFill>
                    <w14:schemeClr w14:val="tx1"/>
                  </w14:solidFill>
                </w14:textFill>
              </w:rPr>
              <w:t>由上表可知，本项目与</w:t>
            </w:r>
            <w:r>
              <w:rPr>
                <w:rFonts w:hint="eastAsia" w:ascii="Times New Roman" w:hAnsi="Times New Roman" w:eastAsia="宋体" w:cs="Times New Roman"/>
                <w:b w:val="0"/>
                <w:bCs w:val="0"/>
                <w:color w:val="000000" w:themeColor="text1"/>
                <w:sz w:val="24"/>
                <w:szCs w:val="24"/>
                <w:shd w:val="clear"/>
                <w:lang w:val="en-US" w:eastAsia="zh-CN"/>
                <w14:textFill>
                  <w14:solidFill>
                    <w14:schemeClr w14:val="tx1"/>
                  </w14:solidFill>
                </w14:textFill>
              </w:rPr>
              <w:t>《洛阳储变电系统有限公司年产20万KWh新能源储变电系统项目环境影响报告表》</w:t>
            </w:r>
            <w:r>
              <w:rPr>
                <w:rFonts w:hint="default" w:ascii="Times New Roman" w:hAnsi="Times New Roman" w:eastAsia="宋体" w:cs="Times New Roman"/>
                <w:b w:val="0"/>
                <w:bCs/>
                <w:color w:val="000000" w:themeColor="text1"/>
                <w:sz w:val="24"/>
                <w:szCs w:val="22"/>
                <w:lang w:val="en-US" w:eastAsia="zh-CN"/>
                <w14:textFill>
                  <w14:solidFill>
                    <w14:schemeClr w14:val="tx1"/>
                  </w14:solidFill>
                </w14:textFill>
              </w:rPr>
              <w:t>的</w:t>
            </w:r>
            <w:r>
              <w:rPr>
                <w:rFonts w:hint="eastAsia" w:ascii="Times New Roman" w:hAnsi="Times New Roman" w:eastAsia="宋体" w:cs="Times New Roman"/>
                <w:b w:val="0"/>
                <w:bCs/>
                <w:color w:val="000000" w:themeColor="text1"/>
                <w:sz w:val="24"/>
                <w:szCs w:val="22"/>
                <w:lang w:val="en-US" w:eastAsia="zh-CN"/>
                <w14:textFill>
                  <w14:solidFill>
                    <w14:schemeClr w14:val="tx1"/>
                  </w14:solidFill>
                </w14:textFill>
              </w:rPr>
              <w:t>产品、</w:t>
            </w:r>
            <w:r>
              <w:rPr>
                <w:rFonts w:hint="default" w:ascii="Times New Roman" w:hAnsi="Times New Roman" w:eastAsia="宋体" w:cs="Times New Roman"/>
                <w:b w:val="0"/>
                <w:bCs/>
                <w:color w:val="000000" w:themeColor="text1"/>
                <w:sz w:val="24"/>
                <w:szCs w:val="22"/>
                <w:lang w:val="en-US" w:eastAsia="zh-CN"/>
                <w14:textFill>
                  <w14:solidFill>
                    <w14:schemeClr w14:val="tx1"/>
                  </w14:solidFill>
                </w14:textFill>
              </w:rPr>
              <w:t>原辅料、</w:t>
            </w:r>
            <w:r>
              <w:rPr>
                <w:rFonts w:hint="eastAsia" w:ascii="Times New Roman" w:hAnsi="Times New Roman" w:eastAsia="宋体" w:cs="Times New Roman"/>
                <w:b w:val="0"/>
                <w:bCs/>
                <w:color w:val="000000" w:themeColor="text1"/>
                <w:sz w:val="24"/>
                <w:szCs w:val="22"/>
                <w:lang w:val="en-US" w:eastAsia="zh-CN"/>
                <w14:textFill>
                  <w14:solidFill>
                    <w14:schemeClr w14:val="tx1"/>
                  </w14:solidFill>
                </w14:textFill>
              </w:rPr>
              <w:t>工艺流程</w:t>
            </w:r>
            <w:r>
              <w:rPr>
                <w:rFonts w:hint="default" w:ascii="Times New Roman" w:hAnsi="Times New Roman" w:eastAsia="宋体" w:cs="Times New Roman"/>
                <w:b w:val="0"/>
                <w:bCs/>
                <w:color w:val="000000" w:themeColor="text1"/>
                <w:sz w:val="24"/>
                <w:szCs w:val="22"/>
                <w:lang w:val="en-US" w:eastAsia="zh-CN"/>
                <w14:textFill>
                  <w14:solidFill>
                    <w14:schemeClr w14:val="tx1"/>
                  </w14:solidFill>
                </w14:textFill>
              </w:rPr>
              <w:t>等基本一致</w:t>
            </w:r>
            <w:r>
              <w:rPr>
                <w:rFonts w:hint="eastAsia" w:ascii="Times New Roman" w:hAnsi="Times New Roman" w:eastAsia="宋体" w:cs="Times New Roman"/>
                <w:b w:val="0"/>
                <w:bCs/>
                <w:color w:val="000000" w:themeColor="text1"/>
                <w:sz w:val="24"/>
                <w:szCs w:val="22"/>
                <w:lang w:val="en-US" w:eastAsia="zh-CN"/>
                <w14:textFill>
                  <w14:solidFill>
                    <w14:schemeClr w14:val="tx1"/>
                  </w14:solidFill>
                </w14:textFill>
              </w:rPr>
              <w:t>，因此，本项目采用类比法核算项目注液废气的产生源强可行。</w:t>
            </w:r>
          </w:p>
          <w:p w14:paraId="13DFE4F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pPr>
            <w:r>
              <w:rPr>
                <w:rFonts w:hint="eastAsia" w:cs="Times New Roman"/>
                <w:b/>
                <w:bCs/>
                <w:color w:val="000000" w:themeColor="text1"/>
                <w:sz w:val="24"/>
                <w:szCs w:val="24"/>
                <w:lang w:val="en-US" w:eastAsia="zh-CN"/>
                <w14:textFill>
                  <w14:solidFill>
                    <w14:schemeClr w14:val="tx1"/>
                  </w14:solidFill>
                </w14:textFill>
              </w:rPr>
              <w:t>5</w:t>
            </w: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）二封废气</w:t>
            </w:r>
          </w:p>
          <w:p w14:paraId="3C0A4F7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rPr>
              <w:t>由于静置前电池已完成封装，静置、化成过程中会有少量气体聚集于预留</w:t>
            </w:r>
            <w:r>
              <w:rPr>
                <w:rFonts w:ascii="宋体" w:hAnsi="宋体" w:eastAsia="宋体" w:cs="宋体"/>
                <w:color w:val="000000" w:themeColor="text1"/>
                <w:sz w:val="24"/>
                <w:szCs w:val="24"/>
                <w14:textFill>
                  <w14:solidFill>
                    <w14:schemeClr w14:val="tx1"/>
                  </w14:solidFill>
                </w14:textFill>
              </w:rPr>
              <w:t>气袋内</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化成后进行二次封装，在真空环境下刺破气袋、抽出内部气体，</w:t>
            </w:r>
            <w:r>
              <w:rPr>
                <w:rFonts w:ascii="宋体" w:hAnsi="宋体" w:eastAsia="宋体" w:cs="宋体"/>
                <w:color w:val="000000" w:themeColor="text1"/>
                <w:sz w:val="24"/>
                <w:szCs w:val="24"/>
                <w14:textFill>
                  <w14:solidFill>
                    <w14:schemeClr w14:val="tx1"/>
                  </w14:solidFill>
                </w14:textFill>
              </w:rPr>
              <w:t>随即热封实现永久密封，并剪除气袋</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该工序有机废气产生量较少，</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本次环评不进行定量计算，仅进行定性分析</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w:t>
            </w:r>
          </w:p>
          <w:p w14:paraId="486CF5BD">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拟采取治理措施：</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封装工序密闭，通过密闭管道收集后经二级活性炭（</w:t>
            </w:r>
            <w:r>
              <w:rPr>
                <w:rFonts w:hint="eastAsia" w:cs="Times New Roman"/>
                <w:color w:val="000000" w:themeColor="text1"/>
                <w:sz w:val="24"/>
                <w:szCs w:val="24"/>
                <w:lang w:val="en-US" w:eastAsia="zh-CN"/>
                <w14:textFill>
                  <w14:solidFill>
                    <w14:schemeClr w14:val="tx1"/>
                  </w14:solidFill>
                </w14:textFill>
              </w:rPr>
              <w:t>T</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A00</w:t>
            </w:r>
            <w:r>
              <w:rPr>
                <w:rFonts w:hint="eastAsia" w:cs="Times New Roman"/>
                <w:color w:val="000000" w:themeColor="text1"/>
                <w:sz w:val="24"/>
                <w:szCs w:val="24"/>
                <w:lang w:val="en-US" w:eastAsia="zh-CN"/>
                <w14:textFill>
                  <w14:solidFill>
                    <w14:schemeClr w14:val="tx1"/>
                  </w14:solidFill>
                </w14:textFill>
              </w:rPr>
              <w:t>4</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）处理，并通过</w:t>
            </w:r>
            <w:r>
              <w:rPr>
                <w:rFonts w:hint="eastAsia" w:cs="Times New Roman"/>
                <w:color w:val="000000" w:themeColor="text1"/>
                <w:sz w:val="24"/>
                <w:szCs w:val="24"/>
                <w:lang w:val="en-US" w:eastAsia="zh-CN"/>
                <w14:textFill>
                  <w14:solidFill>
                    <w14:schemeClr w14:val="tx1"/>
                  </w14:solidFill>
                </w14:textFill>
              </w:rPr>
              <w:t>25</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m高排气筒（DA002）排放。</w:t>
            </w:r>
          </w:p>
          <w:p w14:paraId="14E57BEE">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pPr>
            <w:r>
              <w:rPr>
                <w:rFonts w:hint="eastAsia" w:cs="Times New Roman"/>
                <w:b/>
                <w:bCs/>
                <w:color w:val="000000" w:themeColor="text1"/>
                <w:sz w:val="24"/>
                <w:szCs w:val="24"/>
                <w:lang w:val="en-US" w:eastAsia="zh-CN"/>
                <w14:textFill>
                  <w14:solidFill>
                    <w14:schemeClr w14:val="tx1"/>
                  </w14:solidFill>
                </w14:textFill>
              </w:rPr>
              <w:t>6</w:t>
            </w: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）拆解废气</w:t>
            </w:r>
          </w:p>
          <w:p w14:paraId="10C71D9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根据建设单位提供资料，为</w:t>
            </w:r>
            <w:r>
              <w:rPr>
                <w:rFonts w:ascii="宋体" w:hAnsi="宋体" w:eastAsia="宋体" w:cs="宋体"/>
                <w:color w:val="000000" w:themeColor="text1"/>
                <w:sz w:val="24"/>
                <w:szCs w:val="24"/>
                <w14:textFill>
                  <w14:solidFill>
                    <w14:schemeClr w14:val="tx1"/>
                  </w14:solidFill>
                </w14:textFill>
              </w:rPr>
              <w:t>提前识别工艺缺陷，规避批量不良品产生</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会在</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封口、注液、化成、定容</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等工序</w:t>
            </w:r>
            <w:r>
              <w:rPr>
                <w:rFonts w:hint="eastAsia" w:cs="Times New Roman"/>
                <w:color w:val="000000" w:themeColor="text1"/>
                <w:sz w:val="24"/>
                <w:szCs w:val="24"/>
                <w:lang w:val="en-US" w:eastAsia="zh-CN"/>
                <w14:textFill>
                  <w14:solidFill>
                    <w14:schemeClr w14:val="tx1"/>
                  </w14:solidFill>
                </w14:textFill>
              </w:rPr>
              <w:t>进行随机抽样检验</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w:t>
            </w:r>
            <w:r>
              <w:rPr>
                <w:rFonts w:ascii="宋体" w:hAnsi="宋体" w:eastAsia="宋体" w:cs="宋体"/>
                <w:color w:val="000000" w:themeColor="text1"/>
                <w:sz w:val="24"/>
                <w:szCs w:val="24"/>
                <w14:textFill>
                  <w14:solidFill>
                    <w14:schemeClr w14:val="tx1"/>
                  </w14:solidFill>
                </w14:textFill>
              </w:rPr>
              <w:t>抽样电池拆解过程中，电芯内电解液挥发，伴随微量氟化物生成，产生少量有机废气与氟化物</w:t>
            </w:r>
            <w:r>
              <w:rPr>
                <w:rFonts w:hint="eastAsia" w:cs="Times New Roman"/>
                <w:color w:val="000000" w:themeColor="text1"/>
                <w:sz w:val="24"/>
                <w:szCs w:val="24"/>
                <w:lang w:val="en-US" w:eastAsia="zh-CN"/>
                <w14:textFill>
                  <w14:solidFill>
                    <w14:schemeClr w14:val="tx1"/>
                  </w14:solidFill>
                </w14:textFill>
              </w:rPr>
              <w:t>，同时该工序不涉及化学试剂的使用，故</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本次环评不进行定量计算，仅进行定性分析。</w:t>
            </w:r>
          </w:p>
          <w:p w14:paraId="3D39905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拟采取治理措施：</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电池拆解间密闭，通过密闭抽风收集后经二级活性炭（</w:t>
            </w:r>
            <w:r>
              <w:rPr>
                <w:rFonts w:hint="eastAsia" w:cs="Times New Roman"/>
                <w:color w:val="000000" w:themeColor="text1"/>
                <w:sz w:val="24"/>
                <w:szCs w:val="24"/>
                <w:lang w:val="en-US" w:eastAsia="zh-CN"/>
                <w14:textFill>
                  <w14:solidFill>
                    <w14:schemeClr w14:val="tx1"/>
                  </w14:solidFill>
                </w14:textFill>
              </w:rPr>
              <w:t>T</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A00</w:t>
            </w:r>
            <w:r>
              <w:rPr>
                <w:rFonts w:hint="eastAsia" w:cs="Times New Roman"/>
                <w:color w:val="000000" w:themeColor="text1"/>
                <w:sz w:val="24"/>
                <w:szCs w:val="24"/>
                <w:lang w:val="en-US" w:eastAsia="zh-CN"/>
                <w14:textFill>
                  <w14:solidFill>
                    <w14:schemeClr w14:val="tx1"/>
                  </w14:solidFill>
                </w14:textFill>
              </w:rPr>
              <w:t>4</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）处理，并通过</w:t>
            </w:r>
            <w:r>
              <w:rPr>
                <w:rFonts w:hint="eastAsia" w:cs="Times New Roman"/>
                <w:color w:val="000000" w:themeColor="text1"/>
                <w:sz w:val="24"/>
                <w:szCs w:val="24"/>
                <w:lang w:val="en-US" w:eastAsia="zh-CN"/>
                <w14:textFill>
                  <w14:solidFill>
                    <w14:schemeClr w14:val="tx1"/>
                  </w14:solidFill>
                </w14:textFill>
              </w:rPr>
              <w:t>25</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m高排气筒（DA002）排放。</w:t>
            </w:r>
          </w:p>
          <w:p w14:paraId="764EAFD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cs="Times New Roman"/>
                <w:b/>
                <w:bCs/>
                <w:color w:val="000000" w:themeColor="text1"/>
                <w:sz w:val="24"/>
                <w:szCs w:val="24"/>
                <w:lang w:val="en-US" w:eastAsia="zh-CN"/>
                <w14:textFill>
                  <w14:solidFill>
                    <w14:schemeClr w14:val="tx1"/>
                  </w14:solidFill>
                </w14:textFill>
              </w:rPr>
            </w:pPr>
            <w:r>
              <w:rPr>
                <w:rFonts w:hint="eastAsia" w:cs="Times New Roman"/>
                <w:b/>
                <w:bCs/>
                <w:color w:val="000000" w:themeColor="text1"/>
                <w:sz w:val="24"/>
                <w:szCs w:val="24"/>
                <w:lang w:val="en-US" w:eastAsia="zh-CN"/>
                <w14:textFill>
                  <w14:solidFill>
                    <w14:schemeClr w14:val="tx1"/>
                  </w14:solidFill>
                </w14:textFill>
              </w:rPr>
              <w:t>二级活性炭吸附装置风量核算：</w:t>
            </w:r>
          </w:p>
          <w:p w14:paraId="45275622">
            <w:pPr>
              <w:pStyle w:val="27"/>
              <w:keepNext w:val="0"/>
              <w:keepLines w:val="0"/>
              <w:pageBreakBefore w:val="0"/>
              <w:widowControl w:val="0"/>
              <w:kinsoku/>
              <w:wordWrap/>
              <w:overflowPunct/>
              <w:topLinePunct w:val="0"/>
              <w:autoSpaceDE/>
              <w:autoSpaceDN/>
              <w:bidi w:val="0"/>
              <w:adjustRightInd w:val="0"/>
              <w:snapToGrid/>
              <w:spacing w:line="360" w:lineRule="auto"/>
              <w:ind w:left="0" w:leftChars="0" w:firstLine="480" w:firstLineChars="200"/>
              <w:textAlignment w:val="auto"/>
              <w:rPr>
                <w:rFonts w:hint="eastAsia"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①</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密闭管道风量</w:t>
            </w:r>
            <w:r>
              <w:rPr>
                <w:rFonts w:hint="eastAsia" w:cs="Times New Roman"/>
                <w:color w:val="000000" w:themeColor="text1"/>
                <w:sz w:val="24"/>
                <w:szCs w:val="24"/>
                <w:lang w:val="en-US" w:eastAsia="zh-CN"/>
                <w14:textFill>
                  <w14:solidFill>
                    <w14:schemeClr w14:val="tx1"/>
                  </w14:solidFill>
                </w14:textFill>
              </w:rPr>
              <w:t>参照《通风与空调工程施工质量验收规范》（GB50243-2016），其</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计算公式如下：</w:t>
            </w:r>
          </w:p>
          <w:p w14:paraId="528D55CC">
            <w:pPr>
              <w:keepNext w:val="0"/>
              <w:keepLines w:val="0"/>
              <w:pageBreakBefore w:val="0"/>
              <w:widowControl w:val="0"/>
              <w:kinsoku/>
              <w:wordWrap/>
              <w:overflowPunct/>
              <w:topLinePunct w:val="0"/>
              <w:bidi w:val="0"/>
              <w:adjustRightInd w:val="0"/>
              <w:snapToGrid w:val="0"/>
              <w:spacing w:line="360" w:lineRule="auto"/>
              <w:ind w:firstLine="480" w:firstLineChars="200"/>
              <w:jc w:val="center"/>
              <w:rPr>
                <w:rFonts w:hint="default" w:eastAsia="宋体"/>
                <w:bCs/>
                <w:color w:val="000000" w:themeColor="text1"/>
                <w:sz w:val="24"/>
                <w:szCs w:val="24"/>
                <w:highlight w:val="none"/>
                <w:lang w:val="en-US" w:eastAsia="zh-CN"/>
                <w14:textFill>
                  <w14:solidFill>
                    <w14:schemeClr w14:val="tx1"/>
                  </w14:solidFill>
                </w14:textFill>
              </w:rPr>
            </w:pPr>
            <w:r>
              <w:rPr>
                <w:rFonts w:hint="eastAsia"/>
                <w:bCs/>
                <w:color w:val="000000" w:themeColor="text1"/>
                <w:sz w:val="24"/>
                <w:szCs w:val="24"/>
                <w:highlight w:val="none"/>
                <w:lang w:val="en-US" w:eastAsia="zh-CN"/>
                <w14:textFill>
                  <w14:solidFill>
                    <w14:schemeClr w14:val="tx1"/>
                  </w14:solidFill>
                </w14:textFill>
              </w:rPr>
              <w:t>L</w:t>
            </w:r>
            <w:r>
              <w:rPr>
                <w:rFonts w:hint="eastAsia"/>
                <w:bCs/>
                <w:color w:val="000000" w:themeColor="text1"/>
                <w:sz w:val="24"/>
                <w:szCs w:val="24"/>
                <w:highlight w:val="none"/>
                <w14:textFill>
                  <w14:solidFill>
                    <w14:schemeClr w14:val="tx1"/>
                  </w14:solidFill>
                </w14:textFill>
              </w:rPr>
              <w:t>=</w:t>
            </w:r>
            <w:r>
              <w:rPr>
                <w:rFonts w:hint="eastAsia"/>
                <w:bCs/>
                <w:color w:val="000000" w:themeColor="text1"/>
                <w:sz w:val="24"/>
                <w:szCs w:val="24"/>
                <w:highlight w:val="none"/>
                <w:lang w:val="en-US" w:eastAsia="zh-CN"/>
                <w14:textFill>
                  <w14:solidFill>
                    <w14:schemeClr w14:val="tx1"/>
                  </w14:solidFill>
                </w14:textFill>
              </w:rPr>
              <w:t>3600×F×V</w:t>
            </w:r>
          </w:p>
          <w:p w14:paraId="779C8A6E">
            <w:pPr>
              <w:keepNext w:val="0"/>
              <w:keepLines w:val="0"/>
              <w:pageBreakBefore w:val="0"/>
              <w:widowControl w:val="0"/>
              <w:kinsoku/>
              <w:wordWrap/>
              <w:overflowPunct/>
              <w:topLinePunct w:val="0"/>
              <w:bidi w:val="0"/>
              <w:adjustRightInd w:val="0"/>
              <w:snapToGrid w:val="0"/>
              <w:spacing w:line="360" w:lineRule="auto"/>
              <w:ind w:firstLine="480" w:firstLineChars="200"/>
              <w:jc w:val="both"/>
              <w:rPr>
                <w:rFonts w:hint="eastAsia"/>
                <w:bCs/>
                <w:color w:val="000000" w:themeColor="text1"/>
                <w:sz w:val="24"/>
                <w:szCs w:val="24"/>
                <w:highlight w:val="none"/>
                <w:lang w:val="en-US" w:eastAsia="zh-CN"/>
                <w14:textFill>
                  <w14:solidFill>
                    <w14:schemeClr w14:val="tx1"/>
                  </w14:solidFill>
                </w14:textFill>
              </w:rPr>
            </w:pPr>
            <w:r>
              <w:rPr>
                <w:rFonts w:hint="eastAsia"/>
                <w:bCs/>
                <w:color w:val="000000" w:themeColor="text1"/>
                <w:sz w:val="24"/>
                <w:szCs w:val="24"/>
                <w:highlight w:val="none"/>
                <w:lang w:val="en-US" w:eastAsia="zh-CN"/>
                <w14:textFill>
                  <w14:solidFill>
                    <w14:schemeClr w14:val="tx1"/>
                  </w14:solidFill>
                </w14:textFill>
              </w:rPr>
              <w:t>式中：F—风管测定断面面积（m</w:t>
            </w:r>
            <w:r>
              <w:rPr>
                <w:rFonts w:hint="eastAsia"/>
                <w:bCs/>
                <w:color w:val="000000" w:themeColor="text1"/>
                <w:sz w:val="24"/>
                <w:szCs w:val="24"/>
                <w:highlight w:val="none"/>
                <w:vertAlign w:val="superscript"/>
                <w:lang w:val="en-US" w:eastAsia="zh-CN"/>
                <w14:textFill>
                  <w14:solidFill>
                    <w14:schemeClr w14:val="tx1"/>
                  </w14:solidFill>
                </w14:textFill>
              </w:rPr>
              <w:t>2</w:t>
            </w:r>
            <w:r>
              <w:rPr>
                <w:rFonts w:hint="eastAsia"/>
                <w:bCs/>
                <w:color w:val="000000" w:themeColor="text1"/>
                <w:sz w:val="24"/>
                <w:szCs w:val="24"/>
                <w:highlight w:val="none"/>
                <w:lang w:val="en-US" w:eastAsia="zh-CN"/>
                <w14:textFill>
                  <w14:solidFill>
                    <w14:schemeClr w14:val="tx1"/>
                  </w14:solidFill>
                </w14:textFill>
              </w:rPr>
              <w:t>）；</w:t>
            </w:r>
          </w:p>
          <w:p w14:paraId="79A4019E">
            <w:pPr>
              <w:keepNext w:val="0"/>
              <w:keepLines w:val="0"/>
              <w:pageBreakBefore w:val="0"/>
              <w:widowControl w:val="0"/>
              <w:kinsoku/>
              <w:wordWrap/>
              <w:overflowPunct/>
              <w:topLinePunct w:val="0"/>
              <w:bidi w:val="0"/>
              <w:adjustRightInd w:val="0"/>
              <w:snapToGrid w:val="0"/>
              <w:spacing w:line="360" w:lineRule="auto"/>
              <w:ind w:firstLine="480" w:firstLineChars="200"/>
              <w:jc w:val="both"/>
              <w:rPr>
                <w:rFonts w:hint="eastAsia"/>
                <w:bCs/>
                <w:color w:val="000000" w:themeColor="text1"/>
                <w:sz w:val="24"/>
                <w:szCs w:val="24"/>
                <w:highlight w:val="none"/>
                <w:lang w:val="en-US" w:eastAsia="zh-CN"/>
                <w14:textFill>
                  <w14:solidFill>
                    <w14:schemeClr w14:val="tx1"/>
                  </w14:solidFill>
                </w14:textFill>
              </w:rPr>
            </w:pPr>
            <w:r>
              <w:rPr>
                <w:rFonts w:hint="eastAsia"/>
                <w:bCs/>
                <w:color w:val="000000" w:themeColor="text1"/>
                <w:sz w:val="24"/>
                <w:szCs w:val="24"/>
                <w:highlight w:val="none"/>
                <w:lang w:val="en-US" w:eastAsia="zh-CN"/>
                <w14:textFill>
                  <w14:solidFill>
                    <w14:schemeClr w14:val="tx1"/>
                  </w14:solidFill>
                </w14:textFill>
              </w:rPr>
              <w:t>V—风管测定断面平均风速（m/s），本次评价取10m/s。</w:t>
            </w:r>
          </w:p>
          <w:p w14:paraId="7917BED1">
            <w:pPr>
              <w:keepNext w:val="0"/>
              <w:keepLines w:val="0"/>
              <w:pageBreakBefore w:val="0"/>
              <w:widowControl w:val="0"/>
              <w:kinsoku/>
              <w:wordWrap/>
              <w:overflowPunct/>
              <w:topLinePunct w:val="0"/>
              <w:bidi w:val="0"/>
              <w:adjustRightInd w:val="0"/>
              <w:snapToGrid w:val="0"/>
              <w:spacing w:line="360" w:lineRule="auto"/>
              <w:ind w:firstLine="480" w:firstLineChars="200"/>
              <w:jc w:val="both"/>
              <w:rPr>
                <w:rFonts w:hint="default"/>
                <w:bCs/>
                <w:color w:val="000000" w:themeColor="text1"/>
                <w:sz w:val="24"/>
                <w:szCs w:val="24"/>
                <w:highlight w:val="none"/>
                <w:lang w:val="en-US" w:eastAsia="zh-CN"/>
                <w14:textFill>
                  <w14:solidFill>
                    <w14:schemeClr w14:val="tx1"/>
                  </w14:solidFill>
                </w14:textFill>
              </w:rPr>
            </w:pPr>
            <w:r>
              <w:rPr>
                <w:rFonts w:hint="eastAsia"/>
                <w:bCs/>
                <w:color w:val="000000" w:themeColor="text1"/>
                <w:sz w:val="24"/>
                <w:szCs w:val="24"/>
                <w:highlight w:val="none"/>
                <w:lang w:val="en-US" w:eastAsia="zh-CN"/>
                <w14:textFill>
                  <w14:solidFill>
                    <w14:schemeClr w14:val="tx1"/>
                  </w14:solidFill>
                </w14:textFill>
              </w:rPr>
              <w:t>本项目注液机、二封机分别设置密闭集气管道，根据建设单位提供资料，项目集气管道一般为100-200mm，本次评价取200mm，经计算，注液、二封工序风机风量为2260.8m</w:t>
            </w:r>
            <w:r>
              <w:rPr>
                <w:rFonts w:hint="eastAsia"/>
                <w:bCs/>
                <w:color w:val="000000" w:themeColor="text1"/>
                <w:sz w:val="24"/>
                <w:szCs w:val="24"/>
                <w:highlight w:val="none"/>
                <w:vertAlign w:val="superscript"/>
                <w:lang w:val="en-US" w:eastAsia="zh-CN"/>
                <w14:textFill>
                  <w14:solidFill>
                    <w14:schemeClr w14:val="tx1"/>
                  </w14:solidFill>
                </w14:textFill>
              </w:rPr>
              <w:t>3</w:t>
            </w:r>
            <w:r>
              <w:rPr>
                <w:rFonts w:hint="eastAsia"/>
                <w:bCs/>
                <w:color w:val="000000" w:themeColor="text1"/>
                <w:sz w:val="24"/>
                <w:szCs w:val="24"/>
                <w:highlight w:val="none"/>
                <w:lang w:val="en-US" w:eastAsia="zh-CN"/>
                <w14:textFill>
                  <w14:solidFill>
                    <w14:schemeClr w14:val="tx1"/>
                  </w14:solidFill>
                </w14:textFill>
              </w:rPr>
              <w:t>/h。</w:t>
            </w:r>
          </w:p>
          <w:p w14:paraId="279F771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cs="Times New Roman"/>
                <w:color w:val="000000" w:themeColor="text1"/>
                <w:kern w:val="2"/>
                <w:sz w:val="24"/>
                <w:szCs w:val="24"/>
                <w:highlight w:val="none"/>
                <w:lang w:val="en-US" w:eastAsia="zh-CN" w:bidi="ar-SA"/>
                <w14:textFill>
                  <w14:solidFill>
                    <w14:schemeClr w14:val="tx1"/>
                  </w14:solidFill>
                </w14:textFill>
              </w:rPr>
              <w:t>②</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根据建设单位提供资料，电池拆解间体积为99m</w:t>
            </w:r>
            <w:r>
              <w:rPr>
                <w:rFonts w:hint="eastAsia" w:ascii="Times New Roman" w:hAnsi="Times New Roman" w:eastAsia="宋体" w:cs="Times New Roman"/>
                <w:color w:val="000000" w:themeColor="text1"/>
                <w:kern w:val="2"/>
                <w:sz w:val="24"/>
                <w:szCs w:val="24"/>
                <w:highlight w:val="none"/>
                <w:vertAlign w:val="superscript"/>
                <w:lang w:val="en-US" w:eastAsia="zh-CN" w:bidi="ar-SA"/>
                <w14:textFill>
                  <w14:solidFill>
                    <w14:schemeClr w14:val="tx1"/>
                  </w14:solidFill>
                </w14:textFill>
              </w:rPr>
              <w:t>3</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，参考《工业企业卫生设计标准》</w:t>
            </w:r>
            <w:r>
              <w:rPr>
                <w:rFonts w:hint="eastAsia" w:cs="Times New Roman"/>
                <w:color w:val="000000" w:themeColor="text1"/>
                <w:kern w:val="2"/>
                <w:sz w:val="24"/>
                <w:szCs w:val="24"/>
                <w:highlight w:val="none"/>
                <w:lang w:val="en-US" w:eastAsia="zh-CN" w:bidi="ar-SA"/>
                <w14:textFill>
                  <w14:solidFill>
                    <w14:schemeClr w14:val="tx1"/>
                  </w14:solidFill>
                </w14:textFill>
              </w:rPr>
              <w:t>（</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GBZ 1-2010</w:t>
            </w:r>
            <w:r>
              <w:rPr>
                <w:rFonts w:hint="eastAsia" w:cs="Times New Roman"/>
                <w:color w:val="000000" w:themeColor="text1"/>
                <w:kern w:val="2"/>
                <w:sz w:val="24"/>
                <w:szCs w:val="24"/>
                <w:highlight w:val="none"/>
                <w:lang w:val="en-US" w:eastAsia="zh-CN" w:bidi="ar-SA"/>
                <w14:textFill>
                  <w14:solidFill>
                    <w14:schemeClr w14:val="tx1"/>
                  </w14:solidFill>
                </w14:textFill>
              </w:rPr>
              <w:t>）</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中“6.1.5.2 a</w:t>
            </w:r>
            <w:r>
              <w:rPr>
                <w:rFonts w:hint="eastAsia" w:cs="Times New Roman"/>
                <w:color w:val="000000" w:themeColor="text1"/>
                <w:kern w:val="2"/>
                <w:sz w:val="24"/>
                <w:szCs w:val="24"/>
                <w:highlight w:val="none"/>
                <w:lang w:val="en-US" w:eastAsia="zh-CN" w:bidi="ar-SA"/>
                <w14:textFill>
                  <w14:solidFill>
                    <w14:schemeClr w14:val="tx1"/>
                  </w14:solidFill>
                </w14:textFill>
              </w:rPr>
              <w:t xml:space="preserve"> </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事故通风宜由</w:t>
            </w:r>
            <w:r>
              <w:rPr>
                <w:rFonts w:hint="eastAsia" w:cs="Times New Roman"/>
                <w:color w:val="000000" w:themeColor="text1"/>
                <w:kern w:val="2"/>
                <w:sz w:val="24"/>
                <w:szCs w:val="24"/>
                <w:highlight w:val="none"/>
                <w:lang w:val="en-US" w:eastAsia="zh-CN" w:bidi="ar-SA"/>
                <w14:textFill>
                  <w14:solidFill>
                    <w14:schemeClr w14:val="tx1"/>
                  </w14:solidFill>
                </w14:textFill>
              </w:rPr>
              <w:t>经常</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使用的通风系统和事故通风系统......事故通风系统风量宜根据工艺设计要求通过计算确定，但换气次数不宜＜12次/h”的相关要求。电池拆解间风机风量＝房间体积×换气次数＝</w:t>
            </w:r>
            <w:r>
              <w:rPr>
                <w:rFonts w:hint="eastAsia" w:cs="Times New Roman"/>
                <w:color w:val="000000" w:themeColor="text1"/>
                <w:kern w:val="2"/>
                <w:sz w:val="24"/>
                <w:szCs w:val="24"/>
                <w:highlight w:val="none"/>
                <w:lang w:val="en-US" w:eastAsia="zh-CN" w:bidi="ar-SA"/>
                <w14:textFill>
                  <w14:solidFill>
                    <w14:schemeClr w14:val="tx1"/>
                  </w14:solidFill>
                </w14:textFill>
              </w:rPr>
              <w:t>99</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×12＝1188m</w:t>
            </w:r>
            <w:r>
              <w:rPr>
                <w:rFonts w:hint="eastAsia" w:ascii="Times New Roman" w:hAnsi="Times New Roman" w:eastAsia="宋体" w:cs="Times New Roman"/>
                <w:color w:val="000000" w:themeColor="text1"/>
                <w:kern w:val="2"/>
                <w:sz w:val="24"/>
                <w:szCs w:val="24"/>
                <w:highlight w:val="none"/>
                <w:vertAlign w:val="superscript"/>
                <w:lang w:val="en-US" w:eastAsia="zh-CN" w:bidi="ar-SA"/>
                <w14:textFill>
                  <w14:solidFill>
                    <w14:schemeClr w14:val="tx1"/>
                  </w14:solidFill>
                </w14:textFill>
              </w:rPr>
              <w:t>3</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/h。</w:t>
            </w:r>
          </w:p>
          <w:p w14:paraId="401507F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000000" w:themeColor="text1"/>
                <w:sz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综上，</w:t>
            </w:r>
            <w:r>
              <w:rPr>
                <w:rFonts w:hint="eastAsia" w:ascii="Times New Roman" w:hAnsi="Times New Roman"/>
                <w:color w:val="000000" w:themeColor="text1"/>
                <w:sz w:val="24"/>
                <w:highlight w:val="none"/>
                <w:lang w:val="en-US" w:eastAsia="zh-CN"/>
                <w14:textFill>
                  <w14:solidFill>
                    <w14:schemeClr w14:val="tx1"/>
                  </w14:solidFill>
                </w14:textFill>
              </w:rPr>
              <w:t>考虑风管、弯头等损耗，</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本</w:t>
            </w:r>
            <w:r>
              <w:rPr>
                <w:rFonts w:hint="eastAsia" w:cs="Times New Roman"/>
                <w:color w:val="000000" w:themeColor="text1"/>
                <w:kern w:val="2"/>
                <w:sz w:val="24"/>
                <w:szCs w:val="24"/>
                <w:highlight w:val="none"/>
                <w:lang w:val="en-US" w:eastAsia="zh-CN" w:bidi="ar-SA"/>
                <w14:textFill>
                  <w14:solidFill>
                    <w14:schemeClr w14:val="tx1"/>
                  </w14:solidFill>
                </w14:textFill>
              </w:rPr>
              <w:t>次评价</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DA002风机总量</w:t>
            </w:r>
            <w:r>
              <w:rPr>
                <w:rFonts w:hint="eastAsia" w:ascii="Times New Roman" w:hAnsi="Times New Roman"/>
                <w:color w:val="000000" w:themeColor="text1"/>
                <w:sz w:val="24"/>
                <w:highlight w:val="none"/>
                <w:lang w:val="en-US" w:eastAsia="zh-CN"/>
                <w14:textFill>
                  <w14:solidFill>
                    <w14:schemeClr w14:val="tx1"/>
                  </w14:solidFill>
                </w14:textFill>
              </w:rPr>
              <w:t>取整</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为6000m</w:t>
            </w:r>
            <w:r>
              <w:rPr>
                <w:rFonts w:hint="eastAsia" w:ascii="Times New Roman" w:hAnsi="Times New Roman" w:eastAsia="宋体" w:cs="Times New Roman"/>
                <w:color w:val="000000" w:themeColor="text1"/>
                <w:kern w:val="2"/>
                <w:sz w:val="24"/>
                <w:szCs w:val="24"/>
                <w:highlight w:val="none"/>
                <w:vertAlign w:val="superscript"/>
                <w:lang w:val="en-US" w:eastAsia="zh-CN" w:bidi="ar-SA"/>
                <w14:textFill>
                  <w14:solidFill>
                    <w14:schemeClr w14:val="tx1"/>
                  </w14:solidFill>
                </w14:textFill>
              </w:rPr>
              <w:t>3</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/h</w:t>
            </w:r>
            <w:r>
              <w:rPr>
                <w:rFonts w:hint="eastAsia" w:ascii="Times New Roman" w:hAnsi="Times New Roman"/>
                <w:color w:val="000000" w:themeColor="text1"/>
                <w:sz w:val="24"/>
                <w:highlight w:val="none"/>
                <w:lang w:val="en-US" w:eastAsia="zh-CN"/>
                <w14:textFill>
                  <w14:solidFill>
                    <w14:schemeClr w14:val="tx1"/>
                  </w14:solidFill>
                </w14:textFill>
              </w:rPr>
              <w:t>。</w:t>
            </w:r>
          </w:p>
          <w:p w14:paraId="72851C79">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b/>
                <w:bCs/>
                <w:color w:val="000000" w:themeColor="text1"/>
                <w:sz w:val="24"/>
                <w:highlight w:val="none"/>
                <w:lang w:val="en-US" w:eastAsia="zh-CN"/>
                <w14:textFill>
                  <w14:solidFill>
                    <w14:schemeClr w14:val="tx1"/>
                  </w14:solidFill>
                </w14:textFill>
              </w:rPr>
            </w:pPr>
            <w:r>
              <w:rPr>
                <w:rFonts w:hint="eastAsia"/>
                <w:b/>
                <w:bCs/>
                <w:color w:val="000000" w:themeColor="text1"/>
                <w:sz w:val="24"/>
                <w:highlight w:val="none"/>
                <w:lang w:val="en-US" w:eastAsia="zh-CN"/>
                <w14:textFill>
                  <w14:solidFill>
                    <w14:schemeClr w14:val="tx1"/>
                  </w14:solidFill>
                </w14:textFill>
              </w:rPr>
              <w:t>DA001、DA002排气筒高度可行性分析：</w:t>
            </w:r>
          </w:p>
          <w:p w14:paraId="4C6C29A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根据《电池工业污染物排放标准》（GB 30484-2013）“4.2.6 排气筒周围半径200m范围内有建筑物时，排气筒高度还应高出最高建筑物3m以上”，本项目排气筒200m范围内涉及厂区厂房及公租房，根据现场踏勘及建设单位提供资料，公租房楼栋高度大约在21.5m，本项目电芯厂房高19.13m（电芯区高12.6m）、集成车间高22.3m（集成区高15.6m），项目南侧16m处在建厂房1#建筑物规划高度为26.25m，依据GB 30484-2013，电芯车间DA001、DA002排气筒高度应设置30m，</w:t>
            </w:r>
            <w:r>
              <w:rPr>
                <w:rFonts w:ascii="宋体" w:hAnsi="宋体" w:eastAsia="宋体" w:cs="宋体"/>
                <w:color w:val="000000" w:themeColor="text1"/>
                <w:sz w:val="24"/>
                <w:szCs w:val="24"/>
                <w14:textFill>
                  <w14:solidFill>
                    <w14:schemeClr w14:val="tx1"/>
                  </w14:solidFill>
                </w14:textFill>
              </w:rPr>
              <w:t>受电芯厂房建筑高度限</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制，架设30m高排气筒存在管道结构失稳等安全隐患，同时大幅增加风管阻力，不利于系统稳定运行，日常检修维护条件较差，不具备建设30m排气筒条件，参照《大气污染物综合排放</w:t>
            </w:r>
            <w:r>
              <w:rPr>
                <w:rFonts w:hint="eastAsia" w:cs="Times New Roman"/>
                <w:color w:val="000000" w:themeColor="text1"/>
                <w:sz w:val="24"/>
                <w:highlight w:val="none"/>
                <w:lang w:val="en-US" w:eastAsia="zh-CN"/>
                <w14:textFill>
                  <w14:solidFill>
                    <w14:schemeClr w14:val="tx1"/>
                  </w14:solidFill>
                </w14:textFill>
              </w:rPr>
              <w:t>标准</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》（GB 16297-1996），排气筒高度不能满足高于周围200m范围内的建筑物时，应按其排气筒对应高度的排放速率严格50%执行。</w:t>
            </w:r>
          </w:p>
          <w:p w14:paraId="371D209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pPr>
            <w:r>
              <w:rPr>
                <w:rFonts w:hint="eastAsia" w:cs="Times New Roman"/>
                <w:b/>
                <w:bCs/>
                <w:color w:val="000000" w:themeColor="text1"/>
                <w:sz w:val="24"/>
                <w:szCs w:val="24"/>
                <w:lang w:val="en-US" w:eastAsia="zh-CN"/>
                <w14:textFill>
                  <w14:solidFill>
                    <w14:schemeClr w14:val="tx1"/>
                  </w14:solidFill>
                </w14:textFill>
              </w:rPr>
              <w:t>7）NMP储罐呼吸废气</w:t>
            </w:r>
          </w:p>
          <w:p w14:paraId="118CB2D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本项目拟在电芯车间设置2个NMP储罐，其中1个储存为NMP新液，储罐容积为3m</w:t>
            </w:r>
            <w:r>
              <w:rPr>
                <w:rFonts w:hint="eastAsia" w:cs="Times New Roman"/>
                <w:color w:val="000000" w:themeColor="text1"/>
                <w:sz w:val="24"/>
                <w:szCs w:val="24"/>
                <w:vertAlign w:val="superscript"/>
                <w:lang w:val="en-US" w:eastAsia="zh-CN"/>
                <w14:textFill>
                  <w14:solidFill>
                    <w14:schemeClr w14:val="tx1"/>
                  </w14:solidFill>
                </w14:textFill>
              </w:rPr>
              <w:t>3</w:t>
            </w:r>
            <w:r>
              <w:rPr>
                <w:rFonts w:hint="eastAsia" w:cs="Times New Roman"/>
                <w:color w:val="000000" w:themeColor="text1"/>
                <w:sz w:val="24"/>
                <w:szCs w:val="24"/>
                <w:lang w:val="en-US" w:eastAsia="zh-CN"/>
                <w14:textFill>
                  <w14:solidFill>
                    <w14:schemeClr w14:val="tx1"/>
                  </w14:solidFill>
                </w14:textFill>
              </w:rPr>
              <w:t>，1个储存NMP回收液，储罐容积为50m</w:t>
            </w:r>
            <w:r>
              <w:rPr>
                <w:rFonts w:hint="eastAsia" w:cs="Times New Roman"/>
                <w:color w:val="000000" w:themeColor="text1"/>
                <w:sz w:val="24"/>
                <w:szCs w:val="24"/>
                <w:vertAlign w:val="superscript"/>
                <w:lang w:val="en-US" w:eastAsia="zh-CN"/>
                <w14:textFill>
                  <w14:solidFill>
                    <w14:schemeClr w14:val="tx1"/>
                  </w14:solidFill>
                </w14:textFill>
              </w:rPr>
              <w:t>3</w:t>
            </w:r>
            <w:r>
              <w:rPr>
                <w:rFonts w:hint="eastAsia" w:cs="Times New Roman"/>
                <w:color w:val="000000" w:themeColor="text1"/>
                <w:sz w:val="24"/>
                <w:szCs w:val="24"/>
                <w:lang w:val="en-US" w:eastAsia="zh-CN"/>
                <w14:textFill>
                  <w14:solidFill>
                    <w14:schemeClr w14:val="tx1"/>
                  </w14:solidFill>
                </w14:textFill>
              </w:rPr>
              <w:t>，主要存放NMP新液、回收的NMP回收液。储罐在储存过程中会通过呼吸阀排放少量有机废气，包括“大呼吸”损耗和“小呼吸”损耗。</w:t>
            </w:r>
          </w:p>
          <w:p w14:paraId="26EA590D">
            <w:pPr>
              <w:adjustRightInd w:val="0"/>
              <w:snapToGrid w:val="0"/>
              <w:spacing w:line="360" w:lineRule="auto"/>
              <w:ind w:firstLine="480" w:firstLineChars="200"/>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根据</w:t>
            </w:r>
            <w:r>
              <w:rPr>
                <w:rFonts w:hint="eastAsia" w:ascii="宋体" w:hAnsi="宋体" w:eastAsia="宋体"/>
                <w:color w:val="000000" w:themeColor="text1"/>
                <w:sz w:val="24"/>
                <w:szCs w:val="24"/>
                <w14:textFill>
                  <w14:solidFill>
                    <w14:schemeClr w14:val="tx1"/>
                  </w14:solidFill>
                </w14:textFill>
              </w:rPr>
              <w:t>美国《工业污染源调查与研究》第二辑计算公式</w:t>
            </w:r>
            <w:r>
              <w:rPr>
                <w:rFonts w:hint="eastAsia"/>
                <w:color w:val="000000" w:themeColor="text1"/>
                <w:sz w:val="24"/>
                <w14:textFill>
                  <w14:solidFill>
                    <w14:schemeClr w14:val="tx1"/>
                  </w14:solidFill>
                </w14:textFill>
              </w:rPr>
              <w:t>，罐区大、小呼吸气计算公式说明如下：</w:t>
            </w:r>
          </w:p>
          <w:p w14:paraId="362E89C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Times New Roman"/>
                <w:color w:val="000000" w:themeColor="text1"/>
                <w:sz w:val="24"/>
                <w:szCs w:val="24"/>
                <w:lang w:val="en-US" w:eastAsia="zh-CN"/>
                <w14:textFill>
                  <w14:solidFill>
                    <w14:schemeClr w14:val="tx1"/>
                  </w14:solidFill>
                </w14:textFill>
              </w:rPr>
            </w:pPr>
            <w:r>
              <w:rPr>
                <w:rFonts w:hint="eastAsia"/>
                <w:color w:val="000000" w:themeColor="text1"/>
                <w:sz w:val="24"/>
                <w14:textFill>
                  <w14:solidFill>
                    <w14:schemeClr w14:val="tx1"/>
                  </w14:solidFill>
                </w14:textFill>
              </w:rPr>
              <w:t>a小呼吸气：</w:t>
            </w:r>
          </w:p>
          <w:p w14:paraId="60865B9F">
            <w:pPr>
              <w:adjustRightInd w:val="0"/>
              <w:snapToGrid w:val="0"/>
              <w:spacing w:line="360" w:lineRule="auto"/>
              <w:ind w:firstLine="480" w:firstLineChars="20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LB=0.191×M（P/（100910-P））</w:t>
            </w:r>
            <w:r>
              <w:rPr>
                <w:rFonts w:hint="eastAsia"/>
                <w:color w:val="000000" w:themeColor="text1"/>
                <w:sz w:val="24"/>
                <w:vertAlign w:val="superscript"/>
                <w14:textFill>
                  <w14:solidFill>
                    <w14:schemeClr w14:val="tx1"/>
                  </w14:solidFill>
                </w14:textFill>
              </w:rPr>
              <w:t>0.68</w:t>
            </w:r>
            <w:r>
              <w:rPr>
                <w:rFonts w:hint="eastAsia"/>
                <w:color w:val="000000" w:themeColor="text1"/>
                <w:sz w:val="24"/>
                <w14:textFill>
                  <w14:solidFill>
                    <w14:schemeClr w14:val="tx1"/>
                  </w14:solidFill>
                </w14:textFill>
              </w:rPr>
              <w:t>×D</w:t>
            </w:r>
            <w:r>
              <w:rPr>
                <w:rFonts w:hint="eastAsia"/>
                <w:color w:val="000000" w:themeColor="text1"/>
                <w:sz w:val="24"/>
                <w:vertAlign w:val="superscript"/>
                <w14:textFill>
                  <w14:solidFill>
                    <w14:schemeClr w14:val="tx1"/>
                  </w14:solidFill>
                </w14:textFill>
              </w:rPr>
              <w:t>1.73</w:t>
            </w:r>
            <w:r>
              <w:rPr>
                <w:rFonts w:hint="eastAsia"/>
                <w:color w:val="000000" w:themeColor="text1"/>
                <w:sz w:val="24"/>
                <w14:textFill>
                  <w14:solidFill>
                    <w14:schemeClr w14:val="tx1"/>
                  </w14:solidFill>
                </w14:textFill>
              </w:rPr>
              <w:t>×H</w:t>
            </w:r>
            <w:r>
              <w:rPr>
                <w:rFonts w:hint="eastAsia"/>
                <w:color w:val="000000" w:themeColor="text1"/>
                <w:sz w:val="24"/>
                <w:vertAlign w:val="superscript"/>
                <w14:textFill>
                  <w14:solidFill>
                    <w14:schemeClr w14:val="tx1"/>
                  </w14:solidFill>
                </w14:textFill>
              </w:rPr>
              <w:t>0.51</w:t>
            </w:r>
            <w:r>
              <w:rPr>
                <w:rFonts w:hint="eastAsia"/>
                <w:color w:val="000000" w:themeColor="text1"/>
                <w:sz w:val="24"/>
                <w14:textFill>
                  <w14:solidFill>
                    <w14:schemeClr w14:val="tx1"/>
                  </w14:solidFill>
                </w14:textFill>
              </w:rPr>
              <w:t>×△T</w:t>
            </w:r>
            <w:r>
              <w:rPr>
                <w:rFonts w:hint="eastAsia"/>
                <w:color w:val="000000" w:themeColor="text1"/>
                <w:sz w:val="24"/>
                <w:vertAlign w:val="superscript"/>
                <w14:textFill>
                  <w14:solidFill>
                    <w14:schemeClr w14:val="tx1"/>
                  </w14:solidFill>
                </w14:textFill>
              </w:rPr>
              <w:t>0.45</w:t>
            </w:r>
            <w:r>
              <w:rPr>
                <w:rFonts w:hint="eastAsia"/>
                <w:color w:val="000000" w:themeColor="text1"/>
                <w:sz w:val="24"/>
                <w14:textFill>
                  <w14:solidFill>
                    <w14:schemeClr w14:val="tx1"/>
                  </w14:solidFill>
                </w14:textFill>
              </w:rPr>
              <w:t>×FP×C×KC×</w:t>
            </w:r>
            <w:r>
              <w:rPr>
                <w:rFonts w:hint="default" w:ascii="Times New Roman" w:hAnsi="Times New Roman" w:eastAsia="宋体" w:cs="Times New Roman"/>
                <w:color w:val="000000" w:themeColor="text1"/>
                <w:sz w:val="24"/>
                <w:szCs w:val="24"/>
                <w14:textFill>
                  <w14:solidFill>
                    <w14:schemeClr w14:val="tx1"/>
                  </w14:solidFill>
                </w14:textFill>
              </w:rPr>
              <w:t>η1</w:t>
            </w:r>
            <w:r>
              <w:rPr>
                <w:rFonts w:hint="default" w:ascii="Times New Roman" w:hAnsi="Times New Roman" w:cs="Times New Roman"/>
                <w:color w:val="000000" w:themeColor="text1"/>
                <w:sz w:val="24"/>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η2​</w:t>
            </w:r>
          </w:p>
          <w:p w14:paraId="6AEEA07E">
            <w:pPr>
              <w:adjustRightInd w:val="0"/>
              <w:snapToGrid w:val="0"/>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式中：LB——固定顶罐的</w:t>
            </w:r>
            <w:r>
              <w:rPr>
                <w:rFonts w:hint="eastAsia"/>
                <w:color w:val="000000" w:themeColor="text1"/>
                <w:sz w:val="24"/>
                <w:lang w:val="en-US" w:eastAsia="zh-CN"/>
                <w14:textFill>
                  <w14:solidFill>
                    <w14:schemeClr w14:val="tx1"/>
                  </w14:solidFill>
                </w14:textFill>
              </w:rPr>
              <w:t>小</w:t>
            </w:r>
            <w:r>
              <w:rPr>
                <w:rFonts w:hint="eastAsia"/>
                <w:color w:val="000000" w:themeColor="text1"/>
                <w:sz w:val="24"/>
                <w14:textFill>
                  <w14:solidFill>
                    <w14:schemeClr w14:val="tx1"/>
                  </w14:solidFill>
                </w14:textFill>
              </w:rPr>
              <w:t>呼吸排放量（kg/a）；</w:t>
            </w:r>
          </w:p>
          <w:p w14:paraId="60B5BE77">
            <w:pPr>
              <w:adjustRightInd w:val="0"/>
              <w:snapToGrid w:val="0"/>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M——储罐内蒸汽的分子量，</w:t>
            </w:r>
            <w:r>
              <w:rPr>
                <w:rFonts w:hint="eastAsia"/>
                <w:color w:val="000000" w:themeColor="text1"/>
                <w:sz w:val="24"/>
                <w:lang w:val="en-US" w:eastAsia="zh-CN"/>
                <w14:textFill>
                  <w14:solidFill>
                    <w14:schemeClr w14:val="tx1"/>
                  </w14:solidFill>
                </w14:textFill>
              </w:rPr>
              <w:t>NMP</w:t>
            </w:r>
            <w:r>
              <w:rPr>
                <w:rFonts w:hint="eastAsia"/>
                <w:color w:val="000000" w:themeColor="text1"/>
                <w:sz w:val="24"/>
                <w14:textFill>
                  <w14:solidFill>
                    <w14:schemeClr w14:val="tx1"/>
                  </w14:solidFill>
                </w14:textFill>
              </w:rPr>
              <w:t>为</w:t>
            </w:r>
            <w:r>
              <w:rPr>
                <w:rFonts w:hint="eastAsia"/>
                <w:color w:val="000000" w:themeColor="text1"/>
                <w:sz w:val="24"/>
                <w:lang w:val="en-US" w:eastAsia="zh-CN"/>
                <w14:textFill>
                  <w14:solidFill>
                    <w14:schemeClr w14:val="tx1"/>
                  </w14:solidFill>
                </w14:textFill>
              </w:rPr>
              <w:t>99.13</w:t>
            </w:r>
            <w:r>
              <w:rPr>
                <w:rFonts w:hint="eastAsia"/>
                <w:color w:val="000000" w:themeColor="text1"/>
                <w:sz w:val="24"/>
                <w14:textFill>
                  <w14:solidFill>
                    <w14:schemeClr w14:val="tx1"/>
                  </w14:solidFill>
                </w14:textFill>
              </w:rPr>
              <w:t>；</w:t>
            </w:r>
          </w:p>
          <w:p w14:paraId="27D8A909">
            <w:pPr>
              <w:adjustRightInd w:val="0"/>
              <w:snapToGrid w:val="0"/>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P——在大量液体状态下，真实的蒸汽压力（Pa），</w:t>
            </w:r>
            <w:r>
              <w:rPr>
                <w:rFonts w:hint="eastAsia" w:ascii="宋体" w:hAnsi="宋体" w:eastAsia="宋体"/>
                <w:color w:val="000000" w:themeColor="text1"/>
                <w:sz w:val="24"/>
                <w:szCs w:val="24"/>
                <w14:textFill>
                  <w14:solidFill>
                    <w14:schemeClr w14:val="tx1"/>
                  </w14:solidFill>
                </w14:textFill>
              </w:rPr>
              <w:t>根据《化工物性算图手册》（刘光启等，</w:t>
            </w:r>
            <w:r>
              <w:rPr>
                <w:rFonts w:hint="eastAsia" w:ascii="TimesNewRomanPSMT" w:hAnsi="TimesNewRomanPSMT" w:eastAsia="TimesNewRomanPSMT"/>
                <w:color w:val="000000" w:themeColor="text1"/>
                <w:sz w:val="24"/>
                <w:szCs w:val="24"/>
                <w14:textFill>
                  <w14:solidFill>
                    <w14:schemeClr w14:val="tx1"/>
                  </w14:solidFill>
                </w14:textFill>
              </w:rPr>
              <w:t>2022</w:t>
            </w:r>
            <w:r>
              <w:rPr>
                <w:rFonts w:hint="eastAsia" w:ascii="宋体" w:hAnsi="宋体" w:eastAsia="宋体"/>
                <w:color w:val="000000" w:themeColor="text1"/>
                <w:sz w:val="24"/>
                <w:szCs w:val="24"/>
                <w14:textFill>
                  <w14:solidFill>
                    <w14:schemeClr w14:val="tx1"/>
                  </w14:solidFill>
                </w14:textFill>
              </w:rPr>
              <w:t>），本项目</w:t>
            </w:r>
            <w:r>
              <w:rPr>
                <w:rFonts w:hint="eastAsia" w:ascii="TimesNewRomanPSMT" w:hAnsi="TimesNewRomanPSMT" w:eastAsia="TimesNewRomanPSMT"/>
                <w:color w:val="000000" w:themeColor="text1"/>
                <w:sz w:val="24"/>
                <w:szCs w:val="24"/>
                <w14:textFill>
                  <w14:solidFill>
                    <w14:schemeClr w14:val="tx1"/>
                  </w14:solidFill>
                </w14:textFill>
              </w:rPr>
              <w:t>NMP</w:t>
            </w:r>
            <w:r>
              <w:rPr>
                <w:rFonts w:hint="eastAsia" w:ascii="宋体" w:hAnsi="宋体" w:eastAsia="宋体"/>
                <w:color w:val="000000" w:themeColor="text1"/>
                <w:sz w:val="24"/>
                <w:szCs w:val="24"/>
                <w14:textFill>
                  <w14:solidFill>
                    <w14:schemeClr w14:val="tx1"/>
                  </w14:solidFill>
                </w14:textFill>
              </w:rPr>
              <w:t>储罐中</w:t>
            </w:r>
            <w:r>
              <w:rPr>
                <w:rFonts w:hint="eastAsia" w:ascii="宋体" w:hAnsi="宋体"/>
                <w:color w:val="000000" w:themeColor="text1"/>
                <w:sz w:val="24"/>
                <w:szCs w:val="24"/>
                <w:lang w:eastAsia="zh-CN"/>
                <w14:textFill>
                  <w14:solidFill>
                    <w14:schemeClr w14:val="tx1"/>
                  </w14:solidFill>
                </w14:textFill>
              </w:rPr>
              <w:t>蒸汽</w:t>
            </w:r>
            <w:r>
              <w:rPr>
                <w:rFonts w:hint="eastAsia" w:ascii="宋体" w:hAnsi="宋体" w:eastAsia="宋体"/>
                <w:color w:val="000000" w:themeColor="text1"/>
                <w:sz w:val="24"/>
                <w:szCs w:val="24"/>
                <w14:textFill>
                  <w14:solidFill>
                    <w14:schemeClr w14:val="tx1"/>
                  </w14:solidFill>
                </w14:textFill>
              </w:rPr>
              <w:t>压为</w:t>
            </w:r>
            <w:r>
              <w:rPr>
                <w:rFonts w:hint="eastAsia" w:ascii="TimesNewRomanPSMT" w:hAnsi="TimesNewRomanPSMT" w:eastAsia="TimesNewRomanPSMT"/>
                <w:color w:val="000000" w:themeColor="text1"/>
                <w:sz w:val="24"/>
                <w:szCs w:val="24"/>
                <w14:textFill>
                  <w14:solidFill>
                    <w14:schemeClr w14:val="tx1"/>
                  </w14:solidFill>
                </w14:textFill>
              </w:rPr>
              <w:t>320</w:t>
            </w:r>
            <w:r>
              <w:rPr>
                <w:rFonts w:hint="eastAsia"/>
                <w:color w:val="000000" w:themeColor="text1"/>
                <w:sz w:val="24"/>
                <w14:textFill>
                  <w14:solidFill>
                    <w14:schemeClr w14:val="tx1"/>
                  </w14:solidFill>
                </w14:textFill>
              </w:rPr>
              <w:t>Pa；</w:t>
            </w:r>
          </w:p>
          <w:p w14:paraId="392E3690">
            <w:pPr>
              <w:adjustRightInd w:val="0"/>
              <w:snapToGrid w:val="0"/>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D——罐的直径（m）；</w:t>
            </w:r>
          </w:p>
          <w:p w14:paraId="47C34A4E">
            <w:pPr>
              <w:adjustRightInd w:val="0"/>
              <w:snapToGrid w:val="0"/>
              <w:spacing w:line="360" w:lineRule="auto"/>
              <w:ind w:firstLine="480" w:firstLineChars="200"/>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H——平均蒸汽空间高度（m），本处取1.0m；</w:t>
            </w:r>
          </w:p>
          <w:p w14:paraId="2126DE33">
            <w:pPr>
              <w:adjustRightInd w:val="0"/>
              <w:snapToGrid w:val="0"/>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ΔT——一天之内的平均温度差（</w:t>
            </w:r>
            <w:r>
              <w:rPr>
                <w:rFonts w:hint="default" w:ascii="Times New Roman" w:hAnsi="Times New Roman" w:cs="Times New Roman"/>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），本处取10</w:t>
            </w:r>
            <w:r>
              <w:rPr>
                <w:rFonts w:hint="default" w:ascii="Times New Roman" w:hAnsi="Times New Roman" w:cs="Times New Roman"/>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w:t>
            </w:r>
          </w:p>
          <w:p w14:paraId="56379E9F">
            <w:pPr>
              <w:adjustRightInd w:val="0"/>
              <w:snapToGrid w:val="0"/>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FP——</w:t>
            </w:r>
            <w:r>
              <w:rPr>
                <w:rFonts w:hint="eastAsia"/>
                <w:color w:val="000000" w:themeColor="text1"/>
                <w:sz w:val="24"/>
                <w:lang w:val="en-US" w:eastAsia="zh-CN"/>
                <w14:textFill>
                  <w14:solidFill>
                    <w14:schemeClr w14:val="tx1"/>
                  </w14:solidFill>
                </w14:textFill>
              </w:rPr>
              <w:t>涂层</w:t>
            </w:r>
            <w:r>
              <w:rPr>
                <w:rFonts w:hint="eastAsia"/>
                <w:color w:val="000000" w:themeColor="text1"/>
                <w:sz w:val="24"/>
                <w14:textFill>
                  <w14:solidFill>
                    <w14:schemeClr w14:val="tx1"/>
                  </w14:solidFill>
                </w14:textFill>
              </w:rPr>
              <w:t>因子（无量纲），根据</w:t>
            </w:r>
            <w:r>
              <w:rPr>
                <w:rFonts w:hint="eastAsia"/>
                <w:color w:val="000000" w:themeColor="text1"/>
                <w:sz w:val="24"/>
                <w:lang w:val="en-US" w:eastAsia="zh-CN"/>
                <w14:textFill>
                  <w14:solidFill>
                    <w14:schemeClr w14:val="tx1"/>
                  </w14:solidFill>
                </w14:textFill>
              </w:rPr>
              <w:t>液体</w:t>
            </w:r>
            <w:r>
              <w:rPr>
                <w:rFonts w:hint="eastAsia"/>
                <w:color w:val="000000" w:themeColor="text1"/>
                <w:sz w:val="24"/>
                <w14:textFill>
                  <w14:solidFill>
                    <w14:schemeClr w14:val="tx1"/>
                  </w14:solidFill>
                </w14:textFill>
              </w:rPr>
              <w:t>状况取值在1~1.5之间，本处取1.</w:t>
            </w:r>
            <w:r>
              <w:rPr>
                <w:rFonts w:hint="eastAsia"/>
                <w:color w:val="000000" w:themeColor="text1"/>
                <w:sz w:val="24"/>
                <w:lang w:val="en-US" w:eastAsia="zh-CN"/>
                <w14:textFill>
                  <w14:solidFill>
                    <w14:schemeClr w14:val="tx1"/>
                  </w14:solidFill>
                </w14:textFill>
              </w:rPr>
              <w:t>25</w:t>
            </w:r>
            <w:r>
              <w:rPr>
                <w:rFonts w:hint="eastAsia"/>
                <w:color w:val="000000" w:themeColor="text1"/>
                <w:sz w:val="24"/>
                <w14:textFill>
                  <w14:solidFill>
                    <w14:schemeClr w14:val="tx1"/>
                  </w14:solidFill>
                </w14:textFill>
              </w:rPr>
              <w:t>；</w:t>
            </w:r>
          </w:p>
          <w:p w14:paraId="7897D308">
            <w:pPr>
              <w:adjustRightInd w:val="0"/>
              <w:snapToGrid w:val="0"/>
              <w:spacing w:line="360" w:lineRule="auto"/>
              <w:ind w:firstLine="480" w:firstLineChars="200"/>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C——用于小直径罐的调节因子（无量纲），直径在0~9m之间的罐体，C=1-0.0123（D-9）</w:t>
            </w:r>
            <w:r>
              <w:rPr>
                <w:rFonts w:hint="eastAsia"/>
                <w:color w:val="000000" w:themeColor="text1"/>
                <w:sz w:val="24"/>
                <w:vertAlign w:val="superscript"/>
                <w14:textFill>
                  <w14:solidFill>
                    <w14:schemeClr w14:val="tx1"/>
                  </w14:solidFill>
                </w14:textFill>
              </w:rPr>
              <w:t>2</w:t>
            </w:r>
            <w:r>
              <w:rPr>
                <w:rFonts w:hint="eastAsia"/>
                <w:color w:val="000000" w:themeColor="text1"/>
                <w:sz w:val="24"/>
                <w14:textFill>
                  <w14:solidFill>
                    <w14:schemeClr w14:val="tx1"/>
                  </w14:solidFill>
                </w14:textFill>
              </w:rPr>
              <w:t>；罐径大于9m的C=1；</w:t>
            </w:r>
          </w:p>
          <w:p w14:paraId="304CFD02">
            <w:pPr>
              <w:adjustRightInd w:val="0"/>
              <w:snapToGrid w:val="0"/>
              <w:spacing w:line="360" w:lineRule="auto"/>
              <w:ind w:firstLine="480" w:firstLineChars="200"/>
              <w:rPr>
                <w:rFonts w:hint="eastAsia" w:ascii="Times New Roman" w:hAnsi="Times New Roman" w:eastAsia="宋体" w:cs="Times New Roman"/>
                <w:color w:val="000000" w:themeColor="text1"/>
                <w:sz w:val="24"/>
                <w:lang w:val="en-US" w:eastAsia="zh-CN"/>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KC——产品因子（石油</w:t>
            </w:r>
            <w:r>
              <w:rPr>
                <w:rFonts w:hint="eastAsia" w:cs="Times New Roman"/>
                <w:color w:val="000000" w:themeColor="text1"/>
                <w:sz w:val="24"/>
                <w:lang w:val="en-US" w:eastAsia="zh-CN"/>
                <w14:textFill>
                  <w14:solidFill>
                    <w14:schemeClr w14:val="tx1"/>
                  </w14:solidFill>
                </w14:textFill>
              </w:rPr>
              <w:t>原油</w:t>
            </w:r>
            <w:r>
              <w:rPr>
                <w:rFonts w:hint="eastAsia" w:ascii="Times New Roman" w:hAnsi="Times New Roman" w:eastAsia="宋体" w:cs="Times New Roman"/>
                <w:color w:val="000000" w:themeColor="text1"/>
                <w:sz w:val="24"/>
                <w14:textFill>
                  <w14:solidFill>
                    <w14:schemeClr w14:val="tx1"/>
                  </w14:solidFill>
                </w14:textFill>
              </w:rPr>
              <w:t>KC取0.65，其他液体取1.0）</w:t>
            </w:r>
            <w:r>
              <w:rPr>
                <w:rFonts w:hint="eastAsia" w:ascii="Times New Roman" w:hAnsi="Times New Roman" w:eastAsia="宋体" w:cs="Times New Roman"/>
                <w:color w:val="000000" w:themeColor="text1"/>
                <w:sz w:val="24"/>
                <w:lang w:val="en-US" w:eastAsia="zh-CN"/>
                <w14:textFill>
                  <w14:solidFill>
                    <w14:schemeClr w14:val="tx1"/>
                  </w14:solidFill>
                </w14:textFill>
              </w:rPr>
              <w:t>。</w:t>
            </w:r>
          </w:p>
          <w:p w14:paraId="09FC9C4D">
            <w:pPr>
              <w:adjustRightInd w:val="0"/>
              <w:snapToGrid w:val="0"/>
              <w:spacing w:line="360" w:lineRule="auto"/>
              <w:ind w:firstLine="480" w:firstLineChars="200"/>
              <w:rPr>
                <w:rFonts w:hint="eastAsia" w:cs="Times New Roman"/>
                <w:color w:val="000000" w:themeColor="text1"/>
                <w:sz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η1</w:t>
            </w:r>
            <w:r>
              <w:rPr>
                <w:rFonts w:hint="eastAsia" w:ascii="Times New Roman" w:hAnsi="Times New Roman" w:eastAsia="宋体" w:cs="Times New Roman"/>
                <w:color w:val="000000" w:themeColor="text1"/>
                <w:sz w:val="24"/>
                <w14:textFill>
                  <w14:solidFill>
                    <w14:schemeClr w14:val="tx1"/>
                  </w14:solidFill>
                </w14:textFill>
              </w:rPr>
              <w:t>——</w:t>
            </w:r>
            <w:r>
              <w:rPr>
                <w:rFonts w:hint="eastAsia" w:cs="Times New Roman"/>
                <w:color w:val="000000" w:themeColor="text1"/>
                <w:sz w:val="24"/>
                <w:lang w:val="en-US" w:eastAsia="zh-CN"/>
                <w14:textFill>
                  <w14:solidFill>
                    <w14:schemeClr w14:val="tx1"/>
                  </w14:solidFill>
                </w14:textFill>
              </w:rPr>
              <w:t>内浮顶罐取0.05，拱顶罐取1；</w:t>
            </w:r>
          </w:p>
          <w:p w14:paraId="70F813F3">
            <w:pPr>
              <w:adjustRightInd w:val="0"/>
              <w:snapToGrid w:val="0"/>
              <w:spacing w:line="360" w:lineRule="auto"/>
              <w:ind w:firstLine="480" w:firstLineChars="200"/>
              <w:rPr>
                <w:rFonts w:hint="default" w:eastAsia="宋体" w:cs="Times New Roman"/>
                <w:color w:val="000000" w:themeColor="text1"/>
                <w:sz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η2</w:t>
            </w:r>
            <w:r>
              <w:rPr>
                <w:rFonts w:hint="eastAsia" w:ascii="Times New Roman" w:hAnsi="Times New Roman" w:eastAsia="宋体" w:cs="Times New Roman"/>
                <w:color w:val="000000" w:themeColor="text1"/>
                <w:sz w:val="24"/>
                <w14:textFill>
                  <w14:solidFill>
                    <w14:schemeClr w14:val="tx1"/>
                  </w14:solidFill>
                </w14:textFill>
              </w:rPr>
              <w:t>——</w:t>
            </w:r>
            <w:r>
              <w:rPr>
                <w:rFonts w:hint="eastAsia" w:cs="Times New Roman"/>
                <w:color w:val="000000" w:themeColor="text1"/>
                <w:sz w:val="24"/>
                <w:lang w:val="en-US" w:eastAsia="zh-CN"/>
                <w14:textFill>
                  <w14:solidFill>
                    <w14:schemeClr w14:val="tx1"/>
                  </w14:solidFill>
                </w14:textFill>
              </w:rPr>
              <w:t>设置呼吸阀取0.7，不设呼吸阀取1。</w:t>
            </w:r>
          </w:p>
          <w:p w14:paraId="75A38E0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lang w:eastAsia="zh-CN"/>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b大呼吸气</w:t>
            </w:r>
            <w:r>
              <w:rPr>
                <w:rFonts w:hint="eastAsia" w:ascii="Times New Roman" w:hAnsi="Times New Roman" w:eastAsia="宋体" w:cs="Times New Roman"/>
                <w:color w:val="000000" w:themeColor="text1"/>
                <w:sz w:val="24"/>
                <w:lang w:eastAsia="zh-CN"/>
                <w14:textFill>
                  <w14:solidFill>
                    <w14:schemeClr w14:val="tx1"/>
                  </w14:solidFill>
                </w14:textFill>
              </w:rPr>
              <w:t>：</w:t>
            </w:r>
          </w:p>
          <w:p w14:paraId="54B85D8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eastAsia="宋体"/>
                <w:color w:val="000000" w:themeColor="text1"/>
                <w:sz w:val="24"/>
                <w:szCs w:val="24"/>
                <w:lang w:val="en-US" w:eastAsia="zh-CN"/>
                <w14:textFill>
                  <w14:solidFill>
                    <w14:schemeClr w14:val="tx1"/>
                  </w14:solidFill>
                </w14:textFill>
              </w:rPr>
            </w:pPr>
            <w:r>
              <w:rPr>
                <w:rFonts w:hint="eastAsia"/>
                <w:color w:val="000000" w:themeColor="text1"/>
                <w:sz w:val="24"/>
                <w:szCs w:val="24"/>
                <w14:textFill>
                  <w14:solidFill>
                    <w14:schemeClr w14:val="tx1"/>
                  </w14:solidFill>
                </w14:textFill>
              </w:rPr>
              <w:t>LW=4.188×10</w:t>
            </w:r>
            <w:r>
              <w:rPr>
                <w:rFonts w:hint="eastAsia"/>
                <w:color w:val="000000" w:themeColor="text1"/>
                <w:sz w:val="24"/>
                <w:szCs w:val="24"/>
                <w:vertAlign w:val="superscript"/>
                <w14:textFill>
                  <w14:solidFill>
                    <w14:schemeClr w14:val="tx1"/>
                  </w14:solidFill>
                </w14:textFill>
              </w:rPr>
              <w:t>-7</w:t>
            </w:r>
            <w:r>
              <w:rPr>
                <w:rFonts w:hint="eastAsia"/>
                <w:color w:val="000000" w:themeColor="text1"/>
                <w:sz w:val="24"/>
                <w:szCs w:val="24"/>
                <w14:textFill>
                  <w14:solidFill>
                    <w14:schemeClr w14:val="tx1"/>
                  </w14:solidFill>
                </w14:textFill>
              </w:rPr>
              <w:t>×M×P×KN×KC</w:t>
            </w:r>
          </w:p>
          <w:p w14:paraId="78704FB8">
            <w:pPr>
              <w:pStyle w:val="225"/>
              <w:rPr>
                <w:color w:val="000000" w:themeColor="text1"/>
                <w14:textFill>
                  <w14:solidFill>
                    <w14:schemeClr w14:val="tx1"/>
                  </w14:solidFill>
                </w14:textFill>
              </w:rPr>
            </w:pPr>
            <w:r>
              <w:rPr>
                <w:rFonts w:hint="eastAsia"/>
                <w:color w:val="000000" w:themeColor="text1"/>
                <w14:textFill>
                  <w14:solidFill>
                    <w14:schemeClr w14:val="tx1"/>
                  </w14:solidFill>
                </w14:textFill>
              </w:rPr>
              <w:t>式中：LW——固定顶罐的</w:t>
            </w:r>
            <w:r>
              <w:rPr>
                <w:rFonts w:hint="eastAsia"/>
                <w:color w:val="000000" w:themeColor="text1"/>
                <w:lang w:val="en-US" w:eastAsia="zh-CN"/>
                <w14:textFill>
                  <w14:solidFill>
                    <w14:schemeClr w14:val="tx1"/>
                  </w14:solidFill>
                </w14:textFill>
              </w:rPr>
              <w:t>大呼吸排放量</w:t>
            </w:r>
            <w:r>
              <w:rPr>
                <w:rFonts w:hint="eastAsia"/>
                <w:color w:val="000000" w:themeColor="text1"/>
                <w14:textFill>
                  <w14:solidFill>
                    <w14:schemeClr w14:val="tx1"/>
                  </w14:solidFill>
                </w14:textFill>
              </w:rPr>
              <w:t>（kg/</w:t>
            </w:r>
            <w:r>
              <w:rPr>
                <w:rFonts w:hint="eastAsia"/>
                <w:color w:val="000000" w:themeColor="text1"/>
                <w:lang w:val="en-US" w:eastAsia="zh-CN"/>
                <w14:textFill>
                  <w14:solidFill>
                    <w14:schemeClr w14:val="tx1"/>
                  </w14:solidFill>
                </w14:textFill>
              </w:rPr>
              <w:t>a</w:t>
            </w:r>
            <w:r>
              <w:rPr>
                <w:rFonts w:hint="eastAsia"/>
                <w:color w:val="000000" w:themeColor="text1"/>
                <w14:textFill>
                  <w14:solidFill>
                    <w14:schemeClr w14:val="tx1"/>
                  </w14:solidFill>
                </w14:textFill>
              </w:rPr>
              <w:t>）。</w:t>
            </w:r>
          </w:p>
          <w:p w14:paraId="68B5712C">
            <w:pPr>
              <w:pStyle w:val="225"/>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KN——周转因子（无量纲），取值按年周转次数（K）确定。</w:t>
            </w:r>
          </w:p>
          <w:p w14:paraId="0A00F107">
            <w:pPr>
              <w:pStyle w:val="225"/>
              <w:rPr>
                <w:rFonts w:hint="eastAsia" w:eastAsia="宋体"/>
                <w:color w:val="000000" w:themeColor="text1"/>
                <w:sz w:val="24"/>
                <w:szCs w:val="24"/>
                <w:lang w:eastAsia="zh-CN"/>
                <w14:textFill>
                  <w14:solidFill>
                    <w14:schemeClr w14:val="tx1"/>
                  </w14:solidFill>
                </w14:textFill>
              </w:rPr>
            </w:pPr>
            <w:r>
              <w:rPr>
                <w:rFonts w:hint="eastAsia"/>
                <w:color w:val="000000" w:themeColor="text1"/>
                <w14:textFill>
                  <w14:solidFill>
                    <w14:schemeClr w14:val="tx1"/>
                  </w14:solidFill>
                </w14:textFill>
              </w:rPr>
              <w:t>K&lt;36，KN=1</w:t>
            </w:r>
            <w:r>
              <w:rPr>
                <w:rFonts w:hint="eastAsia"/>
                <w:color w:val="000000" w:themeColor="text1"/>
                <w:lang w:eastAsia="zh-CN"/>
                <w14:textFill>
                  <w14:solidFill>
                    <w14:schemeClr w14:val="tx1"/>
                  </w14:solidFill>
                </w14:textFill>
              </w:rPr>
              <w:t>；</w:t>
            </w:r>
            <w:r>
              <w:rPr>
                <w:rFonts w:hint="eastAsia"/>
                <w:color w:val="000000" w:themeColor="text1"/>
                <w:sz w:val="24"/>
                <w:szCs w:val="24"/>
                <w14:textFill>
                  <w14:solidFill>
                    <w14:schemeClr w14:val="tx1"/>
                  </w14:solidFill>
                </w14:textFill>
              </w:rPr>
              <w:t>36&lt;K&lt;220，KN=11.467×K</w:t>
            </w:r>
            <w:r>
              <w:rPr>
                <w:rFonts w:hint="eastAsia"/>
                <w:color w:val="000000" w:themeColor="text1"/>
                <w:sz w:val="24"/>
                <w:szCs w:val="24"/>
                <w:vertAlign w:val="superscript"/>
                <w14:textFill>
                  <w14:solidFill>
                    <w14:schemeClr w14:val="tx1"/>
                  </w14:solidFill>
                </w14:textFill>
              </w:rPr>
              <w:t>-0.7026</w:t>
            </w:r>
            <w:r>
              <w:rPr>
                <w:rFonts w:hint="eastAsia"/>
                <w:color w:val="000000" w:themeColor="text1"/>
                <w:sz w:val="24"/>
                <w:szCs w:val="24"/>
                <w:lang w:eastAsia="zh-CN"/>
                <w14:textFill>
                  <w14:solidFill>
                    <w14:schemeClr w14:val="tx1"/>
                  </w14:solidFill>
                </w14:textFill>
              </w:rPr>
              <w:t>；</w:t>
            </w:r>
            <w:r>
              <w:rPr>
                <w:rFonts w:hint="eastAsia"/>
                <w:color w:val="000000" w:themeColor="text1"/>
                <w:sz w:val="24"/>
                <w:szCs w:val="24"/>
                <w14:textFill>
                  <w14:solidFill>
                    <w14:schemeClr w14:val="tx1"/>
                  </w14:solidFill>
                </w14:textFill>
              </w:rPr>
              <w:t>K&gt;220，KN=0.26</w:t>
            </w:r>
            <w:r>
              <w:rPr>
                <w:rFonts w:hint="eastAsia"/>
                <w:color w:val="000000" w:themeColor="text1"/>
                <w:sz w:val="24"/>
                <w:szCs w:val="24"/>
                <w:lang w:eastAsia="zh-CN"/>
                <w14:textFill>
                  <w14:solidFill>
                    <w14:schemeClr w14:val="tx1"/>
                  </w14:solidFill>
                </w14:textFill>
              </w:rPr>
              <w:t>。</w:t>
            </w:r>
          </w:p>
          <w:p w14:paraId="6D5139E3">
            <w:pPr>
              <w:spacing w:line="240" w:lineRule="auto"/>
              <w:jc w:val="center"/>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表</w:t>
            </w:r>
            <w:r>
              <w:rPr>
                <w:rFonts w:hint="eastAsia"/>
                <w:b/>
                <w:bCs/>
                <w:color w:val="000000" w:themeColor="text1"/>
                <w:sz w:val="21"/>
                <w:szCs w:val="21"/>
                <w14:textFill>
                  <w14:solidFill>
                    <w14:schemeClr w14:val="tx1"/>
                  </w14:solidFill>
                </w14:textFill>
              </w:rPr>
              <w:t>4</w:t>
            </w:r>
            <w:r>
              <w:rPr>
                <w:b/>
                <w:bCs/>
                <w:color w:val="000000" w:themeColor="text1"/>
                <w:sz w:val="21"/>
                <w:szCs w:val="21"/>
                <w14:textFill>
                  <w14:solidFill>
                    <w14:schemeClr w14:val="tx1"/>
                  </w14:solidFill>
                </w14:textFill>
              </w:rPr>
              <w:t>-</w:t>
            </w:r>
            <w:r>
              <w:rPr>
                <w:rFonts w:hint="eastAsia"/>
                <w:b/>
                <w:bCs/>
                <w:color w:val="000000" w:themeColor="text1"/>
                <w:sz w:val="21"/>
                <w:szCs w:val="21"/>
                <w:lang w:val="en-US" w:eastAsia="zh-CN"/>
                <w14:textFill>
                  <w14:solidFill>
                    <w14:schemeClr w14:val="tx1"/>
                  </w14:solidFill>
                </w14:textFill>
              </w:rPr>
              <w:t>2</w:t>
            </w:r>
            <w:r>
              <w:rPr>
                <w:b/>
                <w:bCs/>
                <w:color w:val="000000" w:themeColor="text1"/>
                <w:sz w:val="21"/>
                <w:szCs w:val="21"/>
                <w14:textFill>
                  <w14:solidFill>
                    <w14:schemeClr w14:val="tx1"/>
                  </w14:solidFill>
                </w14:textFill>
              </w:rPr>
              <w:t xml:space="preserve"> </w:t>
            </w:r>
            <w:r>
              <w:rPr>
                <w:rFonts w:hint="eastAsia"/>
                <w:b/>
                <w:bCs/>
                <w:color w:val="000000" w:themeColor="text1"/>
                <w:sz w:val="21"/>
                <w:szCs w:val="21"/>
                <w14:textFill>
                  <w14:solidFill>
                    <w14:schemeClr w14:val="tx1"/>
                  </w14:solidFill>
                </w14:textFill>
              </w:rPr>
              <w:t>参数选取一览表</w:t>
            </w:r>
          </w:p>
          <w:tbl>
            <w:tblPr>
              <w:tblStyle w:val="41"/>
              <w:tblW w:w="7978" w:type="dxa"/>
              <w:jc w:val="center"/>
              <w:tblBorders>
                <w:top w:val="single" w:color="000000" w:sz="8" w:space="0"/>
                <w:left w:val="none" w:color="auto" w:sz="0" w:space="0"/>
                <w:bottom w:val="single" w:color="000000" w:sz="8" w:space="0"/>
                <w:right w:val="none" w:color="auto" w:sz="0" w:space="0"/>
                <w:insideH w:val="single" w:color="000000" w:sz="6" w:space="0"/>
                <w:insideV w:val="single" w:color="000000" w:sz="6" w:space="0"/>
              </w:tblBorders>
              <w:tblLayout w:type="fixed"/>
              <w:tblCellMar>
                <w:top w:w="0" w:type="dxa"/>
                <w:left w:w="0" w:type="dxa"/>
                <w:bottom w:w="0" w:type="dxa"/>
                <w:right w:w="0" w:type="dxa"/>
              </w:tblCellMar>
            </w:tblPr>
            <w:tblGrid>
              <w:gridCol w:w="1246"/>
              <w:gridCol w:w="612"/>
              <w:gridCol w:w="612"/>
              <w:gridCol w:w="612"/>
              <w:gridCol w:w="612"/>
              <w:gridCol w:w="612"/>
              <w:gridCol w:w="612"/>
              <w:gridCol w:w="612"/>
              <w:gridCol w:w="612"/>
              <w:gridCol w:w="612"/>
              <w:gridCol w:w="612"/>
              <w:gridCol w:w="612"/>
            </w:tblGrid>
            <w:tr w14:paraId="11EBD29F">
              <w:tblPrEx>
                <w:tblBorders>
                  <w:top w:val="single" w:color="000000" w:sz="8" w:space="0"/>
                  <w:left w:val="none" w:color="auto" w:sz="0" w:space="0"/>
                  <w:bottom w:val="single" w:color="000000" w:sz="8"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89" w:hRule="exact"/>
                <w:jc w:val="center"/>
              </w:trPr>
              <w:tc>
                <w:tcPr>
                  <w:tcW w:w="1246" w:type="dxa"/>
                  <w:noWrap w:val="0"/>
                  <w:vAlign w:val="center"/>
                </w:tcPr>
                <w:p w14:paraId="3CABDE5C">
                  <w:pPr>
                    <w:spacing w:line="320" w:lineRule="exact"/>
                    <w:jc w:val="center"/>
                    <w:rPr>
                      <w:b/>
                      <w:color w:val="000000" w:themeColor="text1"/>
                      <w:szCs w:val="21"/>
                      <w14:textFill>
                        <w14:solidFill>
                          <w14:schemeClr w14:val="tx1"/>
                        </w14:solidFill>
                      </w14:textFill>
                    </w:rPr>
                  </w:pPr>
                  <w:r>
                    <w:rPr>
                      <w:rFonts w:hint="eastAsia"/>
                      <w:b/>
                      <w:color w:val="000000" w:themeColor="text1"/>
                      <w:szCs w:val="21"/>
                      <w14:textFill>
                        <w14:solidFill>
                          <w14:schemeClr w14:val="tx1"/>
                        </w14:solidFill>
                      </w14:textFill>
                    </w:rPr>
                    <w:t>参数</w:t>
                  </w:r>
                </w:p>
              </w:tc>
              <w:tc>
                <w:tcPr>
                  <w:tcW w:w="612" w:type="dxa"/>
                  <w:noWrap w:val="0"/>
                  <w:vAlign w:val="center"/>
                </w:tcPr>
                <w:p w14:paraId="0B5C0239">
                  <w:pPr>
                    <w:spacing w:line="320" w:lineRule="exact"/>
                    <w:jc w:val="center"/>
                    <w:rPr>
                      <w:b/>
                      <w:color w:val="000000" w:themeColor="text1"/>
                      <w:szCs w:val="21"/>
                      <w14:textFill>
                        <w14:solidFill>
                          <w14:schemeClr w14:val="tx1"/>
                        </w14:solidFill>
                      </w14:textFill>
                    </w:rPr>
                  </w:pPr>
                  <w:r>
                    <w:rPr>
                      <w:rFonts w:hint="eastAsia"/>
                      <w:b/>
                      <w:color w:val="000000" w:themeColor="text1"/>
                      <w:szCs w:val="21"/>
                      <w14:textFill>
                        <w14:solidFill>
                          <w14:schemeClr w14:val="tx1"/>
                        </w14:solidFill>
                      </w14:textFill>
                    </w:rPr>
                    <w:t>M</w:t>
                  </w:r>
                </w:p>
              </w:tc>
              <w:tc>
                <w:tcPr>
                  <w:tcW w:w="612" w:type="dxa"/>
                  <w:noWrap w:val="0"/>
                  <w:vAlign w:val="center"/>
                </w:tcPr>
                <w:p w14:paraId="29138D83">
                  <w:pPr>
                    <w:spacing w:line="320" w:lineRule="exact"/>
                    <w:jc w:val="center"/>
                    <w:rPr>
                      <w:b/>
                      <w:color w:val="000000" w:themeColor="text1"/>
                      <w:szCs w:val="21"/>
                      <w14:textFill>
                        <w14:solidFill>
                          <w14:schemeClr w14:val="tx1"/>
                        </w14:solidFill>
                      </w14:textFill>
                    </w:rPr>
                  </w:pPr>
                  <w:r>
                    <w:rPr>
                      <w:rFonts w:hint="eastAsia"/>
                      <w:b/>
                      <w:color w:val="000000" w:themeColor="text1"/>
                      <w:szCs w:val="21"/>
                      <w14:textFill>
                        <w14:solidFill>
                          <w14:schemeClr w14:val="tx1"/>
                        </w14:solidFill>
                      </w14:textFill>
                    </w:rPr>
                    <w:t>P</w:t>
                  </w:r>
                </w:p>
              </w:tc>
              <w:tc>
                <w:tcPr>
                  <w:tcW w:w="612" w:type="dxa"/>
                  <w:noWrap w:val="0"/>
                  <w:vAlign w:val="center"/>
                </w:tcPr>
                <w:p w14:paraId="1C00FD45">
                  <w:pPr>
                    <w:spacing w:line="320" w:lineRule="exact"/>
                    <w:jc w:val="center"/>
                    <w:rPr>
                      <w:b/>
                      <w:color w:val="000000" w:themeColor="text1"/>
                      <w:szCs w:val="21"/>
                      <w14:textFill>
                        <w14:solidFill>
                          <w14:schemeClr w14:val="tx1"/>
                        </w14:solidFill>
                      </w14:textFill>
                    </w:rPr>
                  </w:pPr>
                  <w:r>
                    <w:rPr>
                      <w:rFonts w:hint="eastAsia"/>
                      <w:b/>
                      <w:color w:val="000000" w:themeColor="text1"/>
                      <w:szCs w:val="21"/>
                      <w14:textFill>
                        <w14:solidFill>
                          <w14:schemeClr w14:val="tx1"/>
                        </w14:solidFill>
                      </w14:textFill>
                    </w:rPr>
                    <w:t>H</w:t>
                  </w:r>
                </w:p>
              </w:tc>
              <w:tc>
                <w:tcPr>
                  <w:tcW w:w="612" w:type="dxa"/>
                  <w:noWrap w:val="0"/>
                  <w:vAlign w:val="center"/>
                </w:tcPr>
                <w:p w14:paraId="7FBB504C">
                  <w:pPr>
                    <w:spacing w:line="320" w:lineRule="exact"/>
                    <w:jc w:val="center"/>
                    <w:rPr>
                      <w:b/>
                      <w:color w:val="000000" w:themeColor="text1"/>
                      <w:szCs w:val="21"/>
                      <w14:textFill>
                        <w14:solidFill>
                          <w14:schemeClr w14:val="tx1"/>
                        </w14:solidFill>
                      </w14:textFill>
                    </w:rPr>
                  </w:pPr>
                  <w:r>
                    <w:rPr>
                      <w:rFonts w:hint="eastAsia"/>
                      <w:b/>
                      <w:color w:val="000000" w:themeColor="text1"/>
                      <w:szCs w:val="21"/>
                      <w14:textFill>
                        <w14:solidFill>
                          <w14:schemeClr w14:val="tx1"/>
                        </w14:solidFill>
                      </w14:textFill>
                    </w:rPr>
                    <w:t>Δ</w:t>
                  </w:r>
                  <w:r>
                    <w:rPr>
                      <w:b/>
                      <w:color w:val="000000" w:themeColor="text1"/>
                      <w:szCs w:val="21"/>
                      <w14:textFill>
                        <w14:solidFill>
                          <w14:schemeClr w14:val="tx1"/>
                        </w14:solidFill>
                      </w14:textFill>
                    </w:rPr>
                    <w:t>T</w:t>
                  </w:r>
                </w:p>
              </w:tc>
              <w:tc>
                <w:tcPr>
                  <w:tcW w:w="612" w:type="dxa"/>
                  <w:noWrap w:val="0"/>
                  <w:vAlign w:val="center"/>
                </w:tcPr>
                <w:p w14:paraId="7A7C6F68">
                  <w:pPr>
                    <w:spacing w:line="320" w:lineRule="exact"/>
                    <w:jc w:val="center"/>
                    <w:rPr>
                      <w:b/>
                      <w:color w:val="000000" w:themeColor="text1"/>
                      <w:szCs w:val="21"/>
                      <w14:textFill>
                        <w14:solidFill>
                          <w14:schemeClr w14:val="tx1"/>
                        </w14:solidFill>
                      </w14:textFill>
                    </w:rPr>
                  </w:pPr>
                  <w:r>
                    <w:rPr>
                      <w:rFonts w:hint="eastAsia"/>
                      <w:b/>
                      <w:color w:val="000000" w:themeColor="text1"/>
                      <w:szCs w:val="21"/>
                      <w14:textFill>
                        <w14:solidFill>
                          <w14:schemeClr w14:val="tx1"/>
                        </w14:solidFill>
                      </w14:textFill>
                    </w:rPr>
                    <w:t>F</w:t>
                  </w:r>
                  <w:r>
                    <w:rPr>
                      <w:b/>
                      <w:color w:val="000000" w:themeColor="text1"/>
                      <w:szCs w:val="21"/>
                      <w14:textFill>
                        <w14:solidFill>
                          <w14:schemeClr w14:val="tx1"/>
                        </w14:solidFill>
                      </w14:textFill>
                    </w:rPr>
                    <w:t>P</w:t>
                  </w:r>
                </w:p>
              </w:tc>
              <w:tc>
                <w:tcPr>
                  <w:tcW w:w="612" w:type="dxa"/>
                  <w:noWrap w:val="0"/>
                  <w:vAlign w:val="center"/>
                </w:tcPr>
                <w:p w14:paraId="7998ACF9">
                  <w:pPr>
                    <w:spacing w:line="320" w:lineRule="exact"/>
                    <w:jc w:val="center"/>
                    <w:rPr>
                      <w:b/>
                      <w:color w:val="000000" w:themeColor="text1"/>
                      <w:szCs w:val="21"/>
                      <w14:textFill>
                        <w14:solidFill>
                          <w14:schemeClr w14:val="tx1"/>
                        </w14:solidFill>
                      </w14:textFill>
                    </w:rPr>
                  </w:pPr>
                  <w:r>
                    <w:rPr>
                      <w:rFonts w:hint="eastAsia"/>
                      <w:b/>
                      <w:color w:val="000000" w:themeColor="text1"/>
                      <w:szCs w:val="21"/>
                      <w14:textFill>
                        <w14:solidFill>
                          <w14:schemeClr w14:val="tx1"/>
                        </w14:solidFill>
                      </w14:textFill>
                    </w:rPr>
                    <w:t>C</w:t>
                  </w:r>
                </w:p>
              </w:tc>
              <w:tc>
                <w:tcPr>
                  <w:tcW w:w="612" w:type="dxa"/>
                  <w:noWrap w:val="0"/>
                  <w:vAlign w:val="center"/>
                </w:tcPr>
                <w:p w14:paraId="35C93FCA">
                  <w:pPr>
                    <w:spacing w:line="320" w:lineRule="exact"/>
                    <w:jc w:val="center"/>
                    <w:rPr>
                      <w:b/>
                      <w:color w:val="000000" w:themeColor="text1"/>
                      <w:szCs w:val="21"/>
                      <w14:textFill>
                        <w14:solidFill>
                          <w14:schemeClr w14:val="tx1"/>
                        </w14:solidFill>
                      </w14:textFill>
                    </w:rPr>
                  </w:pPr>
                  <w:r>
                    <w:rPr>
                      <w:rFonts w:hint="eastAsia"/>
                      <w:b/>
                      <w:color w:val="000000" w:themeColor="text1"/>
                      <w:szCs w:val="21"/>
                      <w14:textFill>
                        <w14:solidFill>
                          <w14:schemeClr w14:val="tx1"/>
                        </w14:solidFill>
                      </w14:textFill>
                    </w:rPr>
                    <w:t>K</w:t>
                  </w:r>
                  <w:r>
                    <w:rPr>
                      <w:b/>
                      <w:color w:val="000000" w:themeColor="text1"/>
                      <w:szCs w:val="21"/>
                      <w14:textFill>
                        <w14:solidFill>
                          <w14:schemeClr w14:val="tx1"/>
                        </w14:solidFill>
                      </w14:textFill>
                    </w:rPr>
                    <w:t>N</w:t>
                  </w:r>
                </w:p>
              </w:tc>
              <w:tc>
                <w:tcPr>
                  <w:tcW w:w="612" w:type="dxa"/>
                  <w:noWrap w:val="0"/>
                  <w:vAlign w:val="center"/>
                </w:tcPr>
                <w:p w14:paraId="7ED4E55E">
                  <w:pPr>
                    <w:spacing w:line="320" w:lineRule="exact"/>
                    <w:jc w:val="center"/>
                    <w:rPr>
                      <w:b/>
                      <w:color w:val="000000" w:themeColor="text1"/>
                      <w:szCs w:val="21"/>
                      <w14:textFill>
                        <w14:solidFill>
                          <w14:schemeClr w14:val="tx1"/>
                        </w14:solidFill>
                      </w14:textFill>
                    </w:rPr>
                  </w:pPr>
                  <w:r>
                    <w:rPr>
                      <w:rFonts w:hint="eastAsia"/>
                      <w:b/>
                      <w:color w:val="000000" w:themeColor="text1"/>
                      <w:szCs w:val="21"/>
                      <w14:textFill>
                        <w14:solidFill>
                          <w14:schemeClr w14:val="tx1"/>
                        </w14:solidFill>
                      </w14:textFill>
                    </w:rPr>
                    <w:t>K</w:t>
                  </w:r>
                  <w:r>
                    <w:rPr>
                      <w:b/>
                      <w:color w:val="000000" w:themeColor="text1"/>
                      <w:szCs w:val="21"/>
                      <w14:textFill>
                        <w14:solidFill>
                          <w14:schemeClr w14:val="tx1"/>
                        </w14:solidFill>
                      </w14:textFill>
                    </w:rPr>
                    <w:t>C</w:t>
                  </w:r>
                </w:p>
              </w:tc>
              <w:tc>
                <w:tcPr>
                  <w:tcW w:w="612" w:type="dxa"/>
                  <w:noWrap w:val="0"/>
                  <w:vAlign w:val="center"/>
                </w:tcPr>
                <w:p w14:paraId="4026CFC2">
                  <w:pPr>
                    <w:spacing w:line="320" w:lineRule="exact"/>
                    <w:jc w:val="center"/>
                    <w:rPr>
                      <w:b/>
                      <w:color w:val="000000" w:themeColor="text1"/>
                      <w:szCs w:val="21"/>
                      <w14:textFill>
                        <w14:solidFill>
                          <w14:schemeClr w14:val="tx1"/>
                        </w14:solidFill>
                      </w14:textFill>
                    </w:rPr>
                  </w:pPr>
                  <w:r>
                    <w:rPr>
                      <w:rFonts w:hint="eastAsia"/>
                      <w:b/>
                      <w:color w:val="000000" w:themeColor="text1"/>
                      <w:szCs w:val="21"/>
                      <w14:textFill>
                        <w14:solidFill>
                          <w14:schemeClr w14:val="tx1"/>
                        </w14:solidFill>
                      </w14:textFill>
                    </w:rPr>
                    <w:t>D</w:t>
                  </w:r>
                </w:p>
              </w:tc>
              <w:tc>
                <w:tcPr>
                  <w:tcW w:w="612" w:type="dxa"/>
                  <w:noWrap w:val="0"/>
                  <w:vAlign w:val="center"/>
                </w:tcPr>
                <w:p w14:paraId="43AE44F3">
                  <w:pPr>
                    <w:spacing w:line="320" w:lineRule="exact"/>
                    <w:jc w:val="center"/>
                    <w:rPr>
                      <w:rFonts w:hint="eastAsia"/>
                      <w:b/>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η1</w:t>
                  </w:r>
                </w:p>
              </w:tc>
              <w:tc>
                <w:tcPr>
                  <w:tcW w:w="612" w:type="dxa"/>
                  <w:noWrap w:val="0"/>
                  <w:vAlign w:val="center"/>
                </w:tcPr>
                <w:p w14:paraId="729E9C3B">
                  <w:pPr>
                    <w:spacing w:line="320" w:lineRule="exact"/>
                    <w:jc w:val="center"/>
                    <w:rPr>
                      <w:rFonts w:hint="eastAsia" w:eastAsia="宋体"/>
                      <w:b/>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η</w:t>
                  </w:r>
                  <w:r>
                    <w:rPr>
                      <w:rFonts w:hint="eastAsia" w:cs="Times New Roman"/>
                      <w:color w:val="000000" w:themeColor="text1"/>
                      <w:sz w:val="21"/>
                      <w:szCs w:val="21"/>
                      <w:lang w:val="en-US" w:eastAsia="zh-CN"/>
                      <w14:textFill>
                        <w14:solidFill>
                          <w14:schemeClr w14:val="tx1"/>
                        </w14:solidFill>
                      </w14:textFill>
                    </w:rPr>
                    <w:t>2</w:t>
                  </w:r>
                </w:p>
              </w:tc>
            </w:tr>
            <w:tr w14:paraId="1CD69098">
              <w:tblPrEx>
                <w:tblBorders>
                  <w:top w:val="single" w:color="000000" w:sz="8" w:space="0"/>
                  <w:left w:val="none" w:color="auto" w:sz="0" w:space="0"/>
                  <w:bottom w:val="single" w:color="000000" w:sz="8"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871" w:hRule="exact"/>
                <w:jc w:val="center"/>
              </w:trPr>
              <w:tc>
                <w:tcPr>
                  <w:tcW w:w="1246" w:type="dxa"/>
                  <w:noWrap w:val="0"/>
                  <w:vAlign w:val="center"/>
                </w:tcPr>
                <w:p w14:paraId="0FA4B496">
                  <w:pPr>
                    <w:pStyle w:val="226"/>
                    <w:spacing w:line="280" w:lineRule="exact"/>
                    <w:rPr>
                      <w:rFonts w:hint="eastAsia"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NMP回收储罐</w:t>
                  </w:r>
                </w:p>
              </w:tc>
              <w:tc>
                <w:tcPr>
                  <w:tcW w:w="612" w:type="dxa"/>
                  <w:noWrap w:val="0"/>
                  <w:vAlign w:val="center"/>
                </w:tcPr>
                <w:p w14:paraId="6CFF502C">
                  <w:pPr>
                    <w:pStyle w:val="226"/>
                    <w:spacing w:line="280" w:lineRule="exact"/>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99.13</w:t>
                  </w:r>
                </w:p>
              </w:tc>
              <w:tc>
                <w:tcPr>
                  <w:tcW w:w="612" w:type="dxa"/>
                  <w:noWrap w:val="0"/>
                  <w:vAlign w:val="center"/>
                </w:tcPr>
                <w:p w14:paraId="38EF48BF">
                  <w:pPr>
                    <w:pStyle w:val="226"/>
                    <w:spacing w:line="280" w:lineRule="exact"/>
                    <w:rPr>
                      <w:rFonts w:hint="default"/>
                      <w:color w:val="000000" w:themeColor="text1"/>
                      <w:szCs w:val="21"/>
                      <w:lang w:val="en-US"/>
                      <w14:textFill>
                        <w14:solidFill>
                          <w14:schemeClr w14:val="tx1"/>
                        </w14:solidFill>
                      </w14:textFill>
                    </w:rPr>
                  </w:pPr>
                  <w:r>
                    <w:rPr>
                      <w:rFonts w:hint="eastAsia"/>
                      <w:color w:val="000000" w:themeColor="text1"/>
                      <w:szCs w:val="21"/>
                      <w:lang w:val="en-US" w:eastAsia="zh-CN"/>
                      <w14:textFill>
                        <w14:solidFill>
                          <w14:schemeClr w14:val="tx1"/>
                        </w14:solidFill>
                      </w14:textFill>
                    </w:rPr>
                    <w:t>320</w:t>
                  </w:r>
                </w:p>
              </w:tc>
              <w:tc>
                <w:tcPr>
                  <w:tcW w:w="612" w:type="dxa"/>
                  <w:noWrap w:val="0"/>
                  <w:vAlign w:val="center"/>
                </w:tcPr>
                <w:p w14:paraId="163E1480">
                  <w:pPr>
                    <w:pStyle w:val="226"/>
                    <w:spacing w:line="280" w:lineRule="exact"/>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1.0</w:t>
                  </w:r>
                </w:p>
              </w:tc>
              <w:tc>
                <w:tcPr>
                  <w:tcW w:w="612" w:type="dxa"/>
                  <w:noWrap w:val="0"/>
                  <w:vAlign w:val="center"/>
                </w:tcPr>
                <w:p w14:paraId="4054EA87">
                  <w:pPr>
                    <w:pStyle w:val="226"/>
                    <w:spacing w:line="280" w:lineRule="exact"/>
                    <w:rPr>
                      <w:rFonts w:hint="eastAsia"/>
                      <w:color w:val="000000" w:themeColor="text1"/>
                      <w:kern w:val="0"/>
                      <w:sz w:val="21"/>
                      <w:szCs w:val="21"/>
                      <w:lang w:val="en-US" w:eastAsia="zh-CN" w:bidi="ar-SA"/>
                      <w14:textFill>
                        <w14:solidFill>
                          <w14:schemeClr w14:val="tx1"/>
                        </w14:solidFill>
                      </w14:textFill>
                    </w:rPr>
                  </w:pPr>
                  <w:r>
                    <w:rPr>
                      <w:rFonts w:hint="eastAsia"/>
                      <w:color w:val="000000" w:themeColor="text1"/>
                      <w:szCs w:val="21"/>
                      <w14:textFill>
                        <w14:solidFill>
                          <w14:schemeClr w14:val="tx1"/>
                        </w14:solidFill>
                      </w14:textFill>
                    </w:rPr>
                    <w:t>1</w:t>
                  </w:r>
                  <w:r>
                    <w:rPr>
                      <w:color w:val="000000" w:themeColor="text1"/>
                      <w:szCs w:val="21"/>
                      <w14:textFill>
                        <w14:solidFill>
                          <w14:schemeClr w14:val="tx1"/>
                        </w14:solidFill>
                      </w14:textFill>
                    </w:rPr>
                    <w:t>0</w:t>
                  </w:r>
                  <w:r>
                    <w:rPr>
                      <w:rFonts w:hint="default" w:ascii="Times New Roman" w:hAnsi="Times New Roman" w:cs="Times New Roman"/>
                      <w:color w:val="000000" w:themeColor="text1"/>
                      <w:szCs w:val="21"/>
                      <w14:textFill>
                        <w14:solidFill>
                          <w14:schemeClr w14:val="tx1"/>
                        </w14:solidFill>
                      </w14:textFill>
                    </w:rPr>
                    <w:t>℃</w:t>
                  </w:r>
                </w:p>
              </w:tc>
              <w:tc>
                <w:tcPr>
                  <w:tcW w:w="612" w:type="dxa"/>
                  <w:noWrap w:val="0"/>
                  <w:vAlign w:val="center"/>
                </w:tcPr>
                <w:p w14:paraId="2BA531E6">
                  <w:pPr>
                    <w:pStyle w:val="226"/>
                    <w:spacing w:line="280" w:lineRule="exact"/>
                    <w:rPr>
                      <w:rFonts w:hint="default" w:eastAsia="宋体"/>
                      <w:color w:val="000000" w:themeColor="text1"/>
                      <w:kern w:val="0"/>
                      <w:sz w:val="21"/>
                      <w:szCs w:val="21"/>
                      <w:lang w:val="en-US" w:eastAsia="zh-CN" w:bidi="ar-SA"/>
                      <w14:textFill>
                        <w14:solidFill>
                          <w14:schemeClr w14:val="tx1"/>
                        </w14:solidFill>
                      </w14:textFill>
                    </w:rPr>
                  </w:pPr>
                  <w:r>
                    <w:rPr>
                      <w:rFonts w:hint="eastAsia"/>
                      <w:color w:val="000000" w:themeColor="text1"/>
                      <w:szCs w:val="21"/>
                      <w:lang w:val="en-US" w:eastAsia="zh-CN"/>
                      <w14:textFill>
                        <w14:solidFill>
                          <w14:schemeClr w14:val="tx1"/>
                        </w14:solidFill>
                      </w14:textFill>
                    </w:rPr>
                    <w:t>1.25</w:t>
                  </w:r>
                </w:p>
              </w:tc>
              <w:tc>
                <w:tcPr>
                  <w:tcW w:w="612" w:type="dxa"/>
                  <w:noWrap w:val="0"/>
                  <w:vAlign w:val="center"/>
                </w:tcPr>
                <w:p w14:paraId="2C511853">
                  <w:pPr>
                    <w:pStyle w:val="226"/>
                    <w:spacing w:line="280" w:lineRule="exact"/>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0.59</w:t>
                  </w:r>
                </w:p>
              </w:tc>
              <w:tc>
                <w:tcPr>
                  <w:tcW w:w="612" w:type="dxa"/>
                  <w:noWrap w:val="0"/>
                  <w:vAlign w:val="center"/>
                </w:tcPr>
                <w:p w14:paraId="299231A0">
                  <w:pPr>
                    <w:pStyle w:val="226"/>
                    <w:spacing w:line="280" w:lineRule="exact"/>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0.86</w:t>
                  </w:r>
                </w:p>
              </w:tc>
              <w:tc>
                <w:tcPr>
                  <w:tcW w:w="612" w:type="dxa"/>
                  <w:noWrap w:val="0"/>
                  <w:vAlign w:val="center"/>
                </w:tcPr>
                <w:p w14:paraId="732AEAC5">
                  <w:pPr>
                    <w:pStyle w:val="226"/>
                    <w:spacing w:line="280" w:lineRule="exact"/>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1.0</w:t>
                  </w:r>
                </w:p>
              </w:tc>
              <w:tc>
                <w:tcPr>
                  <w:tcW w:w="612" w:type="dxa"/>
                  <w:noWrap w:val="0"/>
                  <w:vAlign w:val="center"/>
                </w:tcPr>
                <w:p w14:paraId="4E680760">
                  <w:pPr>
                    <w:pStyle w:val="226"/>
                    <w:spacing w:line="280" w:lineRule="exact"/>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3.2</w:t>
                  </w:r>
                </w:p>
              </w:tc>
              <w:tc>
                <w:tcPr>
                  <w:tcW w:w="612" w:type="dxa"/>
                  <w:noWrap w:val="0"/>
                  <w:vAlign w:val="center"/>
                </w:tcPr>
                <w:p w14:paraId="0D3E7DD4">
                  <w:pPr>
                    <w:pStyle w:val="226"/>
                    <w:spacing w:line="280" w:lineRule="exact"/>
                    <w:rPr>
                      <w:rFonts w:hint="default"/>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1</w:t>
                  </w:r>
                </w:p>
              </w:tc>
              <w:tc>
                <w:tcPr>
                  <w:tcW w:w="612" w:type="dxa"/>
                  <w:noWrap w:val="0"/>
                  <w:vAlign w:val="center"/>
                </w:tcPr>
                <w:p w14:paraId="05EE714A">
                  <w:pPr>
                    <w:pStyle w:val="226"/>
                    <w:spacing w:line="280" w:lineRule="exact"/>
                    <w:rPr>
                      <w:rFonts w:hint="default"/>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0.7</w:t>
                  </w:r>
                </w:p>
              </w:tc>
            </w:tr>
            <w:tr w14:paraId="33641320">
              <w:tblPrEx>
                <w:tblBorders>
                  <w:top w:val="single" w:color="000000" w:sz="8" w:space="0"/>
                  <w:left w:val="none" w:color="auto" w:sz="0" w:space="0"/>
                  <w:bottom w:val="single" w:color="000000" w:sz="8"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728" w:hRule="exact"/>
                <w:jc w:val="center"/>
              </w:trPr>
              <w:tc>
                <w:tcPr>
                  <w:tcW w:w="1246" w:type="dxa"/>
                  <w:noWrap w:val="0"/>
                  <w:vAlign w:val="center"/>
                </w:tcPr>
                <w:p w14:paraId="6AF7E700">
                  <w:pPr>
                    <w:pStyle w:val="226"/>
                    <w:spacing w:line="280" w:lineRule="exact"/>
                    <w:rPr>
                      <w:rFonts w:hint="default"/>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NMP储罐</w:t>
                  </w:r>
                </w:p>
              </w:tc>
              <w:tc>
                <w:tcPr>
                  <w:tcW w:w="612" w:type="dxa"/>
                  <w:noWrap w:val="0"/>
                  <w:vAlign w:val="center"/>
                </w:tcPr>
                <w:p w14:paraId="3978E631">
                  <w:pPr>
                    <w:pStyle w:val="226"/>
                    <w:spacing w:line="280" w:lineRule="exact"/>
                    <w:rPr>
                      <w:rFonts w:hint="eastAsia"/>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99.13</w:t>
                  </w:r>
                </w:p>
              </w:tc>
              <w:tc>
                <w:tcPr>
                  <w:tcW w:w="612" w:type="dxa"/>
                  <w:noWrap w:val="0"/>
                  <w:vAlign w:val="center"/>
                </w:tcPr>
                <w:p w14:paraId="37154B16">
                  <w:pPr>
                    <w:pStyle w:val="226"/>
                    <w:spacing w:line="280" w:lineRule="exact"/>
                    <w:rPr>
                      <w:rFonts w:hint="default"/>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320</w:t>
                  </w:r>
                </w:p>
              </w:tc>
              <w:tc>
                <w:tcPr>
                  <w:tcW w:w="612" w:type="dxa"/>
                  <w:noWrap w:val="0"/>
                  <w:vAlign w:val="center"/>
                </w:tcPr>
                <w:p w14:paraId="3AC49133">
                  <w:pPr>
                    <w:pStyle w:val="226"/>
                    <w:spacing w:line="280" w:lineRule="exact"/>
                    <w:rPr>
                      <w:rFonts w:hint="default"/>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1.0</w:t>
                  </w:r>
                </w:p>
              </w:tc>
              <w:tc>
                <w:tcPr>
                  <w:tcW w:w="612" w:type="dxa"/>
                  <w:noWrap w:val="0"/>
                  <w:vAlign w:val="center"/>
                </w:tcPr>
                <w:p w14:paraId="3A5A58C4">
                  <w:pPr>
                    <w:pStyle w:val="226"/>
                    <w:spacing w:line="280" w:lineRule="exact"/>
                    <w:rPr>
                      <w:rFonts w:hint="eastAsia"/>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w:t>
                  </w:r>
                  <w:r>
                    <w:rPr>
                      <w:color w:val="000000" w:themeColor="text1"/>
                      <w:szCs w:val="21"/>
                      <w14:textFill>
                        <w14:solidFill>
                          <w14:schemeClr w14:val="tx1"/>
                        </w14:solidFill>
                      </w14:textFill>
                    </w:rPr>
                    <w:t>0</w:t>
                  </w:r>
                  <w:r>
                    <w:rPr>
                      <w:rFonts w:hint="default" w:ascii="Times New Roman" w:hAnsi="Times New Roman" w:cs="Times New Roman"/>
                      <w:color w:val="000000" w:themeColor="text1"/>
                      <w:szCs w:val="21"/>
                      <w14:textFill>
                        <w14:solidFill>
                          <w14:schemeClr w14:val="tx1"/>
                        </w14:solidFill>
                      </w14:textFill>
                    </w:rPr>
                    <w:t>℃</w:t>
                  </w:r>
                </w:p>
              </w:tc>
              <w:tc>
                <w:tcPr>
                  <w:tcW w:w="612" w:type="dxa"/>
                  <w:noWrap w:val="0"/>
                  <w:vAlign w:val="center"/>
                </w:tcPr>
                <w:p w14:paraId="60496132">
                  <w:pPr>
                    <w:pStyle w:val="226"/>
                    <w:spacing w:line="280" w:lineRule="exact"/>
                    <w:rPr>
                      <w:rFonts w:hint="default"/>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1.25</w:t>
                  </w:r>
                </w:p>
              </w:tc>
              <w:tc>
                <w:tcPr>
                  <w:tcW w:w="612" w:type="dxa"/>
                  <w:noWrap w:val="0"/>
                  <w:vAlign w:val="center"/>
                </w:tcPr>
                <w:p w14:paraId="1237758B">
                  <w:pPr>
                    <w:pStyle w:val="226"/>
                    <w:spacing w:line="280" w:lineRule="exact"/>
                    <w:rPr>
                      <w:rFonts w:hint="default"/>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0.31</w:t>
                  </w:r>
                </w:p>
              </w:tc>
              <w:tc>
                <w:tcPr>
                  <w:tcW w:w="612" w:type="dxa"/>
                  <w:noWrap w:val="0"/>
                  <w:vAlign w:val="center"/>
                </w:tcPr>
                <w:p w14:paraId="252E382C">
                  <w:pPr>
                    <w:pStyle w:val="226"/>
                    <w:spacing w:line="280" w:lineRule="exact"/>
                    <w:rPr>
                      <w:rFonts w:hint="default"/>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0.26</w:t>
                  </w:r>
                </w:p>
              </w:tc>
              <w:tc>
                <w:tcPr>
                  <w:tcW w:w="612" w:type="dxa"/>
                  <w:noWrap w:val="0"/>
                  <w:vAlign w:val="center"/>
                </w:tcPr>
                <w:p w14:paraId="28EC5C49">
                  <w:pPr>
                    <w:pStyle w:val="226"/>
                    <w:spacing w:line="280" w:lineRule="exact"/>
                    <w:rPr>
                      <w:rFonts w:hint="default"/>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1.0</w:t>
                  </w:r>
                </w:p>
              </w:tc>
              <w:tc>
                <w:tcPr>
                  <w:tcW w:w="612" w:type="dxa"/>
                  <w:noWrap w:val="0"/>
                  <w:vAlign w:val="center"/>
                </w:tcPr>
                <w:p w14:paraId="440FCAB2">
                  <w:pPr>
                    <w:pStyle w:val="226"/>
                    <w:spacing w:line="280" w:lineRule="exact"/>
                    <w:rPr>
                      <w:rFonts w:hint="default"/>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1.5</w:t>
                  </w:r>
                </w:p>
              </w:tc>
              <w:tc>
                <w:tcPr>
                  <w:tcW w:w="612" w:type="dxa"/>
                  <w:noWrap w:val="0"/>
                  <w:vAlign w:val="center"/>
                </w:tcPr>
                <w:p w14:paraId="688F2AF2">
                  <w:pPr>
                    <w:pStyle w:val="226"/>
                    <w:spacing w:line="280" w:lineRule="exact"/>
                    <w:rPr>
                      <w:rFonts w:hint="default"/>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1</w:t>
                  </w:r>
                </w:p>
              </w:tc>
              <w:tc>
                <w:tcPr>
                  <w:tcW w:w="612" w:type="dxa"/>
                  <w:noWrap w:val="0"/>
                  <w:vAlign w:val="center"/>
                </w:tcPr>
                <w:p w14:paraId="62977F26">
                  <w:pPr>
                    <w:pStyle w:val="226"/>
                    <w:spacing w:line="280" w:lineRule="exact"/>
                    <w:rPr>
                      <w:rFonts w:hint="default"/>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0.7</w:t>
                  </w:r>
                </w:p>
              </w:tc>
            </w:tr>
          </w:tbl>
          <w:p w14:paraId="011B807E">
            <w:pPr>
              <w:pStyle w:val="225"/>
              <w:snapToGrid/>
              <w:rPr>
                <w:color w:val="000000" w:themeColor="text1"/>
                <w14:textFill>
                  <w14:solidFill>
                    <w14:schemeClr w14:val="tx1"/>
                  </w14:solidFill>
                </w14:textFill>
              </w:rPr>
            </w:pPr>
            <w:r>
              <w:rPr>
                <w:rFonts w:hint="eastAsia"/>
                <w:color w:val="000000" w:themeColor="text1"/>
                <w14:textFill>
                  <w14:solidFill>
                    <w14:schemeClr w14:val="tx1"/>
                  </w14:solidFill>
                </w14:textFill>
              </w:rPr>
              <w:t>根据上式及参数计算的储罐呼吸废气见下表：</w:t>
            </w:r>
          </w:p>
          <w:p w14:paraId="7E14A1DB">
            <w:pPr>
              <w:spacing w:line="240" w:lineRule="auto"/>
              <w:jc w:val="center"/>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表</w:t>
            </w:r>
            <w:r>
              <w:rPr>
                <w:rFonts w:hint="eastAsia"/>
                <w:b/>
                <w:bCs/>
                <w:color w:val="000000" w:themeColor="text1"/>
                <w:sz w:val="21"/>
                <w:szCs w:val="21"/>
                <w14:textFill>
                  <w14:solidFill>
                    <w14:schemeClr w14:val="tx1"/>
                  </w14:solidFill>
                </w14:textFill>
              </w:rPr>
              <w:t>4</w:t>
            </w:r>
            <w:r>
              <w:rPr>
                <w:b/>
                <w:bCs/>
                <w:color w:val="000000" w:themeColor="text1"/>
                <w:sz w:val="21"/>
                <w:szCs w:val="21"/>
                <w14:textFill>
                  <w14:solidFill>
                    <w14:schemeClr w14:val="tx1"/>
                  </w14:solidFill>
                </w14:textFill>
              </w:rPr>
              <w:t>-</w:t>
            </w:r>
            <w:r>
              <w:rPr>
                <w:rFonts w:hint="eastAsia"/>
                <w:b/>
                <w:bCs/>
                <w:color w:val="000000" w:themeColor="text1"/>
                <w:sz w:val="21"/>
                <w:szCs w:val="21"/>
                <w:lang w:val="en-US" w:eastAsia="zh-CN"/>
                <w14:textFill>
                  <w14:solidFill>
                    <w14:schemeClr w14:val="tx1"/>
                  </w14:solidFill>
                </w14:textFill>
              </w:rPr>
              <w:t>3</w:t>
            </w:r>
            <w:r>
              <w:rPr>
                <w:b/>
                <w:bCs/>
                <w:color w:val="000000" w:themeColor="text1"/>
                <w:sz w:val="21"/>
                <w:szCs w:val="21"/>
                <w14:textFill>
                  <w14:solidFill>
                    <w14:schemeClr w14:val="tx1"/>
                  </w14:solidFill>
                </w14:textFill>
              </w:rPr>
              <w:t xml:space="preserve"> </w:t>
            </w:r>
            <w:r>
              <w:rPr>
                <w:rFonts w:hint="eastAsia"/>
                <w:b/>
                <w:bCs/>
                <w:color w:val="000000" w:themeColor="text1"/>
                <w:sz w:val="21"/>
                <w:szCs w:val="21"/>
                <w14:textFill>
                  <w14:solidFill>
                    <w14:schemeClr w14:val="tx1"/>
                  </w14:solidFill>
                </w14:textFill>
              </w:rPr>
              <w:t>储罐大小呼吸废气产生量</w:t>
            </w:r>
          </w:p>
          <w:tbl>
            <w:tblPr>
              <w:tblStyle w:val="41"/>
              <w:tblW w:w="7819" w:type="dxa"/>
              <w:tblInd w:w="30" w:type="dxa"/>
              <w:tblBorders>
                <w:top w:val="single" w:color="000000" w:sz="8" w:space="0"/>
                <w:left w:val="none" w:color="auto" w:sz="0" w:space="0"/>
                <w:bottom w:val="single" w:color="000000" w:sz="8" w:space="0"/>
                <w:right w:val="none" w:color="auto" w:sz="0" w:space="0"/>
                <w:insideH w:val="single" w:color="000000" w:sz="6" w:space="0"/>
                <w:insideV w:val="single" w:color="000000" w:sz="6" w:space="0"/>
              </w:tblBorders>
              <w:tblLayout w:type="fixed"/>
              <w:tblCellMar>
                <w:top w:w="0" w:type="dxa"/>
                <w:left w:w="0" w:type="dxa"/>
                <w:bottom w:w="0" w:type="dxa"/>
                <w:right w:w="0" w:type="dxa"/>
              </w:tblCellMar>
            </w:tblPr>
            <w:tblGrid>
              <w:gridCol w:w="1588"/>
              <w:gridCol w:w="2482"/>
              <w:gridCol w:w="2045"/>
              <w:gridCol w:w="1704"/>
            </w:tblGrid>
            <w:tr w14:paraId="6602D775">
              <w:tblPrEx>
                <w:tblBorders>
                  <w:top w:val="single" w:color="000000" w:sz="8" w:space="0"/>
                  <w:left w:val="none" w:color="auto" w:sz="0" w:space="0"/>
                  <w:bottom w:val="single" w:color="000000" w:sz="8"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493" w:hRule="exact"/>
              </w:trPr>
              <w:tc>
                <w:tcPr>
                  <w:tcW w:w="1588" w:type="dxa"/>
                  <w:noWrap w:val="0"/>
                  <w:vAlign w:val="center"/>
                </w:tcPr>
                <w:p w14:paraId="6AC9FBC8">
                  <w:pPr>
                    <w:spacing w:line="320" w:lineRule="exact"/>
                    <w:jc w:val="center"/>
                    <w:rPr>
                      <w:b/>
                      <w:color w:val="000000" w:themeColor="text1"/>
                      <w:szCs w:val="21"/>
                      <w14:textFill>
                        <w14:solidFill>
                          <w14:schemeClr w14:val="tx1"/>
                        </w14:solidFill>
                      </w14:textFill>
                    </w:rPr>
                  </w:pPr>
                  <w:r>
                    <w:rPr>
                      <w:rFonts w:hint="eastAsia"/>
                      <w:b/>
                      <w:color w:val="000000" w:themeColor="text1"/>
                      <w:szCs w:val="21"/>
                      <w14:textFill>
                        <w14:solidFill>
                          <w14:schemeClr w14:val="tx1"/>
                        </w14:solidFill>
                      </w14:textFill>
                    </w:rPr>
                    <w:t>储罐</w:t>
                  </w:r>
                </w:p>
              </w:tc>
              <w:tc>
                <w:tcPr>
                  <w:tcW w:w="2482" w:type="dxa"/>
                  <w:noWrap w:val="0"/>
                  <w:vAlign w:val="center"/>
                </w:tcPr>
                <w:p w14:paraId="24BD4F04">
                  <w:pPr>
                    <w:spacing w:line="320" w:lineRule="exact"/>
                    <w:jc w:val="center"/>
                    <w:rPr>
                      <w:b/>
                      <w:color w:val="000000" w:themeColor="text1"/>
                      <w:szCs w:val="21"/>
                      <w14:textFill>
                        <w14:solidFill>
                          <w14:schemeClr w14:val="tx1"/>
                        </w14:solidFill>
                      </w14:textFill>
                    </w:rPr>
                  </w:pPr>
                  <w:r>
                    <w:rPr>
                      <w:rFonts w:hint="eastAsia"/>
                      <w:b/>
                      <w:color w:val="000000" w:themeColor="text1"/>
                      <w:szCs w:val="21"/>
                      <w14:textFill>
                        <w14:solidFill>
                          <w14:schemeClr w14:val="tx1"/>
                        </w14:solidFill>
                      </w14:textFill>
                    </w:rPr>
                    <w:t>小呼吸气（kg</w:t>
                  </w:r>
                  <w:r>
                    <w:rPr>
                      <w:b/>
                      <w:color w:val="000000" w:themeColor="text1"/>
                      <w:szCs w:val="21"/>
                      <w14:textFill>
                        <w14:solidFill>
                          <w14:schemeClr w14:val="tx1"/>
                        </w14:solidFill>
                      </w14:textFill>
                    </w:rPr>
                    <w:t>/a</w:t>
                  </w:r>
                  <w:r>
                    <w:rPr>
                      <w:rFonts w:hint="eastAsia"/>
                      <w:b/>
                      <w:color w:val="000000" w:themeColor="text1"/>
                      <w:szCs w:val="21"/>
                      <w14:textFill>
                        <w14:solidFill>
                          <w14:schemeClr w14:val="tx1"/>
                        </w14:solidFill>
                      </w14:textFill>
                    </w:rPr>
                    <w:t>）</w:t>
                  </w:r>
                </w:p>
              </w:tc>
              <w:tc>
                <w:tcPr>
                  <w:tcW w:w="2045" w:type="dxa"/>
                  <w:noWrap w:val="0"/>
                  <w:vAlign w:val="center"/>
                </w:tcPr>
                <w:p w14:paraId="5FB1BA0C">
                  <w:pPr>
                    <w:spacing w:line="320" w:lineRule="exact"/>
                    <w:jc w:val="center"/>
                    <w:rPr>
                      <w:rFonts w:hint="eastAsia"/>
                      <w:b/>
                      <w:color w:val="000000" w:themeColor="text1"/>
                      <w:szCs w:val="21"/>
                      <w14:textFill>
                        <w14:solidFill>
                          <w14:schemeClr w14:val="tx1"/>
                        </w14:solidFill>
                      </w14:textFill>
                    </w:rPr>
                  </w:pPr>
                  <w:r>
                    <w:rPr>
                      <w:rFonts w:hint="eastAsia"/>
                      <w:b/>
                      <w:color w:val="000000" w:themeColor="text1"/>
                      <w:szCs w:val="21"/>
                      <w14:textFill>
                        <w14:solidFill>
                          <w14:schemeClr w14:val="tx1"/>
                        </w14:solidFill>
                      </w14:textFill>
                    </w:rPr>
                    <w:t>大呼吸气（kg</w:t>
                  </w:r>
                  <w:r>
                    <w:rPr>
                      <w:b/>
                      <w:color w:val="000000" w:themeColor="text1"/>
                      <w:szCs w:val="21"/>
                      <w14:textFill>
                        <w14:solidFill>
                          <w14:schemeClr w14:val="tx1"/>
                        </w14:solidFill>
                      </w14:textFill>
                    </w:rPr>
                    <w:t>/a</w:t>
                  </w:r>
                  <w:r>
                    <w:rPr>
                      <w:rFonts w:hint="eastAsia"/>
                      <w:b/>
                      <w:color w:val="000000" w:themeColor="text1"/>
                      <w:szCs w:val="21"/>
                      <w14:textFill>
                        <w14:solidFill>
                          <w14:schemeClr w14:val="tx1"/>
                        </w14:solidFill>
                      </w14:textFill>
                    </w:rPr>
                    <w:t>）</w:t>
                  </w:r>
                </w:p>
              </w:tc>
              <w:tc>
                <w:tcPr>
                  <w:tcW w:w="1704" w:type="dxa"/>
                  <w:noWrap w:val="0"/>
                  <w:vAlign w:val="center"/>
                </w:tcPr>
                <w:p w14:paraId="3C9D819D">
                  <w:pPr>
                    <w:spacing w:line="320" w:lineRule="exact"/>
                    <w:jc w:val="center"/>
                    <w:rPr>
                      <w:b/>
                      <w:color w:val="000000" w:themeColor="text1"/>
                      <w:szCs w:val="21"/>
                      <w14:textFill>
                        <w14:solidFill>
                          <w14:schemeClr w14:val="tx1"/>
                        </w14:solidFill>
                      </w14:textFill>
                    </w:rPr>
                  </w:pPr>
                  <w:r>
                    <w:rPr>
                      <w:rFonts w:hint="eastAsia"/>
                      <w:b/>
                      <w:color w:val="000000" w:themeColor="text1"/>
                      <w:szCs w:val="21"/>
                      <w14:textFill>
                        <w14:solidFill>
                          <w14:schemeClr w14:val="tx1"/>
                        </w14:solidFill>
                      </w14:textFill>
                    </w:rPr>
                    <w:t>合计（</w:t>
                  </w:r>
                  <w:r>
                    <w:rPr>
                      <w:rFonts w:hint="eastAsia"/>
                      <w:b/>
                      <w:color w:val="000000" w:themeColor="text1"/>
                      <w:szCs w:val="21"/>
                      <w:lang w:val="en-US" w:eastAsia="zh-CN"/>
                      <w14:textFill>
                        <w14:solidFill>
                          <w14:schemeClr w14:val="tx1"/>
                        </w14:solidFill>
                      </w14:textFill>
                    </w:rPr>
                    <w:t>kg</w:t>
                  </w:r>
                  <w:r>
                    <w:rPr>
                      <w:b/>
                      <w:color w:val="000000" w:themeColor="text1"/>
                      <w:szCs w:val="21"/>
                      <w14:textFill>
                        <w14:solidFill>
                          <w14:schemeClr w14:val="tx1"/>
                        </w14:solidFill>
                      </w14:textFill>
                    </w:rPr>
                    <w:t>/a</w:t>
                  </w:r>
                  <w:r>
                    <w:rPr>
                      <w:rFonts w:hint="eastAsia"/>
                      <w:b/>
                      <w:color w:val="000000" w:themeColor="text1"/>
                      <w:szCs w:val="21"/>
                      <w14:textFill>
                        <w14:solidFill>
                          <w14:schemeClr w14:val="tx1"/>
                        </w14:solidFill>
                      </w14:textFill>
                    </w:rPr>
                    <w:t>）</w:t>
                  </w:r>
                </w:p>
              </w:tc>
            </w:tr>
            <w:tr w14:paraId="7BA22EA5">
              <w:tblPrEx>
                <w:tblBorders>
                  <w:top w:val="single" w:color="000000" w:sz="8" w:space="0"/>
                  <w:left w:val="none" w:color="auto" w:sz="0" w:space="0"/>
                  <w:bottom w:val="single" w:color="000000" w:sz="8"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414" w:hRule="exact"/>
              </w:trPr>
              <w:tc>
                <w:tcPr>
                  <w:tcW w:w="1588" w:type="dxa"/>
                  <w:noWrap w:val="0"/>
                  <w:vAlign w:val="center"/>
                </w:tcPr>
                <w:p w14:paraId="577B8153">
                  <w:pPr>
                    <w:spacing w:line="320" w:lineRule="exact"/>
                    <w:jc w:val="center"/>
                    <w:rPr>
                      <w:rFonts w:hint="eastAsia"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NMP回收储罐</w:t>
                  </w:r>
                </w:p>
              </w:tc>
              <w:tc>
                <w:tcPr>
                  <w:tcW w:w="2482" w:type="dxa"/>
                  <w:noWrap w:val="0"/>
                  <w:vAlign w:val="center"/>
                </w:tcPr>
                <w:p w14:paraId="014357F1">
                  <w:pPr>
                    <w:spacing w:line="320" w:lineRule="exact"/>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4.13</w:t>
                  </w:r>
                </w:p>
              </w:tc>
              <w:tc>
                <w:tcPr>
                  <w:tcW w:w="2045" w:type="dxa"/>
                  <w:noWrap w:val="0"/>
                  <w:vAlign w:val="center"/>
                </w:tcPr>
                <w:p w14:paraId="3C4B43F5">
                  <w:pPr>
                    <w:pStyle w:val="226"/>
                    <w:spacing w:line="280" w:lineRule="exact"/>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0.011</w:t>
                  </w:r>
                </w:p>
              </w:tc>
              <w:tc>
                <w:tcPr>
                  <w:tcW w:w="1704" w:type="dxa"/>
                  <w:noWrap w:val="0"/>
                  <w:vAlign w:val="center"/>
                </w:tcPr>
                <w:p w14:paraId="364A0DEE">
                  <w:pPr>
                    <w:pStyle w:val="226"/>
                    <w:spacing w:line="280" w:lineRule="exact"/>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4.141</w:t>
                  </w:r>
                </w:p>
              </w:tc>
            </w:tr>
            <w:tr w14:paraId="0E1058A3">
              <w:tblPrEx>
                <w:tblBorders>
                  <w:top w:val="single" w:color="000000" w:sz="8" w:space="0"/>
                  <w:left w:val="none" w:color="auto" w:sz="0" w:space="0"/>
                  <w:bottom w:val="single" w:color="000000" w:sz="8"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36" w:hRule="exact"/>
              </w:trPr>
              <w:tc>
                <w:tcPr>
                  <w:tcW w:w="1588" w:type="dxa"/>
                  <w:noWrap w:val="0"/>
                  <w:vAlign w:val="center"/>
                </w:tcPr>
                <w:p w14:paraId="5AA7A413">
                  <w:pPr>
                    <w:spacing w:line="320" w:lineRule="exact"/>
                    <w:jc w:val="center"/>
                    <w:rPr>
                      <w:rFonts w:hint="default"/>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NMP储罐</w:t>
                  </w:r>
                </w:p>
              </w:tc>
              <w:tc>
                <w:tcPr>
                  <w:tcW w:w="2482" w:type="dxa"/>
                  <w:noWrap w:val="0"/>
                  <w:vAlign w:val="center"/>
                </w:tcPr>
                <w:p w14:paraId="1658BA99">
                  <w:pPr>
                    <w:spacing w:line="320" w:lineRule="exact"/>
                    <w:jc w:val="center"/>
                    <w:rPr>
                      <w:rFonts w:hint="default"/>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0.58</w:t>
                  </w:r>
                </w:p>
              </w:tc>
              <w:tc>
                <w:tcPr>
                  <w:tcW w:w="2045" w:type="dxa"/>
                  <w:noWrap w:val="0"/>
                  <w:vAlign w:val="center"/>
                </w:tcPr>
                <w:p w14:paraId="41CA4B8C">
                  <w:pPr>
                    <w:pStyle w:val="226"/>
                    <w:spacing w:line="280" w:lineRule="exact"/>
                    <w:rPr>
                      <w:rFonts w:hint="default"/>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0.0035</w:t>
                  </w:r>
                </w:p>
              </w:tc>
              <w:tc>
                <w:tcPr>
                  <w:tcW w:w="1704" w:type="dxa"/>
                  <w:noWrap w:val="0"/>
                  <w:vAlign w:val="center"/>
                </w:tcPr>
                <w:p w14:paraId="02985ACC">
                  <w:pPr>
                    <w:pStyle w:val="226"/>
                    <w:spacing w:line="280" w:lineRule="exact"/>
                    <w:rPr>
                      <w:rFonts w:hint="default"/>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0.5835</w:t>
                  </w:r>
                </w:p>
              </w:tc>
            </w:tr>
          </w:tbl>
          <w:p w14:paraId="03D3987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000000" w:themeColor="text1"/>
                <w:kern w:val="0"/>
                <w:sz w:val="24"/>
                <w:szCs w:val="24"/>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0"/>
                <w:sz w:val="24"/>
                <w:szCs w:val="24"/>
                <w:lang w:val="en-US" w:eastAsia="zh-CN" w:bidi="ar-SA"/>
                <w14:textFill>
                  <w14:solidFill>
                    <w14:schemeClr w14:val="tx1"/>
                  </w14:solidFill>
                </w14:textFill>
              </w:rPr>
              <w:t>综上，本项目NMP储罐大小呼吸产生的有机废气（非甲烷总烃）总量为</w:t>
            </w:r>
            <w:r>
              <w:rPr>
                <w:rFonts w:hint="eastAsia" w:cs="Times New Roman"/>
                <w:bCs/>
                <w:color w:val="000000" w:themeColor="text1"/>
                <w:kern w:val="0"/>
                <w:sz w:val="24"/>
                <w:szCs w:val="24"/>
                <w:lang w:val="en-US" w:eastAsia="zh-CN" w:bidi="ar-SA"/>
                <w14:textFill>
                  <w14:solidFill>
                    <w14:schemeClr w14:val="tx1"/>
                  </w14:solidFill>
                </w14:textFill>
              </w:rPr>
              <w:t>4.7245kg</w:t>
            </w:r>
            <w:r>
              <w:rPr>
                <w:rFonts w:hint="eastAsia" w:ascii="Times New Roman" w:hAnsi="Times New Roman" w:eastAsia="宋体" w:cs="Times New Roman"/>
                <w:bCs/>
                <w:color w:val="000000" w:themeColor="text1"/>
                <w:kern w:val="0"/>
                <w:sz w:val="24"/>
                <w:szCs w:val="24"/>
                <w:lang w:val="en-US" w:eastAsia="zh-CN" w:bidi="ar-SA"/>
                <w14:textFill>
                  <w14:solidFill>
                    <w14:schemeClr w14:val="tx1"/>
                  </w14:solidFill>
                </w14:textFill>
              </w:rPr>
              <w:t>/a</w:t>
            </w:r>
            <w:r>
              <w:rPr>
                <w:rFonts w:hint="eastAsia" w:cs="Times New Roman"/>
                <w:bCs/>
                <w:color w:val="000000" w:themeColor="text1"/>
                <w:kern w:val="0"/>
                <w:sz w:val="24"/>
                <w:szCs w:val="24"/>
                <w:lang w:val="en-US" w:eastAsia="zh-CN" w:bidi="ar-SA"/>
                <w14:textFill>
                  <w14:solidFill>
                    <w14:schemeClr w14:val="tx1"/>
                  </w14:solidFill>
                </w14:textFill>
              </w:rPr>
              <w:t>（约为0.005t/a）</w:t>
            </w:r>
            <w:r>
              <w:rPr>
                <w:rFonts w:hint="eastAsia" w:ascii="Times New Roman" w:hAnsi="Times New Roman" w:eastAsia="宋体" w:cs="Times New Roman"/>
                <w:bCs/>
                <w:color w:val="000000" w:themeColor="text1"/>
                <w:kern w:val="0"/>
                <w:sz w:val="24"/>
                <w:szCs w:val="24"/>
                <w:lang w:val="en-US" w:eastAsia="zh-CN" w:bidi="ar-SA"/>
                <w14:textFill>
                  <w14:solidFill>
                    <w14:schemeClr w14:val="tx1"/>
                  </w14:solidFill>
                </w14:textFill>
              </w:rPr>
              <w:t>，产生量较小，由厂区内无组织排放。</w:t>
            </w:r>
          </w:p>
          <w:p w14:paraId="783978B4">
            <w:pPr>
              <w:pStyle w:val="66"/>
              <w:keepNext w:val="0"/>
              <w:keepLines w:val="0"/>
              <w:pageBreakBefore w:val="0"/>
              <w:widowControl w:val="0"/>
              <w:shd w:val="clear"/>
              <w:kinsoku/>
              <w:wordWrap/>
              <w:overflowPunct/>
              <w:topLinePunct w:val="0"/>
              <w:bidi w:val="0"/>
              <w:spacing w:line="360" w:lineRule="auto"/>
              <w:ind w:firstLine="482" w:firstLineChars="200"/>
              <w:textAlignment w:val="auto"/>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pPr>
            <w:r>
              <w:rPr>
                <w:rFonts w:hint="eastAsia" w:cs="Times New Roman"/>
                <w:b/>
                <w:bCs/>
                <w:color w:val="000000" w:themeColor="text1"/>
                <w:sz w:val="24"/>
                <w:szCs w:val="24"/>
                <w:lang w:val="en-US" w:eastAsia="zh-CN"/>
                <w14:textFill>
                  <w14:solidFill>
                    <w14:schemeClr w14:val="tx1"/>
                  </w14:solidFill>
                </w14:textFill>
              </w:rPr>
              <w:t>8）危废库</w:t>
            </w: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废气</w:t>
            </w:r>
          </w:p>
          <w:p w14:paraId="21B1EEB4">
            <w:pPr>
              <w:pStyle w:val="66"/>
              <w:keepNext w:val="0"/>
              <w:keepLines w:val="0"/>
              <w:pageBreakBefore w:val="0"/>
              <w:widowControl w:val="0"/>
              <w:shd w:val="clear"/>
              <w:kinsoku/>
              <w:wordWrap/>
              <w:overflowPunct/>
              <w:topLinePunct w:val="0"/>
              <w:bidi w:val="0"/>
              <w:spacing w:line="360" w:lineRule="auto"/>
              <w:ind w:firstLine="480" w:firstLineChars="200"/>
              <w:textAlignment w:val="auto"/>
              <w:rPr>
                <w:rFonts w:hint="eastAsia"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危废库</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暂存的</w:t>
            </w:r>
            <w:r>
              <w:rPr>
                <w:rFonts w:hint="eastAsia" w:cs="Times New Roman"/>
                <w:color w:val="000000" w:themeColor="text1"/>
                <w:sz w:val="24"/>
                <w:szCs w:val="24"/>
                <w:lang w:val="en-US" w:eastAsia="zh-CN"/>
                <w14:textFill>
                  <w14:solidFill>
                    <w14:schemeClr w14:val="tx1"/>
                  </w14:solidFill>
                </w14:textFill>
              </w:rPr>
              <w:t>沾染危险物质的废包装材料</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、废活性炭</w:t>
            </w:r>
            <w:r>
              <w:rPr>
                <w:rFonts w:hint="eastAsia" w:cs="Times New Roman"/>
                <w:color w:val="000000" w:themeColor="text1"/>
                <w:sz w:val="24"/>
                <w:szCs w:val="24"/>
                <w:lang w:val="en-US" w:eastAsia="zh-CN"/>
                <w14:textFill>
                  <w14:solidFill>
                    <w14:schemeClr w14:val="tx1"/>
                  </w14:solidFill>
                </w14:textFill>
              </w:rPr>
              <w:t>等危险废物在</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储存过</w:t>
            </w:r>
            <w:r>
              <w:rPr>
                <w:rFonts w:hint="eastAsia" w:cs="Times New Roman"/>
                <w:color w:val="000000" w:themeColor="text1"/>
                <w:sz w:val="24"/>
                <w:szCs w:val="24"/>
                <w:lang w:val="en-US" w:eastAsia="zh-CN"/>
                <w14:textFill>
                  <w14:solidFill>
                    <w14:schemeClr w14:val="tx1"/>
                  </w14:solidFill>
                </w14:textFill>
              </w:rPr>
              <w:t>程中</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会挥发少量挥发性有机物（以非甲烷总烃计）。危废间密闭，内设集气管道，将</w:t>
            </w:r>
            <w:r>
              <w:rPr>
                <w:rFonts w:hint="eastAsia" w:cs="Times New Roman"/>
                <w:color w:val="000000" w:themeColor="text1"/>
                <w:sz w:val="24"/>
                <w:szCs w:val="24"/>
                <w:lang w:val="en-US" w:eastAsia="zh-CN"/>
                <w14:textFill>
                  <w14:solidFill>
                    <w14:schemeClr w14:val="tx1"/>
                  </w14:solidFill>
                </w14:textFill>
              </w:rPr>
              <w:t>危废库</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废气引至活性炭吸附装置（TA00</w:t>
            </w:r>
            <w:r>
              <w:rPr>
                <w:rFonts w:hint="eastAsia" w:cs="Times New Roman"/>
                <w:color w:val="000000" w:themeColor="text1"/>
                <w:sz w:val="24"/>
                <w:szCs w:val="24"/>
                <w:lang w:val="en-US" w:eastAsia="zh-CN"/>
                <w14:textFill>
                  <w14:solidFill>
                    <w14:schemeClr w14:val="tx1"/>
                  </w14:solidFill>
                </w14:textFill>
              </w:rPr>
              <w:t>5，风机风量9000m</w:t>
            </w:r>
            <w:r>
              <w:rPr>
                <w:rFonts w:hint="eastAsia" w:cs="Times New Roman"/>
                <w:color w:val="000000" w:themeColor="text1"/>
                <w:sz w:val="24"/>
                <w:szCs w:val="24"/>
                <w:vertAlign w:val="superscript"/>
                <w:lang w:val="en-US" w:eastAsia="zh-CN"/>
                <w14:textFill>
                  <w14:solidFill>
                    <w14:schemeClr w14:val="tx1"/>
                  </w14:solidFill>
                </w14:textFill>
              </w:rPr>
              <w:t>3</w:t>
            </w:r>
            <w:r>
              <w:rPr>
                <w:rFonts w:hint="eastAsia" w:cs="Times New Roman"/>
                <w:color w:val="000000" w:themeColor="text1"/>
                <w:sz w:val="24"/>
                <w:szCs w:val="24"/>
                <w:lang w:val="en-US" w:eastAsia="zh-CN"/>
                <w14:textFill>
                  <w14:solidFill>
                    <w14:schemeClr w14:val="tx1"/>
                  </w14:solidFill>
                </w14:textFill>
              </w:rPr>
              <w:t>/h</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）处理后，仅有极少量有机废气排放。由于项目危险废物暂存过程中有机废气产生、排放量极小，本次评价仅对其进行定性分析</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w:t>
            </w:r>
          </w:p>
          <w:p w14:paraId="423A05C5">
            <w:pPr>
              <w:pStyle w:val="66"/>
              <w:keepNext w:val="0"/>
              <w:keepLines w:val="0"/>
              <w:pageBreakBefore w:val="0"/>
              <w:widowControl w:val="0"/>
              <w:shd w:val="clear"/>
              <w:kinsoku/>
              <w:wordWrap/>
              <w:overflowPunct/>
              <w:topLinePunct w:val="0"/>
              <w:bidi w:val="0"/>
              <w:spacing w:line="360" w:lineRule="auto"/>
              <w:ind w:firstLine="482" w:firstLineChars="200"/>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cs="Times New Roman"/>
                <w:b/>
                <w:bCs/>
                <w:color w:val="000000" w:themeColor="text1"/>
                <w:sz w:val="24"/>
                <w:szCs w:val="24"/>
                <w:lang w:val="en-US" w:eastAsia="zh-CN"/>
                <w14:textFill>
                  <w14:solidFill>
                    <w14:schemeClr w14:val="tx1"/>
                  </w14:solidFill>
                </w14:textFill>
              </w:rPr>
              <w:t>风机风量核算：</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根据建设单位提供资料，</w:t>
            </w:r>
            <w:r>
              <w:rPr>
                <w:rFonts w:hint="eastAsia" w:cs="Times New Roman"/>
                <w:color w:val="000000" w:themeColor="text1"/>
                <w:kern w:val="2"/>
                <w:sz w:val="24"/>
                <w:szCs w:val="24"/>
                <w:highlight w:val="none"/>
                <w:lang w:val="en-US" w:eastAsia="zh-CN" w:bidi="ar-SA"/>
                <w14:textFill>
                  <w14:solidFill>
                    <w14:schemeClr w14:val="tx1"/>
                  </w14:solidFill>
                </w14:textFill>
              </w:rPr>
              <w:t>危废库</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体积为727.935m</w:t>
            </w:r>
            <w:r>
              <w:rPr>
                <w:rFonts w:hint="eastAsia" w:ascii="Times New Roman" w:hAnsi="Times New Roman" w:eastAsia="宋体" w:cs="Times New Roman"/>
                <w:color w:val="000000" w:themeColor="text1"/>
                <w:kern w:val="2"/>
                <w:sz w:val="24"/>
                <w:szCs w:val="24"/>
                <w:highlight w:val="none"/>
                <w:vertAlign w:val="superscript"/>
                <w:lang w:val="en-US" w:eastAsia="zh-CN" w:bidi="ar-SA"/>
                <w14:textFill>
                  <w14:solidFill>
                    <w14:schemeClr w14:val="tx1"/>
                  </w14:solidFill>
                </w14:textFill>
              </w:rPr>
              <w:t>3</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r>
              <w:rPr>
                <w:rFonts w:hint="eastAsia" w:ascii="Times New Roman" w:hAnsi="Times New Roman"/>
                <w:color w:val="000000" w:themeColor="text1"/>
                <w:sz w:val="24"/>
                <w:highlight w:val="none"/>
                <w:lang w:eastAsia="zh-CN"/>
                <w14:textFill>
                  <w14:solidFill>
                    <w14:schemeClr w14:val="tx1"/>
                  </w14:solidFill>
                </w14:textFill>
              </w:rPr>
              <w:t>参考《工业企业卫生设计标准</w:t>
            </w:r>
            <w:r>
              <w:rPr>
                <w:rFonts w:hint="eastAsia" w:ascii="宋体" w:hAnsi="宋体" w:eastAsia="宋体" w:cs="宋体"/>
                <w:color w:val="000000" w:themeColor="text1"/>
                <w:sz w:val="24"/>
                <w:highlight w:val="none"/>
                <w:lang w:eastAsia="zh-CN"/>
                <w14:textFill>
                  <w14:solidFill>
                    <w14:schemeClr w14:val="tx1"/>
                  </w14:solidFill>
                </w14:textFill>
              </w:rPr>
              <w:t>》</w:t>
            </w:r>
            <w:r>
              <w:rPr>
                <w:rFonts w:hint="eastAsia" w:ascii="宋体" w:hAnsi="宋体" w:cs="宋体"/>
                <w:color w:val="000000" w:themeColor="text1"/>
                <w:sz w:val="24"/>
                <w:highlight w:val="none"/>
                <w:lang w:eastAsia="zh-CN"/>
                <w14:textFill>
                  <w14:solidFill>
                    <w14:schemeClr w14:val="tx1"/>
                  </w14:solidFill>
                </w14:textFill>
              </w:rPr>
              <w:t>（</w:t>
            </w:r>
            <w:r>
              <w:rPr>
                <w:rFonts w:hint="eastAsia" w:ascii="Times New Roman" w:hAnsi="Times New Roman"/>
                <w:color w:val="000000" w:themeColor="text1"/>
                <w:sz w:val="24"/>
                <w:highlight w:val="none"/>
                <w:lang w:eastAsia="zh-CN"/>
                <w14:textFill>
                  <w14:solidFill>
                    <w14:schemeClr w14:val="tx1"/>
                  </w14:solidFill>
                </w14:textFill>
              </w:rPr>
              <w:t>GBZ</w:t>
            </w:r>
            <w:r>
              <w:rPr>
                <w:rFonts w:hint="eastAsia" w:ascii="Times New Roman" w:hAnsi="Times New Roman"/>
                <w:color w:val="000000" w:themeColor="text1"/>
                <w:sz w:val="24"/>
                <w:highlight w:val="none"/>
                <w:lang w:val="en-US" w:eastAsia="zh-CN"/>
                <w14:textFill>
                  <w14:solidFill>
                    <w14:schemeClr w14:val="tx1"/>
                  </w14:solidFill>
                </w14:textFill>
              </w:rPr>
              <w:t xml:space="preserve"> </w:t>
            </w:r>
            <w:r>
              <w:rPr>
                <w:rFonts w:hint="eastAsia" w:ascii="Times New Roman" w:hAnsi="Times New Roman"/>
                <w:color w:val="000000" w:themeColor="text1"/>
                <w:sz w:val="24"/>
                <w:highlight w:val="none"/>
                <w:lang w:eastAsia="zh-CN"/>
                <w14:textFill>
                  <w14:solidFill>
                    <w14:schemeClr w14:val="tx1"/>
                  </w14:solidFill>
                </w14:textFill>
              </w:rPr>
              <w:t>1-2010</w:t>
            </w:r>
            <w:r>
              <w:rPr>
                <w:rFonts w:hint="eastAsia" w:ascii="宋体" w:hAnsi="宋体" w:cs="宋体"/>
                <w:color w:val="000000" w:themeColor="text1"/>
                <w:sz w:val="24"/>
                <w:highlight w:val="none"/>
                <w:lang w:eastAsia="zh-CN"/>
                <w14:textFill>
                  <w14:solidFill>
                    <w14:schemeClr w14:val="tx1"/>
                  </w14:solidFill>
                </w14:textFill>
              </w:rPr>
              <w:t>）</w:t>
            </w:r>
            <w:r>
              <w:rPr>
                <w:rFonts w:hint="eastAsia" w:ascii="宋体" w:hAnsi="宋体" w:eastAsia="宋体" w:cs="宋体"/>
                <w:color w:val="000000" w:themeColor="text1"/>
                <w:sz w:val="24"/>
                <w:highlight w:val="none"/>
                <w:lang w:eastAsia="zh-CN"/>
                <w14:textFill>
                  <w14:solidFill>
                    <w14:schemeClr w14:val="tx1"/>
                  </w14:solidFill>
                </w14:textFill>
              </w:rPr>
              <w:t>中</w:t>
            </w:r>
            <w:r>
              <w:rPr>
                <w:rFonts w:hint="eastAsia" w:ascii="Times New Roman" w:hAnsi="Times New Roman"/>
                <w:color w:val="000000" w:themeColor="text1"/>
                <w:sz w:val="24"/>
                <w:highlight w:val="none"/>
                <w:lang w:eastAsia="zh-CN"/>
                <w14:textFill>
                  <w14:solidFill>
                    <w14:schemeClr w14:val="tx1"/>
                  </w14:solidFill>
                </w14:textFill>
              </w:rPr>
              <w:t>“6.1.5.2</w:t>
            </w:r>
            <w:r>
              <w:rPr>
                <w:rFonts w:hint="eastAsia" w:ascii="Times New Roman" w:hAnsi="Times New Roman"/>
                <w:color w:val="000000" w:themeColor="text1"/>
                <w:sz w:val="24"/>
                <w:highlight w:val="none"/>
                <w:lang w:val="en-US" w:eastAsia="zh-CN"/>
                <w14:textFill>
                  <w14:solidFill>
                    <w14:schemeClr w14:val="tx1"/>
                  </w14:solidFill>
                </w14:textFill>
              </w:rPr>
              <w:t xml:space="preserve"> a</w:t>
            </w:r>
            <w:r>
              <w:rPr>
                <w:rFonts w:hint="eastAsia"/>
                <w:color w:val="000000" w:themeColor="text1"/>
                <w:sz w:val="24"/>
                <w:highlight w:val="none"/>
                <w:lang w:val="en-US" w:eastAsia="zh-CN"/>
                <w14:textFill>
                  <w14:solidFill>
                    <w14:schemeClr w14:val="tx1"/>
                  </w14:solidFill>
                </w14:textFill>
              </w:rPr>
              <w:t xml:space="preserve"> </w:t>
            </w:r>
            <w:r>
              <w:rPr>
                <w:rFonts w:hint="eastAsia" w:ascii="Times New Roman" w:hAnsi="Times New Roman"/>
                <w:color w:val="000000" w:themeColor="text1"/>
                <w:sz w:val="24"/>
                <w:highlight w:val="none"/>
                <w:lang w:val="en-US" w:eastAsia="zh-CN"/>
                <w14:textFill>
                  <w14:solidFill>
                    <w14:schemeClr w14:val="tx1"/>
                  </w14:solidFill>
                </w14:textFill>
              </w:rPr>
              <w:t>事故通风宜由进厂使用的通风系统和事故通风系统......事故通风系统风量宜根据工艺设计要求通过计算确定，但换气次数不宜＜12次/h</w:t>
            </w:r>
            <w:r>
              <w:rPr>
                <w:rFonts w:hint="eastAsia" w:ascii="Times New Roman" w:hAnsi="Times New Roman"/>
                <w:color w:val="000000" w:themeColor="text1"/>
                <w:sz w:val="24"/>
                <w:highlight w:val="none"/>
                <w:lang w:eastAsia="zh-CN"/>
                <w14:textFill>
                  <w14:solidFill>
                    <w14:schemeClr w14:val="tx1"/>
                  </w14:solidFill>
                </w14:textFill>
              </w:rPr>
              <w:t>”的相关要求。</w:t>
            </w:r>
            <w:r>
              <w:rPr>
                <w:rFonts w:hint="eastAsia" w:ascii="Times New Roman" w:hAnsi="Times New Roman"/>
                <w:color w:val="000000" w:themeColor="text1"/>
                <w:sz w:val="24"/>
                <w:highlight w:val="none"/>
                <w:lang w:val="en-US" w:eastAsia="zh-CN"/>
                <w14:textFill>
                  <w14:solidFill>
                    <w14:schemeClr w14:val="tx1"/>
                  </w14:solidFill>
                </w14:textFill>
              </w:rPr>
              <w:t>本项目风机风量＝房间体积×换气次数＝</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727.935</w:t>
            </w:r>
            <w:r>
              <w:rPr>
                <w:rFonts w:hint="eastAsia" w:ascii="Times New Roman" w:hAnsi="Times New Roman"/>
                <w:color w:val="000000" w:themeColor="text1"/>
                <w:sz w:val="24"/>
                <w:highlight w:val="none"/>
                <w:lang w:val="en-US" w:eastAsia="zh-CN"/>
                <w14:textFill>
                  <w14:solidFill>
                    <w14:schemeClr w14:val="tx1"/>
                  </w14:solidFill>
                </w14:textFill>
              </w:rPr>
              <w:t>×12＝8735.22m</w:t>
            </w:r>
            <w:r>
              <w:rPr>
                <w:rFonts w:hint="eastAsia" w:ascii="Times New Roman" w:hAnsi="Times New Roman"/>
                <w:color w:val="000000" w:themeColor="text1"/>
                <w:sz w:val="24"/>
                <w:highlight w:val="none"/>
                <w:vertAlign w:val="superscript"/>
                <w:lang w:val="en-US" w:eastAsia="zh-CN"/>
                <w14:textFill>
                  <w14:solidFill>
                    <w14:schemeClr w14:val="tx1"/>
                  </w14:solidFill>
                </w14:textFill>
              </w:rPr>
              <w:t>3</w:t>
            </w:r>
            <w:r>
              <w:rPr>
                <w:rFonts w:hint="eastAsia" w:ascii="Times New Roman" w:hAnsi="Times New Roman"/>
                <w:color w:val="000000" w:themeColor="text1"/>
                <w:sz w:val="24"/>
                <w:highlight w:val="none"/>
                <w:lang w:val="en-US" w:eastAsia="zh-CN"/>
                <w14:textFill>
                  <w14:solidFill>
                    <w14:schemeClr w14:val="tx1"/>
                  </w14:solidFill>
                </w14:textFill>
              </w:rPr>
              <w:t>/h，考虑风管、弯头等损耗，本次环评取整为</w:t>
            </w:r>
            <w:r>
              <w:rPr>
                <w:rFonts w:hint="eastAsia"/>
                <w:color w:val="000000" w:themeColor="text1"/>
                <w:sz w:val="24"/>
                <w:highlight w:val="none"/>
                <w:lang w:val="en-US" w:eastAsia="zh-CN"/>
                <w14:textFill>
                  <w14:solidFill>
                    <w14:schemeClr w14:val="tx1"/>
                  </w14:solidFill>
                </w14:textFill>
              </w:rPr>
              <w:t>9</w:t>
            </w:r>
            <w:r>
              <w:rPr>
                <w:rFonts w:hint="eastAsia" w:ascii="Times New Roman" w:hAnsi="Times New Roman"/>
                <w:color w:val="000000" w:themeColor="text1"/>
                <w:sz w:val="24"/>
                <w:highlight w:val="none"/>
                <w:lang w:val="en-US" w:eastAsia="zh-CN"/>
                <w14:textFill>
                  <w14:solidFill>
                    <w14:schemeClr w14:val="tx1"/>
                  </w14:solidFill>
                </w14:textFill>
              </w:rPr>
              <w:t>000m</w:t>
            </w:r>
            <w:r>
              <w:rPr>
                <w:rFonts w:hint="eastAsia" w:ascii="Times New Roman" w:hAnsi="Times New Roman"/>
                <w:color w:val="000000" w:themeColor="text1"/>
                <w:sz w:val="24"/>
                <w:highlight w:val="none"/>
                <w:vertAlign w:val="superscript"/>
                <w:lang w:val="en-US" w:eastAsia="zh-CN"/>
                <w14:textFill>
                  <w14:solidFill>
                    <w14:schemeClr w14:val="tx1"/>
                  </w14:solidFill>
                </w14:textFill>
              </w:rPr>
              <w:t>3</w:t>
            </w:r>
            <w:r>
              <w:rPr>
                <w:rFonts w:hint="eastAsia" w:ascii="Times New Roman" w:hAnsi="Times New Roman"/>
                <w:color w:val="000000" w:themeColor="text1"/>
                <w:sz w:val="24"/>
                <w:highlight w:val="none"/>
                <w:lang w:val="en-US" w:eastAsia="zh-CN"/>
                <w14:textFill>
                  <w14:solidFill>
                    <w14:schemeClr w14:val="tx1"/>
                  </w14:solidFill>
                </w14:textFill>
              </w:rPr>
              <w:t>/h。</w:t>
            </w:r>
          </w:p>
          <w:p w14:paraId="28C48194">
            <w:pPr>
              <w:pStyle w:val="66"/>
              <w:keepNext w:val="0"/>
              <w:keepLines w:val="0"/>
              <w:pageBreakBefore w:val="0"/>
              <w:widowControl w:val="0"/>
              <w:shd w:val="clear"/>
              <w:kinsoku/>
              <w:wordWrap/>
              <w:overflowPunct/>
              <w:topLinePunct w:val="0"/>
              <w:bidi w:val="0"/>
              <w:spacing w:line="360" w:lineRule="auto"/>
              <w:ind w:firstLine="482" w:firstLineChars="200"/>
              <w:textAlignment w:val="auto"/>
              <w:rPr>
                <w:rFonts w:hint="default" w:ascii="Times New Roman" w:hAnsi="Times New Roman" w:eastAsia="宋体" w:cs="Times New Roman"/>
                <w:b/>
                <w:bCs/>
                <w:color w:val="auto"/>
                <w:sz w:val="24"/>
                <w:szCs w:val="24"/>
                <w:lang w:val="en-US" w:eastAsia="zh-CN"/>
              </w:rPr>
            </w:pPr>
            <w:r>
              <w:rPr>
                <w:rFonts w:hint="eastAsia" w:cs="Times New Roman"/>
                <w:b/>
                <w:bCs/>
                <w:color w:val="auto"/>
                <w:sz w:val="24"/>
                <w:szCs w:val="24"/>
                <w:lang w:val="en-US" w:eastAsia="zh-CN"/>
              </w:rPr>
              <w:t>9）污水</w:t>
            </w:r>
            <w:r>
              <w:rPr>
                <w:rFonts w:hint="default" w:ascii="Times New Roman" w:hAnsi="Times New Roman" w:eastAsia="宋体" w:cs="Times New Roman"/>
                <w:b/>
                <w:bCs/>
                <w:color w:val="auto"/>
                <w:sz w:val="24"/>
                <w:szCs w:val="24"/>
                <w:lang w:val="en-US" w:eastAsia="zh-CN"/>
              </w:rPr>
              <w:t>处理站废气</w:t>
            </w:r>
          </w:p>
          <w:p w14:paraId="6767AD42">
            <w:pPr>
              <w:pStyle w:val="66"/>
              <w:keepNext w:val="0"/>
              <w:keepLines w:val="0"/>
              <w:pageBreakBefore w:val="0"/>
              <w:widowControl w:val="0"/>
              <w:shd w:val="clear"/>
              <w:kinsoku/>
              <w:wordWrap/>
              <w:overflowPunct/>
              <w:topLinePunct w:val="0"/>
              <w:bidi w:val="0"/>
              <w:spacing w:line="360" w:lineRule="auto"/>
              <w:ind w:firstLine="480" w:firstLineChars="200"/>
              <w:textAlignment w:val="auto"/>
              <w:rPr>
                <w:rFonts w:ascii="宋体" w:hAnsi="宋体" w:eastAsia="宋体" w:cs="宋体"/>
                <w:color w:val="auto"/>
                <w:sz w:val="24"/>
                <w:szCs w:val="24"/>
              </w:rPr>
            </w:pPr>
            <w:r>
              <w:rPr>
                <w:rFonts w:ascii="宋体" w:hAnsi="宋体" w:eastAsia="宋体" w:cs="宋体"/>
                <w:color w:val="auto"/>
                <w:sz w:val="24"/>
                <w:szCs w:val="24"/>
              </w:rPr>
              <w:t>项目污水处理工序会产生少量恶臭废气，主要污染物为硫化氢、氨等，以无组织形式扩散。本项目废水产生规模偏小，恶臭污染物产排强度低。污水处理站采用密闭式成套处理设施，可有效抑制恶臭气体逸散，</w:t>
            </w:r>
            <w:r>
              <w:rPr>
                <w:rFonts w:hint="eastAsia" w:ascii="Times New Roman" w:hAnsi="Times New Roman" w:eastAsia="宋体" w:cs="Times New Roman"/>
                <w:color w:val="auto"/>
                <w:sz w:val="24"/>
                <w:szCs w:val="24"/>
                <w:lang w:val="en-US" w:eastAsia="zh-CN"/>
              </w:rPr>
              <w:t>不会对大气环境带来明显不良影响</w:t>
            </w:r>
            <w:r>
              <w:rPr>
                <w:rFonts w:ascii="宋体" w:hAnsi="宋体" w:eastAsia="宋体" w:cs="宋体"/>
                <w:color w:val="auto"/>
                <w:sz w:val="24"/>
                <w:szCs w:val="24"/>
              </w:rPr>
              <w:t>。</w:t>
            </w:r>
          </w:p>
          <w:p w14:paraId="794B3857">
            <w:pPr>
              <w:pStyle w:val="66"/>
              <w:keepNext w:val="0"/>
              <w:keepLines w:val="0"/>
              <w:pageBreakBefore w:val="0"/>
              <w:widowControl w:val="0"/>
              <w:shd w:val="clear"/>
              <w:kinsoku/>
              <w:wordWrap/>
              <w:overflowPunct/>
              <w:topLinePunct w:val="0"/>
              <w:bidi w:val="0"/>
              <w:spacing w:line="360" w:lineRule="auto"/>
              <w:ind w:firstLine="482" w:firstLineChars="200"/>
              <w:textAlignment w:val="auto"/>
              <w:rPr>
                <w:rFonts w:hint="eastAsia" w:ascii="宋体" w:hAnsi="宋体" w:eastAsia="宋体" w:cs="宋体"/>
                <w:b/>
                <w:bCs/>
                <w:color w:val="auto"/>
                <w:sz w:val="24"/>
                <w:szCs w:val="24"/>
                <w:lang w:val="en-US" w:eastAsia="zh-CN"/>
              </w:rPr>
            </w:pPr>
            <w:r>
              <w:rPr>
                <w:rFonts w:hint="eastAsia" w:cs="Times New Roman"/>
                <w:b/>
                <w:bCs/>
                <w:color w:val="auto"/>
                <w:sz w:val="24"/>
                <w:szCs w:val="24"/>
                <w:lang w:val="en-US" w:eastAsia="zh-CN"/>
              </w:rPr>
              <w:t>10</w:t>
            </w:r>
            <w:r>
              <w:rPr>
                <w:rFonts w:hint="eastAsia" w:ascii="宋体" w:hAnsi="宋体" w:cs="宋体"/>
                <w:b/>
                <w:bCs/>
                <w:color w:val="auto"/>
                <w:sz w:val="24"/>
                <w:szCs w:val="24"/>
                <w:lang w:val="en-US" w:eastAsia="zh-CN"/>
              </w:rPr>
              <w:t>）</w:t>
            </w:r>
            <w:r>
              <w:rPr>
                <w:rFonts w:hint="eastAsia" w:ascii="宋体" w:hAnsi="宋体" w:eastAsia="宋体" w:cs="宋体"/>
                <w:b/>
                <w:bCs/>
                <w:color w:val="auto"/>
                <w:sz w:val="24"/>
                <w:szCs w:val="24"/>
                <w:lang w:val="en-US" w:eastAsia="zh-CN"/>
              </w:rPr>
              <w:t>焊接烟尘</w:t>
            </w:r>
          </w:p>
          <w:p w14:paraId="39D892BA">
            <w:pPr>
              <w:pStyle w:val="66"/>
              <w:keepNext w:val="0"/>
              <w:keepLines w:val="0"/>
              <w:pageBreakBefore w:val="0"/>
              <w:widowControl w:val="0"/>
              <w:shd w:val="clear"/>
              <w:kinsoku/>
              <w:wordWrap/>
              <w:overflowPunct/>
              <w:topLinePunct w:val="0"/>
              <w:bidi w:val="0"/>
              <w:spacing w:line="360" w:lineRule="auto"/>
              <w:ind w:firstLine="480" w:firstLineChars="200"/>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本项目</w:t>
            </w:r>
            <w:r>
              <w:rPr>
                <w:rFonts w:hint="eastAsia" w:ascii="宋体" w:hAnsi="宋体" w:cs="宋体"/>
                <w:color w:val="000000" w:themeColor="text1"/>
                <w:sz w:val="24"/>
                <w:szCs w:val="24"/>
                <w:lang w:val="en-US" w:eastAsia="zh-CN"/>
                <w14:textFill>
                  <w14:solidFill>
                    <w14:schemeClr w14:val="tx1"/>
                  </w14:solidFill>
                </w14:textFill>
              </w:rPr>
              <w:t>电源系统组</w:t>
            </w:r>
            <w:r>
              <w:rPr>
                <w:rFonts w:hint="eastAsia" w:ascii="宋体" w:hAnsi="宋体"/>
                <w:color w:val="000000" w:themeColor="text1"/>
                <w:sz w:val="24"/>
                <w:szCs w:val="24"/>
                <w:lang w:val="en-US" w:eastAsia="zh-CN"/>
                <w14:textFill>
                  <w14:solidFill>
                    <w14:schemeClr w14:val="tx1"/>
                  </w14:solidFill>
                </w14:textFill>
              </w:rPr>
              <w:t>装</w:t>
            </w:r>
            <w:r>
              <w:rPr>
                <w:rFonts w:hint="eastAsia" w:ascii="宋体" w:hAnsi="宋体" w:eastAsia="宋体"/>
                <w:color w:val="000000" w:themeColor="text1"/>
                <w:sz w:val="24"/>
                <w:szCs w:val="24"/>
                <w:lang w:val="en-US" w:eastAsia="zh-CN"/>
                <w14:textFill>
                  <w14:solidFill>
                    <w14:schemeClr w14:val="tx1"/>
                  </w14:solidFill>
                </w14:textFill>
              </w:rPr>
              <w:t>工序设置有焊裁一体机，</w:t>
            </w:r>
            <w:r>
              <w:rPr>
                <w:rFonts w:hint="eastAsia" w:ascii="宋体" w:hAnsi="宋体"/>
                <w:color w:val="000000" w:themeColor="text1"/>
                <w:sz w:val="24"/>
                <w:szCs w:val="24"/>
                <w:lang w:val="en-US" w:eastAsia="zh-CN"/>
                <w14:textFill>
                  <w14:solidFill>
                    <w14:schemeClr w14:val="tx1"/>
                  </w14:solidFill>
                </w14:textFill>
              </w:rPr>
              <w:t>主要采用激光焊，主要</w:t>
            </w:r>
            <w:r>
              <w:rPr>
                <w:rFonts w:hint="eastAsia" w:ascii="宋体" w:hAnsi="宋体" w:eastAsia="宋体"/>
                <w:color w:val="000000" w:themeColor="text1"/>
                <w:sz w:val="24"/>
                <w:szCs w:val="24"/>
                <w14:textFill>
                  <w14:solidFill>
                    <w14:schemeClr w14:val="tx1"/>
                  </w14:solidFill>
                </w14:textFill>
              </w:rPr>
              <w:t>利用极高能量密度的激光束，瞬间熔化金属并使其冷却凝固，从而实现牢固连接。激光焊均不用焊条，粉尘产生量极小，</w:t>
            </w:r>
            <w:r>
              <w:rPr>
                <w:rFonts w:hint="eastAsia" w:ascii="宋体" w:hAnsi="宋体" w:eastAsia="宋体"/>
                <w:color w:val="000000" w:themeColor="text1"/>
                <w:sz w:val="24"/>
                <w:szCs w:val="24"/>
                <w:lang w:val="en-US" w:eastAsia="zh-CN"/>
                <w14:textFill>
                  <w14:solidFill>
                    <w14:schemeClr w14:val="tx1"/>
                  </w14:solidFill>
                </w14:textFill>
              </w:rPr>
              <w:t>产生的焊接烟尘经设备自带滤芯除尘器</w:t>
            </w:r>
            <w:r>
              <w:rPr>
                <w:rFonts w:hint="eastAsia" w:ascii="宋体" w:hAnsi="宋体"/>
                <w:color w:val="000000" w:themeColor="text1"/>
                <w:sz w:val="24"/>
                <w:szCs w:val="24"/>
                <w:lang w:val="en-US" w:eastAsia="zh-CN"/>
                <w14:textFill>
                  <w14:solidFill>
                    <w14:schemeClr w14:val="tx1"/>
                  </w14:solidFill>
                </w14:textFill>
              </w:rPr>
              <w:t>（</w:t>
            </w:r>
            <w:r>
              <w:rPr>
                <w:rFonts w:hint="default" w:ascii="Times New Roman" w:hAnsi="Times New Roman" w:cs="Times New Roman"/>
                <w:color w:val="000000" w:themeColor="text1"/>
                <w:sz w:val="24"/>
                <w:szCs w:val="24"/>
                <w:lang w:val="en-US" w:eastAsia="zh-CN"/>
                <w14:textFill>
                  <w14:solidFill>
                    <w14:schemeClr w14:val="tx1"/>
                  </w14:solidFill>
                </w14:textFill>
              </w:rPr>
              <w:t>TA00</w:t>
            </w:r>
            <w:r>
              <w:rPr>
                <w:rFonts w:hint="eastAsia" w:cs="Times New Roman"/>
                <w:color w:val="000000" w:themeColor="text1"/>
                <w:sz w:val="24"/>
                <w:szCs w:val="24"/>
                <w:lang w:val="en-US" w:eastAsia="zh-CN"/>
                <w14:textFill>
                  <w14:solidFill>
                    <w14:schemeClr w14:val="tx1"/>
                  </w14:solidFill>
                </w14:textFill>
              </w:rPr>
              <w:t>6</w:t>
            </w:r>
            <w:r>
              <w:rPr>
                <w:rFonts w:hint="eastAsia" w:ascii="宋体" w:hAnsi="宋体"/>
                <w:color w:val="000000" w:themeColor="text1"/>
                <w:sz w:val="24"/>
                <w:szCs w:val="24"/>
                <w:lang w:val="en-US" w:eastAsia="zh-CN"/>
                <w14:textFill>
                  <w14:solidFill>
                    <w14:schemeClr w14:val="tx1"/>
                  </w14:solidFill>
                </w14:textFill>
              </w:rPr>
              <w:t>）</w:t>
            </w:r>
            <w:r>
              <w:rPr>
                <w:rFonts w:hint="eastAsia" w:ascii="宋体" w:hAnsi="宋体" w:eastAsia="宋体"/>
                <w:color w:val="000000" w:themeColor="text1"/>
                <w:sz w:val="24"/>
                <w:szCs w:val="24"/>
                <w:lang w:val="en-US" w:eastAsia="zh-CN"/>
                <w14:textFill>
                  <w14:solidFill>
                    <w14:schemeClr w14:val="tx1"/>
                  </w14:solidFill>
                </w14:textFill>
              </w:rPr>
              <w:t>处理</w:t>
            </w:r>
            <w:r>
              <w:rPr>
                <w:rFonts w:hint="eastAsia" w:ascii="宋体" w:hAnsi="宋体"/>
                <w:color w:val="000000" w:themeColor="text1"/>
                <w:sz w:val="24"/>
                <w:szCs w:val="24"/>
                <w:lang w:val="en-US" w:eastAsia="zh-CN"/>
                <w14:textFill>
                  <w14:solidFill>
                    <w14:schemeClr w14:val="tx1"/>
                  </w14:solidFill>
                </w14:textFill>
              </w:rPr>
              <w:t>后无组织排放</w:t>
            </w:r>
            <w:r>
              <w:rPr>
                <w:rFonts w:hint="eastAsia" w:ascii="宋体" w:hAnsi="宋体" w:eastAsia="宋体"/>
                <w:color w:val="000000" w:themeColor="text1"/>
                <w:sz w:val="24"/>
                <w:szCs w:val="24"/>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本次评价仅对其进行定性分析</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w:t>
            </w:r>
          </w:p>
          <w:p w14:paraId="5DEF9F7D">
            <w:pPr>
              <w:pStyle w:val="66"/>
              <w:keepNext w:val="0"/>
              <w:keepLines w:val="0"/>
              <w:pageBreakBefore w:val="0"/>
              <w:widowControl w:val="0"/>
              <w:kinsoku/>
              <w:wordWrap/>
              <w:overflowPunct/>
              <w:topLinePunct w:val="0"/>
              <w:bidi w:val="0"/>
              <w:spacing w:line="360" w:lineRule="auto"/>
              <w:ind w:firstLine="480" w:firstLineChars="200"/>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综上，本项目废气产排情况见下表。</w:t>
            </w:r>
          </w:p>
          <w:p w14:paraId="71A8148D">
            <w:pPr>
              <w:pStyle w:val="66"/>
              <w:keepNext w:val="0"/>
              <w:keepLines w:val="0"/>
              <w:pageBreakBefore w:val="0"/>
              <w:widowControl w:val="0"/>
              <w:kinsoku/>
              <w:wordWrap/>
              <w:overflowPunct/>
              <w:topLinePunct w:val="0"/>
              <w:bidi w:val="0"/>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p>
          <w:p w14:paraId="732384FA">
            <w:pPr>
              <w:pStyle w:val="66"/>
              <w:keepNext w:val="0"/>
              <w:keepLines w:val="0"/>
              <w:pageBreakBefore w:val="0"/>
              <w:widowControl w:val="0"/>
              <w:kinsoku/>
              <w:wordWrap/>
              <w:overflowPunct/>
              <w:topLinePunct w:val="0"/>
              <w:bidi w:val="0"/>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p>
          <w:p w14:paraId="6BB823C3">
            <w:pPr>
              <w:pStyle w:val="66"/>
              <w:keepNext w:val="0"/>
              <w:keepLines w:val="0"/>
              <w:pageBreakBefore w:val="0"/>
              <w:widowControl w:val="0"/>
              <w:kinsoku/>
              <w:wordWrap/>
              <w:overflowPunct/>
              <w:topLinePunct w:val="0"/>
              <w:bidi w:val="0"/>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p>
          <w:p w14:paraId="2715F2CF">
            <w:pPr>
              <w:pStyle w:val="66"/>
              <w:keepNext w:val="0"/>
              <w:keepLines w:val="0"/>
              <w:pageBreakBefore w:val="0"/>
              <w:widowControl w:val="0"/>
              <w:kinsoku/>
              <w:wordWrap/>
              <w:overflowPunct/>
              <w:topLinePunct w:val="0"/>
              <w:bidi w:val="0"/>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p>
          <w:p w14:paraId="7CB0ED87">
            <w:pPr>
              <w:pStyle w:val="66"/>
              <w:keepNext w:val="0"/>
              <w:keepLines w:val="0"/>
              <w:pageBreakBefore w:val="0"/>
              <w:widowControl w:val="0"/>
              <w:kinsoku/>
              <w:wordWrap/>
              <w:overflowPunct/>
              <w:topLinePunct w:val="0"/>
              <w:bidi w:val="0"/>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p>
          <w:p w14:paraId="0A6FF7CD">
            <w:pPr>
              <w:pStyle w:val="66"/>
              <w:keepNext w:val="0"/>
              <w:keepLines w:val="0"/>
              <w:pageBreakBefore w:val="0"/>
              <w:widowControl w:val="0"/>
              <w:kinsoku/>
              <w:wordWrap/>
              <w:overflowPunct/>
              <w:topLinePunct w:val="0"/>
              <w:bidi w:val="0"/>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p>
          <w:p w14:paraId="0A88033A">
            <w:pPr>
              <w:pStyle w:val="66"/>
              <w:keepNext w:val="0"/>
              <w:keepLines w:val="0"/>
              <w:pageBreakBefore w:val="0"/>
              <w:widowControl w:val="0"/>
              <w:kinsoku/>
              <w:wordWrap/>
              <w:overflowPunct/>
              <w:topLinePunct w:val="0"/>
              <w:bidi w:val="0"/>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p>
          <w:p w14:paraId="66D1631E">
            <w:pPr>
              <w:pStyle w:val="66"/>
              <w:keepNext w:val="0"/>
              <w:keepLines w:val="0"/>
              <w:pageBreakBefore w:val="0"/>
              <w:widowControl w:val="0"/>
              <w:kinsoku/>
              <w:wordWrap/>
              <w:overflowPunct/>
              <w:topLinePunct w:val="0"/>
              <w:bidi w:val="0"/>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p>
          <w:p w14:paraId="56F62CFD">
            <w:pPr>
              <w:pStyle w:val="66"/>
              <w:keepNext w:val="0"/>
              <w:keepLines w:val="0"/>
              <w:pageBreakBefore w:val="0"/>
              <w:widowControl w:val="0"/>
              <w:kinsoku/>
              <w:wordWrap/>
              <w:overflowPunct/>
              <w:topLinePunct w:val="0"/>
              <w:bidi w:val="0"/>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p>
          <w:p w14:paraId="35ADAC1E">
            <w:pPr>
              <w:pStyle w:val="66"/>
              <w:keepNext w:val="0"/>
              <w:keepLines w:val="0"/>
              <w:pageBreakBefore w:val="0"/>
              <w:widowControl w:val="0"/>
              <w:kinsoku/>
              <w:wordWrap/>
              <w:overflowPunct/>
              <w:topLinePunct w:val="0"/>
              <w:bidi w:val="0"/>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p>
          <w:p w14:paraId="40FA498B">
            <w:pPr>
              <w:pStyle w:val="66"/>
              <w:keepNext w:val="0"/>
              <w:keepLines w:val="0"/>
              <w:pageBreakBefore w:val="0"/>
              <w:widowControl w:val="0"/>
              <w:kinsoku/>
              <w:wordWrap/>
              <w:overflowPunct/>
              <w:topLinePunct w:val="0"/>
              <w:bidi w:val="0"/>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p>
          <w:p w14:paraId="6CAFCA35">
            <w:pPr>
              <w:pStyle w:val="66"/>
              <w:keepNext w:val="0"/>
              <w:keepLines w:val="0"/>
              <w:pageBreakBefore w:val="0"/>
              <w:widowControl w:val="0"/>
              <w:kinsoku/>
              <w:wordWrap/>
              <w:overflowPunct/>
              <w:topLinePunct w:val="0"/>
              <w:bidi w:val="0"/>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p>
          <w:p w14:paraId="05FA0E71">
            <w:pPr>
              <w:pStyle w:val="66"/>
              <w:keepNext w:val="0"/>
              <w:keepLines w:val="0"/>
              <w:pageBreakBefore w:val="0"/>
              <w:widowControl w:val="0"/>
              <w:kinsoku/>
              <w:wordWrap/>
              <w:overflowPunct/>
              <w:topLinePunct w:val="0"/>
              <w:bidi w:val="0"/>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p>
          <w:p w14:paraId="7CFEB3DE">
            <w:pPr>
              <w:pStyle w:val="66"/>
              <w:keepNext w:val="0"/>
              <w:keepLines w:val="0"/>
              <w:pageBreakBefore w:val="0"/>
              <w:widowControl w:val="0"/>
              <w:kinsoku/>
              <w:wordWrap/>
              <w:overflowPunct/>
              <w:topLinePunct w:val="0"/>
              <w:bidi w:val="0"/>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p>
          <w:p w14:paraId="380FE29A">
            <w:pPr>
              <w:pStyle w:val="66"/>
              <w:keepNext w:val="0"/>
              <w:keepLines w:val="0"/>
              <w:pageBreakBefore w:val="0"/>
              <w:widowControl w:val="0"/>
              <w:kinsoku/>
              <w:wordWrap/>
              <w:overflowPunct/>
              <w:topLinePunct w:val="0"/>
              <w:bidi w:val="0"/>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p>
          <w:p w14:paraId="127F802E">
            <w:pPr>
              <w:pStyle w:val="66"/>
              <w:keepNext w:val="0"/>
              <w:keepLines w:val="0"/>
              <w:pageBreakBefore w:val="0"/>
              <w:widowControl w:val="0"/>
              <w:kinsoku/>
              <w:wordWrap/>
              <w:overflowPunct/>
              <w:topLinePunct w:val="0"/>
              <w:bidi w:val="0"/>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p>
          <w:p w14:paraId="07557AF5">
            <w:pPr>
              <w:pStyle w:val="66"/>
              <w:keepNext w:val="0"/>
              <w:keepLines w:val="0"/>
              <w:pageBreakBefore w:val="0"/>
              <w:widowControl w:val="0"/>
              <w:kinsoku/>
              <w:wordWrap/>
              <w:overflowPunct/>
              <w:topLinePunct w:val="0"/>
              <w:bidi w:val="0"/>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p>
          <w:p w14:paraId="33F95114">
            <w:pPr>
              <w:pStyle w:val="66"/>
              <w:keepNext w:val="0"/>
              <w:keepLines w:val="0"/>
              <w:pageBreakBefore w:val="0"/>
              <w:widowControl w:val="0"/>
              <w:kinsoku/>
              <w:wordWrap/>
              <w:overflowPunct/>
              <w:topLinePunct w:val="0"/>
              <w:bidi w:val="0"/>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p>
          <w:p w14:paraId="05B9A808">
            <w:pPr>
              <w:pStyle w:val="66"/>
              <w:keepNext w:val="0"/>
              <w:keepLines w:val="0"/>
              <w:pageBreakBefore w:val="0"/>
              <w:widowControl w:val="0"/>
              <w:kinsoku/>
              <w:wordWrap/>
              <w:overflowPunct/>
              <w:topLinePunct w:val="0"/>
              <w:bidi w:val="0"/>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p>
          <w:p w14:paraId="1FEC5F9F">
            <w:pPr>
              <w:pStyle w:val="66"/>
              <w:keepNext w:val="0"/>
              <w:keepLines w:val="0"/>
              <w:pageBreakBefore w:val="0"/>
              <w:widowControl w:val="0"/>
              <w:kinsoku/>
              <w:wordWrap/>
              <w:overflowPunct/>
              <w:topLinePunct w:val="0"/>
              <w:bidi w:val="0"/>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p>
          <w:p w14:paraId="5B63929A">
            <w:pPr>
              <w:pStyle w:val="66"/>
              <w:keepNext w:val="0"/>
              <w:keepLines w:val="0"/>
              <w:pageBreakBefore w:val="0"/>
              <w:widowControl w:val="0"/>
              <w:kinsoku/>
              <w:wordWrap/>
              <w:overflowPunct/>
              <w:topLinePunct w:val="0"/>
              <w:bidi w:val="0"/>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p>
          <w:p w14:paraId="1018AA4D">
            <w:pPr>
              <w:pStyle w:val="66"/>
              <w:keepNext w:val="0"/>
              <w:keepLines w:val="0"/>
              <w:pageBreakBefore w:val="0"/>
              <w:widowControl w:val="0"/>
              <w:kinsoku/>
              <w:wordWrap/>
              <w:overflowPunct/>
              <w:topLinePunct w:val="0"/>
              <w:bidi w:val="0"/>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p>
          <w:p w14:paraId="1B2073F5">
            <w:pPr>
              <w:pStyle w:val="66"/>
              <w:keepNext w:val="0"/>
              <w:keepLines w:val="0"/>
              <w:pageBreakBefore w:val="0"/>
              <w:widowControl w:val="0"/>
              <w:kinsoku/>
              <w:wordWrap/>
              <w:overflowPunct/>
              <w:topLinePunct w:val="0"/>
              <w:bidi w:val="0"/>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p>
          <w:p w14:paraId="3218BD38">
            <w:pPr>
              <w:pStyle w:val="66"/>
              <w:keepNext w:val="0"/>
              <w:keepLines w:val="0"/>
              <w:pageBreakBefore w:val="0"/>
              <w:widowControl w:val="0"/>
              <w:kinsoku/>
              <w:wordWrap/>
              <w:overflowPunct/>
              <w:topLinePunct w:val="0"/>
              <w:bidi w:val="0"/>
              <w:spacing w:line="360" w:lineRule="auto"/>
              <w:ind w:left="0" w:leftChars="0" w:firstLine="0" w:firstLineChars="0"/>
              <w:textAlignment w:val="auto"/>
              <w:rPr>
                <w:rFonts w:hint="default" w:ascii="Times New Roman" w:hAnsi="Times New Roman" w:eastAsia="宋体" w:cs="Times New Roman"/>
                <w:color w:val="auto"/>
                <w:sz w:val="24"/>
                <w:szCs w:val="24"/>
                <w:lang w:val="en-US" w:eastAsia="zh-CN"/>
              </w:rPr>
            </w:pPr>
          </w:p>
          <w:p w14:paraId="2362229F">
            <w:pPr>
              <w:pStyle w:val="66"/>
              <w:keepNext w:val="0"/>
              <w:keepLines w:val="0"/>
              <w:pageBreakBefore w:val="0"/>
              <w:widowControl w:val="0"/>
              <w:kinsoku/>
              <w:wordWrap/>
              <w:overflowPunct/>
              <w:topLinePunct w:val="0"/>
              <w:bidi w:val="0"/>
              <w:spacing w:line="360" w:lineRule="auto"/>
              <w:ind w:left="0" w:leftChars="0" w:firstLine="0" w:firstLineChars="0"/>
              <w:textAlignment w:val="auto"/>
              <w:rPr>
                <w:rFonts w:hint="eastAsia" w:ascii="Times New Roman" w:hAnsi="Times New Roman" w:eastAsia="宋体" w:cs="Times New Roman"/>
                <w:color w:val="auto"/>
                <w:sz w:val="24"/>
                <w:szCs w:val="24"/>
                <w:lang w:val="en-US" w:eastAsia="zh-CN"/>
              </w:rPr>
            </w:pPr>
          </w:p>
        </w:tc>
      </w:tr>
    </w:tbl>
    <w:p w14:paraId="7BB94536">
      <w:pPr>
        <w:pStyle w:val="37"/>
        <w:jc w:val="both"/>
        <w:outlineLvl w:val="9"/>
        <w:rPr>
          <w:rFonts w:hint="eastAsia" w:ascii="黑体" w:hAnsi="黑体" w:eastAsia="黑体"/>
          <w:snapToGrid w:val="0"/>
          <w:color w:val="auto"/>
          <w:sz w:val="30"/>
          <w:szCs w:val="30"/>
        </w:rPr>
        <w:sectPr>
          <w:pgSz w:w="11906" w:h="16838"/>
          <w:pgMar w:top="1701" w:right="1531" w:bottom="1701" w:left="1531" w:header="851" w:footer="1021" w:gutter="0"/>
          <w:cols w:space="720" w:num="1"/>
          <w:docGrid w:linePitch="312" w:charSpace="0"/>
        </w:sectPr>
      </w:pPr>
    </w:p>
    <w:p w14:paraId="29E96418">
      <w:pPr>
        <w:pStyle w:val="208"/>
        <w:spacing w:line="240" w:lineRule="auto"/>
        <w:ind w:firstLine="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kern w:val="0"/>
          <w:sz w:val="21"/>
          <w:szCs w:val="21"/>
          <w:highlight w:val="none"/>
        </w:rPr>
        <w:t>表4-</w:t>
      </w:r>
      <w:r>
        <w:rPr>
          <w:rFonts w:hint="eastAsia" w:ascii="Times New Roman" w:cs="Times New Roman"/>
          <w:b/>
          <w:bCs/>
          <w:color w:val="auto"/>
          <w:kern w:val="0"/>
          <w:sz w:val="21"/>
          <w:szCs w:val="21"/>
          <w:highlight w:val="none"/>
          <w:lang w:val="en-US" w:eastAsia="zh-CN"/>
        </w:rPr>
        <w:t>3</w:t>
      </w:r>
      <w:r>
        <w:rPr>
          <w:rFonts w:hint="default" w:ascii="Times New Roman" w:hAnsi="Times New Roman" w:eastAsia="宋体" w:cs="Times New Roman"/>
          <w:b/>
          <w:bCs/>
          <w:color w:val="auto"/>
          <w:kern w:val="0"/>
          <w:sz w:val="21"/>
          <w:szCs w:val="21"/>
          <w:highlight w:val="none"/>
          <w:lang w:val="en-US" w:eastAsia="zh-CN"/>
        </w:rPr>
        <w:t xml:space="preserve"> </w:t>
      </w:r>
      <w:r>
        <w:rPr>
          <w:rFonts w:hint="default" w:ascii="Times New Roman" w:hAnsi="Times New Roman" w:eastAsia="宋体" w:cs="Times New Roman"/>
          <w:b/>
          <w:bCs/>
          <w:color w:val="auto"/>
          <w:kern w:val="0"/>
          <w:sz w:val="21"/>
          <w:szCs w:val="21"/>
          <w:highlight w:val="none"/>
        </w:rPr>
        <w:t>本项目</w:t>
      </w:r>
      <w:r>
        <w:rPr>
          <w:rFonts w:hint="eastAsia" w:ascii="Times New Roman" w:cs="Times New Roman"/>
          <w:b/>
          <w:bCs/>
          <w:color w:val="auto"/>
          <w:kern w:val="0"/>
          <w:sz w:val="21"/>
          <w:szCs w:val="21"/>
          <w:highlight w:val="none"/>
          <w:lang w:val="en-US" w:eastAsia="zh-CN"/>
        </w:rPr>
        <w:t>有组织</w:t>
      </w:r>
      <w:r>
        <w:rPr>
          <w:rFonts w:hint="default" w:ascii="Times New Roman" w:hAnsi="Times New Roman" w:eastAsia="宋体" w:cs="Times New Roman"/>
          <w:b/>
          <w:bCs/>
          <w:color w:val="auto"/>
          <w:kern w:val="0"/>
          <w:sz w:val="21"/>
          <w:szCs w:val="21"/>
          <w:highlight w:val="none"/>
        </w:rPr>
        <w:t>废气产生、治理、排放情况一览表（单位：产生量t/a</w:t>
      </w:r>
      <w:r>
        <w:rPr>
          <w:rFonts w:hint="eastAsia" w:ascii="Times New Roman" w:hAnsi="Times New Roman" w:eastAsia="宋体" w:cs="Times New Roman"/>
          <w:b/>
          <w:bCs/>
          <w:color w:val="auto"/>
          <w:kern w:val="0"/>
          <w:sz w:val="21"/>
          <w:szCs w:val="21"/>
          <w:highlight w:val="none"/>
          <w:lang w:eastAsia="zh-CN"/>
        </w:rPr>
        <w:t>；</w:t>
      </w:r>
      <w:r>
        <w:rPr>
          <w:rFonts w:hint="default" w:ascii="Times New Roman" w:hAnsi="Times New Roman" w:eastAsia="宋体" w:cs="Times New Roman"/>
          <w:b/>
          <w:bCs/>
          <w:color w:val="auto"/>
          <w:kern w:val="0"/>
          <w:sz w:val="21"/>
          <w:szCs w:val="21"/>
          <w:highlight w:val="none"/>
        </w:rPr>
        <w:t>速率kg/h；浓度：mg/m</w:t>
      </w:r>
      <w:r>
        <w:rPr>
          <w:rFonts w:hint="default" w:ascii="Times New Roman" w:hAnsi="Times New Roman" w:eastAsia="宋体" w:cs="Times New Roman"/>
          <w:b/>
          <w:bCs/>
          <w:color w:val="auto"/>
          <w:kern w:val="0"/>
          <w:sz w:val="21"/>
          <w:szCs w:val="21"/>
          <w:highlight w:val="none"/>
          <w:vertAlign w:val="superscript"/>
        </w:rPr>
        <w:t>3</w:t>
      </w:r>
      <w:r>
        <w:rPr>
          <w:rFonts w:hint="default" w:ascii="Times New Roman" w:hAnsi="Times New Roman" w:eastAsia="宋体" w:cs="Times New Roman"/>
          <w:b/>
          <w:bCs/>
          <w:color w:val="auto"/>
          <w:kern w:val="0"/>
          <w:sz w:val="21"/>
          <w:szCs w:val="21"/>
          <w:highlight w:val="none"/>
        </w:rPr>
        <w:t>）</w:t>
      </w:r>
    </w:p>
    <w:tbl>
      <w:tblPr>
        <w:tblStyle w:val="41"/>
        <w:tblW w:w="1459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27"/>
        <w:gridCol w:w="795"/>
        <w:gridCol w:w="990"/>
        <w:gridCol w:w="915"/>
        <w:gridCol w:w="1740"/>
        <w:gridCol w:w="965"/>
        <w:gridCol w:w="1795"/>
        <w:gridCol w:w="1245"/>
        <w:gridCol w:w="1140"/>
        <w:gridCol w:w="915"/>
        <w:gridCol w:w="900"/>
        <w:gridCol w:w="780"/>
        <w:gridCol w:w="750"/>
        <w:gridCol w:w="840"/>
      </w:tblGrid>
      <w:tr w14:paraId="64E0B0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827" w:type="dxa"/>
            <w:vMerge w:val="restart"/>
            <w:shd w:val="clear" w:color="auto" w:fill="auto"/>
            <w:noWrap w:val="0"/>
            <w:vAlign w:val="center"/>
          </w:tcPr>
          <w:p w14:paraId="21B2479D">
            <w:pPr>
              <w:pStyle w:val="208"/>
              <w:spacing w:line="240" w:lineRule="auto"/>
              <w:ind w:firstLine="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产污环节</w:t>
            </w:r>
          </w:p>
        </w:tc>
        <w:tc>
          <w:tcPr>
            <w:tcW w:w="795" w:type="dxa"/>
            <w:vMerge w:val="restart"/>
            <w:shd w:val="clear" w:color="auto" w:fill="auto"/>
            <w:noWrap w:val="0"/>
            <w:vAlign w:val="center"/>
          </w:tcPr>
          <w:p w14:paraId="0604B77D">
            <w:pPr>
              <w:pStyle w:val="208"/>
              <w:spacing w:line="240" w:lineRule="auto"/>
              <w:ind w:firstLine="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污染物种类</w:t>
            </w:r>
          </w:p>
        </w:tc>
        <w:tc>
          <w:tcPr>
            <w:tcW w:w="1905" w:type="dxa"/>
            <w:gridSpan w:val="2"/>
            <w:shd w:val="clear" w:color="auto" w:fill="auto"/>
            <w:noWrap w:val="0"/>
            <w:vAlign w:val="center"/>
          </w:tcPr>
          <w:p w14:paraId="30FDA6D5">
            <w:pPr>
              <w:pStyle w:val="208"/>
              <w:spacing w:line="240" w:lineRule="auto"/>
              <w:ind w:firstLine="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污染物产生情况</w:t>
            </w:r>
          </w:p>
        </w:tc>
        <w:tc>
          <w:tcPr>
            <w:tcW w:w="6885" w:type="dxa"/>
            <w:gridSpan w:val="5"/>
            <w:shd w:val="clear" w:color="auto" w:fill="auto"/>
            <w:noWrap w:val="0"/>
            <w:vAlign w:val="center"/>
          </w:tcPr>
          <w:p w14:paraId="0DF22232">
            <w:pPr>
              <w:pStyle w:val="208"/>
              <w:spacing w:line="240" w:lineRule="auto"/>
              <w:ind w:firstLine="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治理措施及效果</w:t>
            </w:r>
          </w:p>
        </w:tc>
        <w:tc>
          <w:tcPr>
            <w:tcW w:w="4185" w:type="dxa"/>
            <w:gridSpan w:val="5"/>
            <w:shd w:val="clear" w:color="auto" w:fill="auto"/>
            <w:noWrap w:val="0"/>
            <w:vAlign w:val="center"/>
          </w:tcPr>
          <w:p w14:paraId="4A1DD576">
            <w:pPr>
              <w:pStyle w:val="208"/>
              <w:spacing w:line="240" w:lineRule="auto"/>
              <w:ind w:firstLine="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污染物排放情况</w:t>
            </w:r>
          </w:p>
        </w:tc>
      </w:tr>
      <w:tr w14:paraId="3012D3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42" w:hRule="atLeast"/>
          <w:jc w:val="center"/>
        </w:trPr>
        <w:tc>
          <w:tcPr>
            <w:tcW w:w="827" w:type="dxa"/>
            <w:vMerge w:val="continue"/>
            <w:shd w:val="clear" w:color="auto" w:fill="auto"/>
            <w:noWrap w:val="0"/>
            <w:vAlign w:val="center"/>
          </w:tcPr>
          <w:p w14:paraId="0B875469">
            <w:pPr>
              <w:pStyle w:val="208"/>
              <w:spacing w:line="240" w:lineRule="auto"/>
              <w:ind w:firstLine="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p>
        </w:tc>
        <w:tc>
          <w:tcPr>
            <w:tcW w:w="795" w:type="dxa"/>
            <w:vMerge w:val="continue"/>
            <w:shd w:val="clear" w:color="auto" w:fill="auto"/>
            <w:noWrap w:val="0"/>
            <w:vAlign w:val="center"/>
          </w:tcPr>
          <w:p w14:paraId="2BAC7F94">
            <w:pPr>
              <w:pStyle w:val="208"/>
              <w:spacing w:line="240" w:lineRule="auto"/>
              <w:ind w:firstLine="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p>
        </w:tc>
        <w:tc>
          <w:tcPr>
            <w:tcW w:w="990" w:type="dxa"/>
            <w:shd w:val="clear" w:color="auto" w:fill="auto"/>
            <w:noWrap w:val="0"/>
            <w:vAlign w:val="center"/>
          </w:tcPr>
          <w:p w14:paraId="22BFBB87">
            <w:pPr>
              <w:pStyle w:val="208"/>
              <w:spacing w:line="240" w:lineRule="auto"/>
              <w:ind w:firstLine="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产生量</w:t>
            </w:r>
          </w:p>
        </w:tc>
        <w:tc>
          <w:tcPr>
            <w:tcW w:w="915" w:type="dxa"/>
            <w:shd w:val="clear" w:color="auto" w:fill="auto"/>
            <w:noWrap w:val="0"/>
            <w:vAlign w:val="center"/>
          </w:tcPr>
          <w:p w14:paraId="0F358209">
            <w:pPr>
              <w:pStyle w:val="208"/>
              <w:spacing w:line="240" w:lineRule="auto"/>
              <w:ind w:firstLine="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产生速率</w:t>
            </w:r>
          </w:p>
        </w:tc>
        <w:tc>
          <w:tcPr>
            <w:tcW w:w="1740" w:type="dxa"/>
            <w:shd w:val="clear" w:color="auto" w:fill="auto"/>
            <w:noWrap w:val="0"/>
            <w:vAlign w:val="center"/>
          </w:tcPr>
          <w:p w14:paraId="40F023E6">
            <w:pPr>
              <w:pStyle w:val="208"/>
              <w:spacing w:line="240" w:lineRule="auto"/>
              <w:ind w:firstLine="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措施</w:t>
            </w:r>
          </w:p>
        </w:tc>
        <w:tc>
          <w:tcPr>
            <w:tcW w:w="965" w:type="dxa"/>
            <w:shd w:val="clear" w:color="auto" w:fill="auto"/>
            <w:noWrap w:val="0"/>
            <w:vAlign w:val="center"/>
          </w:tcPr>
          <w:p w14:paraId="70DCDBCC">
            <w:pPr>
              <w:pStyle w:val="208"/>
              <w:spacing w:line="240" w:lineRule="auto"/>
              <w:ind w:firstLine="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收集效率（％）</w:t>
            </w:r>
          </w:p>
        </w:tc>
        <w:tc>
          <w:tcPr>
            <w:tcW w:w="1795" w:type="dxa"/>
            <w:shd w:val="clear" w:color="auto" w:fill="auto"/>
            <w:noWrap w:val="0"/>
            <w:vAlign w:val="center"/>
          </w:tcPr>
          <w:p w14:paraId="5CE60B94">
            <w:pPr>
              <w:pStyle w:val="208"/>
              <w:spacing w:line="240" w:lineRule="auto"/>
              <w:ind w:firstLine="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处理效率（％）</w:t>
            </w:r>
          </w:p>
        </w:tc>
        <w:tc>
          <w:tcPr>
            <w:tcW w:w="1245" w:type="dxa"/>
            <w:shd w:val="clear" w:color="auto" w:fill="auto"/>
            <w:noWrap w:val="0"/>
            <w:vAlign w:val="center"/>
          </w:tcPr>
          <w:p w14:paraId="273F4848">
            <w:pPr>
              <w:pStyle w:val="208"/>
              <w:spacing w:line="240" w:lineRule="auto"/>
              <w:ind w:firstLine="0"/>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风机风量（m</w:t>
            </w:r>
            <w:r>
              <w:rPr>
                <w:rFonts w:hint="default" w:ascii="Times New Roman" w:hAnsi="Times New Roman" w:eastAsia="宋体" w:cs="Times New Roman"/>
                <w:b/>
                <w:bCs/>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/h）</w:t>
            </w:r>
          </w:p>
        </w:tc>
        <w:tc>
          <w:tcPr>
            <w:tcW w:w="1140" w:type="dxa"/>
            <w:shd w:val="clear" w:color="auto" w:fill="auto"/>
            <w:noWrap w:val="0"/>
            <w:vAlign w:val="center"/>
          </w:tcPr>
          <w:p w14:paraId="416E1636">
            <w:pPr>
              <w:pStyle w:val="208"/>
              <w:spacing w:line="240" w:lineRule="auto"/>
              <w:ind w:firstLine="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是否为可行技术</w:t>
            </w:r>
          </w:p>
        </w:tc>
        <w:tc>
          <w:tcPr>
            <w:tcW w:w="915" w:type="dxa"/>
            <w:shd w:val="clear" w:color="auto" w:fill="auto"/>
            <w:noWrap w:val="0"/>
            <w:vAlign w:val="center"/>
          </w:tcPr>
          <w:p w14:paraId="16B93177">
            <w:pPr>
              <w:pStyle w:val="208"/>
              <w:spacing w:line="240" w:lineRule="auto"/>
              <w:ind w:firstLine="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排放形式</w:t>
            </w:r>
          </w:p>
        </w:tc>
        <w:tc>
          <w:tcPr>
            <w:tcW w:w="900" w:type="dxa"/>
            <w:shd w:val="clear" w:color="auto" w:fill="auto"/>
            <w:noWrap w:val="0"/>
            <w:vAlign w:val="center"/>
          </w:tcPr>
          <w:p w14:paraId="7802D367">
            <w:pPr>
              <w:pStyle w:val="208"/>
              <w:spacing w:line="240" w:lineRule="auto"/>
              <w:ind w:firstLine="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排放量</w:t>
            </w:r>
          </w:p>
        </w:tc>
        <w:tc>
          <w:tcPr>
            <w:tcW w:w="780" w:type="dxa"/>
            <w:shd w:val="clear" w:color="auto" w:fill="auto"/>
            <w:noWrap w:val="0"/>
            <w:vAlign w:val="center"/>
          </w:tcPr>
          <w:p w14:paraId="2440237A">
            <w:pPr>
              <w:pStyle w:val="208"/>
              <w:spacing w:line="240" w:lineRule="auto"/>
              <w:ind w:firstLine="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排放速率</w:t>
            </w:r>
          </w:p>
        </w:tc>
        <w:tc>
          <w:tcPr>
            <w:tcW w:w="750" w:type="dxa"/>
            <w:shd w:val="clear" w:color="auto" w:fill="auto"/>
            <w:noWrap w:val="0"/>
            <w:vAlign w:val="center"/>
          </w:tcPr>
          <w:p w14:paraId="03D6481B">
            <w:pPr>
              <w:pStyle w:val="208"/>
              <w:spacing w:line="240" w:lineRule="auto"/>
              <w:ind w:firstLine="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排放浓度</w:t>
            </w:r>
          </w:p>
        </w:tc>
        <w:tc>
          <w:tcPr>
            <w:tcW w:w="840" w:type="dxa"/>
            <w:shd w:val="clear" w:color="auto" w:fill="auto"/>
            <w:noWrap w:val="0"/>
            <w:vAlign w:val="center"/>
          </w:tcPr>
          <w:p w14:paraId="2F1865DC">
            <w:pPr>
              <w:pStyle w:val="208"/>
              <w:spacing w:line="240" w:lineRule="auto"/>
              <w:ind w:firstLine="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排放时间</w:t>
            </w:r>
          </w:p>
        </w:tc>
      </w:tr>
      <w:tr w14:paraId="31A8F1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827" w:type="dxa"/>
            <w:noWrap w:val="0"/>
            <w:vAlign w:val="center"/>
          </w:tcPr>
          <w:p w14:paraId="09A17457">
            <w:pPr>
              <w:pStyle w:val="18"/>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eastAsia="宋体" w:cs="Times New Roman"/>
                <w:color w:val="000000" w:themeColor="text1"/>
                <w:sz w:val="21"/>
                <w:szCs w:val="21"/>
                <w:highlight w:val="none"/>
                <w:lang w:val="en-US" w:eastAsia="zh-CN"/>
                <w14:textFill>
                  <w14:solidFill>
                    <w14:schemeClr w14:val="tx1"/>
                  </w14:solidFill>
                </w14:textFill>
              </w:rPr>
              <w:t>涂布烘干</w:t>
            </w:r>
          </w:p>
        </w:tc>
        <w:tc>
          <w:tcPr>
            <w:tcW w:w="795" w:type="dxa"/>
            <w:noWrap w:val="0"/>
            <w:vAlign w:val="center"/>
          </w:tcPr>
          <w:p w14:paraId="3F07D98A">
            <w:pPr>
              <w:pStyle w:val="18"/>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eastAsia="宋体" w:cs="Times New Roman"/>
                <w:color w:val="000000" w:themeColor="text1"/>
                <w:sz w:val="21"/>
                <w:szCs w:val="21"/>
                <w:highlight w:val="none"/>
                <w:lang w:val="en-US" w:eastAsia="zh-CN"/>
                <w14:textFill>
                  <w14:solidFill>
                    <w14:schemeClr w14:val="tx1"/>
                  </w14:solidFill>
                </w14:textFill>
              </w:rPr>
              <w:t>NMP（以非甲烷总烃计）</w:t>
            </w:r>
          </w:p>
        </w:tc>
        <w:tc>
          <w:tcPr>
            <w:tcW w:w="990" w:type="dxa"/>
            <w:noWrap w:val="0"/>
            <w:vAlign w:val="center"/>
          </w:tcPr>
          <w:p w14:paraId="58B04BA4">
            <w:pPr>
              <w:pStyle w:val="18"/>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1456.2</w:t>
            </w:r>
          </w:p>
        </w:tc>
        <w:tc>
          <w:tcPr>
            <w:tcW w:w="915" w:type="dxa"/>
            <w:noWrap w:val="0"/>
            <w:vAlign w:val="center"/>
          </w:tcPr>
          <w:p w14:paraId="236B93DB">
            <w:pPr>
              <w:pStyle w:val="18"/>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242.7</w:t>
            </w:r>
          </w:p>
        </w:tc>
        <w:tc>
          <w:tcPr>
            <w:tcW w:w="1740" w:type="dxa"/>
            <w:noWrap w:val="0"/>
            <w:vAlign w:val="center"/>
          </w:tcPr>
          <w:p w14:paraId="30BC2BE8">
            <w:pPr>
              <w:pStyle w:val="18"/>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二级冷凝回收+</w:t>
            </w:r>
            <w:r>
              <w:rPr>
                <w:rFonts w:hint="default" w:ascii="Times New Roman" w:hAnsi="Times New Roman" w:eastAsia="宋体" w:cs="Times New Roman"/>
                <w:color w:val="000000" w:themeColor="text1"/>
                <w:sz w:val="21"/>
                <w:szCs w:val="21"/>
                <w:highlight w:val="none"/>
                <w14:textFill>
                  <w14:solidFill>
                    <w14:schemeClr w14:val="tx1"/>
                  </w14:solidFill>
                </w14:textFill>
              </w:rPr>
              <w:t>转轮</w:t>
            </w:r>
            <w:r>
              <w:rPr>
                <w:rFonts w:hint="eastAsia" w:cs="Times New Roman"/>
                <w:color w:val="000000" w:themeColor="text1"/>
                <w:sz w:val="21"/>
                <w:szCs w:val="21"/>
                <w:highlight w:val="none"/>
                <w:lang w:val="en-US" w:eastAsia="zh-CN"/>
                <w14:textFill>
                  <w14:solidFill>
                    <w14:schemeClr w14:val="tx1"/>
                  </w14:solidFill>
                </w14:textFill>
              </w:rPr>
              <w:t>吸附脱附（TA002）</w:t>
            </w:r>
          </w:p>
        </w:tc>
        <w:tc>
          <w:tcPr>
            <w:tcW w:w="965" w:type="dxa"/>
            <w:noWrap w:val="0"/>
            <w:vAlign w:val="center"/>
          </w:tcPr>
          <w:p w14:paraId="2D4B2B80">
            <w:pPr>
              <w:pStyle w:val="18"/>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100</w:t>
            </w:r>
          </w:p>
        </w:tc>
        <w:tc>
          <w:tcPr>
            <w:tcW w:w="1795" w:type="dxa"/>
            <w:noWrap w:val="0"/>
            <w:vAlign w:val="center"/>
          </w:tcPr>
          <w:p w14:paraId="0F5996EE">
            <w:pPr>
              <w:pStyle w:val="18"/>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99.9</w:t>
            </w:r>
          </w:p>
        </w:tc>
        <w:tc>
          <w:tcPr>
            <w:tcW w:w="1245" w:type="dxa"/>
            <w:noWrap w:val="0"/>
            <w:vAlign w:val="center"/>
          </w:tcPr>
          <w:p w14:paraId="294F5139">
            <w:pPr>
              <w:pStyle w:val="18"/>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35000</w:t>
            </w:r>
          </w:p>
        </w:tc>
        <w:tc>
          <w:tcPr>
            <w:tcW w:w="1140" w:type="dxa"/>
            <w:noWrap w:val="0"/>
            <w:vAlign w:val="center"/>
          </w:tcPr>
          <w:p w14:paraId="4A11E574">
            <w:pPr>
              <w:pStyle w:val="208"/>
              <w:spacing w:line="240" w:lineRule="auto"/>
              <w:ind w:firstLine="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是</w:t>
            </w:r>
          </w:p>
        </w:tc>
        <w:tc>
          <w:tcPr>
            <w:tcW w:w="915" w:type="dxa"/>
            <w:noWrap w:val="0"/>
            <w:vAlign w:val="center"/>
          </w:tcPr>
          <w:p w14:paraId="05DB8F3C">
            <w:pPr>
              <w:pStyle w:val="208"/>
              <w:spacing w:line="240" w:lineRule="auto"/>
              <w:ind w:firstLine="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有组织</w:t>
            </w:r>
          </w:p>
        </w:tc>
        <w:tc>
          <w:tcPr>
            <w:tcW w:w="900" w:type="dxa"/>
            <w:noWrap w:val="0"/>
            <w:vAlign w:val="center"/>
          </w:tcPr>
          <w:p w14:paraId="6EC144AF">
            <w:pPr>
              <w:pStyle w:val="18"/>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1.46</w:t>
            </w:r>
          </w:p>
        </w:tc>
        <w:tc>
          <w:tcPr>
            <w:tcW w:w="780" w:type="dxa"/>
            <w:noWrap w:val="0"/>
            <w:vAlign w:val="center"/>
          </w:tcPr>
          <w:p w14:paraId="569BC58F">
            <w:pPr>
              <w:pStyle w:val="18"/>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0.24</w:t>
            </w:r>
          </w:p>
        </w:tc>
        <w:tc>
          <w:tcPr>
            <w:tcW w:w="750" w:type="dxa"/>
            <w:noWrap w:val="0"/>
            <w:vAlign w:val="center"/>
          </w:tcPr>
          <w:p w14:paraId="02433DEE">
            <w:pPr>
              <w:pStyle w:val="18"/>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6.86</w:t>
            </w:r>
          </w:p>
        </w:tc>
        <w:tc>
          <w:tcPr>
            <w:tcW w:w="840" w:type="dxa"/>
            <w:vMerge w:val="restart"/>
            <w:noWrap w:val="0"/>
            <w:vAlign w:val="center"/>
          </w:tcPr>
          <w:p w14:paraId="47628B44">
            <w:pPr>
              <w:pStyle w:val="208"/>
              <w:spacing w:line="240" w:lineRule="auto"/>
              <w:ind w:left="0" w:leftChars="0"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6000h</w:t>
            </w:r>
          </w:p>
        </w:tc>
      </w:tr>
      <w:tr w14:paraId="7E6C84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827" w:type="dxa"/>
            <w:noWrap w:val="0"/>
            <w:vAlign w:val="center"/>
          </w:tcPr>
          <w:p w14:paraId="5068FF98">
            <w:pPr>
              <w:pStyle w:val="18"/>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注液、二封</w:t>
            </w:r>
          </w:p>
        </w:tc>
        <w:tc>
          <w:tcPr>
            <w:tcW w:w="795" w:type="dxa"/>
            <w:noWrap w:val="0"/>
            <w:vAlign w:val="center"/>
          </w:tcPr>
          <w:p w14:paraId="614D8D4C">
            <w:pPr>
              <w:pStyle w:val="18"/>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挥发性有机物（以非甲烷总烃计）</w:t>
            </w:r>
          </w:p>
        </w:tc>
        <w:tc>
          <w:tcPr>
            <w:tcW w:w="990" w:type="dxa"/>
            <w:noWrap w:val="0"/>
            <w:vAlign w:val="center"/>
          </w:tcPr>
          <w:p w14:paraId="3DA751F6">
            <w:pPr>
              <w:pStyle w:val="18"/>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1.23</w:t>
            </w:r>
          </w:p>
        </w:tc>
        <w:tc>
          <w:tcPr>
            <w:tcW w:w="915" w:type="dxa"/>
            <w:noWrap w:val="0"/>
            <w:vAlign w:val="center"/>
          </w:tcPr>
          <w:p w14:paraId="7AEF32E1">
            <w:pPr>
              <w:pStyle w:val="18"/>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0.205</w:t>
            </w:r>
          </w:p>
        </w:tc>
        <w:tc>
          <w:tcPr>
            <w:tcW w:w="1740" w:type="dxa"/>
            <w:noWrap w:val="0"/>
            <w:vAlign w:val="center"/>
          </w:tcPr>
          <w:p w14:paraId="4FE3A254">
            <w:pPr>
              <w:pStyle w:val="18"/>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二级活性炭</w:t>
            </w:r>
            <w:r>
              <w:rPr>
                <w:rFonts w:hint="eastAsia" w:cs="Times New Roman"/>
                <w:color w:val="000000" w:themeColor="text1"/>
                <w:sz w:val="21"/>
                <w:szCs w:val="21"/>
                <w:lang w:val="en-US" w:eastAsia="zh-CN"/>
                <w14:textFill>
                  <w14:solidFill>
                    <w14:schemeClr w14:val="tx1"/>
                  </w14:solidFill>
                </w14:textFill>
              </w:rPr>
              <w:t>（TA003）</w:t>
            </w:r>
          </w:p>
        </w:tc>
        <w:tc>
          <w:tcPr>
            <w:tcW w:w="965" w:type="dxa"/>
            <w:noWrap w:val="0"/>
            <w:vAlign w:val="center"/>
          </w:tcPr>
          <w:p w14:paraId="59885B06">
            <w:pPr>
              <w:pStyle w:val="18"/>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95%</w:t>
            </w:r>
          </w:p>
        </w:tc>
        <w:tc>
          <w:tcPr>
            <w:tcW w:w="1795" w:type="dxa"/>
            <w:noWrap w:val="0"/>
            <w:vAlign w:val="center"/>
          </w:tcPr>
          <w:p w14:paraId="5C8CCB52">
            <w:pPr>
              <w:pStyle w:val="18"/>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75%</w:t>
            </w:r>
          </w:p>
        </w:tc>
        <w:tc>
          <w:tcPr>
            <w:tcW w:w="1245" w:type="dxa"/>
            <w:noWrap w:val="0"/>
            <w:vAlign w:val="center"/>
          </w:tcPr>
          <w:p w14:paraId="2B99760B">
            <w:pPr>
              <w:pStyle w:val="18"/>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6000</w:t>
            </w:r>
          </w:p>
        </w:tc>
        <w:tc>
          <w:tcPr>
            <w:tcW w:w="1140" w:type="dxa"/>
            <w:noWrap w:val="0"/>
            <w:vAlign w:val="center"/>
          </w:tcPr>
          <w:p w14:paraId="52D43970">
            <w:pPr>
              <w:pStyle w:val="208"/>
              <w:spacing w:line="240" w:lineRule="auto"/>
              <w:ind w:firstLine="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是</w:t>
            </w:r>
          </w:p>
        </w:tc>
        <w:tc>
          <w:tcPr>
            <w:tcW w:w="915" w:type="dxa"/>
            <w:noWrap w:val="0"/>
            <w:vAlign w:val="center"/>
          </w:tcPr>
          <w:p w14:paraId="3DA19BD3">
            <w:pPr>
              <w:pStyle w:val="208"/>
              <w:spacing w:line="240" w:lineRule="auto"/>
              <w:ind w:left="0" w:leftChars="0"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有组织</w:t>
            </w:r>
          </w:p>
        </w:tc>
        <w:tc>
          <w:tcPr>
            <w:tcW w:w="900" w:type="dxa"/>
            <w:noWrap w:val="0"/>
            <w:vAlign w:val="center"/>
          </w:tcPr>
          <w:p w14:paraId="4CF4B20B">
            <w:pPr>
              <w:pStyle w:val="18"/>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0.3</w:t>
            </w:r>
          </w:p>
        </w:tc>
        <w:tc>
          <w:tcPr>
            <w:tcW w:w="780" w:type="dxa"/>
            <w:noWrap w:val="0"/>
            <w:vAlign w:val="center"/>
          </w:tcPr>
          <w:p w14:paraId="6F7F486A">
            <w:pPr>
              <w:pStyle w:val="18"/>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0.05</w:t>
            </w:r>
          </w:p>
        </w:tc>
        <w:tc>
          <w:tcPr>
            <w:tcW w:w="750" w:type="dxa"/>
            <w:noWrap w:val="0"/>
            <w:vAlign w:val="center"/>
          </w:tcPr>
          <w:p w14:paraId="32CCF8DB">
            <w:pPr>
              <w:pStyle w:val="18"/>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8.33</w:t>
            </w:r>
          </w:p>
        </w:tc>
        <w:tc>
          <w:tcPr>
            <w:tcW w:w="840" w:type="dxa"/>
            <w:vMerge w:val="continue"/>
            <w:noWrap w:val="0"/>
            <w:vAlign w:val="center"/>
          </w:tcPr>
          <w:p w14:paraId="6FE828C3">
            <w:pPr>
              <w:pStyle w:val="208"/>
              <w:spacing w:line="240" w:lineRule="auto"/>
              <w:ind w:firstLine="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r>
    </w:tbl>
    <w:p w14:paraId="5583202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color w:val="000000" w:themeColor="text1"/>
          <w:kern w:val="0"/>
          <w:sz w:val="21"/>
          <w:szCs w:val="21"/>
          <w:lang w:val="en-US" w:eastAsia="zh-CN" w:bidi="ar"/>
          <w14:textFill>
            <w14:solidFill>
              <w14:schemeClr w14:val="tx1"/>
            </w14:solidFill>
          </w14:textFill>
        </w:rPr>
      </w:pPr>
      <w:r>
        <w:rPr>
          <w:rFonts w:hint="eastAsia" w:cs="Times New Roman"/>
          <w:b/>
          <w:bCs/>
          <w:color w:val="000000" w:themeColor="text1"/>
          <w:kern w:val="0"/>
          <w:sz w:val="21"/>
          <w:szCs w:val="21"/>
          <w:lang w:val="en-US" w:eastAsia="zh-CN" w:bidi="ar"/>
          <w14:textFill>
            <w14:solidFill>
              <w14:schemeClr w14:val="tx1"/>
            </w14:solidFill>
          </w14:textFill>
        </w:rPr>
        <w:t>表4-4 项目无组织排放情况一览表</w:t>
      </w:r>
      <w:r>
        <w:rPr>
          <w:rFonts w:hint="default" w:ascii="Times New Roman" w:hAnsi="Times New Roman" w:eastAsia="宋体" w:cs="Times New Roman"/>
          <w:b/>
          <w:bCs/>
          <w:color w:val="000000" w:themeColor="text1"/>
          <w:kern w:val="0"/>
          <w:sz w:val="21"/>
          <w:szCs w:val="21"/>
          <w:highlight w:val="none"/>
          <w14:textFill>
            <w14:solidFill>
              <w14:schemeClr w14:val="tx1"/>
            </w14:solidFill>
          </w14:textFill>
        </w:rPr>
        <w:t>（单位：产生量t/a</w:t>
      </w:r>
      <w:r>
        <w:rPr>
          <w:rFonts w:hint="eastAsia" w:ascii="Times New Roman" w:hAnsi="Times New Roman" w:eastAsia="宋体" w:cs="Times New Roman"/>
          <w:b/>
          <w:bCs/>
          <w:color w:val="000000" w:themeColor="text1"/>
          <w:kern w:val="0"/>
          <w:sz w:val="21"/>
          <w:szCs w:val="21"/>
          <w:highlight w:val="none"/>
          <w:lang w:eastAsia="zh-CN"/>
          <w14:textFill>
            <w14:solidFill>
              <w14:schemeClr w14:val="tx1"/>
            </w14:solidFill>
          </w14:textFill>
        </w:rPr>
        <w:t>；</w:t>
      </w:r>
      <w:r>
        <w:rPr>
          <w:rFonts w:hint="default" w:ascii="Times New Roman" w:hAnsi="Times New Roman" w:eastAsia="宋体" w:cs="Times New Roman"/>
          <w:b/>
          <w:bCs/>
          <w:color w:val="000000" w:themeColor="text1"/>
          <w:kern w:val="0"/>
          <w:sz w:val="21"/>
          <w:szCs w:val="21"/>
          <w:highlight w:val="none"/>
          <w14:textFill>
            <w14:solidFill>
              <w14:schemeClr w14:val="tx1"/>
            </w14:solidFill>
          </w14:textFill>
        </w:rPr>
        <w:t>速率kg/h）</w:t>
      </w:r>
    </w:p>
    <w:tbl>
      <w:tblPr>
        <w:tblStyle w:val="42"/>
        <w:tblW w:w="14450" w:type="dxa"/>
        <w:tblInd w:w="-391"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83"/>
        <w:gridCol w:w="1650"/>
        <w:gridCol w:w="1983"/>
        <w:gridCol w:w="2150"/>
        <w:gridCol w:w="2917"/>
        <w:gridCol w:w="1717"/>
        <w:gridCol w:w="1450"/>
        <w:gridCol w:w="1200"/>
      </w:tblGrid>
      <w:tr w14:paraId="6221E2D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83" w:type="dxa"/>
            <w:vMerge w:val="restart"/>
            <w:vAlign w:val="center"/>
          </w:tcPr>
          <w:p w14:paraId="33292F49">
            <w:pPr>
              <w:pStyle w:val="208"/>
              <w:spacing w:line="240" w:lineRule="auto"/>
              <w:ind w:firstLine="0"/>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产污环节</w:t>
            </w:r>
          </w:p>
        </w:tc>
        <w:tc>
          <w:tcPr>
            <w:tcW w:w="1650" w:type="dxa"/>
            <w:vMerge w:val="restart"/>
            <w:vAlign w:val="center"/>
          </w:tcPr>
          <w:p w14:paraId="3FBBAA76">
            <w:pPr>
              <w:pStyle w:val="208"/>
              <w:spacing w:line="240" w:lineRule="auto"/>
              <w:ind w:firstLine="0"/>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污染物种类</w:t>
            </w:r>
          </w:p>
        </w:tc>
        <w:tc>
          <w:tcPr>
            <w:tcW w:w="4133" w:type="dxa"/>
            <w:gridSpan w:val="2"/>
            <w:vAlign w:val="center"/>
          </w:tcPr>
          <w:p w14:paraId="68FE1D6E">
            <w:pPr>
              <w:pStyle w:val="208"/>
              <w:spacing w:line="240" w:lineRule="auto"/>
              <w:ind w:firstLine="0"/>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污染物产生情况</w:t>
            </w:r>
          </w:p>
        </w:tc>
        <w:tc>
          <w:tcPr>
            <w:tcW w:w="2917" w:type="dxa"/>
            <w:vMerge w:val="restart"/>
            <w:vAlign w:val="center"/>
          </w:tcPr>
          <w:p w14:paraId="57EED33A">
            <w:pPr>
              <w:pStyle w:val="208"/>
              <w:spacing w:line="240" w:lineRule="auto"/>
              <w:ind w:firstLine="0"/>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治理措施</w:t>
            </w:r>
          </w:p>
        </w:tc>
        <w:tc>
          <w:tcPr>
            <w:tcW w:w="4367" w:type="dxa"/>
            <w:gridSpan w:val="3"/>
            <w:vAlign w:val="center"/>
          </w:tcPr>
          <w:p w14:paraId="223E3CE3">
            <w:pPr>
              <w:pStyle w:val="208"/>
              <w:spacing w:line="240" w:lineRule="auto"/>
              <w:ind w:firstLine="0"/>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污染物排放情况</w:t>
            </w:r>
          </w:p>
        </w:tc>
      </w:tr>
      <w:tr w14:paraId="0EEA45D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83" w:type="dxa"/>
            <w:vMerge w:val="continue"/>
            <w:vAlign w:val="center"/>
          </w:tcPr>
          <w:p w14:paraId="66E299E6">
            <w:pPr>
              <w:pStyle w:val="208"/>
              <w:spacing w:line="240" w:lineRule="auto"/>
              <w:ind w:firstLine="0"/>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p>
        </w:tc>
        <w:tc>
          <w:tcPr>
            <w:tcW w:w="1650" w:type="dxa"/>
            <w:vMerge w:val="continue"/>
            <w:vAlign w:val="center"/>
          </w:tcPr>
          <w:p w14:paraId="1F1D3464">
            <w:pPr>
              <w:pStyle w:val="208"/>
              <w:spacing w:line="240" w:lineRule="auto"/>
              <w:ind w:firstLine="0"/>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p>
        </w:tc>
        <w:tc>
          <w:tcPr>
            <w:tcW w:w="1983" w:type="dxa"/>
            <w:vAlign w:val="center"/>
          </w:tcPr>
          <w:p w14:paraId="332078A5">
            <w:pPr>
              <w:pStyle w:val="208"/>
              <w:spacing w:line="240" w:lineRule="auto"/>
              <w:ind w:firstLine="0"/>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产生量</w:t>
            </w:r>
          </w:p>
        </w:tc>
        <w:tc>
          <w:tcPr>
            <w:tcW w:w="2150" w:type="dxa"/>
            <w:vAlign w:val="center"/>
          </w:tcPr>
          <w:p w14:paraId="149F3258">
            <w:pPr>
              <w:pStyle w:val="208"/>
              <w:spacing w:line="240" w:lineRule="auto"/>
              <w:ind w:firstLine="0"/>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产生速率</w:t>
            </w:r>
          </w:p>
        </w:tc>
        <w:tc>
          <w:tcPr>
            <w:tcW w:w="2917" w:type="dxa"/>
            <w:vMerge w:val="continue"/>
            <w:vAlign w:val="center"/>
          </w:tcPr>
          <w:p w14:paraId="5109A2E5">
            <w:pPr>
              <w:pStyle w:val="208"/>
              <w:spacing w:line="240" w:lineRule="auto"/>
              <w:ind w:firstLine="0"/>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p>
        </w:tc>
        <w:tc>
          <w:tcPr>
            <w:tcW w:w="1717" w:type="dxa"/>
            <w:vAlign w:val="center"/>
          </w:tcPr>
          <w:p w14:paraId="289684C5">
            <w:pPr>
              <w:pStyle w:val="208"/>
              <w:spacing w:line="240" w:lineRule="auto"/>
              <w:ind w:firstLine="0"/>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排放形式</w:t>
            </w:r>
          </w:p>
        </w:tc>
        <w:tc>
          <w:tcPr>
            <w:tcW w:w="1450" w:type="dxa"/>
            <w:vAlign w:val="center"/>
          </w:tcPr>
          <w:p w14:paraId="4D776B9D">
            <w:pPr>
              <w:pStyle w:val="208"/>
              <w:spacing w:line="240" w:lineRule="auto"/>
              <w:ind w:firstLine="0"/>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排放量</w:t>
            </w:r>
          </w:p>
        </w:tc>
        <w:tc>
          <w:tcPr>
            <w:tcW w:w="1200" w:type="dxa"/>
            <w:vAlign w:val="center"/>
          </w:tcPr>
          <w:p w14:paraId="2190B3C0">
            <w:pPr>
              <w:pStyle w:val="208"/>
              <w:spacing w:line="240" w:lineRule="auto"/>
              <w:ind w:firstLine="0"/>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排放速率</w:t>
            </w:r>
          </w:p>
        </w:tc>
      </w:tr>
      <w:tr w14:paraId="2EBD109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83" w:type="dxa"/>
            <w:vMerge w:val="restart"/>
            <w:vAlign w:val="center"/>
          </w:tcPr>
          <w:p w14:paraId="7A5AC852">
            <w:pPr>
              <w:pStyle w:val="208"/>
              <w:spacing w:line="240" w:lineRule="auto"/>
              <w:ind w:firstLine="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正负极原辅料投料</w:t>
            </w:r>
          </w:p>
        </w:tc>
        <w:tc>
          <w:tcPr>
            <w:tcW w:w="1650" w:type="dxa"/>
            <w:vAlign w:val="center"/>
          </w:tcPr>
          <w:p w14:paraId="7F3465F4">
            <w:pPr>
              <w:pStyle w:val="208"/>
              <w:spacing w:line="240" w:lineRule="auto"/>
              <w:ind w:firstLine="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颗粒物</w:t>
            </w:r>
          </w:p>
        </w:tc>
        <w:tc>
          <w:tcPr>
            <w:tcW w:w="1983" w:type="dxa"/>
            <w:vAlign w:val="center"/>
          </w:tcPr>
          <w:p w14:paraId="4104E165">
            <w:pPr>
              <w:pStyle w:val="208"/>
              <w:spacing w:line="240" w:lineRule="auto"/>
              <w:ind w:firstLine="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0.066</w:t>
            </w:r>
          </w:p>
        </w:tc>
        <w:tc>
          <w:tcPr>
            <w:tcW w:w="2150" w:type="dxa"/>
            <w:vAlign w:val="center"/>
          </w:tcPr>
          <w:p w14:paraId="3E16E576">
            <w:pPr>
              <w:pStyle w:val="208"/>
              <w:spacing w:line="240" w:lineRule="auto"/>
              <w:ind w:firstLine="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0.011</w:t>
            </w:r>
          </w:p>
        </w:tc>
        <w:tc>
          <w:tcPr>
            <w:tcW w:w="2917" w:type="dxa"/>
            <w:vMerge w:val="restart"/>
            <w:vAlign w:val="center"/>
          </w:tcPr>
          <w:p w14:paraId="75E0B35B">
            <w:pPr>
              <w:pStyle w:val="208"/>
              <w:spacing w:line="240" w:lineRule="auto"/>
              <w:ind w:firstLine="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投料间密闭，经设备自带滤芯除尘器</w:t>
            </w:r>
            <w:r>
              <w:rPr>
                <w:rFonts w:hint="eastAsia" w:ascii="Times New Roman" w:cs="Times New Roman"/>
                <w:color w:val="000000" w:themeColor="text1"/>
                <w:sz w:val="21"/>
                <w:szCs w:val="21"/>
                <w:highlight w:val="none"/>
                <w:lang w:val="en-US" w:eastAsia="zh-CN"/>
                <w14:textFill>
                  <w14:solidFill>
                    <w14:schemeClr w14:val="tx1"/>
                  </w14:solidFill>
                </w14:textFill>
              </w:rPr>
              <w:t>（TA001）+车间洁净系统</w:t>
            </w:r>
          </w:p>
        </w:tc>
        <w:tc>
          <w:tcPr>
            <w:tcW w:w="1717" w:type="dxa"/>
            <w:vAlign w:val="center"/>
          </w:tcPr>
          <w:p w14:paraId="746B0BC3">
            <w:pPr>
              <w:pStyle w:val="208"/>
              <w:spacing w:line="240" w:lineRule="auto"/>
              <w:ind w:firstLine="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无组织</w:t>
            </w:r>
          </w:p>
        </w:tc>
        <w:tc>
          <w:tcPr>
            <w:tcW w:w="1450" w:type="dxa"/>
            <w:vAlign w:val="center"/>
          </w:tcPr>
          <w:p w14:paraId="1FC5B7F4">
            <w:pPr>
              <w:pStyle w:val="208"/>
              <w:spacing w:line="240" w:lineRule="auto"/>
              <w:ind w:firstLine="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0.0005</w:t>
            </w:r>
          </w:p>
        </w:tc>
        <w:tc>
          <w:tcPr>
            <w:tcW w:w="1200" w:type="dxa"/>
            <w:vAlign w:val="center"/>
          </w:tcPr>
          <w:p w14:paraId="56990D44">
            <w:pPr>
              <w:pStyle w:val="208"/>
              <w:spacing w:line="240" w:lineRule="auto"/>
              <w:ind w:firstLine="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0.0003</w:t>
            </w:r>
          </w:p>
        </w:tc>
      </w:tr>
      <w:tr w14:paraId="6138EF7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83" w:type="dxa"/>
            <w:vMerge w:val="continue"/>
            <w:vAlign w:val="center"/>
          </w:tcPr>
          <w:p w14:paraId="5FD20104">
            <w:pPr>
              <w:pStyle w:val="208"/>
              <w:spacing w:line="240" w:lineRule="auto"/>
              <w:ind w:firstLine="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650" w:type="dxa"/>
            <w:vAlign w:val="center"/>
          </w:tcPr>
          <w:p w14:paraId="61311FC2">
            <w:pPr>
              <w:pStyle w:val="208"/>
              <w:spacing w:line="240" w:lineRule="auto"/>
              <w:ind w:firstLine="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镍及其化合物</w:t>
            </w:r>
          </w:p>
        </w:tc>
        <w:tc>
          <w:tcPr>
            <w:tcW w:w="1983" w:type="dxa"/>
            <w:vAlign w:val="center"/>
          </w:tcPr>
          <w:p w14:paraId="39E1056D">
            <w:pPr>
              <w:pStyle w:val="208"/>
              <w:spacing w:line="240" w:lineRule="auto"/>
              <w:ind w:firstLine="0"/>
              <w:jc w:val="center"/>
              <w:rPr>
                <w:rFonts w:hint="default" w:asci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0.042</w:t>
            </w:r>
          </w:p>
        </w:tc>
        <w:tc>
          <w:tcPr>
            <w:tcW w:w="2150" w:type="dxa"/>
            <w:vAlign w:val="center"/>
          </w:tcPr>
          <w:p w14:paraId="3AC8CCEE">
            <w:pPr>
              <w:pStyle w:val="208"/>
              <w:spacing w:line="240" w:lineRule="auto"/>
              <w:ind w:firstLine="0"/>
              <w:jc w:val="center"/>
              <w:rPr>
                <w:rFonts w:hint="default" w:asci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0.007</w:t>
            </w:r>
          </w:p>
        </w:tc>
        <w:tc>
          <w:tcPr>
            <w:tcW w:w="2917" w:type="dxa"/>
            <w:vMerge w:val="continue"/>
            <w:vAlign w:val="center"/>
          </w:tcPr>
          <w:p w14:paraId="2F61EB3F">
            <w:pPr>
              <w:pStyle w:val="208"/>
              <w:spacing w:line="240" w:lineRule="auto"/>
              <w:ind w:firstLine="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717" w:type="dxa"/>
            <w:shd w:val="clear" w:color="auto" w:fill="auto"/>
            <w:vAlign w:val="center"/>
          </w:tcPr>
          <w:p w14:paraId="0AF70485">
            <w:pPr>
              <w:pStyle w:val="208"/>
              <w:spacing w:line="240" w:lineRule="auto"/>
              <w:ind w:left="0" w:leftChars="0"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无组织</w:t>
            </w:r>
          </w:p>
        </w:tc>
        <w:tc>
          <w:tcPr>
            <w:tcW w:w="1450" w:type="dxa"/>
            <w:shd w:val="clear" w:color="auto" w:fill="auto"/>
            <w:vAlign w:val="center"/>
          </w:tcPr>
          <w:p w14:paraId="5BBDE19A">
            <w:pPr>
              <w:pStyle w:val="208"/>
              <w:spacing w:line="240" w:lineRule="auto"/>
              <w:ind w:left="0" w:leftChars="0"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0.0003</w:t>
            </w:r>
          </w:p>
        </w:tc>
        <w:tc>
          <w:tcPr>
            <w:tcW w:w="1200" w:type="dxa"/>
            <w:shd w:val="clear" w:color="auto" w:fill="auto"/>
            <w:vAlign w:val="center"/>
          </w:tcPr>
          <w:p w14:paraId="22EF9B36">
            <w:pPr>
              <w:pStyle w:val="208"/>
              <w:spacing w:line="240" w:lineRule="auto"/>
              <w:ind w:left="0" w:leftChars="0"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0.0001</w:t>
            </w:r>
          </w:p>
        </w:tc>
      </w:tr>
      <w:tr w14:paraId="05528EF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83" w:type="dxa"/>
            <w:vAlign w:val="center"/>
          </w:tcPr>
          <w:p w14:paraId="602CD439">
            <w:pPr>
              <w:pStyle w:val="208"/>
              <w:spacing w:line="240" w:lineRule="auto"/>
              <w:ind w:firstLine="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储罐呼吸废气</w:t>
            </w:r>
          </w:p>
        </w:tc>
        <w:tc>
          <w:tcPr>
            <w:tcW w:w="1650" w:type="dxa"/>
            <w:vAlign w:val="center"/>
          </w:tcPr>
          <w:p w14:paraId="4B70A71E">
            <w:pPr>
              <w:pStyle w:val="208"/>
              <w:spacing w:line="240" w:lineRule="auto"/>
              <w:ind w:firstLine="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非甲烷总烃</w:t>
            </w:r>
          </w:p>
        </w:tc>
        <w:tc>
          <w:tcPr>
            <w:tcW w:w="1983" w:type="dxa"/>
            <w:vAlign w:val="center"/>
          </w:tcPr>
          <w:p w14:paraId="29E20030">
            <w:pPr>
              <w:pStyle w:val="208"/>
              <w:spacing w:line="240" w:lineRule="auto"/>
              <w:ind w:firstLine="0"/>
              <w:jc w:val="center"/>
              <w:rPr>
                <w:rFonts w:hint="default" w:asci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0.005</w:t>
            </w:r>
          </w:p>
        </w:tc>
        <w:tc>
          <w:tcPr>
            <w:tcW w:w="2150" w:type="dxa"/>
            <w:vAlign w:val="center"/>
          </w:tcPr>
          <w:p w14:paraId="642BC717">
            <w:pPr>
              <w:pStyle w:val="208"/>
              <w:spacing w:line="240" w:lineRule="auto"/>
              <w:ind w:firstLine="0"/>
              <w:jc w:val="center"/>
              <w:rPr>
                <w:rFonts w:hint="default" w:asci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0.001</w:t>
            </w:r>
          </w:p>
        </w:tc>
        <w:tc>
          <w:tcPr>
            <w:tcW w:w="2917" w:type="dxa"/>
            <w:vAlign w:val="center"/>
          </w:tcPr>
          <w:p w14:paraId="0702DA72">
            <w:pPr>
              <w:pStyle w:val="208"/>
              <w:spacing w:line="240" w:lineRule="auto"/>
              <w:ind w:firstLine="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无组织排放</w:t>
            </w:r>
          </w:p>
        </w:tc>
        <w:tc>
          <w:tcPr>
            <w:tcW w:w="1717" w:type="dxa"/>
            <w:vAlign w:val="center"/>
          </w:tcPr>
          <w:p w14:paraId="08E52F80">
            <w:pPr>
              <w:pStyle w:val="208"/>
              <w:spacing w:line="240" w:lineRule="auto"/>
              <w:ind w:firstLine="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无组织</w:t>
            </w:r>
          </w:p>
        </w:tc>
        <w:tc>
          <w:tcPr>
            <w:tcW w:w="1450" w:type="dxa"/>
            <w:vAlign w:val="center"/>
          </w:tcPr>
          <w:p w14:paraId="0C6AE939">
            <w:pPr>
              <w:pStyle w:val="208"/>
              <w:spacing w:line="240" w:lineRule="auto"/>
              <w:ind w:left="0" w:leftChars="0" w:firstLine="0" w:firstLineChars="0"/>
              <w:jc w:val="center"/>
              <w:rPr>
                <w:rFonts w:hint="default" w:asci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0.005</w:t>
            </w:r>
          </w:p>
        </w:tc>
        <w:tc>
          <w:tcPr>
            <w:tcW w:w="1200" w:type="dxa"/>
            <w:vAlign w:val="center"/>
          </w:tcPr>
          <w:p w14:paraId="66BF2CDC">
            <w:pPr>
              <w:pStyle w:val="208"/>
              <w:spacing w:line="240" w:lineRule="auto"/>
              <w:ind w:left="0" w:leftChars="0" w:firstLine="0" w:firstLineChars="0"/>
              <w:jc w:val="center"/>
              <w:rPr>
                <w:rFonts w:hint="default" w:asci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0.001</w:t>
            </w:r>
          </w:p>
        </w:tc>
      </w:tr>
      <w:tr w14:paraId="0880928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83" w:type="dxa"/>
            <w:vAlign w:val="center"/>
          </w:tcPr>
          <w:p w14:paraId="61D833FA">
            <w:pPr>
              <w:pStyle w:val="208"/>
              <w:spacing w:line="240" w:lineRule="auto"/>
              <w:ind w:firstLine="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注液、二封</w:t>
            </w:r>
          </w:p>
        </w:tc>
        <w:tc>
          <w:tcPr>
            <w:tcW w:w="1650" w:type="dxa"/>
            <w:vAlign w:val="center"/>
          </w:tcPr>
          <w:p w14:paraId="51C4EE7E">
            <w:pPr>
              <w:pStyle w:val="208"/>
              <w:spacing w:line="240" w:lineRule="auto"/>
              <w:ind w:firstLine="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非甲烷总烃</w:t>
            </w:r>
          </w:p>
        </w:tc>
        <w:tc>
          <w:tcPr>
            <w:tcW w:w="1983" w:type="dxa"/>
            <w:vAlign w:val="center"/>
          </w:tcPr>
          <w:p w14:paraId="682F841E">
            <w:pPr>
              <w:pStyle w:val="208"/>
              <w:spacing w:line="240" w:lineRule="auto"/>
              <w:ind w:firstLine="0"/>
              <w:jc w:val="center"/>
              <w:rPr>
                <w:rFonts w:hint="default" w:asci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w:t>
            </w:r>
          </w:p>
        </w:tc>
        <w:tc>
          <w:tcPr>
            <w:tcW w:w="2150" w:type="dxa"/>
            <w:vAlign w:val="center"/>
          </w:tcPr>
          <w:p w14:paraId="5DABA29C">
            <w:pPr>
              <w:pStyle w:val="208"/>
              <w:spacing w:line="240" w:lineRule="auto"/>
              <w:ind w:firstLine="0"/>
              <w:jc w:val="center"/>
              <w:rPr>
                <w:rFonts w:hint="default" w:asci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w:t>
            </w:r>
          </w:p>
        </w:tc>
        <w:tc>
          <w:tcPr>
            <w:tcW w:w="2917" w:type="dxa"/>
            <w:vAlign w:val="center"/>
          </w:tcPr>
          <w:p w14:paraId="3A5F71E4">
            <w:pPr>
              <w:pStyle w:val="208"/>
              <w:spacing w:line="240" w:lineRule="auto"/>
              <w:ind w:firstLine="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w:t>
            </w:r>
          </w:p>
        </w:tc>
        <w:tc>
          <w:tcPr>
            <w:tcW w:w="1717" w:type="dxa"/>
            <w:vAlign w:val="center"/>
          </w:tcPr>
          <w:p w14:paraId="6B7F7A1D">
            <w:pPr>
              <w:pStyle w:val="208"/>
              <w:spacing w:line="240" w:lineRule="auto"/>
              <w:ind w:firstLine="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无组织</w:t>
            </w:r>
          </w:p>
        </w:tc>
        <w:tc>
          <w:tcPr>
            <w:tcW w:w="1450" w:type="dxa"/>
            <w:vAlign w:val="center"/>
          </w:tcPr>
          <w:p w14:paraId="320C7B3A">
            <w:pPr>
              <w:pStyle w:val="208"/>
              <w:spacing w:line="240" w:lineRule="auto"/>
              <w:ind w:left="0" w:leftChars="0"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0.062</w:t>
            </w:r>
          </w:p>
        </w:tc>
        <w:tc>
          <w:tcPr>
            <w:tcW w:w="1200" w:type="dxa"/>
            <w:vAlign w:val="center"/>
          </w:tcPr>
          <w:p w14:paraId="4D731E5D">
            <w:pPr>
              <w:pStyle w:val="208"/>
              <w:spacing w:line="240" w:lineRule="auto"/>
              <w:ind w:left="0" w:leftChars="0" w:firstLine="0" w:firstLineChars="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0.01</w:t>
            </w:r>
          </w:p>
        </w:tc>
      </w:tr>
      <w:tr w14:paraId="22619EA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383" w:type="dxa"/>
            <w:vAlign w:val="center"/>
          </w:tcPr>
          <w:p w14:paraId="0F0FF70A">
            <w:pPr>
              <w:pStyle w:val="208"/>
              <w:spacing w:line="240" w:lineRule="auto"/>
              <w:ind w:firstLine="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分条、模切</w:t>
            </w:r>
          </w:p>
        </w:tc>
        <w:tc>
          <w:tcPr>
            <w:tcW w:w="1650" w:type="dxa"/>
            <w:vAlign w:val="center"/>
          </w:tcPr>
          <w:p w14:paraId="3E7028B9">
            <w:pPr>
              <w:pStyle w:val="208"/>
              <w:spacing w:line="240" w:lineRule="auto"/>
              <w:ind w:firstLine="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颗粒物</w:t>
            </w:r>
          </w:p>
        </w:tc>
        <w:tc>
          <w:tcPr>
            <w:tcW w:w="4133" w:type="dxa"/>
            <w:gridSpan w:val="2"/>
            <w:vAlign w:val="center"/>
          </w:tcPr>
          <w:p w14:paraId="45B7026B">
            <w:pPr>
              <w:pStyle w:val="208"/>
              <w:spacing w:line="240" w:lineRule="auto"/>
              <w:ind w:firstLine="0"/>
              <w:jc w:val="center"/>
              <w:rPr>
                <w:rFonts w:hint="default" w:asci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少量</w:t>
            </w:r>
          </w:p>
        </w:tc>
        <w:tc>
          <w:tcPr>
            <w:tcW w:w="2917" w:type="dxa"/>
            <w:vAlign w:val="center"/>
          </w:tcPr>
          <w:p w14:paraId="3878274D">
            <w:pPr>
              <w:pStyle w:val="208"/>
              <w:spacing w:line="240" w:lineRule="auto"/>
              <w:ind w:firstLine="0"/>
              <w:jc w:val="center"/>
              <w:rPr>
                <w:rFonts w:hint="default" w:asci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设备自带滤芯除尘器（TA001）+车间洁净系统</w:t>
            </w:r>
          </w:p>
        </w:tc>
        <w:tc>
          <w:tcPr>
            <w:tcW w:w="1717" w:type="dxa"/>
            <w:vAlign w:val="center"/>
          </w:tcPr>
          <w:p w14:paraId="7BA14B38">
            <w:pPr>
              <w:pStyle w:val="208"/>
              <w:spacing w:line="240" w:lineRule="auto"/>
              <w:ind w:firstLine="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无组织</w:t>
            </w:r>
          </w:p>
        </w:tc>
        <w:tc>
          <w:tcPr>
            <w:tcW w:w="1450" w:type="dxa"/>
            <w:vAlign w:val="center"/>
          </w:tcPr>
          <w:p w14:paraId="55BC05E8">
            <w:pPr>
              <w:pStyle w:val="208"/>
              <w:spacing w:line="240" w:lineRule="auto"/>
              <w:ind w:firstLine="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1200" w:type="dxa"/>
            <w:vAlign w:val="center"/>
          </w:tcPr>
          <w:p w14:paraId="7BF614C9">
            <w:pPr>
              <w:pStyle w:val="208"/>
              <w:spacing w:line="240" w:lineRule="auto"/>
              <w:ind w:firstLine="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r>
      <w:tr w14:paraId="0598837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83" w:type="dxa"/>
            <w:vMerge w:val="restart"/>
            <w:vAlign w:val="center"/>
          </w:tcPr>
          <w:p w14:paraId="51DB8E2E">
            <w:pPr>
              <w:pStyle w:val="208"/>
              <w:spacing w:line="240" w:lineRule="auto"/>
              <w:ind w:firstLine="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污水处理站</w:t>
            </w:r>
          </w:p>
        </w:tc>
        <w:tc>
          <w:tcPr>
            <w:tcW w:w="1650" w:type="dxa"/>
            <w:vAlign w:val="center"/>
          </w:tcPr>
          <w:p w14:paraId="395A4BAD">
            <w:pPr>
              <w:pStyle w:val="208"/>
              <w:spacing w:line="240" w:lineRule="auto"/>
              <w:ind w:firstLine="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NH</w:t>
            </w:r>
            <w:r>
              <w:rPr>
                <w:rFonts w:hint="eastAsia" w:ascii="Times New Roman" w:hAnsi="Times New Roman" w:eastAsia="宋体" w:cs="Times New Roman"/>
                <w:color w:val="000000" w:themeColor="text1"/>
                <w:sz w:val="21"/>
                <w:szCs w:val="21"/>
                <w:highlight w:val="none"/>
                <w:vertAlign w:val="subscript"/>
                <w:lang w:val="en-US" w:eastAsia="zh-CN"/>
                <w14:textFill>
                  <w14:solidFill>
                    <w14:schemeClr w14:val="tx1"/>
                  </w14:solidFill>
                </w14:textFill>
              </w:rPr>
              <w:t>3</w:t>
            </w:r>
          </w:p>
        </w:tc>
        <w:tc>
          <w:tcPr>
            <w:tcW w:w="4133" w:type="dxa"/>
            <w:gridSpan w:val="2"/>
            <w:vMerge w:val="restart"/>
            <w:vAlign w:val="center"/>
          </w:tcPr>
          <w:p w14:paraId="73B99E86">
            <w:pPr>
              <w:pStyle w:val="208"/>
              <w:spacing w:line="240" w:lineRule="auto"/>
              <w:ind w:firstLine="0"/>
              <w:jc w:val="center"/>
              <w:rPr>
                <w:rFonts w:hint="default" w:asci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少量</w:t>
            </w:r>
          </w:p>
        </w:tc>
        <w:tc>
          <w:tcPr>
            <w:tcW w:w="2917" w:type="dxa"/>
            <w:vMerge w:val="restart"/>
            <w:vAlign w:val="center"/>
          </w:tcPr>
          <w:p w14:paraId="1AE394F6">
            <w:pPr>
              <w:pStyle w:val="208"/>
              <w:spacing w:line="240" w:lineRule="auto"/>
              <w:ind w:firstLine="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1717" w:type="dxa"/>
            <w:vAlign w:val="center"/>
          </w:tcPr>
          <w:p w14:paraId="08F1BEAC">
            <w:pPr>
              <w:pStyle w:val="208"/>
              <w:spacing w:line="240" w:lineRule="auto"/>
              <w:ind w:firstLine="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无组织</w:t>
            </w:r>
          </w:p>
        </w:tc>
        <w:tc>
          <w:tcPr>
            <w:tcW w:w="1450" w:type="dxa"/>
            <w:vAlign w:val="center"/>
          </w:tcPr>
          <w:p w14:paraId="2755EFE3">
            <w:pPr>
              <w:pStyle w:val="208"/>
              <w:spacing w:line="240" w:lineRule="auto"/>
              <w:ind w:firstLine="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1200" w:type="dxa"/>
            <w:vAlign w:val="center"/>
          </w:tcPr>
          <w:p w14:paraId="292F1B87">
            <w:pPr>
              <w:pStyle w:val="208"/>
              <w:spacing w:line="240" w:lineRule="auto"/>
              <w:ind w:firstLine="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r>
      <w:tr w14:paraId="1F1DBB1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83" w:type="dxa"/>
            <w:vMerge w:val="continue"/>
            <w:vAlign w:val="center"/>
          </w:tcPr>
          <w:p w14:paraId="54F93CB7">
            <w:pPr>
              <w:pStyle w:val="208"/>
              <w:spacing w:line="240" w:lineRule="auto"/>
              <w:ind w:firstLine="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650" w:type="dxa"/>
            <w:vAlign w:val="center"/>
          </w:tcPr>
          <w:p w14:paraId="709125A4">
            <w:pPr>
              <w:pStyle w:val="208"/>
              <w:spacing w:line="240" w:lineRule="auto"/>
              <w:ind w:firstLine="0"/>
              <w:jc w:val="center"/>
              <w:rPr>
                <w:rFonts w:hint="default" w:asci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硫化氢</w:t>
            </w:r>
          </w:p>
        </w:tc>
        <w:tc>
          <w:tcPr>
            <w:tcW w:w="4133" w:type="dxa"/>
            <w:gridSpan w:val="2"/>
            <w:vMerge w:val="continue"/>
            <w:vAlign w:val="center"/>
          </w:tcPr>
          <w:p w14:paraId="21C90C2F">
            <w:pPr>
              <w:pStyle w:val="208"/>
              <w:spacing w:line="240" w:lineRule="auto"/>
              <w:ind w:firstLine="0"/>
              <w:jc w:val="center"/>
              <w:rPr>
                <w:rFonts w:hint="default" w:ascii="Times New Roman" w:cs="Times New Roman"/>
                <w:color w:val="000000" w:themeColor="text1"/>
                <w:sz w:val="21"/>
                <w:szCs w:val="21"/>
                <w:highlight w:val="none"/>
                <w:lang w:val="en-US" w:eastAsia="zh-CN"/>
                <w14:textFill>
                  <w14:solidFill>
                    <w14:schemeClr w14:val="tx1"/>
                  </w14:solidFill>
                </w14:textFill>
              </w:rPr>
            </w:pPr>
          </w:p>
        </w:tc>
        <w:tc>
          <w:tcPr>
            <w:tcW w:w="2917" w:type="dxa"/>
            <w:vMerge w:val="continue"/>
            <w:vAlign w:val="center"/>
          </w:tcPr>
          <w:p w14:paraId="7BE51714">
            <w:pPr>
              <w:pStyle w:val="208"/>
              <w:spacing w:line="240" w:lineRule="auto"/>
              <w:ind w:firstLine="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717" w:type="dxa"/>
            <w:vAlign w:val="center"/>
          </w:tcPr>
          <w:p w14:paraId="38A0C382">
            <w:pPr>
              <w:pStyle w:val="208"/>
              <w:spacing w:line="240" w:lineRule="auto"/>
              <w:ind w:firstLine="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无组织</w:t>
            </w:r>
          </w:p>
        </w:tc>
        <w:tc>
          <w:tcPr>
            <w:tcW w:w="1450" w:type="dxa"/>
            <w:vAlign w:val="center"/>
          </w:tcPr>
          <w:p w14:paraId="0CE7CBBD">
            <w:pPr>
              <w:pStyle w:val="208"/>
              <w:spacing w:line="240" w:lineRule="auto"/>
              <w:ind w:firstLine="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1200" w:type="dxa"/>
            <w:vAlign w:val="center"/>
          </w:tcPr>
          <w:p w14:paraId="7B9F0972">
            <w:pPr>
              <w:pStyle w:val="208"/>
              <w:spacing w:line="240" w:lineRule="auto"/>
              <w:ind w:firstLine="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r>
      <w:tr w14:paraId="1D7BC27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83" w:type="dxa"/>
            <w:vAlign w:val="center"/>
          </w:tcPr>
          <w:p w14:paraId="3A959A15">
            <w:pPr>
              <w:pStyle w:val="208"/>
              <w:spacing w:line="240" w:lineRule="auto"/>
              <w:ind w:firstLine="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激光焊接</w:t>
            </w:r>
          </w:p>
        </w:tc>
        <w:tc>
          <w:tcPr>
            <w:tcW w:w="1650" w:type="dxa"/>
            <w:vAlign w:val="center"/>
          </w:tcPr>
          <w:p w14:paraId="45A669A9">
            <w:pPr>
              <w:pStyle w:val="208"/>
              <w:spacing w:line="240" w:lineRule="auto"/>
              <w:ind w:firstLine="0"/>
              <w:jc w:val="center"/>
              <w:rPr>
                <w:rFonts w:hint="default" w:asci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颗粒物</w:t>
            </w:r>
          </w:p>
        </w:tc>
        <w:tc>
          <w:tcPr>
            <w:tcW w:w="4133" w:type="dxa"/>
            <w:gridSpan w:val="2"/>
            <w:vAlign w:val="center"/>
          </w:tcPr>
          <w:p w14:paraId="4E009893">
            <w:pPr>
              <w:pStyle w:val="208"/>
              <w:spacing w:line="240" w:lineRule="auto"/>
              <w:ind w:firstLine="0"/>
              <w:jc w:val="center"/>
              <w:rPr>
                <w:rFonts w:hint="default" w:asci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少量</w:t>
            </w:r>
          </w:p>
        </w:tc>
        <w:tc>
          <w:tcPr>
            <w:tcW w:w="2917" w:type="dxa"/>
            <w:vAlign w:val="center"/>
          </w:tcPr>
          <w:p w14:paraId="5AB9D98B">
            <w:pPr>
              <w:pStyle w:val="208"/>
              <w:spacing w:line="240" w:lineRule="auto"/>
              <w:ind w:firstLine="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经自带滤芯除尘器（TA005）处理后无组织排放</w:t>
            </w:r>
          </w:p>
        </w:tc>
        <w:tc>
          <w:tcPr>
            <w:tcW w:w="1717" w:type="dxa"/>
            <w:vAlign w:val="center"/>
          </w:tcPr>
          <w:p w14:paraId="2FEA0F60">
            <w:pPr>
              <w:pStyle w:val="208"/>
              <w:spacing w:line="240" w:lineRule="auto"/>
              <w:ind w:firstLine="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无组织</w:t>
            </w:r>
          </w:p>
        </w:tc>
        <w:tc>
          <w:tcPr>
            <w:tcW w:w="1450" w:type="dxa"/>
            <w:vAlign w:val="center"/>
          </w:tcPr>
          <w:p w14:paraId="7EA756D2">
            <w:pPr>
              <w:pStyle w:val="208"/>
              <w:spacing w:line="240" w:lineRule="auto"/>
              <w:ind w:firstLine="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w:t>
            </w:r>
          </w:p>
        </w:tc>
        <w:tc>
          <w:tcPr>
            <w:tcW w:w="1200" w:type="dxa"/>
            <w:vAlign w:val="center"/>
          </w:tcPr>
          <w:p w14:paraId="6D236089">
            <w:pPr>
              <w:pStyle w:val="208"/>
              <w:spacing w:line="240" w:lineRule="auto"/>
              <w:ind w:firstLine="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w:t>
            </w:r>
          </w:p>
        </w:tc>
      </w:tr>
      <w:tr w14:paraId="771F61D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83" w:type="dxa"/>
            <w:vAlign w:val="center"/>
          </w:tcPr>
          <w:p w14:paraId="7F217504">
            <w:pPr>
              <w:pStyle w:val="208"/>
              <w:spacing w:line="240" w:lineRule="auto"/>
              <w:ind w:firstLine="0"/>
              <w:jc w:val="center"/>
              <w:rPr>
                <w:rFonts w:hint="default" w:asci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危废库废气</w:t>
            </w:r>
          </w:p>
        </w:tc>
        <w:tc>
          <w:tcPr>
            <w:tcW w:w="1650" w:type="dxa"/>
            <w:vAlign w:val="center"/>
          </w:tcPr>
          <w:p w14:paraId="3AE0AD4D">
            <w:pPr>
              <w:pStyle w:val="208"/>
              <w:spacing w:line="240" w:lineRule="auto"/>
              <w:ind w:firstLine="0"/>
              <w:jc w:val="center"/>
              <w:rPr>
                <w:rFonts w:hint="eastAsia" w:asci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非甲烷总烃</w:t>
            </w:r>
          </w:p>
        </w:tc>
        <w:tc>
          <w:tcPr>
            <w:tcW w:w="4133" w:type="dxa"/>
            <w:gridSpan w:val="2"/>
            <w:vAlign w:val="center"/>
          </w:tcPr>
          <w:p w14:paraId="39DFC329">
            <w:pPr>
              <w:pStyle w:val="208"/>
              <w:spacing w:line="240" w:lineRule="auto"/>
              <w:ind w:firstLine="0"/>
              <w:jc w:val="center"/>
              <w:rPr>
                <w:rFonts w:hint="eastAsia" w:asci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少量</w:t>
            </w:r>
          </w:p>
        </w:tc>
        <w:tc>
          <w:tcPr>
            <w:tcW w:w="2917" w:type="dxa"/>
            <w:vAlign w:val="center"/>
          </w:tcPr>
          <w:p w14:paraId="7F687205">
            <w:pPr>
              <w:pStyle w:val="208"/>
              <w:spacing w:line="240" w:lineRule="auto"/>
              <w:ind w:firstLine="0"/>
              <w:jc w:val="center"/>
              <w:rPr>
                <w:rFonts w:hint="default" w:asci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活性炭吸附装置处理后无组织排放</w:t>
            </w:r>
          </w:p>
        </w:tc>
        <w:tc>
          <w:tcPr>
            <w:tcW w:w="1717" w:type="dxa"/>
            <w:vAlign w:val="center"/>
          </w:tcPr>
          <w:p w14:paraId="6D3409A4">
            <w:pPr>
              <w:pStyle w:val="208"/>
              <w:spacing w:line="240" w:lineRule="auto"/>
              <w:ind w:firstLine="0"/>
              <w:jc w:val="center"/>
              <w:rPr>
                <w:rFonts w:hint="default" w:asci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无组织</w:t>
            </w:r>
          </w:p>
        </w:tc>
        <w:tc>
          <w:tcPr>
            <w:tcW w:w="1450" w:type="dxa"/>
            <w:vAlign w:val="center"/>
          </w:tcPr>
          <w:p w14:paraId="2D82DEA4">
            <w:pPr>
              <w:pStyle w:val="208"/>
              <w:spacing w:line="240" w:lineRule="auto"/>
              <w:ind w:firstLine="0"/>
              <w:jc w:val="center"/>
              <w:rPr>
                <w:rFonts w:hint="default" w:asci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w:t>
            </w:r>
          </w:p>
        </w:tc>
        <w:tc>
          <w:tcPr>
            <w:tcW w:w="1200" w:type="dxa"/>
            <w:vAlign w:val="center"/>
          </w:tcPr>
          <w:p w14:paraId="02C85B7F">
            <w:pPr>
              <w:pStyle w:val="208"/>
              <w:spacing w:line="240" w:lineRule="auto"/>
              <w:ind w:firstLine="0"/>
              <w:jc w:val="center"/>
              <w:rPr>
                <w:rFonts w:hint="default" w:asci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w:t>
            </w:r>
          </w:p>
        </w:tc>
      </w:tr>
    </w:tbl>
    <w:p w14:paraId="4E7CAFBB">
      <w:pPr>
        <w:pStyle w:val="70"/>
        <w:rPr>
          <w:color w:val="auto"/>
        </w:rPr>
      </w:pPr>
    </w:p>
    <w:p w14:paraId="4B057636">
      <w:pPr>
        <w:pStyle w:val="68"/>
        <w:rPr>
          <w:color w:val="auto"/>
        </w:rPr>
        <w:sectPr>
          <w:pgSz w:w="16838" w:h="11906" w:orient="landscape"/>
          <w:pgMar w:top="1531" w:right="1701" w:bottom="1531" w:left="1701" w:header="851" w:footer="1021" w:gutter="0"/>
          <w:cols w:space="720" w:num="1"/>
          <w:docGrid w:linePitch="312" w:charSpace="0"/>
        </w:sectPr>
      </w:pPr>
    </w:p>
    <w:tbl>
      <w:tblPr>
        <w:tblStyle w:val="4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8130"/>
      </w:tblGrid>
      <w:tr w14:paraId="51B88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3DA69F24">
            <w:pPr>
              <w:adjustRightInd w:val="0"/>
              <w:snapToGrid w:val="0"/>
              <w:jc w:val="center"/>
              <w:rPr>
                <w:rFonts w:hint="eastAsia" w:ascii="宋体" w:hAnsi="宋体" w:cs="宋体"/>
                <w:bCs/>
                <w:color w:val="000000" w:themeColor="text1"/>
                <w:szCs w:val="21"/>
                <w14:textFill>
                  <w14:solidFill>
                    <w14:schemeClr w14:val="tx1"/>
                  </w14:solidFill>
                </w14:textFill>
              </w:rPr>
            </w:pPr>
            <w:r>
              <w:rPr>
                <w:rFonts w:hint="eastAsia" w:ascii="宋体" w:hAnsi="宋体" w:cs="宋体"/>
                <w:b/>
                <w:bCs w:val="0"/>
                <w:color w:val="000000" w:themeColor="text1"/>
                <w:sz w:val="24"/>
                <w:szCs w:val="24"/>
                <w14:textFill>
                  <w14:solidFill>
                    <w14:schemeClr w14:val="tx1"/>
                  </w14:solidFill>
                </w14:textFill>
              </w:rPr>
              <w:t>运营期环境影响和保护措施</w:t>
            </w:r>
          </w:p>
        </w:tc>
        <w:tc>
          <w:tcPr>
            <w:tcW w:w="8130" w:type="dxa"/>
          </w:tcPr>
          <w:p w14:paraId="041738B2">
            <w:pPr>
              <w:adjustRightInd w:val="0"/>
              <w:snapToGrid w:val="0"/>
              <w:spacing w:line="360" w:lineRule="auto"/>
              <w:ind w:firstLine="482" w:firstLineChars="200"/>
              <w:rPr>
                <w:rFonts w:ascii="Times New Roman" w:hAnsi="Times New Roman"/>
                <w:b/>
                <w:bCs/>
                <w:color w:val="000000" w:themeColor="text1"/>
                <w:kern w:val="0"/>
                <w:sz w:val="24"/>
                <w:highlight w:val="none"/>
                <w14:textFill>
                  <w14:solidFill>
                    <w14:schemeClr w14:val="tx1"/>
                  </w14:solidFill>
                </w14:textFill>
              </w:rPr>
            </w:pPr>
            <w:r>
              <w:rPr>
                <w:rFonts w:hint="eastAsia" w:ascii="Times New Roman" w:hAnsi="Times New Roman"/>
                <w:b/>
                <w:bCs/>
                <w:color w:val="000000" w:themeColor="text1"/>
                <w:sz w:val="24"/>
                <w:highlight w:val="none"/>
                <w:lang w:val="en-US" w:eastAsia="zh-CN"/>
                <w14:textFill>
                  <w14:solidFill>
                    <w14:schemeClr w14:val="tx1"/>
                  </w14:solidFill>
                </w14:textFill>
              </w:rPr>
              <w:t>（2）</w:t>
            </w:r>
            <w:r>
              <w:rPr>
                <w:rFonts w:hint="eastAsia" w:ascii="Times New Roman" w:hAnsi="Times New Roman"/>
                <w:b/>
                <w:bCs/>
                <w:color w:val="000000" w:themeColor="text1"/>
                <w:sz w:val="24"/>
                <w:highlight w:val="none"/>
                <w14:textFill>
                  <w14:solidFill>
                    <w14:schemeClr w14:val="tx1"/>
                  </w14:solidFill>
                </w14:textFill>
              </w:rPr>
              <w:t>废气排放口设置</w:t>
            </w:r>
          </w:p>
          <w:p w14:paraId="31598F84">
            <w:pPr>
              <w:pStyle w:val="208"/>
              <w:ind w:firstLine="480" w:firstLineChars="200"/>
              <w:rPr>
                <w:rFonts w:hint="eastAsia" w:ascii="Times New Roman" w:hAnsi="Times New Roman"/>
                <w:color w:val="000000" w:themeColor="text1"/>
                <w:highlight w:val="none"/>
                <w14:textFill>
                  <w14:solidFill>
                    <w14:schemeClr w14:val="tx1"/>
                  </w14:solidFill>
                </w14:textFill>
              </w:rPr>
            </w:pPr>
            <w:r>
              <w:rPr>
                <w:rFonts w:hint="eastAsia" w:ascii="Times New Roman" w:hAnsi="Times New Roman"/>
                <w:color w:val="000000" w:themeColor="text1"/>
                <w:highlight w:val="none"/>
                <w14:textFill>
                  <w14:solidFill>
                    <w14:schemeClr w14:val="tx1"/>
                  </w14:solidFill>
                </w14:textFill>
              </w:rPr>
              <w:t>本项目</w:t>
            </w:r>
            <w:r>
              <w:rPr>
                <w:rFonts w:hint="eastAsia" w:ascii="Times New Roman" w:hAnsi="Times New Roman"/>
                <w:color w:val="000000" w:themeColor="text1"/>
                <w:highlight w:val="none"/>
                <w:lang w:val="en-US" w:eastAsia="zh-CN"/>
                <w14:textFill>
                  <w14:solidFill>
                    <w14:schemeClr w14:val="tx1"/>
                  </w14:solidFill>
                </w14:textFill>
              </w:rPr>
              <w:t>废气排放口设置情况见下表</w:t>
            </w:r>
            <w:r>
              <w:rPr>
                <w:rFonts w:hint="eastAsia" w:ascii="Times New Roman" w:hAnsi="Times New Roman"/>
                <w:color w:val="000000" w:themeColor="text1"/>
                <w:highlight w:val="none"/>
                <w14:textFill>
                  <w14:solidFill>
                    <w14:schemeClr w14:val="tx1"/>
                  </w14:solidFill>
                </w14:textFill>
              </w:rPr>
              <w:t>。</w:t>
            </w:r>
          </w:p>
          <w:p w14:paraId="46ACA1AF">
            <w:pPr>
              <w:pStyle w:val="208"/>
              <w:spacing w:line="240" w:lineRule="auto"/>
              <w:ind w:firstLine="0"/>
              <w:jc w:val="center"/>
              <w:rPr>
                <w:rFonts w:hint="eastAsia"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t>表4-</w:t>
            </w:r>
            <w:r>
              <w:rPr>
                <w:rFonts w:hint="eastAsia" w:ascii="Times New Roman" w:cs="Times New Roman"/>
                <w:b/>
                <w:bCs/>
                <w:color w:val="000000" w:themeColor="text1"/>
                <w:kern w:val="0"/>
                <w:sz w:val="21"/>
                <w:szCs w:val="21"/>
                <w:highlight w:val="none"/>
                <w:lang w:val="en-US" w:eastAsia="zh-CN"/>
                <w14:textFill>
                  <w14:solidFill>
                    <w14:schemeClr w14:val="tx1"/>
                  </w14:solidFill>
                </w14:textFill>
              </w:rPr>
              <w:t>5</w:t>
            </w:r>
            <w:r>
              <w:rPr>
                <w:rFonts w:hint="eastAsia"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t xml:space="preserve"> 项目废气排放口基本情况一览表</w:t>
            </w:r>
          </w:p>
          <w:tbl>
            <w:tblPr>
              <w:tblStyle w:val="42"/>
              <w:tblW w:w="0" w:type="auto"/>
              <w:tblInd w:w="5"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74"/>
              <w:gridCol w:w="735"/>
              <w:gridCol w:w="765"/>
              <w:gridCol w:w="765"/>
              <w:gridCol w:w="690"/>
              <w:gridCol w:w="780"/>
              <w:gridCol w:w="795"/>
              <w:gridCol w:w="2404"/>
            </w:tblGrid>
            <w:tr w14:paraId="398955E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c>
                <w:tcPr>
                  <w:tcW w:w="874" w:type="dxa"/>
                  <w:vMerge w:val="restart"/>
                  <w:shd w:val="clear" w:color="auto" w:fill="auto"/>
                  <w:noWrap w:val="0"/>
                  <w:vAlign w:val="center"/>
                </w:tcPr>
                <w:p w14:paraId="0FFF5291">
                  <w:pPr>
                    <w:keepNext w:val="0"/>
                    <w:keepLines w:val="0"/>
                    <w:pageBreakBefore w:val="0"/>
                    <w:widowControl w:val="0"/>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bCs/>
                      <w:i w:val="0"/>
                      <w:caps w:val="0"/>
                      <w:color w:val="000000" w:themeColor="text1"/>
                      <w:spacing w:val="0"/>
                      <w:sz w:val="21"/>
                      <w:szCs w:val="21"/>
                      <w:highlight w:val="none"/>
                      <w:shd w:val="clear" w:color="auto" w:fill="FFFFFF"/>
                      <w:vertAlign w:val="baseline"/>
                      <w:lang w:val="en-US" w:eastAsia="zh-CN"/>
                      <w14:textFill>
                        <w14:solidFill>
                          <w14:schemeClr w14:val="tx1"/>
                        </w14:solidFill>
                      </w14:textFill>
                    </w:rPr>
                  </w:pPr>
                  <w:r>
                    <w:rPr>
                      <w:rFonts w:hint="eastAsia" w:ascii="Times New Roman" w:hAnsi="Times New Roman" w:eastAsia="宋体" w:cs="Times New Roman"/>
                      <w:b/>
                      <w:bCs/>
                      <w:i w:val="0"/>
                      <w:caps w:val="0"/>
                      <w:color w:val="000000" w:themeColor="text1"/>
                      <w:spacing w:val="0"/>
                      <w:sz w:val="21"/>
                      <w:szCs w:val="21"/>
                      <w:highlight w:val="none"/>
                      <w:shd w:val="clear" w:color="auto" w:fill="FFFFFF"/>
                      <w:vertAlign w:val="baseline"/>
                      <w:lang w:val="en-US" w:eastAsia="zh-CN"/>
                      <w14:textFill>
                        <w14:solidFill>
                          <w14:schemeClr w14:val="tx1"/>
                        </w14:solidFill>
                      </w14:textFill>
                    </w:rPr>
                    <w:t>排气口编号及名称</w:t>
                  </w:r>
                </w:p>
              </w:tc>
              <w:tc>
                <w:tcPr>
                  <w:tcW w:w="735" w:type="dxa"/>
                  <w:vMerge w:val="restart"/>
                  <w:shd w:val="clear" w:color="auto" w:fill="auto"/>
                  <w:noWrap w:val="0"/>
                  <w:vAlign w:val="center"/>
                </w:tcPr>
                <w:p w14:paraId="61A2BD89">
                  <w:pPr>
                    <w:keepNext w:val="0"/>
                    <w:keepLines w:val="0"/>
                    <w:pageBreakBefore w:val="0"/>
                    <w:widowControl w:val="0"/>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bCs/>
                      <w:i w:val="0"/>
                      <w:caps w:val="0"/>
                      <w:color w:val="000000" w:themeColor="text1"/>
                      <w:spacing w:val="0"/>
                      <w:sz w:val="21"/>
                      <w:szCs w:val="21"/>
                      <w:highlight w:val="none"/>
                      <w:shd w:val="clear" w:color="auto" w:fill="FFFFFF"/>
                      <w:vertAlign w:val="baseline"/>
                      <w:lang w:val="en-US" w:eastAsia="zh-CN"/>
                      <w14:textFill>
                        <w14:solidFill>
                          <w14:schemeClr w14:val="tx1"/>
                        </w14:solidFill>
                      </w14:textFill>
                    </w:rPr>
                  </w:pPr>
                  <w:r>
                    <w:rPr>
                      <w:rFonts w:hint="eastAsia" w:ascii="Times New Roman" w:hAnsi="Times New Roman" w:eastAsia="宋体" w:cs="Times New Roman"/>
                      <w:b/>
                      <w:bCs/>
                      <w:i w:val="0"/>
                      <w:caps w:val="0"/>
                      <w:color w:val="000000" w:themeColor="text1"/>
                      <w:spacing w:val="0"/>
                      <w:sz w:val="21"/>
                      <w:szCs w:val="21"/>
                      <w:highlight w:val="none"/>
                      <w:shd w:val="clear" w:color="auto" w:fill="FFFFFF"/>
                      <w:vertAlign w:val="baseline"/>
                      <w:lang w:val="en-US" w:eastAsia="zh-CN"/>
                      <w14:textFill>
                        <w14:solidFill>
                          <w14:schemeClr w14:val="tx1"/>
                        </w14:solidFill>
                      </w14:textFill>
                    </w:rPr>
                    <w:t>排气筒高度</w:t>
                  </w:r>
                </w:p>
              </w:tc>
              <w:tc>
                <w:tcPr>
                  <w:tcW w:w="765" w:type="dxa"/>
                  <w:vMerge w:val="restart"/>
                  <w:shd w:val="clear" w:color="auto" w:fill="auto"/>
                  <w:noWrap w:val="0"/>
                  <w:vAlign w:val="center"/>
                </w:tcPr>
                <w:p w14:paraId="7984914B">
                  <w:pPr>
                    <w:keepNext w:val="0"/>
                    <w:keepLines w:val="0"/>
                    <w:pageBreakBefore w:val="0"/>
                    <w:widowControl w:val="0"/>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bCs/>
                      <w:i w:val="0"/>
                      <w:caps w:val="0"/>
                      <w:color w:val="000000" w:themeColor="text1"/>
                      <w:spacing w:val="0"/>
                      <w:sz w:val="21"/>
                      <w:szCs w:val="21"/>
                      <w:highlight w:val="none"/>
                      <w:shd w:val="clear" w:color="auto" w:fill="FFFFFF"/>
                      <w:vertAlign w:val="baseline"/>
                      <w:lang w:val="en-US" w:eastAsia="zh-CN"/>
                      <w14:textFill>
                        <w14:solidFill>
                          <w14:schemeClr w14:val="tx1"/>
                        </w14:solidFill>
                      </w14:textFill>
                    </w:rPr>
                  </w:pPr>
                  <w:r>
                    <w:rPr>
                      <w:rFonts w:hint="eastAsia" w:ascii="Times New Roman" w:hAnsi="Times New Roman" w:eastAsia="宋体" w:cs="Times New Roman"/>
                      <w:b/>
                      <w:bCs/>
                      <w:i w:val="0"/>
                      <w:caps w:val="0"/>
                      <w:color w:val="000000" w:themeColor="text1"/>
                      <w:spacing w:val="0"/>
                      <w:sz w:val="21"/>
                      <w:szCs w:val="21"/>
                      <w:highlight w:val="none"/>
                      <w:shd w:val="clear" w:color="auto" w:fill="FFFFFF"/>
                      <w:vertAlign w:val="baseline"/>
                      <w:lang w:val="en-US" w:eastAsia="zh-CN"/>
                      <w14:textFill>
                        <w14:solidFill>
                          <w14:schemeClr w14:val="tx1"/>
                        </w14:solidFill>
                      </w14:textFill>
                    </w:rPr>
                    <w:t>内径</w:t>
                  </w:r>
                </w:p>
              </w:tc>
              <w:tc>
                <w:tcPr>
                  <w:tcW w:w="765" w:type="dxa"/>
                  <w:vMerge w:val="restart"/>
                  <w:shd w:val="clear" w:color="auto" w:fill="auto"/>
                  <w:noWrap w:val="0"/>
                  <w:vAlign w:val="center"/>
                </w:tcPr>
                <w:p w14:paraId="79C48844">
                  <w:pPr>
                    <w:keepNext w:val="0"/>
                    <w:keepLines w:val="0"/>
                    <w:pageBreakBefore w:val="0"/>
                    <w:widowControl w:val="0"/>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bCs/>
                      <w:i w:val="0"/>
                      <w:caps w:val="0"/>
                      <w:color w:val="000000" w:themeColor="text1"/>
                      <w:spacing w:val="0"/>
                      <w:sz w:val="21"/>
                      <w:szCs w:val="21"/>
                      <w:highlight w:val="none"/>
                      <w:shd w:val="clear" w:color="auto" w:fill="FFFFFF"/>
                      <w:vertAlign w:val="baseline"/>
                      <w:lang w:val="en-US" w:eastAsia="zh-CN"/>
                      <w14:textFill>
                        <w14:solidFill>
                          <w14:schemeClr w14:val="tx1"/>
                        </w14:solidFill>
                      </w14:textFill>
                    </w:rPr>
                  </w:pPr>
                  <w:r>
                    <w:rPr>
                      <w:rFonts w:hint="eastAsia" w:ascii="Times New Roman" w:hAnsi="Times New Roman" w:eastAsia="宋体" w:cs="Times New Roman"/>
                      <w:b/>
                      <w:bCs/>
                      <w:i w:val="0"/>
                      <w:caps w:val="0"/>
                      <w:color w:val="000000" w:themeColor="text1"/>
                      <w:spacing w:val="0"/>
                      <w:sz w:val="21"/>
                      <w:szCs w:val="21"/>
                      <w:highlight w:val="none"/>
                      <w:shd w:val="clear" w:color="auto" w:fill="FFFFFF"/>
                      <w:vertAlign w:val="baseline"/>
                      <w:lang w:val="en-US" w:eastAsia="zh-CN"/>
                      <w14:textFill>
                        <w14:solidFill>
                          <w14:schemeClr w14:val="tx1"/>
                        </w14:solidFill>
                      </w14:textFill>
                    </w:rPr>
                    <w:t>温度</w:t>
                  </w:r>
                </w:p>
              </w:tc>
              <w:tc>
                <w:tcPr>
                  <w:tcW w:w="690" w:type="dxa"/>
                  <w:vMerge w:val="restart"/>
                  <w:shd w:val="clear" w:color="auto" w:fill="auto"/>
                  <w:noWrap w:val="0"/>
                  <w:vAlign w:val="center"/>
                </w:tcPr>
                <w:p w14:paraId="6A9099B0">
                  <w:pPr>
                    <w:keepNext w:val="0"/>
                    <w:keepLines w:val="0"/>
                    <w:pageBreakBefore w:val="0"/>
                    <w:widowControl w:val="0"/>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bCs/>
                      <w:i w:val="0"/>
                      <w:caps w:val="0"/>
                      <w:color w:val="000000" w:themeColor="text1"/>
                      <w:spacing w:val="0"/>
                      <w:sz w:val="21"/>
                      <w:szCs w:val="21"/>
                      <w:highlight w:val="none"/>
                      <w:shd w:val="clear" w:color="auto" w:fill="FFFFFF"/>
                      <w:vertAlign w:val="baseline"/>
                      <w:lang w:val="en-US" w:eastAsia="zh-CN"/>
                      <w14:textFill>
                        <w14:solidFill>
                          <w14:schemeClr w14:val="tx1"/>
                        </w14:solidFill>
                      </w14:textFill>
                    </w:rPr>
                  </w:pPr>
                  <w:r>
                    <w:rPr>
                      <w:rFonts w:hint="eastAsia" w:ascii="Times New Roman" w:hAnsi="Times New Roman" w:eastAsia="宋体" w:cs="Times New Roman"/>
                      <w:b/>
                      <w:bCs/>
                      <w:i w:val="0"/>
                      <w:caps w:val="0"/>
                      <w:color w:val="000000" w:themeColor="text1"/>
                      <w:spacing w:val="0"/>
                      <w:sz w:val="21"/>
                      <w:szCs w:val="21"/>
                      <w:highlight w:val="none"/>
                      <w:shd w:val="clear" w:color="auto" w:fill="FFFFFF"/>
                      <w:vertAlign w:val="baseline"/>
                      <w:lang w:val="en-US" w:eastAsia="zh-CN"/>
                      <w14:textFill>
                        <w14:solidFill>
                          <w14:schemeClr w14:val="tx1"/>
                        </w14:solidFill>
                      </w14:textFill>
                    </w:rPr>
                    <w:t>类型</w:t>
                  </w:r>
                </w:p>
              </w:tc>
              <w:tc>
                <w:tcPr>
                  <w:tcW w:w="1575" w:type="dxa"/>
                  <w:gridSpan w:val="2"/>
                  <w:shd w:val="clear" w:color="auto" w:fill="auto"/>
                  <w:noWrap w:val="0"/>
                  <w:vAlign w:val="center"/>
                </w:tcPr>
                <w:p w14:paraId="2656FB95">
                  <w:pPr>
                    <w:keepNext w:val="0"/>
                    <w:keepLines w:val="0"/>
                    <w:pageBreakBefore w:val="0"/>
                    <w:widowControl w:val="0"/>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bCs/>
                      <w:i w:val="0"/>
                      <w:caps w:val="0"/>
                      <w:color w:val="000000" w:themeColor="text1"/>
                      <w:spacing w:val="0"/>
                      <w:sz w:val="21"/>
                      <w:szCs w:val="21"/>
                      <w:highlight w:val="none"/>
                      <w:shd w:val="clear" w:color="auto" w:fill="FFFFFF"/>
                      <w:vertAlign w:val="baseline"/>
                      <w:lang w:val="en-US" w:eastAsia="zh-CN"/>
                      <w14:textFill>
                        <w14:solidFill>
                          <w14:schemeClr w14:val="tx1"/>
                        </w14:solidFill>
                      </w14:textFill>
                    </w:rPr>
                  </w:pPr>
                  <w:r>
                    <w:rPr>
                      <w:rFonts w:hint="eastAsia" w:ascii="Times New Roman" w:hAnsi="Times New Roman" w:eastAsia="宋体" w:cs="Times New Roman"/>
                      <w:b/>
                      <w:bCs/>
                      <w:i w:val="0"/>
                      <w:caps w:val="0"/>
                      <w:color w:val="000000" w:themeColor="text1"/>
                      <w:spacing w:val="0"/>
                      <w:sz w:val="21"/>
                      <w:szCs w:val="21"/>
                      <w:highlight w:val="none"/>
                      <w:shd w:val="clear" w:color="auto" w:fill="FFFFFF"/>
                      <w:vertAlign w:val="baseline"/>
                      <w:lang w:val="en-US" w:eastAsia="zh-CN"/>
                      <w14:textFill>
                        <w14:solidFill>
                          <w14:schemeClr w14:val="tx1"/>
                        </w14:solidFill>
                      </w14:textFill>
                    </w:rPr>
                    <w:t>地理坐标</w:t>
                  </w:r>
                </w:p>
              </w:tc>
              <w:tc>
                <w:tcPr>
                  <w:tcW w:w="2404" w:type="dxa"/>
                  <w:vMerge w:val="restart"/>
                  <w:shd w:val="clear" w:color="auto" w:fill="auto"/>
                  <w:noWrap w:val="0"/>
                  <w:vAlign w:val="center"/>
                </w:tcPr>
                <w:p w14:paraId="2DAEA87E">
                  <w:pPr>
                    <w:keepNext w:val="0"/>
                    <w:keepLines w:val="0"/>
                    <w:pageBreakBefore w:val="0"/>
                    <w:widowControl w:val="0"/>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bCs/>
                      <w:i w:val="0"/>
                      <w:caps w:val="0"/>
                      <w:color w:val="000000" w:themeColor="text1"/>
                      <w:spacing w:val="0"/>
                      <w:sz w:val="21"/>
                      <w:szCs w:val="21"/>
                      <w:highlight w:val="none"/>
                      <w:shd w:val="clear" w:color="auto" w:fill="FFFFFF"/>
                      <w:vertAlign w:val="baseline"/>
                      <w:lang w:val="en-US" w:eastAsia="zh-CN"/>
                      <w14:textFill>
                        <w14:solidFill>
                          <w14:schemeClr w14:val="tx1"/>
                        </w14:solidFill>
                      </w14:textFill>
                    </w:rPr>
                  </w:pPr>
                  <w:r>
                    <w:rPr>
                      <w:rFonts w:hint="eastAsia" w:ascii="Times New Roman" w:hAnsi="Times New Roman" w:eastAsia="宋体" w:cs="Times New Roman"/>
                      <w:b/>
                      <w:bCs/>
                      <w:i w:val="0"/>
                      <w:caps w:val="0"/>
                      <w:color w:val="000000" w:themeColor="text1"/>
                      <w:spacing w:val="0"/>
                      <w:sz w:val="21"/>
                      <w:szCs w:val="21"/>
                      <w:highlight w:val="none"/>
                      <w:shd w:val="clear" w:color="auto" w:fill="FFFFFF"/>
                      <w:vertAlign w:val="baseline"/>
                      <w:lang w:val="en-US" w:eastAsia="zh-CN"/>
                      <w14:textFill>
                        <w14:solidFill>
                          <w14:schemeClr w14:val="tx1"/>
                        </w14:solidFill>
                      </w14:textFill>
                    </w:rPr>
                    <w:t>排放标准</w:t>
                  </w:r>
                </w:p>
              </w:tc>
            </w:tr>
            <w:tr w14:paraId="0525DD6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74" w:type="dxa"/>
                  <w:vMerge w:val="continue"/>
                  <w:shd w:val="clear" w:color="auto" w:fill="auto"/>
                  <w:noWrap w:val="0"/>
                  <w:vAlign w:val="center"/>
                </w:tcPr>
                <w:p w14:paraId="2BC7E71C">
                  <w:pPr>
                    <w:pStyle w:val="16"/>
                    <w:spacing w:line="240" w:lineRule="auto"/>
                    <w:rPr>
                      <w:rFonts w:hint="default"/>
                      <w:color w:val="000000" w:themeColor="text1"/>
                      <w:sz w:val="21"/>
                      <w:szCs w:val="21"/>
                      <w:highlight w:val="none"/>
                      <w:vertAlign w:val="baseline"/>
                      <w:lang w:val="en-US" w:eastAsia="zh-CN"/>
                      <w14:textFill>
                        <w14:solidFill>
                          <w14:schemeClr w14:val="tx1"/>
                        </w14:solidFill>
                      </w14:textFill>
                    </w:rPr>
                  </w:pPr>
                </w:p>
              </w:tc>
              <w:tc>
                <w:tcPr>
                  <w:tcW w:w="735" w:type="dxa"/>
                  <w:vMerge w:val="continue"/>
                  <w:shd w:val="clear" w:color="auto" w:fill="auto"/>
                  <w:noWrap w:val="0"/>
                  <w:vAlign w:val="center"/>
                </w:tcPr>
                <w:p w14:paraId="7D9A7949">
                  <w:pPr>
                    <w:pStyle w:val="16"/>
                    <w:spacing w:line="240" w:lineRule="auto"/>
                    <w:rPr>
                      <w:rFonts w:hint="default"/>
                      <w:color w:val="000000" w:themeColor="text1"/>
                      <w:sz w:val="21"/>
                      <w:szCs w:val="21"/>
                      <w:highlight w:val="none"/>
                      <w:vertAlign w:val="baseline"/>
                      <w:lang w:val="en-US" w:eastAsia="zh-CN"/>
                      <w14:textFill>
                        <w14:solidFill>
                          <w14:schemeClr w14:val="tx1"/>
                        </w14:solidFill>
                      </w14:textFill>
                    </w:rPr>
                  </w:pPr>
                </w:p>
              </w:tc>
              <w:tc>
                <w:tcPr>
                  <w:tcW w:w="765" w:type="dxa"/>
                  <w:vMerge w:val="continue"/>
                  <w:shd w:val="clear" w:color="auto" w:fill="auto"/>
                  <w:noWrap w:val="0"/>
                  <w:vAlign w:val="center"/>
                </w:tcPr>
                <w:p w14:paraId="4D9E577D">
                  <w:pPr>
                    <w:pStyle w:val="16"/>
                    <w:spacing w:line="240" w:lineRule="auto"/>
                    <w:rPr>
                      <w:rFonts w:hint="default"/>
                      <w:color w:val="000000" w:themeColor="text1"/>
                      <w:sz w:val="21"/>
                      <w:szCs w:val="21"/>
                      <w:highlight w:val="none"/>
                      <w:vertAlign w:val="baseline"/>
                      <w:lang w:val="en-US" w:eastAsia="zh-CN"/>
                      <w14:textFill>
                        <w14:solidFill>
                          <w14:schemeClr w14:val="tx1"/>
                        </w14:solidFill>
                      </w14:textFill>
                    </w:rPr>
                  </w:pPr>
                </w:p>
              </w:tc>
              <w:tc>
                <w:tcPr>
                  <w:tcW w:w="765" w:type="dxa"/>
                  <w:vMerge w:val="continue"/>
                  <w:shd w:val="clear" w:color="auto" w:fill="auto"/>
                  <w:noWrap w:val="0"/>
                  <w:vAlign w:val="center"/>
                </w:tcPr>
                <w:p w14:paraId="16EFE246">
                  <w:pPr>
                    <w:pStyle w:val="16"/>
                    <w:spacing w:line="240" w:lineRule="auto"/>
                    <w:rPr>
                      <w:rFonts w:hint="default"/>
                      <w:color w:val="000000" w:themeColor="text1"/>
                      <w:sz w:val="21"/>
                      <w:szCs w:val="21"/>
                      <w:highlight w:val="none"/>
                      <w:vertAlign w:val="baseline"/>
                      <w:lang w:val="en-US" w:eastAsia="zh-CN"/>
                      <w14:textFill>
                        <w14:solidFill>
                          <w14:schemeClr w14:val="tx1"/>
                        </w14:solidFill>
                      </w14:textFill>
                    </w:rPr>
                  </w:pPr>
                </w:p>
              </w:tc>
              <w:tc>
                <w:tcPr>
                  <w:tcW w:w="690" w:type="dxa"/>
                  <w:vMerge w:val="continue"/>
                  <w:shd w:val="clear" w:color="auto" w:fill="auto"/>
                  <w:noWrap w:val="0"/>
                  <w:vAlign w:val="center"/>
                </w:tcPr>
                <w:p w14:paraId="79DECA87">
                  <w:pPr>
                    <w:pStyle w:val="16"/>
                    <w:spacing w:line="240" w:lineRule="auto"/>
                    <w:rPr>
                      <w:rFonts w:hint="default"/>
                      <w:color w:val="000000" w:themeColor="text1"/>
                      <w:sz w:val="21"/>
                      <w:szCs w:val="21"/>
                      <w:highlight w:val="none"/>
                      <w:vertAlign w:val="baseline"/>
                      <w:lang w:val="en-US" w:eastAsia="zh-CN"/>
                      <w14:textFill>
                        <w14:solidFill>
                          <w14:schemeClr w14:val="tx1"/>
                        </w14:solidFill>
                      </w14:textFill>
                    </w:rPr>
                  </w:pPr>
                </w:p>
              </w:tc>
              <w:tc>
                <w:tcPr>
                  <w:tcW w:w="780" w:type="dxa"/>
                  <w:shd w:val="clear" w:color="auto" w:fill="auto"/>
                  <w:noWrap w:val="0"/>
                  <w:vAlign w:val="center"/>
                </w:tcPr>
                <w:p w14:paraId="72D76D17">
                  <w:pPr>
                    <w:keepNext w:val="0"/>
                    <w:keepLines w:val="0"/>
                    <w:pageBreakBefore w:val="0"/>
                    <w:widowControl w:val="0"/>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bCs/>
                      <w:i w:val="0"/>
                      <w:caps w:val="0"/>
                      <w:color w:val="000000" w:themeColor="text1"/>
                      <w:spacing w:val="0"/>
                      <w:sz w:val="21"/>
                      <w:szCs w:val="21"/>
                      <w:highlight w:val="none"/>
                      <w:shd w:val="clear" w:color="auto" w:fill="FFFFFF"/>
                      <w:vertAlign w:val="baseline"/>
                      <w:lang w:val="en-US" w:eastAsia="zh-CN"/>
                      <w14:textFill>
                        <w14:solidFill>
                          <w14:schemeClr w14:val="tx1"/>
                        </w14:solidFill>
                      </w14:textFill>
                    </w:rPr>
                  </w:pPr>
                  <w:r>
                    <w:rPr>
                      <w:rFonts w:hint="eastAsia" w:ascii="Times New Roman" w:hAnsi="Times New Roman" w:eastAsia="宋体" w:cs="Times New Roman"/>
                      <w:b/>
                      <w:bCs/>
                      <w:i w:val="0"/>
                      <w:caps w:val="0"/>
                      <w:color w:val="000000" w:themeColor="text1"/>
                      <w:spacing w:val="0"/>
                      <w:sz w:val="21"/>
                      <w:szCs w:val="21"/>
                      <w:highlight w:val="none"/>
                      <w:shd w:val="clear" w:color="auto" w:fill="FFFFFF"/>
                      <w:vertAlign w:val="baseline"/>
                      <w:lang w:val="en-US" w:eastAsia="zh-CN"/>
                      <w14:textFill>
                        <w14:solidFill>
                          <w14:schemeClr w14:val="tx1"/>
                        </w14:solidFill>
                      </w14:textFill>
                    </w:rPr>
                    <w:t>经度</w:t>
                  </w:r>
                </w:p>
              </w:tc>
              <w:tc>
                <w:tcPr>
                  <w:tcW w:w="795" w:type="dxa"/>
                  <w:shd w:val="clear" w:color="auto" w:fill="auto"/>
                  <w:noWrap w:val="0"/>
                  <w:vAlign w:val="center"/>
                </w:tcPr>
                <w:p w14:paraId="377064AC">
                  <w:pPr>
                    <w:keepNext w:val="0"/>
                    <w:keepLines w:val="0"/>
                    <w:pageBreakBefore w:val="0"/>
                    <w:widowControl w:val="0"/>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bCs/>
                      <w:i w:val="0"/>
                      <w:caps w:val="0"/>
                      <w:color w:val="000000" w:themeColor="text1"/>
                      <w:spacing w:val="0"/>
                      <w:sz w:val="21"/>
                      <w:szCs w:val="21"/>
                      <w:highlight w:val="none"/>
                      <w:shd w:val="clear" w:color="auto" w:fill="FFFFFF"/>
                      <w:vertAlign w:val="baseline"/>
                      <w:lang w:val="en-US" w:eastAsia="zh-CN"/>
                      <w14:textFill>
                        <w14:solidFill>
                          <w14:schemeClr w14:val="tx1"/>
                        </w14:solidFill>
                      </w14:textFill>
                    </w:rPr>
                  </w:pPr>
                  <w:r>
                    <w:rPr>
                      <w:rFonts w:hint="eastAsia" w:ascii="Times New Roman" w:hAnsi="Times New Roman" w:eastAsia="宋体" w:cs="Times New Roman"/>
                      <w:b/>
                      <w:bCs/>
                      <w:i w:val="0"/>
                      <w:caps w:val="0"/>
                      <w:color w:val="000000" w:themeColor="text1"/>
                      <w:spacing w:val="0"/>
                      <w:sz w:val="21"/>
                      <w:szCs w:val="21"/>
                      <w:highlight w:val="none"/>
                      <w:shd w:val="clear" w:color="auto" w:fill="FFFFFF"/>
                      <w:vertAlign w:val="baseline"/>
                      <w:lang w:val="en-US" w:eastAsia="zh-CN"/>
                      <w14:textFill>
                        <w14:solidFill>
                          <w14:schemeClr w14:val="tx1"/>
                        </w14:solidFill>
                      </w14:textFill>
                    </w:rPr>
                    <w:t>纬度</w:t>
                  </w:r>
                </w:p>
              </w:tc>
              <w:tc>
                <w:tcPr>
                  <w:tcW w:w="2404" w:type="dxa"/>
                  <w:vMerge w:val="continue"/>
                  <w:noWrap w:val="0"/>
                  <w:vAlign w:val="center"/>
                </w:tcPr>
                <w:p w14:paraId="0E895B8D">
                  <w:pPr>
                    <w:pStyle w:val="16"/>
                    <w:spacing w:line="240" w:lineRule="auto"/>
                    <w:rPr>
                      <w:rFonts w:hint="default"/>
                      <w:color w:val="000000" w:themeColor="text1"/>
                      <w:sz w:val="21"/>
                      <w:szCs w:val="21"/>
                      <w:highlight w:val="none"/>
                      <w:vertAlign w:val="baseline"/>
                      <w:lang w:val="en-US" w:eastAsia="zh-CN"/>
                      <w14:textFill>
                        <w14:solidFill>
                          <w14:schemeClr w14:val="tx1"/>
                        </w14:solidFill>
                      </w14:textFill>
                    </w:rPr>
                  </w:pPr>
                </w:p>
              </w:tc>
            </w:tr>
            <w:tr w14:paraId="176AD8D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874" w:type="dxa"/>
                  <w:noWrap w:val="0"/>
                  <w:vAlign w:val="center"/>
                </w:tcPr>
                <w:p w14:paraId="20136617">
                  <w:pPr>
                    <w:keepNext w:val="0"/>
                    <w:keepLines w:val="0"/>
                    <w:pageBreakBefore w:val="0"/>
                    <w:widowControl w:val="0"/>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000000" w:themeColor="text1"/>
                      <w:spacing w:val="0"/>
                      <w:sz w:val="21"/>
                      <w:szCs w:val="21"/>
                      <w:highlight w:val="none"/>
                      <w:shd w:val="clear" w:color="auto" w:fill="FFFFFF"/>
                      <w:vertAlign w:val="baseline"/>
                      <w:lang w:val="en-US" w:eastAsia="zh-CN"/>
                      <w14:textFill>
                        <w14:solidFill>
                          <w14:schemeClr w14:val="tx1"/>
                        </w14:solidFill>
                      </w14:textFill>
                    </w:rPr>
                  </w:pPr>
                  <w:r>
                    <w:rPr>
                      <w:rFonts w:hint="eastAsia" w:ascii="Times New Roman" w:hAnsi="Times New Roman" w:eastAsia="宋体" w:cs="Times New Roman"/>
                      <w:b w:val="0"/>
                      <w:bCs w:val="0"/>
                      <w:i w:val="0"/>
                      <w:caps w:val="0"/>
                      <w:color w:val="000000" w:themeColor="text1"/>
                      <w:spacing w:val="0"/>
                      <w:sz w:val="21"/>
                      <w:szCs w:val="21"/>
                      <w:highlight w:val="none"/>
                      <w:shd w:val="clear" w:color="auto" w:fill="FFFFFF"/>
                      <w:vertAlign w:val="baseline"/>
                      <w:lang w:val="en-US" w:eastAsia="zh-CN"/>
                      <w14:textFill>
                        <w14:solidFill>
                          <w14:schemeClr w14:val="tx1"/>
                        </w14:solidFill>
                      </w14:textFill>
                    </w:rPr>
                    <w:t>DA001</w:t>
                  </w:r>
                </w:p>
              </w:tc>
              <w:tc>
                <w:tcPr>
                  <w:tcW w:w="735" w:type="dxa"/>
                  <w:noWrap w:val="0"/>
                  <w:vAlign w:val="center"/>
                </w:tcPr>
                <w:p w14:paraId="389B7263">
                  <w:pPr>
                    <w:keepNext w:val="0"/>
                    <w:keepLines w:val="0"/>
                    <w:pageBreakBefore w:val="0"/>
                    <w:widowControl w:val="0"/>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000000" w:themeColor="text1"/>
                      <w:spacing w:val="0"/>
                      <w:sz w:val="21"/>
                      <w:szCs w:val="21"/>
                      <w:highlight w:val="none"/>
                      <w:shd w:val="clear" w:color="auto" w:fill="FFFFFF"/>
                      <w:vertAlign w:val="baseline"/>
                      <w:lang w:val="en-US" w:eastAsia="zh-CN"/>
                      <w14:textFill>
                        <w14:solidFill>
                          <w14:schemeClr w14:val="tx1"/>
                        </w14:solidFill>
                      </w14:textFill>
                    </w:rPr>
                  </w:pPr>
                  <w:r>
                    <w:rPr>
                      <w:rFonts w:hint="eastAsia" w:cs="Times New Roman"/>
                      <w:b w:val="0"/>
                      <w:bCs w:val="0"/>
                      <w:i w:val="0"/>
                      <w:caps w:val="0"/>
                      <w:color w:val="000000" w:themeColor="text1"/>
                      <w:spacing w:val="0"/>
                      <w:sz w:val="21"/>
                      <w:szCs w:val="21"/>
                      <w:highlight w:val="none"/>
                      <w:shd w:val="clear" w:color="auto" w:fill="FFFFFF"/>
                      <w:vertAlign w:val="baseline"/>
                      <w:lang w:val="en-US" w:eastAsia="zh-CN"/>
                      <w14:textFill>
                        <w14:solidFill>
                          <w14:schemeClr w14:val="tx1"/>
                        </w14:solidFill>
                      </w14:textFill>
                    </w:rPr>
                    <w:t>25</w:t>
                  </w:r>
                  <w:r>
                    <w:rPr>
                      <w:rFonts w:hint="eastAsia" w:ascii="Times New Roman" w:hAnsi="Times New Roman" w:eastAsia="宋体" w:cs="Times New Roman"/>
                      <w:b w:val="0"/>
                      <w:bCs w:val="0"/>
                      <w:i w:val="0"/>
                      <w:caps w:val="0"/>
                      <w:color w:val="000000" w:themeColor="text1"/>
                      <w:spacing w:val="0"/>
                      <w:sz w:val="21"/>
                      <w:szCs w:val="21"/>
                      <w:highlight w:val="none"/>
                      <w:shd w:val="clear" w:color="auto" w:fill="FFFFFF"/>
                      <w:vertAlign w:val="baseline"/>
                      <w:lang w:val="en-US" w:eastAsia="zh-CN"/>
                      <w14:textFill>
                        <w14:solidFill>
                          <w14:schemeClr w14:val="tx1"/>
                        </w14:solidFill>
                      </w14:textFill>
                    </w:rPr>
                    <w:t>m</w:t>
                  </w:r>
                </w:p>
              </w:tc>
              <w:tc>
                <w:tcPr>
                  <w:tcW w:w="765" w:type="dxa"/>
                  <w:noWrap w:val="0"/>
                  <w:vAlign w:val="center"/>
                </w:tcPr>
                <w:p w14:paraId="1C77D740">
                  <w:pPr>
                    <w:keepNext w:val="0"/>
                    <w:keepLines w:val="0"/>
                    <w:pageBreakBefore w:val="0"/>
                    <w:widowControl w:val="0"/>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000000" w:themeColor="text1"/>
                      <w:spacing w:val="0"/>
                      <w:sz w:val="21"/>
                      <w:szCs w:val="21"/>
                      <w:highlight w:val="none"/>
                      <w:shd w:val="clear" w:color="auto" w:fill="FFFFFF"/>
                      <w:vertAlign w:val="baseline"/>
                      <w:lang w:val="en-US" w:eastAsia="zh-CN"/>
                      <w14:textFill>
                        <w14:solidFill>
                          <w14:schemeClr w14:val="tx1"/>
                        </w14:solidFill>
                      </w14:textFill>
                    </w:rPr>
                  </w:pPr>
                  <w:r>
                    <w:rPr>
                      <w:rFonts w:hint="eastAsia" w:ascii="Times New Roman" w:hAnsi="Times New Roman" w:eastAsia="宋体" w:cs="Times New Roman"/>
                      <w:b w:val="0"/>
                      <w:bCs w:val="0"/>
                      <w:i w:val="0"/>
                      <w:caps w:val="0"/>
                      <w:color w:val="000000" w:themeColor="text1"/>
                      <w:spacing w:val="0"/>
                      <w:sz w:val="21"/>
                      <w:szCs w:val="21"/>
                      <w:highlight w:val="none"/>
                      <w:shd w:val="clear" w:color="auto" w:fill="FFFFFF"/>
                      <w:vertAlign w:val="baseline"/>
                      <w:lang w:val="en-US" w:eastAsia="zh-CN"/>
                      <w14:textFill>
                        <w14:solidFill>
                          <w14:schemeClr w14:val="tx1"/>
                        </w14:solidFill>
                      </w14:textFill>
                    </w:rPr>
                    <w:t>0.</w:t>
                  </w:r>
                  <w:r>
                    <w:rPr>
                      <w:rFonts w:hint="eastAsia" w:cs="Times New Roman"/>
                      <w:b w:val="0"/>
                      <w:bCs w:val="0"/>
                      <w:i w:val="0"/>
                      <w:caps w:val="0"/>
                      <w:color w:val="000000" w:themeColor="text1"/>
                      <w:spacing w:val="0"/>
                      <w:sz w:val="21"/>
                      <w:szCs w:val="21"/>
                      <w:highlight w:val="none"/>
                      <w:shd w:val="clear" w:color="auto" w:fill="FFFFFF"/>
                      <w:vertAlign w:val="baseline"/>
                      <w:lang w:val="en-US" w:eastAsia="zh-CN"/>
                      <w14:textFill>
                        <w14:solidFill>
                          <w14:schemeClr w14:val="tx1"/>
                        </w14:solidFill>
                      </w14:textFill>
                    </w:rPr>
                    <w:t>8</w:t>
                  </w:r>
                </w:p>
              </w:tc>
              <w:tc>
                <w:tcPr>
                  <w:tcW w:w="765" w:type="dxa"/>
                  <w:noWrap w:val="0"/>
                  <w:vAlign w:val="center"/>
                </w:tcPr>
                <w:p w14:paraId="2D8469EB">
                  <w:pPr>
                    <w:keepNext w:val="0"/>
                    <w:keepLines w:val="0"/>
                    <w:pageBreakBefore w:val="0"/>
                    <w:widowControl w:val="0"/>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000000" w:themeColor="text1"/>
                      <w:spacing w:val="0"/>
                      <w:sz w:val="21"/>
                      <w:szCs w:val="21"/>
                      <w:highlight w:val="none"/>
                      <w:shd w:val="clear" w:color="auto" w:fill="FFFFFF"/>
                      <w:vertAlign w:val="baseline"/>
                      <w:lang w:val="en-US" w:eastAsia="zh-CN"/>
                      <w14:textFill>
                        <w14:solidFill>
                          <w14:schemeClr w14:val="tx1"/>
                        </w14:solidFill>
                      </w14:textFill>
                    </w:rPr>
                  </w:pPr>
                  <w:r>
                    <w:rPr>
                      <w:rFonts w:hint="eastAsia" w:ascii="Times New Roman" w:hAnsi="Times New Roman" w:eastAsia="宋体" w:cs="Times New Roman"/>
                      <w:b w:val="0"/>
                      <w:bCs w:val="0"/>
                      <w:i w:val="0"/>
                      <w:caps w:val="0"/>
                      <w:color w:val="000000" w:themeColor="text1"/>
                      <w:spacing w:val="0"/>
                      <w:sz w:val="21"/>
                      <w:szCs w:val="21"/>
                      <w:highlight w:val="none"/>
                      <w:shd w:val="clear" w:color="auto" w:fill="FFFFFF"/>
                      <w:vertAlign w:val="baseline"/>
                      <w:lang w:val="en-US" w:eastAsia="zh-CN"/>
                      <w14:textFill>
                        <w14:solidFill>
                          <w14:schemeClr w14:val="tx1"/>
                        </w14:solidFill>
                      </w14:textFill>
                    </w:rPr>
                    <w:t>25</w:t>
                  </w:r>
                  <w:r>
                    <w:rPr>
                      <w:rFonts w:hint="default" w:ascii="Times New Roman" w:hAnsi="Times New Roman" w:eastAsia="宋体" w:cs="Times New Roman"/>
                      <w:b w:val="0"/>
                      <w:bCs w:val="0"/>
                      <w:i w:val="0"/>
                      <w:caps w:val="0"/>
                      <w:color w:val="000000" w:themeColor="text1"/>
                      <w:spacing w:val="0"/>
                      <w:sz w:val="21"/>
                      <w:szCs w:val="21"/>
                      <w:highlight w:val="none"/>
                      <w:shd w:val="clear" w:color="auto" w:fill="FFFFFF"/>
                      <w:vertAlign w:val="baseline"/>
                      <w:lang w:val="en-US" w:eastAsia="zh-CN"/>
                      <w14:textFill>
                        <w14:solidFill>
                          <w14:schemeClr w14:val="tx1"/>
                        </w14:solidFill>
                      </w14:textFill>
                    </w:rPr>
                    <w:t>℃</w:t>
                  </w:r>
                </w:p>
              </w:tc>
              <w:tc>
                <w:tcPr>
                  <w:tcW w:w="690" w:type="dxa"/>
                  <w:shd w:val="clear" w:color="auto" w:fill="auto"/>
                  <w:noWrap w:val="0"/>
                  <w:vAlign w:val="center"/>
                </w:tcPr>
                <w:p w14:paraId="24ADE4DB">
                  <w:pPr>
                    <w:keepNext w:val="0"/>
                    <w:keepLines w:val="0"/>
                    <w:pageBreakBefore w:val="0"/>
                    <w:widowControl w:val="0"/>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000000" w:themeColor="text1"/>
                      <w:spacing w:val="0"/>
                      <w:sz w:val="21"/>
                      <w:szCs w:val="21"/>
                      <w:highlight w:val="none"/>
                      <w:shd w:val="clear" w:color="auto" w:fill="FFFFFF"/>
                      <w:vertAlign w:val="baseline"/>
                      <w:lang w:val="en-US" w:eastAsia="zh-CN"/>
                      <w14:textFill>
                        <w14:solidFill>
                          <w14:schemeClr w14:val="tx1"/>
                        </w14:solidFill>
                      </w14:textFill>
                    </w:rPr>
                  </w:pPr>
                  <w:r>
                    <w:rPr>
                      <w:rFonts w:hint="eastAsia" w:ascii="Times New Roman" w:hAnsi="Times New Roman" w:eastAsia="宋体" w:cs="Times New Roman"/>
                      <w:b w:val="0"/>
                      <w:bCs w:val="0"/>
                      <w:i w:val="0"/>
                      <w:caps w:val="0"/>
                      <w:color w:val="000000" w:themeColor="text1"/>
                      <w:spacing w:val="0"/>
                      <w:sz w:val="21"/>
                      <w:szCs w:val="21"/>
                      <w:highlight w:val="none"/>
                      <w:shd w:val="clear" w:color="auto" w:fill="FFFFFF"/>
                      <w:vertAlign w:val="baseline"/>
                      <w:lang w:val="en-US" w:eastAsia="zh-CN"/>
                      <w14:textFill>
                        <w14:solidFill>
                          <w14:schemeClr w14:val="tx1"/>
                        </w14:solidFill>
                      </w14:textFill>
                    </w:rPr>
                    <w:t>一般排放口</w:t>
                  </w:r>
                </w:p>
              </w:tc>
              <w:tc>
                <w:tcPr>
                  <w:tcW w:w="780" w:type="dxa"/>
                  <w:shd w:val="clear" w:color="auto" w:fill="auto"/>
                  <w:noWrap w:val="0"/>
                  <w:vAlign w:val="center"/>
                </w:tcPr>
                <w:p w14:paraId="15EAA196">
                  <w:pPr>
                    <w:keepNext w:val="0"/>
                    <w:keepLines w:val="0"/>
                    <w:pageBreakBefore w:val="0"/>
                    <w:widowControl w:val="0"/>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000000" w:themeColor="text1"/>
                      <w:spacing w:val="0"/>
                      <w:sz w:val="21"/>
                      <w:szCs w:val="21"/>
                      <w:highlight w:val="none"/>
                      <w:shd w:val="clear" w:color="auto" w:fill="FFFFFF"/>
                      <w:vertAlign w:val="baseline"/>
                      <w:lang w:val="en-US" w:eastAsia="zh-CN"/>
                      <w14:textFill>
                        <w14:solidFill>
                          <w14:schemeClr w14:val="tx1"/>
                        </w14:solidFill>
                      </w14:textFill>
                    </w:rPr>
                  </w:pPr>
                  <w:r>
                    <w:rPr>
                      <w:rFonts w:hint="eastAsia" w:ascii="Times New Roman" w:hAnsi="Times New Roman" w:eastAsia="宋体" w:cs="Times New Roman"/>
                      <w:b w:val="0"/>
                      <w:bCs w:val="0"/>
                      <w:i w:val="0"/>
                      <w:caps w:val="0"/>
                      <w:color w:val="000000" w:themeColor="text1"/>
                      <w:spacing w:val="0"/>
                      <w:sz w:val="21"/>
                      <w:szCs w:val="21"/>
                      <w:highlight w:val="none"/>
                      <w:shd w:val="clear" w:color="auto" w:fill="FFFFFF"/>
                      <w:vertAlign w:val="baseline"/>
                      <w:lang w:val="en-US" w:eastAsia="zh-CN"/>
                      <w14:textFill>
                        <w14:solidFill>
                          <w14:schemeClr w14:val="tx1"/>
                        </w14:solidFill>
                      </w14:textFill>
                    </w:rPr>
                    <w:t>106.895427</w:t>
                  </w:r>
                </w:p>
              </w:tc>
              <w:tc>
                <w:tcPr>
                  <w:tcW w:w="795" w:type="dxa"/>
                  <w:shd w:val="clear" w:color="auto" w:fill="auto"/>
                  <w:noWrap w:val="0"/>
                  <w:vAlign w:val="center"/>
                </w:tcPr>
                <w:p w14:paraId="64EA4CEF">
                  <w:pPr>
                    <w:keepNext w:val="0"/>
                    <w:keepLines w:val="0"/>
                    <w:pageBreakBefore w:val="0"/>
                    <w:widowControl w:val="0"/>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000000" w:themeColor="text1"/>
                      <w:spacing w:val="0"/>
                      <w:sz w:val="21"/>
                      <w:szCs w:val="21"/>
                      <w:highlight w:val="none"/>
                      <w:shd w:val="clear" w:color="auto" w:fill="FFFFFF"/>
                      <w:vertAlign w:val="baseline"/>
                      <w:lang w:val="en-US" w:eastAsia="zh-CN"/>
                      <w14:textFill>
                        <w14:solidFill>
                          <w14:schemeClr w14:val="tx1"/>
                        </w14:solidFill>
                      </w14:textFill>
                    </w:rPr>
                  </w:pPr>
                  <w:r>
                    <w:rPr>
                      <w:rFonts w:hint="eastAsia" w:ascii="Times New Roman" w:hAnsi="Times New Roman" w:eastAsia="宋体" w:cs="Times New Roman"/>
                      <w:b w:val="0"/>
                      <w:bCs w:val="0"/>
                      <w:i w:val="0"/>
                      <w:caps w:val="0"/>
                      <w:color w:val="000000" w:themeColor="text1"/>
                      <w:spacing w:val="0"/>
                      <w:sz w:val="21"/>
                      <w:szCs w:val="21"/>
                      <w:highlight w:val="none"/>
                      <w:shd w:val="clear" w:color="auto" w:fill="FFFFFF"/>
                      <w:vertAlign w:val="baseline"/>
                      <w:lang w:val="en-US" w:eastAsia="zh-CN"/>
                      <w14:textFill>
                        <w14:solidFill>
                          <w14:schemeClr w14:val="tx1"/>
                        </w14:solidFill>
                      </w14:textFill>
                    </w:rPr>
                    <w:t>31.856391</w:t>
                  </w:r>
                </w:p>
              </w:tc>
              <w:tc>
                <w:tcPr>
                  <w:tcW w:w="2404" w:type="dxa"/>
                  <w:vMerge w:val="restart"/>
                  <w:noWrap w:val="0"/>
                  <w:vAlign w:val="center"/>
                </w:tcPr>
                <w:p w14:paraId="6FDFBCDF">
                  <w:pPr>
                    <w:keepNext w:val="0"/>
                    <w:keepLines w:val="0"/>
                    <w:pageBreakBefore w:val="0"/>
                    <w:widowControl w:val="0"/>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000000" w:themeColor="text1"/>
                      <w:spacing w:val="0"/>
                      <w:sz w:val="21"/>
                      <w:szCs w:val="21"/>
                      <w:highlight w:val="none"/>
                      <w:shd w:val="clear" w:color="auto" w:fill="FFFFFF"/>
                      <w:vertAlign w:val="baseline"/>
                      <w:lang w:val="en-US" w:eastAsia="zh-CN"/>
                      <w14:textFill>
                        <w14:solidFill>
                          <w14:schemeClr w14:val="tx1"/>
                        </w14:solidFill>
                      </w14:textFill>
                    </w:rPr>
                  </w:pPr>
                  <w:r>
                    <w:rPr>
                      <w:rFonts w:hint="eastAsia" w:ascii="Times New Roman" w:hAnsi="Times New Roman" w:eastAsia="宋体" w:cs="Times New Roman"/>
                      <w:b w:val="0"/>
                      <w:bCs w:val="0"/>
                      <w:i w:val="0"/>
                      <w:caps w:val="0"/>
                      <w:color w:val="000000" w:themeColor="text1"/>
                      <w:spacing w:val="0"/>
                      <w:sz w:val="21"/>
                      <w:szCs w:val="21"/>
                      <w:highlight w:val="none"/>
                      <w:shd w:val="clear" w:color="auto" w:fill="FFFFFF"/>
                      <w:vertAlign w:val="baseline"/>
                      <w:lang w:val="en-US" w:eastAsia="zh-CN"/>
                      <w14:textFill>
                        <w14:solidFill>
                          <w14:schemeClr w14:val="tx1"/>
                        </w14:solidFill>
                      </w14:textFill>
                    </w:rPr>
                    <w:t>《电池工业污染物排放标准》（GB30484-2013）</w:t>
                  </w:r>
                </w:p>
              </w:tc>
            </w:tr>
            <w:tr w14:paraId="0D10494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874" w:type="dxa"/>
                  <w:noWrap w:val="0"/>
                  <w:vAlign w:val="center"/>
                </w:tcPr>
                <w:p w14:paraId="398EA43F">
                  <w:pPr>
                    <w:keepNext w:val="0"/>
                    <w:keepLines w:val="0"/>
                    <w:pageBreakBefore w:val="0"/>
                    <w:widowControl w:val="0"/>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000000" w:themeColor="text1"/>
                      <w:spacing w:val="0"/>
                      <w:sz w:val="21"/>
                      <w:szCs w:val="21"/>
                      <w:highlight w:val="none"/>
                      <w:shd w:val="clear" w:color="auto" w:fill="FFFFFF"/>
                      <w:vertAlign w:val="baseline"/>
                      <w:lang w:val="en-US" w:eastAsia="zh-CN"/>
                      <w14:textFill>
                        <w14:solidFill>
                          <w14:schemeClr w14:val="tx1"/>
                        </w14:solidFill>
                      </w14:textFill>
                    </w:rPr>
                  </w:pPr>
                  <w:r>
                    <w:rPr>
                      <w:rFonts w:hint="eastAsia" w:ascii="Times New Roman" w:hAnsi="Times New Roman" w:eastAsia="宋体" w:cs="Times New Roman"/>
                      <w:b w:val="0"/>
                      <w:bCs w:val="0"/>
                      <w:i w:val="0"/>
                      <w:caps w:val="0"/>
                      <w:color w:val="000000" w:themeColor="text1"/>
                      <w:spacing w:val="0"/>
                      <w:sz w:val="21"/>
                      <w:szCs w:val="21"/>
                      <w:highlight w:val="none"/>
                      <w:shd w:val="clear" w:color="auto" w:fill="FFFFFF"/>
                      <w:vertAlign w:val="baseline"/>
                      <w:lang w:val="en-US" w:eastAsia="zh-CN"/>
                      <w14:textFill>
                        <w14:solidFill>
                          <w14:schemeClr w14:val="tx1"/>
                        </w14:solidFill>
                      </w14:textFill>
                    </w:rPr>
                    <w:t>DA002</w:t>
                  </w:r>
                </w:p>
              </w:tc>
              <w:tc>
                <w:tcPr>
                  <w:tcW w:w="735" w:type="dxa"/>
                  <w:noWrap w:val="0"/>
                  <w:vAlign w:val="center"/>
                </w:tcPr>
                <w:p w14:paraId="3518DBEA">
                  <w:pPr>
                    <w:keepNext w:val="0"/>
                    <w:keepLines w:val="0"/>
                    <w:pageBreakBefore w:val="0"/>
                    <w:widowControl w:val="0"/>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000000" w:themeColor="text1"/>
                      <w:spacing w:val="0"/>
                      <w:sz w:val="21"/>
                      <w:szCs w:val="21"/>
                      <w:highlight w:val="none"/>
                      <w:shd w:val="clear" w:color="auto" w:fill="FFFFFF"/>
                      <w:vertAlign w:val="baseline"/>
                      <w:lang w:val="en-US" w:eastAsia="zh-CN"/>
                      <w14:textFill>
                        <w14:solidFill>
                          <w14:schemeClr w14:val="tx1"/>
                        </w14:solidFill>
                      </w14:textFill>
                    </w:rPr>
                  </w:pPr>
                  <w:r>
                    <w:rPr>
                      <w:rFonts w:hint="eastAsia" w:cs="Times New Roman"/>
                      <w:b w:val="0"/>
                      <w:bCs w:val="0"/>
                      <w:i w:val="0"/>
                      <w:caps w:val="0"/>
                      <w:color w:val="000000" w:themeColor="text1"/>
                      <w:spacing w:val="0"/>
                      <w:sz w:val="21"/>
                      <w:szCs w:val="21"/>
                      <w:highlight w:val="none"/>
                      <w:shd w:val="clear" w:color="auto" w:fill="FFFFFF"/>
                      <w:vertAlign w:val="baseline"/>
                      <w:lang w:val="en-US" w:eastAsia="zh-CN"/>
                      <w14:textFill>
                        <w14:solidFill>
                          <w14:schemeClr w14:val="tx1"/>
                        </w14:solidFill>
                      </w14:textFill>
                    </w:rPr>
                    <w:t>25</w:t>
                  </w:r>
                  <w:r>
                    <w:rPr>
                      <w:rFonts w:hint="eastAsia" w:ascii="Times New Roman" w:hAnsi="Times New Roman" w:eastAsia="宋体" w:cs="Times New Roman"/>
                      <w:b w:val="0"/>
                      <w:bCs w:val="0"/>
                      <w:i w:val="0"/>
                      <w:caps w:val="0"/>
                      <w:color w:val="000000" w:themeColor="text1"/>
                      <w:spacing w:val="0"/>
                      <w:sz w:val="21"/>
                      <w:szCs w:val="21"/>
                      <w:highlight w:val="none"/>
                      <w:shd w:val="clear" w:color="auto" w:fill="FFFFFF"/>
                      <w:vertAlign w:val="baseline"/>
                      <w:lang w:val="en-US" w:eastAsia="zh-CN"/>
                      <w14:textFill>
                        <w14:solidFill>
                          <w14:schemeClr w14:val="tx1"/>
                        </w14:solidFill>
                      </w14:textFill>
                    </w:rPr>
                    <w:t>m</w:t>
                  </w:r>
                </w:p>
              </w:tc>
              <w:tc>
                <w:tcPr>
                  <w:tcW w:w="765" w:type="dxa"/>
                  <w:noWrap w:val="0"/>
                  <w:vAlign w:val="center"/>
                </w:tcPr>
                <w:p w14:paraId="23F6DD21">
                  <w:pPr>
                    <w:keepNext w:val="0"/>
                    <w:keepLines w:val="0"/>
                    <w:pageBreakBefore w:val="0"/>
                    <w:widowControl w:val="0"/>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000000" w:themeColor="text1"/>
                      <w:spacing w:val="0"/>
                      <w:sz w:val="21"/>
                      <w:szCs w:val="21"/>
                      <w:highlight w:val="none"/>
                      <w:shd w:val="clear" w:color="auto" w:fill="FFFFFF"/>
                      <w:vertAlign w:val="baseline"/>
                      <w:lang w:val="en-US" w:eastAsia="zh-CN"/>
                      <w14:textFill>
                        <w14:solidFill>
                          <w14:schemeClr w14:val="tx1"/>
                        </w14:solidFill>
                      </w14:textFill>
                    </w:rPr>
                  </w:pPr>
                  <w:r>
                    <w:rPr>
                      <w:rFonts w:hint="eastAsia" w:ascii="Times New Roman" w:hAnsi="Times New Roman" w:eastAsia="宋体" w:cs="Times New Roman"/>
                      <w:b w:val="0"/>
                      <w:bCs w:val="0"/>
                      <w:i w:val="0"/>
                      <w:caps w:val="0"/>
                      <w:color w:val="000000" w:themeColor="text1"/>
                      <w:spacing w:val="0"/>
                      <w:sz w:val="21"/>
                      <w:szCs w:val="21"/>
                      <w:highlight w:val="none"/>
                      <w:shd w:val="clear" w:color="auto" w:fill="FFFFFF"/>
                      <w:vertAlign w:val="baseline"/>
                      <w:lang w:val="en-US" w:eastAsia="zh-CN"/>
                      <w14:textFill>
                        <w14:solidFill>
                          <w14:schemeClr w14:val="tx1"/>
                        </w14:solidFill>
                      </w14:textFill>
                    </w:rPr>
                    <w:t>0.</w:t>
                  </w:r>
                  <w:r>
                    <w:rPr>
                      <w:rFonts w:hint="eastAsia" w:cs="Times New Roman"/>
                      <w:b w:val="0"/>
                      <w:bCs w:val="0"/>
                      <w:i w:val="0"/>
                      <w:caps w:val="0"/>
                      <w:color w:val="000000" w:themeColor="text1"/>
                      <w:spacing w:val="0"/>
                      <w:sz w:val="21"/>
                      <w:szCs w:val="21"/>
                      <w:highlight w:val="none"/>
                      <w:shd w:val="clear" w:color="auto" w:fill="FFFFFF"/>
                      <w:vertAlign w:val="baseline"/>
                      <w:lang w:val="en-US" w:eastAsia="zh-CN"/>
                      <w14:textFill>
                        <w14:solidFill>
                          <w14:schemeClr w14:val="tx1"/>
                        </w14:solidFill>
                      </w14:textFill>
                    </w:rPr>
                    <w:t>4</w:t>
                  </w:r>
                </w:p>
              </w:tc>
              <w:tc>
                <w:tcPr>
                  <w:tcW w:w="765" w:type="dxa"/>
                  <w:noWrap w:val="0"/>
                  <w:vAlign w:val="center"/>
                </w:tcPr>
                <w:p w14:paraId="1C83392F">
                  <w:pPr>
                    <w:keepNext w:val="0"/>
                    <w:keepLines w:val="0"/>
                    <w:pageBreakBefore w:val="0"/>
                    <w:widowControl w:val="0"/>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000000" w:themeColor="text1"/>
                      <w:spacing w:val="0"/>
                      <w:sz w:val="21"/>
                      <w:szCs w:val="21"/>
                      <w:highlight w:val="none"/>
                      <w:shd w:val="clear" w:color="auto" w:fill="FFFFFF"/>
                      <w:vertAlign w:val="baseline"/>
                      <w:lang w:val="en-US" w:eastAsia="zh-CN"/>
                      <w14:textFill>
                        <w14:solidFill>
                          <w14:schemeClr w14:val="tx1"/>
                        </w14:solidFill>
                      </w14:textFill>
                    </w:rPr>
                  </w:pPr>
                  <w:r>
                    <w:rPr>
                      <w:rFonts w:hint="eastAsia" w:ascii="Times New Roman" w:hAnsi="Times New Roman" w:eastAsia="宋体" w:cs="Times New Roman"/>
                      <w:b w:val="0"/>
                      <w:bCs w:val="0"/>
                      <w:i w:val="0"/>
                      <w:caps w:val="0"/>
                      <w:color w:val="000000" w:themeColor="text1"/>
                      <w:spacing w:val="0"/>
                      <w:sz w:val="21"/>
                      <w:szCs w:val="21"/>
                      <w:highlight w:val="none"/>
                      <w:shd w:val="clear" w:color="auto" w:fill="FFFFFF"/>
                      <w:vertAlign w:val="baseline"/>
                      <w:lang w:val="en-US" w:eastAsia="zh-CN"/>
                      <w14:textFill>
                        <w14:solidFill>
                          <w14:schemeClr w14:val="tx1"/>
                        </w14:solidFill>
                      </w14:textFill>
                    </w:rPr>
                    <w:t>25</w:t>
                  </w:r>
                  <w:r>
                    <w:rPr>
                      <w:rFonts w:hint="default" w:ascii="Times New Roman" w:hAnsi="Times New Roman" w:eastAsia="宋体" w:cs="Times New Roman"/>
                      <w:b w:val="0"/>
                      <w:bCs w:val="0"/>
                      <w:i w:val="0"/>
                      <w:caps w:val="0"/>
                      <w:color w:val="000000" w:themeColor="text1"/>
                      <w:spacing w:val="0"/>
                      <w:sz w:val="21"/>
                      <w:szCs w:val="21"/>
                      <w:highlight w:val="none"/>
                      <w:shd w:val="clear" w:color="auto" w:fill="FFFFFF"/>
                      <w:vertAlign w:val="baseline"/>
                      <w:lang w:val="en-US" w:eastAsia="zh-CN"/>
                      <w14:textFill>
                        <w14:solidFill>
                          <w14:schemeClr w14:val="tx1"/>
                        </w14:solidFill>
                      </w14:textFill>
                    </w:rPr>
                    <w:t>℃</w:t>
                  </w:r>
                </w:p>
              </w:tc>
              <w:tc>
                <w:tcPr>
                  <w:tcW w:w="690" w:type="dxa"/>
                  <w:shd w:val="clear" w:color="auto" w:fill="auto"/>
                  <w:noWrap w:val="0"/>
                  <w:vAlign w:val="center"/>
                </w:tcPr>
                <w:p w14:paraId="453715D3">
                  <w:pPr>
                    <w:keepNext w:val="0"/>
                    <w:keepLines w:val="0"/>
                    <w:pageBreakBefore w:val="0"/>
                    <w:widowControl w:val="0"/>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000000" w:themeColor="text1"/>
                      <w:spacing w:val="0"/>
                      <w:sz w:val="21"/>
                      <w:szCs w:val="21"/>
                      <w:highlight w:val="none"/>
                      <w:shd w:val="clear" w:color="auto" w:fill="FFFFFF"/>
                      <w:vertAlign w:val="baseline"/>
                      <w:lang w:val="en-US" w:eastAsia="zh-CN"/>
                      <w14:textFill>
                        <w14:solidFill>
                          <w14:schemeClr w14:val="tx1"/>
                        </w14:solidFill>
                      </w14:textFill>
                    </w:rPr>
                  </w:pPr>
                  <w:r>
                    <w:rPr>
                      <w:rFonts w:hint="eastAsia" w:ascii="Times New Roman" w:hAnsi="Times New Roman" w:eastAsia="宋体" w:cs="Times New Roman"/>
                      <w:b w:val="0"/>
                      <w:bCs w:val="0"/>
                      <w:i w:val="0"/>
                      <w:caps w:val="0"/>
                      <w:color w:val="000000" w:themeColor="text1"/>
                      <w:spacing w:val="0"/>
                      <w:sz w:val="21"/>
                      <w:szCs w:val="21"/>
                      <w:highlight w:val="none"/>
                      <w:shd w:val="clear" w:color="auto" w:fill="FFFFFF"/>
                      <w:vertAlign w:val="baseline"/>
                      <w:lang w:val="en-US" w:eastAsia="zh-CN"/>
                      <w14:textFill>
                        <w14:solidFill>
                          <w14:schemeClr w14:val="tx1"/>
                        </w14:solidFill>
                      </w14:textFill>
                    </w:rPr>
                    <w:t>一般排放口</w:t>
                  </w:r>
                </w:p>
              </w:tc>
              <w:tc>
                <w:tcPr>
                  <w:tcW w:w="780" w:type="dxa"/>
                  <w:shd w:val="clear" w:color="auto" w:fill="auto"/>
                  <w:noWrap w:val="0"/>
                  <w:vAlign w:val="center"/>
                </w:tcPr>
                <w:p w14:paraId="0560D60B">
                  <w:pPr>
                    <w:keepNext w:val="0"/>
                    <w:keepLines w:val="0"/>
                    <w:pageBreakBefore w:val="0"/>
                    <w:widowControl w:val="0"/>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000000" w:themeColor="text1"/>
                      <w:spacing w:val="0"/>
                      <w:sz w:val="21"/>
                      <w:szCs w:val="21"/>
                      <w:highlight w:val="none"/>
                      <w:shd w:val="clear" w:color="auto" w:fill="FFFFFF"/>
                      <w:vertAlign w:val="baseline"/>
                      <w:lang w:val="en-US" w:eastAsia="zh-CN"/>
                      <w14:textFill>
                        <w14:solidFill>
                          <w14:schemeClr w14:val="tx1"/>
                        </w14:solidFill>
                      </w14:textFill>
                    </w:rPr>
                  </w:pPr>
                  <w:r>
                    <w:rPr>
                      <w:rFonts w:hint="eastAsia" w:ascii="Times New Roman" w:hAnsi="Times New Roman" w:eastAsia="宋体" w:cs="Times New Roman"/>
                      <w:b w:val="0"/>
                      <w:bCs w:val="0"/>
                      <w:i w:val="0"/>
                      <w:caps w:val="0"/>
                      <w:color w:val="000000" w:themeColor="text1"/>
                      <w:spacing w:val="0"/>
                      <w:sz w:val="21"/>
                      <w:szCs w:val="21"/>
                      <w:highlight w:val="none"/>
                      <w:shd w:val="clear" w:color="auto" w:fill="FFFFFF"/>
                      <w:vertAlign w:val="baseline"/>
                      <w:lang w:val="en-US" w:eastAsia="zh-CN"/>
                      <w14:textFill>
                        <w14:solidFill>
                          <w14:schemeClr w14:val="tx1"/>
                        </w14:solidFill>
                      </w14:textFill>
                    </w:rPr>
                    <w:t>106.895041</w:t>
                  </w:r>
                </w:p>
              </w:tc>
              <w:tc>
                <w:tcPr>
                  <w:tcW w:w="795" w:type="dxa"/>
                  <w:shd w:val="clear" w:color="auto" w:fill="auto"/>
                  <w:noWrap w:val="0"/>
                  <w:vAlign w:val="center"/>
                </w:tcPr>
                <w:p w14:paraId="4B65F955">
                  <w:pPr>
                    <w:keepNext w:val="0"/>
                    <w:keepLines w:val="0"/>
                    <w:pageBreakBefore w:val="0"/>
                    <w:widowControl w:val="0"/>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000000" w:themeColor="text1"/>
                      <w:spacing w:val="0"/>
                      <w:sz w:val="21"/>
                      <w:szCs w:val="21"/>
                      <w:highlight w:val="none"/>
                      <w:shd w:val="clear" w:color="auto" w:fill="FFFFFF"/>
                      <w:vertAlign w:val="baseline"/>
                      <w:lang w:val="en-US" w:eastAsia="zh-CN"/>
                      <w14:textFill>
                        <w14:solidFill>
                          <w14:schemeClr w14:val="tx1"/>
                        </w14:solidFill>
                      </w14:textFill>
                    </w:rPr>
                  </w:pPr>
                  <w:r>
                    <w:rPr>
                      <w:rFonts w:hint="eastAsia" w:ascii="Times New Roman" w:hAnsi="Times New Roman" w:eastAsia="宋体" w:cs="Times New Roman"/>
                      <w:b w:val="0"/>
                      <w:bCs w:val="0"/>
                      <w:i w:val="0"/>
                      <w:caps w:val="0"/>
                      <w:color w:val="000000" w:themeColor="text1"/>
                      <w:spacing w:val="0"/>
                      <w:sz w:val="21"/>
                      <w:szCs w:val="21"/>
                      <w:highlight w:val="none"/>
                      <w:shd w:val="clear" w:color="auto" w:fill="FFFFFF"/>
                      <w:vertAlign w:val="baseline"/>
                      <w:lang w:val="en-US" w:eastAsia="zh-CN"/>
                      <w14:textFill>
                        <w14:solidFill>
                          <w14:schemeClr w14:val="tx1"/>
                        </w14:solidFill>
                      </w14:textFill>
                    </w:rPr>
                    <w:t>31.856828</w:t>
                  </w:r>
                </w:p>
              </w:tc>
              <w:tc>
                <w:tcPr>
                  <w:tcW w:w="2404" w:type="dxa"/>
                  <w:vMerge w:val="continue"/>
                  <w:noWrap w:val="0"/>
                  <w:vAlign w:val="center"/>
                </w:tcPr>
                <w:p w14:paraId="26ED2B71">
                  <w:pPr>
                    <w:keepNext w:val="0"/>
                    <w:keepLines w:val="0"/>
                    <w:pageBreakBefore w:val="0"/>
                    <w:widowControl w:val="0"/>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000000" w:themeColor="text1"/>
                      <w:spacing w:val="0"/>
                      <w:sz w:val="21"/>
                      <w:szCs w:val="21"/>
                      <w:highlight w:val="none"/>
                      <w:shd w:val="clear" w:color="auto" w:fill="FFFFFF"/>
                      <w:vertAlign w:val="baseline"/>
                      <w:lang w:val="en-US" w:eastAsia="zh-CN"/>
                      <w14:textFill>
                        <w14:solidFill>
                          <w14:schemeClr w14:val="tx1"/>
                        </w14:solidFill>
                      </w14:textFill>
                    </w:rPr>
                  </w:pPr>
                </w:p>
              </w:tc>
            </w:tr>
          </w:tbl>
          <w:p w14:paraId="45F04D9E">
            <w:pPr>
              <w:adjustRightInd w:val="0"/>
              <w:snapToGrid w:val="0"/>
              <w:spacing w:line="360" w:lineRule="auto"/>
              <w:ind w:firstLine="482" w:firstLineChars="200"/>
              <w:rPr>
                <w:rFonts w:ascii="Times New Roman" w:hAnsi="Times New Roman"/>
                <w:b/>
                <w:bCs/>
                <w:color w:val="000000" w:themeColor="text1"/>
                <w:kern w:val="0"/>
                <w:sz w:val="24"/>
                <w:highlight w:val="none"/>
                <w14:textFill>
                  <w14:solidFill>
                    <w14:schemeClr w14:val="tx1"/>
                  </w14:solidFill>
                </w14:textFill>
              </w:rPr>
            </w:pPr>
            <w:r>
              <w:rPr>
                <w:rFonts w:hint="eastAsia" w:ascii="Times New Roman" w:hAnsi="Times New Roman"/>
                <w:b/>
                <w:bCs/>
                <w:color w:val="000000" w:themeColor="text1"/>
                <w:sz w:val="24"/>
                <w:highlight w:val="none"/>
                <w:lang w:val="en-US" w:eastAsia="zh-CN"/>
                <w14:textFill>
                  <w14:solidFill>
                    <w14:schemeClr w14:val="tx1"/>
                  </w14:solidFill>
                </w14:textFill>
              </w:rPr>
              <w:t>（3）</w:t>
            </w:r>
            <w:r>
              <w:rPr>
                <w:rFonts w:hint="eastAsia" w:ascii="Times New Roman" w:hAnsi="Times New Roman"/>
                <w:b/>
                <w:bCs/>
                <w:color w:val="000000" w:themeColor="text1"/>
                <w:sz w:val="24"/>
                <w:highlight w:val="none"/>
                <w14:textFill>
                  <w14:solidFill>
                    <w14:schemeClr w14:val="tx1"/>
                  </w14:solidFill>
                </w14:textFill>
              </w:rPr>
              <w:t>治理措施可行性</w:t>
            </w:r>
          </w:p>
          <w:p w14:paraId="1678437F">
            <w:pPr>
              <w:pStyle w:val="208"/>
              <w:shd w:val="clear"/>
              <w:ind w:firstLine="480" w:firstLineChars="200"/>
              <w:rPr>
                <w:rFonts w:hint="default" w:ascii="Times New Roman" w:hAnsi="Times New Roman" w:eastAsia="宋体" w:cs="Times New Roman"/>
                <w:color w:val="000000" w:themeColor="text1"/>
                <w:kern w:val="0"/>
                <w:sz w:val="24"/>
                <w:szCs w:val="24"/>
                <w:shd w:val="clear"/>
                <w:lang w:val="en-US" w:eastAsia="zh-CN" w:bidi="ar"/>
                <w14:textFill>
                  <w14:solidFill>
                    <w14:schemeClr w14:val="tx1"/>
                  </w14:solidFill>
                </w14:textFill>
              </w:rPr>
            </w:pPr>
            <w:r>
              <w:rPr>
                <w:rFonts w:hint="eastAsia" w:ascii="Times New Roman" w:hAnsi="Times New Roman"/>
                <w:color w:val="000000" w:themeColor="text1"/>
                <w:highlight w:val="none"/>
                <w:shd w:val="clear"/>
                <w14:textFill>
                  <w14:solidFill>
                    <w14:schemeClr w14:val="tx1"/>
                  </w14:solidFill>
                </w14:textFill>
              </w:rPr>
              <w:t>参照《</w:t>
            </w:r>
            <w:r>
              <w:rPr>
                <w:rFonts w:hint="default" w:ascii="Times New Roman" w:hAnsi="Times New Roman" w:eastAsia="宋体" w:cs="Times New Roman"/>
                <w:color w:val="000000" w:themeColor="text1"/>
                <w:kern w:val="0"/>
                <w:sz w:val="24"/>
                <w:szCs w:val="24"/>
                <w:shd w:val="clear"/>
                <w:lang w:val="en-US" w:eastAsia="zh-CN" w:bidi="ar"/>
                <w14:textFill>
                  <w14:solidFill>
                    <w14:schemeClr w14:val="tx1"/>
                  </w14:solidFill>
                </w14:textFill>
              </w:rPr>
              <w:t>排污许可证申请与核发技术规范</w:t>
            </w:r>
            <w:r>
              <w:rPr>
                <w:rFonts w:hint="eastAsia" w:cs="Times New Roman"/>
                <w:color w:val="000000" w:themeColor="text1"/>
                <w:kern w:val="0"/>
                <w:sz w:val="24"/>
                <w:szCs w:val="24"/>
                <w:shd w:val="clear"/>
                <w:lang w:val="en-US" w:eastAsia="zh-CN" w:bidi="ar"/>
                <w14:textFill>
                  <w14:solidFill>
                    <w14:schemeClr w14:val="tx1"/>
                  </w14:solidFill>
                </w14:textFill>
              </w:rPr>
              <w:t xml:space="preserve"> </w:t>
            </w:r>
            <w:r>
              <w:rPr>
                <w:rFonts w:hint="default" w:ascii="Times New Roman" w:hAnsi="Times New Roman" w:eastAsia="宋体" w:cs="Times New Roman"/>
                <w:color w:val="000000" w:themeColor="text1"/>
                <w:kern w:val="0"/>
                <w:sz w:val="24"/>
                <w:szCs w:val="24"/>
                <w:shd w:val="clear"/>
                <w:lang w:val="en-US" w:eastAsia="zh-CN" w:bidi="ar"/>
                <w14:textFill>
                  <w14:solidFill>
                    <w14:schemeClr w14:val="tx1"/>
                  </w14:solidFill>
                </w14:textFill>
              </w:rPr>
              <w:t>电池工业》（HJ967-2018）</w:t>
            </w:r>
            <w:r>
              <w:rPr>
                <w:rFonts w:hint="eastAsia" w:ascii="Times New Roman" w:eastAsia="宋体" w:cs="Times New Roman"/>
                <w:color w:val="000000" w:themeColor="text1"/>
                <w:kern w:val="0"/>
                <w:sz w:val="24"/>
                <w:szCs w:val="24"/>
                <w:shd w:val="clear"/>
                <w:lang w:val="en-US" w:eastAsia="zh-CN" w:bidi="ar"/>
                <w14:textFill>
                  <w14:solidFill>
                    <w14:schemeClr w14:val="tx1"/>
                  </w14:solidFill>
                </w14:textFill>
              </w:rPr>
              <w:t>“表11 锂电池/锂离子电池排污单位废气产污环节名称、污染物种类、排放形式及污染治理设施一览表”，原料系统产生的颗粒物污染治理设施为加强密闭；收集送除尘处理装置处理（旋风除尘、袋式除尘、旋风+袋式除尘）；涂布烘烤产生的NMP挥发废气污染治理设施为NMP回收设备；注液过程中产生的注液废气污染治理设施为废气集中收集+活性炭吸附等。</w:t>
            </w:r>
          </w:p>
          <w:p w14:paraId="3BA3B958">
            <w:pPr>
              <w:pStyle w:val="208"/>
              <w:shd w:val="clear"/>
              <w:ind w:left="0" w:leftChars="0" w:firstLine="0" w:firstLineChars="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color w:val="000000" w:themeColor="text1"/>
                <w14:textFill>
                  <w14:solidFill>
                    <w14:schemeClr w14:val="tx1"/>
                  </w14:solidFill>
                </w14:textFill>
              </w:rPr>
              <w:drawing>
                <wp:inline distT="0" distB="0" distL="114300" distR="114300">
                  <wp:extent cx="5021580" cy="1795780"/>
                  <wp:effectExtent l="0" t="0" r="7620" b="1397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33"/>
                          <a:stretch>
                            <a:fillRect/>
                          </a:stretch>
                        </pic:blipFill>
                        <pic:spPr>
                          <a:xfrm>
                            <a:off x="0" y="0"/>
                            <a:ext cx="5021580" cy="1795780"/>
                          </a:xfrm>
                          <a:prstGeom prst="rect">
                            <a:avLst/>
                          </a:prstGeom>
                          <a:noFill/>
                          <a:ln>
                            <a:noFill/>
                          </a:ln>
                        </pic:spPr>
                      </pic:pic>
                    </a:graphicData>
                  </a:graphic>
                </wp:inline>
              </w:drawing>
            </w:r>
          </w:p>
          <w:p w14:paraId="708E0F74">
            <w:pPr>
              <w:pStyle w:val="208"/>
              <w:shd w:val="clear"/>
              <w:ind w:left="0" w:leftChars="0" w:firstLine="0" w:firstLineChars="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color w:val="000000" w:themeColor="text1"/>
                <w14:textFill>
                  <w14:solidFill>
                    <w14:schemeClr w14:val="tx1"/>
                  </w14:solidFill>
                </w14:textFill>
              </w:rPr>
              <w:drawing>
                <wp:inline distT="0" distB="0" distL="114300" distR="114300">
                  <wp:extent cx="5019040" cy="1147445"/>
                  <wp:effectExtent l="0" t="0" r="10160" b="14605"/>
                  <wp:docPr id="2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9"/>
                          <pic:cNvPicPr>
                            <a:picLocks noChangeAspect="1"/>
                          </pic:cNvPicPr>
                        </pic:nvPicPr>
                        <pic:blipFill>
                          <a:blip r:embed="rId34"/>
                          <a:stretch>
                            <a:fillRect/>
                          </a:stretch>
                        </pic:blipFill>
                        <pic:spPr>
                          <a:xfrm>
                            <a:off x="0" y="0"/>
                            <a:ext cx="5019040" cy="1147445"/>
                          </a:xfrm>
                          <a:prstGeom prst="rect">
                            <a:avLst/>
                          </a:prstGeom>
                          <a:noFill/>
                          <a:ln>
                            <a:noFill/>
                          </a:ln>
                        </pic:spPr>
                      </pic:pic>
                    </a:graphicData>
                  </a:graphic>
                </wp:inline>
              </w:drawing>
            </w:r>
          </w:p>
          <w:p w14:paraId="5372E2FF">
            <w:pPr>
              <w:pStyle w:val="208"/>
              <w:shd w:val="clear"/>
              <w:ind w:firstLine="480" w:firstLineChars="200"/>
              <w:rPr>
                <w:rFonts w:hint="eastAsia" w:ascii="宋体" w:hAnsi="宋体"/>
                <w:color w:val="000000" w:themeColor="text1"/>
                <w:spacing w:val="2"/>
                <w:sz w:val="24"/>
                <w:szCs w:val="24"/>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本项目</w:t>
            </w:r>
            <w:r>
              <w:rPr>
                <w:rFonts w:hint="eastAsia" w:ascii="宋体" w:hAnsi="宋体"/>
                <w:color w:val="000000" w:themeColor="text1"/>
                <w:spacing w:val="2"/>
                <w:sz w:val="24"/>
                <w:szCs w:val="24"/>
                <w14:textFill>
                  <w14:solidFill>
                    <w14:schemeClr w14:val="tx1"/>
                  </w14:solidFill>
                </w14:textFill>
              </w:rPr>
              <w:t>正极、负极</w:t>
            </w:r>
            <w:r>
              <w:rPr>
                <w:rFonts w:hint="eastAsia" w:ascii="宋体" w:hAnsi="宋体"/>
                <w:color w:val="000000" w:themeColor="text1"/>
                <w:spacing w:val="2"/>
                <w:sz w:val="24"/>
                <w:szCs w:val="24"/>
                <w:lang w:val="en-US" w:eastAsia="zh-CN"/>
                <w14:textFill>
                  <w14:solidFill>
                    <w14:schemeClr w14:val="tx1"/>
                  </w14:solidFill>
                </w14:textFill>
              </w:rPr>
              <w:t>投料时，投料间密闭，少量粉尘经设备上方自带滤芯除尘器+车间洁净系统处理，涂布烘干废气</w:t>
            </w:r>
            <w:r>
              <w:rPr>
                <w:rFonts w:hint="default" w:ascii="Times New Roman" w:hAnsi="Times New Roman" w:cs="Times New Roman"/>
                <w:color w:val="000000" w:themeColor="text1"/>
                <w:spacing w:val="2"/>
                <w:sz w:val="24"/>
                <w:szCs w:val="24"/>
                <w:lang w:val="en-US" w:eastAsia="zh-CN"/>
                <w14:textFill>
                  <w14:solidFill>
                    <w14:schemeClr w14:val="tx1"/>
                  </w14:solidFill>
                </w14:textFill>
              </w:rPr>
              <w:t>采用NMP回</w:t>
            </w:r>
            <w:r>
              <w:rPr>
                <w:rFonts w:hint="eastAsia" w:ascii="宋体" w:hAnsi="宋体"/>
                <w:color w:val="000000" w:themeColor="text1"/>
                <w:spacing w:val="2"/>
                <w:sz w:val="24"/>
                <w:szCs w:val="24"/>
                <w:lang w:val="en-US" w:eastAsia="zh-CN"/>
                <w14:textFill>
                  <w14:solidFill>
                    <w14:schemeClr w14:val="tx1"/>
                  </w14:solidFill>
                </w14:textFill>
              </w:rPr>
              <w:t>收装置，电解液注液过程中产生的废气经密闭管道收集后通过二级活性炭处理。</w:t>
            </w:r>
          </w:p>
          <w:p w14:paraId="64765FFA">
            <w:pPr>
              <w:pStyle w:val="208"/>
              <w:shd w:val="clear"/>
              <w:ind w:firstLine="480" w:firstLineChars="200"/>
              <w:rPr>
                <w:rFonts w:hint="eastAsia" w:ascii="Times New Roman" w:hAnsi="Times New Roman" w:eastAsia="宋体" w:cs="Times New Roman"/>
                <w:color w:val="000000" w:themeColor="text1"/>
                <w:kern w:val="0"/>
                <w:sz w:val="24"/>
                <w:szCs w:val="24"/>
                <w:shd w:val="clear"/>
                <w:lang w:val="en-US" w:eastAsia="zh-CN" w:bidi="ar"/>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综上，本项目</w:t>
            </w:r>
            <w:r>
              <w:rPr>
                <w:rFonts w:ascii="宋体" w:hAnsi="宋体" w:eastAsia="宋体" w:cs="宋体"/>
                <w:color w:val="000000" w:themeColor="text1"/>
                <w:sz w:val="24"/>
                <w:szCs w:val="24"/>
                <w14:textFill>
                  <w14:solidFill>
                    <w14:schemeClr w14:val="tx1"/>
                  </w14:solidFill>
                </w14:textFill>
              </w:rPr>
              <w:t>各项废气治理措施</w:t>
            </w:r>
            <w:r>
              <w:rPr>
                <w:rFonts w:hint="eastAsia" w:ascii="宋体" w:hAnsi="宋体" w:eastAsia="宋体" w:cs="宋体"/>
                <w:color w:val="000000" w:themeColor="text1"/>
                <w:sz w:val="24"/>
                <w:szCs w:val="24"/>
                <w:lang w:val="en-US" w:eastAsia="zh-CN"/>
                <w14:textFill>
                  <w14:solidFill>
                    <w14:schemeClr w14:val="tx1"/>
                  </w14:solidFill>
                </w14:textFill>
              </w:rPr>
              <w:t>符合</w:t>
            </w:r>
            <w:r>
              <w:rPr>
                <w:rFonts w:hint="eastAsia" w:ascii="Times New Roman" w:hAnsi="Times New Roman"/>
                <w:color w:val="000000" w:themeColor="text1"/>
                <w:highlight w:val="none"/>
                <w:shd w:val="clear"/>
                <w14:textFill>
                  <w14:solidFill>
                    <w14:schemeClr w14:val="tx1"/>
                  </w14:solidFill>
                </w14:textFill>
              </w:rPr>
              <w:t>《</w:t>
            </w:r>
            <w:r>
              <w:rPr>
                <w:rFonts w:hint="default" w:ascii="Times New Roman" w:hAnsi="Times New Roman" w:eastAsia="宋体" w:cs="Times New Roman"/>
                <w:color w:val="000000" w:themeColor="text1"/>
                <w:kern w:val="0"/>
                <w:sz w:val="24"/>
                <w:szCs w:val="24"/>
                <w:shd w:val="clear"/>
                <w:lang w:val="en-US" w:eastAsia="zh-CN" w:bidi="ar"/>
                <w14:textFill>
                  <w14:solidFill>
                    <w14:schemeClr w14:val="tx1"/>
                  </w14:solidFill>
                </w14:textFill>
              </w:rPr>
              <w:t>排污许可证申请与核发技术规范</w:t>
            </w:r>
            <w:r>
              <w:rPr>
                <w:rFonts w:hint="eastAsia" w:cs="Times New Roman"/>
                <w:color w:val="000000" w:themeColor="text1"/>
                <w:kern w:val="0"/>
                <w:sz w:val="24"/>
                <w:szCs w:val="24"/>
                <w:shd w:val="clear"/>
                <w:lang w:val="en-US" w:eastAsia="zh-CN" w:bidi="ar"/>
                <w14:textFill>
                  <w14:solidFill>
                    <w14:schemeClr w14:val="tx1"/>
                  </w14:solidFill>
                </w14:textFill>
              </w:rPr>
              <w:t xml:space="preserve"> </w:t>
            </w:r>
            <w:r>
              <w:rPr>
                <w:rFonts w:hint="default" w:ascii="Times New Roman" w:hAnsi="Times New Roman" w:eastAsia="宋体" w:cs="Times New Roman"/>
                <w:color w:val="000000" w:themeColor="text1"/>
                <w:kern w:val="0"/>
                <w:sz w:val="24"/>
                <w:szCs w:val="24"/>
                <w:shd w:val="clear"/>
                <w:lang w:val="en-US" w:eastAsia="zh-CN" w:bidi="ar"/>
                <w14:textFill>
                  <w14:solidFill>
                    <w14:schemeClr w14:val="tx1"/>
                  </w14:solidFill>
                </w14:textFill>
              </w:rPr>
              <w:t>电池工业》（HJ967-2018）</w:t>
            </w:r>
            <w:r>
              <w:rPr>
                <w:rFonts w:hint="eastAsia" w:ascii="Times New Roman" w:hAnsi="Times New Roman" w:eastAsia="宋体" w:cs="Times New Roman"/>
                <w:color w:val="000000" w:themeColor="text1"/>
                <w:kern w:val="0"/>
                <w:sz w:val="24"/>
                <w:szCs w:val="24"/>
                <w:shd w:val="clear"/>
                <w:lang w:val="en-US" w:eastAsia="zh-CN" w:bidi="ar"/>
                <w14:textFill>
                  <w14:solidFill>
                    <w14:schemeClr w14:val="tx1"/>
                  </w14:solidFill>
                </w14:textFill>
              </w:rPr>
              <w:t>相关要求，故废气治理措施可行。</w:t>
            </w:r>
          </w:p>
          <w:p w14:paraId="10904201">
            <w:pPr>
              <w:pStyle w:val="208"/>
              <w:shd w:val="clear"/>
              <w:ind w:firstLine="482" w:firstLineChars="200"/>
              <w:rPr>
                <w:rFonts w:hint="eastAsia" w:ascii="Times New Roman" w:hAnsi="Times New Roman" w:eastAsia="宋体" w:cs="Times New Roman"/>
                <w:color w:val="000000" w:themeColor="text1"/>
                <w:kern w:val="0"/>
                <w:sz w:val="24"/>
                <w:szCs w:val="24"/>
                <w:shd w:val="clear"/>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4"/>
                <w:szCs w:val="24"/>
                <w:shd w:val="clear"/>
                <w:lang w:val="en-US" w:eastAsia="zh-CN" w:bidi="ar"/>
                <w14:textFill>
                  <w14:solidFill>
                    <w14:schemeClr w14:val="tx1"/>
                  </w14:solidFill>
                </w14:textFill>
              </w:rPr>
              <w:t>滤芯除尘器原理：</w:t>
            </w:r>
            <w:r>
              <w:rPr>
                <w:rFonts w:hint="eastAsia" w:ascii="Times New Roman" w:hAnsi="Times New Roman" w:eastAsia="宋体" w:cs="Times New Roman"/>
                <w:color w:val="000000" w:themeColor="text1"/>
                <w:kern w:val="0"/>
                <w:sz w:val="24"/>
                <w:szCs w:val="24"/>
                <w:shd w:val="clear"/>
                <w:lang w:val="en-US" w:eastAsia="zh-CN" w:bidi="ar"/>
                <w14:textFill>
                  <w14:solidFill>
                    <w14:schemeClr w14:val="tx1"/>
                  </w14:solidFill>
                </w14:textFill>
              </w:rPr>
              <w:t>含尘气流在风机负压作用下进入设备，粉尘被滤芯拦截附着，洁净气体穿透滤芯排出；积累粉尘通过脉冲气流反向吹扫脱落回落收集。</w:t>
            </w:r>
          </w:p>
          <w:p w14:paraId="689E9A7F">
            <w:pPr>
              <w:snapToGrid w:val="0"/>
              <w:spacing w:line="360" w:lineRule="auto"/>
              <w:ind w:firstLine="482" w:firstLineChars="200"/>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b/>
                <w:bCs/>
                <w:snapToGrid w:val="0"/>
                <w:color w:val="000000" w:themeColor="text1"/>
                <w:kern w:val="0"/>
                <w:sz w:val="24"/>
                <w:highlight w:val="none"/>
                <w:lang w:val="en-US" w:eastAsia="zh-CN"/>
                <w14:textFill>
                  <w14:solidFill>
                    <w14:schemeClr w14:val="tx1"/>
                  </w14:solidFill>
                </w14:textFill>
              </w:rPr>
              <w:t>活性炭吸附原理</w:t>
            </w: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活性炭吸附是一种对有机废气较为成熟的处理工艺，由于活性炭固体表面上存在着未平衡和未饱和的分子引力或化学键力，因此当固体表面与气体接触时，就能吸引气体分子，使其凝聚并保持在固体表面，利用固体表面的吸附能力，使废气与大表面的多孔性固体物质相接触，废气中的污染物被吸附在固体表面上，使其与气体混合物分离，达到净化目的。</w:t>
            </w:r>
          </w:p>
          <w:p w14:paraId="544AD0A2">
            <w:pPr>
              <w:snapToGrid w:val="0"/>
              <w:spacing w:line="360" w:lineRule="auto"/>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3610610" cy="1834515"/>
                  <wp:effectExtent l="0" t="0" r="8890" b="13335"/>
                  <wp:docPr id="2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0"/>
                          <pic:cNvPicPr>
                            <a:picLocks noChangeAspect="1"/>
                          </pic:cNvPicPr>
                        </pic:nvPicPr>
                        <pic:blipFill>
                          <a:blip r:embed="rId35"/>
                          <a:stretch>
                            <a:fillRect/>
                          </a:stretch>
                        </pic:blipFill>
                        <pic:spPr>
                          <a:xfrm>
                            <a:off x="0" y="0"/>
                            <a:ext cx="3610610" cy="1834515"/>
                          </a:xfrm>
                          <a:prstGeom prst="rect">
                            <a:avLst/>
                          </a:prstGeom>
                          <a:noFill/>
                          <a:ln>
                            <a:noFill/>
                          </a:ln>
                        </pic:spPr>
                      </pic:pic>
                    </a:graphicData>
                  </a:graphic>
                </wp:inline>
              </w:drawing>
            </w:r>
          </w:p>
          <w:p w14:paraId="1443500A">
            <w:pPr>
              <w:jc w:val="center"/>
              <w:rPr>
                <w:rFonts w:hint="default" w:eastAsia="宋体"/>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图4-1 活性炭吸附装置示意图</w:t>
            </w:r>
          </w:p>
          <w:p w14:paraId="3B7D2B1E">
            <w:pPr>
              <w:snapToGrid w:val="0"/>
              <w:spacing w:line="360" w:lineRule="auto"/>
              <w:ind w:firstLine="480" w:firstLineChars="200"/>
              <w:rPr>
                <w:rFonts w:hint="default"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①吸附装置横截面积及吸附风速</w:t>
            </w:r>
          </w:p>
          <w:p w14:paraId="2282DF79">
            <w:pPr>
              <w:snapToGrid w:val="0"/>
              <w:spacing w:line="360" w:lineRule="auto"/>
              <w:ind w:firstLine="480" w:firstLineChars="200"/>
              <w:rPr>
                <w:rFonts w:hint="eastAsia" w:ascii="Times New Roman" w:hAnsi="Times New Roman" w:eastAsia="宋体" w:cs="Times New Roman"/>
                <w:b/>
                <w:bCs/>
                <w:snapToGrid w:val="0"/>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本次评价建议建设单位选用碘值不低于800mg/g的颗粒状活性炭，参考《四川省挥发性有机物治理之活性炭使用管理常见问题工具书》，采用颗粒状活性炭吸附剂时，气体流速宜低于0.6m/s，根据本项目</w:t>
            </w:r>
            <w:r>
              <w:rPr>
                <w:rFonts w:hint="eastAsia" w:cs="Times New Roman"/>
                <w:snapToGrid w:val="0"/>
                <w:color w:val="000000" w:themeColor="text1"/>
                <w:kern w:val="0"/>
                <w:sz w:val="24"/>
                <w:highlight w:val="none"/>
                <w:lang w:val="en-US" w:eastAsia="zh-CN"/>
                <w14:textFill>
                  <w14:solidFill>
                    <w14:schemeClr w14:val="tx1"/>
                  </w14:solidFill>
                </w14:textFill>
              </w:rPr>
              <w:t>二级活性炭吸附装置</w:t>
            </w: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风量（</w:t>
            </w:r>
            <w:r>
              <w:rPr>
                <w:rFonts w:hint="eastAsia" w:cs="Times New Roman"/>
                <w:snapToGrid w:val="0"/>
                <w:color w:val="000000" w:themeColor="text1"/>
                <w:kern w:val="0"/>
                <w:sz w:val="24"/>
                <w:highlight w:val="none"/>
                <w:lang w:val="en-US" w:eastAsia="zh-CN"/>
                <w14:textFill>
                  <w14:solidFill>
                    <w14:schemeClr w14:val="tx1"/>
                  </w14:solidFill>
                </w14:textFill>
              </w:rPr>
              <w:t>6</w:t>
            </w: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000m</w:t>
            </w:r>
            <w:r>
              <w:rPr>
                <w:rFonts w:hint="eastAsia" w:ascii="Times New Roman" w:hAnsi="Times New Roman" w:eastAsia="宋体" w:cs="Times New Roman"/>
                <w:snapToGrid w:val="0"/>
                <w:color w:val="000000" w:themeColor="text1"/>
                <w:kern w:val="0"/>
                <w:sz w:val="24"/>
                <w:highlight w:val="none"/>
                <w:vertAlign w:val="superscript"/>
                <w:lang w:val="en-US" w:eastAsia="zh-CN"/>
                <w14:textFill>
                  <w14:solidFill>
                    <w14:schemeClr w14:val="tx1"/>
                  </w14:solidFill>
                </w14:textFill>
              </w:rPr>
              <w:t>3</w:t>
            </w: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/h），核算出活性炭吸附装置横截面积需不低于</w:t>
            </w:r>
            <w:r>
              <w:rPr>
                <w:rFonts w:hint="eastAsia" w:cs="Times New Roman"/>
                <w:snapToGrid w:val="0"/>
                <w:color w:val="000000" w:themeColor="text1"/>
                <w:kern w:val="0"/>
                <w:sz w:val="24"/>
                <w:highlight w:val="none"/>
                <w:lang w:val="en-US" w:eastAsia="zh-CN"/>
                <w14:textFill>
                  <w14:solidFill>
                    <w14:schemeClr w14:val="tx1"/>
                  </w14:solidFill>
                </w14:textFill>
              </w:rPr>
              <w:t>6</w:t>
            </w: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000m</w:t>
            </w:r>
            <w:r>
              <w:rPr>
                <w:rFonts w:hint="eastAsia" w:ascii="Times New Roman" w:hAnsi="Times New Roman" w:eastAsia="宋体" w:cs="Times New Roman"/>
                <w:snapToGrid w:val="0"/>
                <w:color w:val="000000" w:themeColor="text1"/>
                <w:kern w:val="0"/>
                <w:sz w:val="24"/>
                <w:highlight w:val="none"/>
                <w:vertAlign w:val="superscript"/>
                <w:lang w:val="en-US" w:eastAsia="zh-CN"/>
                <w14:textFill>
                  <w14:solidFill>
                    <w14:schemeClr w14:val="tx1"/>
                  </w14:solidFill>
                </w14:textFill>
              </w:rPr>
              <w:t>3</w:t>
            </w: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/h/3600s/0.6m/s≈</w:t>
            </w:r>
            <w:r>
              <w:rPr>
                <w:rFonts w:hint="eastAsia" w:cs="Times New Roman"/>
                <w:snapToGrid w:val="0"/>
                <w:color w:val="000000" w:themeColor="text1"/>
                <w:kern w:val="0"/>
                <w:sz w:val="24"/>
                <w:highlight w:val="none"/>
                <w:lang w:val="en-US" w:eastAsia="zh-CN"/>
                <w14:textFill>
                  <w14:solidFill>
                    <w14:schemeClr w14:val="tx1"/>
                  </w14:solidFill>
                </w14:textFill>
              </w:rPr>
              <w:t>2.78</w:t>
            </w: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m</w:t>
            </w:r>
            <w:r>
              <w:rPr>
                <w:rFonts w:hint="eastAsia" w:ascii="Times New Roman" w:hAnsi="Times New Roman" w:eastAsia="宋体" w:cs="Times New Roman"/>
                <w:snapToGrid w:val="0"/>
                <w:color w:val="000000" w:themeColor="text1"/>
                <w:kern w:val="0"/>
                <w:sz w:val="24"/>
                <w:highlight w:val="none"/>
                <w:vertAlign w:val="superscript"/>
                <w:lang w:val="en-US" w:eastAsia="zh-CN"/>
                <w14:textFill>
                  <w14:solidFill>
                    <w14:schemeClr w14:val="tx1"/>
                  </w14:solidFill>
                </w14:textFill>
              </w:rPr>
              <w:t>2</w:t>
            </w:r>
            <w:r>
              <w:rPr>
                <w:rFonts w:hint="eastAsia" w:cs="Times New Roman"/>
                <w:snapToGrid w:val="0"/>
                <w:color w:val="000000" w:themeColor="text1"/>
                <w:kern w:val="0"/>
                <w:sz w:val="24"/>
                <w:highlight w:val="none"/>
                <w:vertAlign w:val="baseline"/>
                <w:lang w:val="en-US" w:eastAsia="zh-CN"/>
                <w14:textFill>
                  <w14:solidFill>
                    <w14:schemeClr w14:val="tx1"/>
                  </w14:solidFill>
                </w14:textFill>
              </w:rPr>
              <w:t>，活性炭吸附装置风量（</w:t>
            </w:r>
            <w:r>
              <w:rPr>
                <w:rFonts w:hint="eastAsia" w:cs="Times New Roman"/>
                <w:snapToGrid w:val="0"/>
                <w:color w:val="000000" w:themeColor="text1"/>
                <w:kern w:val="0"/>
                <w:sz w:val="24"/>
                <w:highlight w:val="none"/>
                <w:lang w:val="en-US" w:eastAsia="zh-CN"/>
                <w14:textFill>
                  <w14:solidFill>
                    <w14:schemeClr w14:val="tx1"/>
                  </w14:solidFill>
                </w14:textFill>
              </w:rPr>
              <w:t>9</w:t>
            </w: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000m</w:t>
            </w:r>
            <w:r>
              <w:rPr>
                <w:rFonts w:hint="eastAsia" w:ascii="Times New Roman" w:hAnsi="Times New Roman" w:eastAsia="宋体" w:cs="Times New Roman"/>
                <w:snapToGrid w:val="0"/>
                <w:color w:val="000000" w:themeColor="text1"/>
                <w:kern w:val="0"/>
                <w:sz w:val="24"/>
                <w:highlight w:val="none"/>
                <w:vertAlign w:val="superscript"/>
                <w:lang w:val="en-US" w:eastAsia="zh-CN"/>
                <w14:textFill>
                  <w14:solidFill>
                    <w14:schemeClr w14:val="tx1"/>
                  </w14:solidFill>
                </w14:textFill>
              </w:rPr>
              <w:t>3</w:t>
            </w: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/h</w:t>
            </w:r>
            <w:r>
              <w:rPr>
                <w:rFonts w:hint="eastAsia" w:cs="Times New Roman"/>
                <w:snapToGrid w:val="0"/>
                <w:color w:val="000000" w:themeColor="text1"/>
                <w:kern w:val="0"/>
                <w:sz w:val="24"/>
                <w:highlight w:val="none"/>
                <w:vertAlign w:val="baseline"/>
                <w:lang w:val="en-US" w:eastAsia="zh-CN"/>
                <w14:textFill>
                  <w14:solidFill>
                    <w14:schemeClr w14:val="tx1"/>
                  </w14:solidFill>
                </w14:textFill>
              </w:rPr>
              <w:t>）</w:t>
            </w: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核算出活性炭吸附装置横截面积需不低于</w:t>
            </w:r>
            <w:r>
              <w:rPr>
                <w:rFonts w:hint="eastAsia" w:cs="Times New Roman"/>
                <w:snapToGrid w:val="0"/>
                <w:color w:val="000000" w:themeColor="text1"/>
                <w:kern w:val="0"/>
                <w:sz w:val="24"/>
                <w:highlight w:val="none"/>
                <w:lang w:val="en-US" w:eastAsia="zh-CN"/>
                <w14:textFill>
                  <w14:solidFill>
                    <w14:schemeClr w14:val="tx1"/>
                  </w14:solidFill>
                </w14:textFill>
              </w:rPr>
              <w:t>9</w:t>
            </w: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000m</w:t>
            </w:r>
            <w:r>
              <w:rPr>
                <w:rFonts w:hint="eastAsia" w:ascii="Times New Roman" w:hAnsi="Times New Roman" w:eastAsia="宋体" w:cs="Times New Roman"/>
                <w:snapToGrid w:val="0"/>
                <w:color w:val="000000" w:themeColor="text1"/>
                <w:kern w:val="0"/>
                <w:sz w:val="24"/>
                <w:highlight w:val="none"/>
                <w:vertAlign w:val="superscript"/>
                <w:lang w:val="en-US" w:eastAsia="zh-CN"/>
                <w14:textFill>
                  <w14:solidFill>
                    <w14:schemeClr w14:val="tx1"/>
                  </w14:solidFill>
                </w14:textFill>
              </w:rPr>
              <w:t>3</w:t>
            </w: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/h/3600s/0.6m/s≈</w:t>
            </w:r>
            <w:r>
              <w:rPr>
                <w:rFonts w:hint="eastAsia" w:cs="Times New Roman"/>
                <w:snapToGrid w:val="0"/>
                <w:color w:val="000000" w:themeColor="text1"/>
                <w:kern w:val="0"/>
                <w:sz w:val="24"/>
                <w:highlight w:val="none"/>
                <w:lang w:val="en-US" w:eastAsia="zh-CN"/>
                <w14:textFill>
                  <w14:solidFill>
                    <w14:schemeClr w14:val="tx1"/>
                  </w14:solidFill>
                </w14:textFill>
              </w:rPr>
              <w:t>6.2</w:t>
            </w: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m</w:t>
            </w:r>
            <w:r>
              <w:rPr>
                <w:rFonts w:hint="eastAsia" w:ascii="Times New Roman" w:hAnsi="Times New Roman" w:eastAsia="宋体" w:cs="Times New Roman"/>
                <w:snapToGrid w:val="0"/>
                <w:color w:val="000000" w:themeColor="text1"/>
                <w:kern w:val="0"/>
                <w:sz w:val="24"/>
                <w:highlight w:val="none"/>
                <w:vertAlign w:val="superscript"/>
                <w:lang w:val="en-US" w:eastAsia="zh-CN"/>
                <w14:textFill>
                  <w14:solidFill>
                    <w14:schemeClr w14:val="tx1"/>
                  </w14:solidFill>
                </w14:textFill>
              </w:rPr>
              <w:t>2</w:t>
            </w: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w:t>
            </w:r>
          </w:p>
          <w:p w14:paraId="51265E42">
            <w:pPr>
              <w:snapToGrid w:val="0"/>
              <w:spacing w:line="360" w:lineRule="auto"/>
              <w:ind w:firstLine="480" w:firstLineChars="200"/>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②活性炭装填量</w:t>
            </w:r>
          </w:p>
          <w:p w14:paraId="52948207">
            <w:pPr>
              <w:snapToGrid w:val="0"/>
              <w:spacing w:line="360" w:lineRule="auto"/>
              <w:ind w:firstLine="480" w:firstLineChars="200"/>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根据《四川省挥发性有机物治理之活性炭使用管理常见问题工具书》</w:t>
            </w:r>
            <w:r>
              <w:rPr>
                <w:rFonts w:hint="eastAsia" w:cs="Times New Roman"/>
                <w:snapToGrid w:val="0"/>
                <w:color w:val="000000" w:themeColor="text1"/>
                <w:kern w:val="0"/>
                <w:sz w:val="24"/>
                <w:highlight w:val="none"/>
                <w:lang w:val="en-US" w:eastAsia="zh-CN"/>
                <w14:textFill>
                  <w14:solidFill>
                    <w14:schemeClr w14:val="tx1"/>
                  </w14:solidFill>
                </w14:textFill>
              </w:rPr>
              <w:t>表1 废气收集参数和最少活性炭装填量参考表，项目活性炭吸附装置需活性炭8t</w:t>
            </w: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。本次评价要求建设单位活性炭累计使用</w:t>
            </w:r>
            <w:r>
              <w:rPr>
                <w:rFonts w:hint="eastAsia" w:cs="Times New Roman"/>
                <w:snapToGrid w:val="0"/>
                <w:color w:val="000000" w:themeColor="text1"/>
                <w:kern w:val="0"/>
                <w:sz w:val="24"/>
                <w:highlight w:val="none"/>
                <w:lang w:val="en-US" w:eastAsia="zh-CN"/>
                <w14:textFill>
                  <w14:solidFill>
                    <w14:schemeClr w14:val="tx1"/>
                  </w14:solidFill>
                </w14:textFill>
              </w:rPr>
              <w:t>3个月</w:t>
            </w: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后更换1次</w:t>
            </w:r>
            <w:r>
              <w:rPr>
                <w:rFonts w:hint="eastAsia" w:cs="Times New Roman"/>
                <w:snapToGrid w:val="0"/>
                <w:color w:val="000000" w:themeColor="text1"/>
                <w:kern w:val="0"/>
                <w:sz w:val="24"/>
                <w:highlight w:val="none"/>
                <w:lang w:val="en-US" w:eastAsia="zh-CN"/>
                <w14:textFill>
                  <w14:solidFill>
                    <w14:schemeClr w14:val="tx1"/>
                  </w14:solidFill>
                </w14:textFill>
              </w:rPr>
              <w:t>，一年更换4次</w:t>
            </w: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w:t>
            </w:r>
          </w:p>
          <w:p w14:paraId="3380ED54">
            <w:pPr>
              <w:snapToGrid w:val="0"/>
              <w:spacing w:line="360" w:lineRule="auto"/>
              <w:ind w:firstLine="480" w:firstLineChars="200"/>
              <w:rPr>
                <w:rFonts w:hint="default"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③活性炭吸附装置主要设计参数</w:t>
            </w:r>
          </w:p>
          <w:p w14:paraId="36A46444">
            <w:pPr>
              <w:snapToGrid w:val="0"/>
              <w:spacing w:line="360" w:lineRule="auto"/>
              <w:ind w:firstLine="480" w:firstLineChars="200"/>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二级活性炭吸附装置设计参数下表。</w:t>
            </w:r>
          </w:p>
          <w:p w14:paraId="214A6DBC">
            <w:pPr>
              <w:pStyle w:val="27"/>
              <w:keepNext w:val="0"/>
              <w:keepLines w:val="0"/>
              <w:pageBreakBefore w:val="0"/>
              <w:widowControl w:val="0"/>
              <w:kinsoku/>
              <w:wordWrap/>
              <w:overflowPunct/>
              <w:topLinePunct w:val="0"/>
              <w:autoSpaceDE/>
              <w:autoSpaceDN/>
              <w:bidi w:val="0"/>
              <w:adjustRightInd w:val="0"/>
              <w:snapToGrid w:val="0"/>
              <w:spacing w:after="0" w:line="240" w:lineRule="auto"/>
              <w:ind w:left="0" w:leftChars="0" w:firstLine="422" w:firstLineChars="200"/>
              <w:jc w:val="center"/>
              <w:textAlignment w:val="center"/>
              <w:rPr>
                <w:rFonts w:hint="eastAsia" w:ascii="Times New Roman" w:hAnsi="Times New Roman" w:eastAsia="宋体" w:cs="Times New Roman"/>
                <w:b/>
                <w:bCs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bCs w:val="0"/>
                <w:snapToGrid w:val="0"/>
                <w:color w:val="000000" w:themeColor="text1"/>
                <w:kern w:val="0"/>
                <w:sz w:val="21"/>
                <w:szCs w:val="21"/>
                <w:highlight w:val="none"/>
                <w:lang w:val="en-US" w:eastAsia="zh-CN"/>
                <w14:textFill>
                  <w14:solidFill>
                    <w14:schemeClr w14:val="tx1"/>
                  </w14:solidFill>
                </w14:textFill>
              </w:rPr>
              <w:t>表4-</w:t>
            </w:r>
            <w:r>
              <w:rPr>
                <w:rFonts w:hint="eastAsia" w:cs="Times New Roman"/>
                <w:b/>
                <w:bCs w:val="0"/>
                <w:snapToGrid w:val="0"/>
                <w:color w:val="000000" w:themeColor="text1"/>
                <w:kern w:val="0"/>
                <w:sz w:val="21"/>
                <w:szCs w:val="21"/>
                <w:highlight w:val="none"/>
                <w:lang w:val="en-US" w:eastAsia="zh-CN"/>
                <w14:textFill>
                  <w14:solidFill>
                    <w14:schemeClr w14:val="tx1"/>
                  </w14:solidFill>
                </w14:textFill>
              </w:rPr>
              <w:t>6</w:t>
            </w:r>
            <w:r>
              <w:rPr>
                <w:rFonts w:hint="eastAsia" w:ascii="Times New Roman" w:hAnsi="Times New Roman" w:eastAsia="宋体" w:cs="Times New Roman"/>
                <w:b/>
                <w:bCs w:val="0"/>
                <w:snapToGrid w:val="0"/>
                <w:color w:val="000000" w:themeColor="text1"/>
                <w:kern w:val="0"/>
                <w:sz w:val="21"/>
                <w:szCs w:val="21"/>
                <w:highlight w:val="none"/>
                <w:lang w:val="en-US" w:eastAsia="zh-CN"/>
                <w14:textFill>
                  <w14:solidFill>
                    <w14:schemeClr w14:val="tx1"/>
                  </w14:solidFill>
                </w14:textFill>
              </w:rPr>
              <w:t xml:space="preserve"> 活性炭吸附装置设计参数表</w:t>
            </w:r>
          </w:p>
          <w:tbl>
            <w:tblPr>
              <w:tblStyle w:val="42"/>
              <w:tblW w:w="7892" w:type="dxa"/>
              <w:tblInd w:w="5"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177"/>
              <w:gridCol w:w="1995"/>
              <w:gridCol w:w="1860"/>
              <w:gridCol w:w="1860"/>
            </w:tblGrid>
            <w:tr w14:paraId="7708CC3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2177" w:type="dxa"/>
                  <w:vMerge w:val="restart"/>
                  <w:noWrap w:val="0"/>
                  <w:vAlign w:val="center"/>
                </w:tcPr>
                <w:p w14:paraId="1A25A6CB">
                  <w:pPr>
                    <w:jc w:val="center"/>
                    <w:rPr>
                      <w:rFonts w:hint="default" w:ascii="Times New Roman" w:hAnsi="Times New Roman" w:eastAsia="宋体" w:cs="Times New Roman"/>
                      <w:b/>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bCs w:val="0"/>
                      <w:color w:val="000000" w:themeColor="text1"/>
                      <w:sz w:val="21"/>
                      <w:szCs w:val="21"/>
                      <w:highlight w:val="none"/>
                      <w:vertAlign w:val="baseline"/>
                      <w:lang w:val="en-US" w:eastAsia="zh-CN"/>
                      <w14:textFill>
                        <w14:solidFill>
                          <w14:schemeClr w14:val="tx1"/>
                        </w14:solidFill>
                      </w14:textFill>
                    </w:rPr>
                    <w:t>指标</w:t>
                  </w:r>
                </w:p>
              </w:tc>
              <w:tc>
                <w:tcPr>
                  <w:tcW w:w="3855" w:type="dxa"/>
                  <w:gridSpan w:val="2"/>
                  <w:noWrap w:val="0"/>
                  <w:vAlign w:val="center"/>
                </w:tcPr>
                <w:p w14:paraId="58F86DB7">
                  <w:pPr>
                    <w:jc w:val="center"/>
                    <w:rPr>
                      <w:rFonts w:hint="default" w:ascii="Times New Roman" w:hAnsi="Times New Roman" w:eastAsia="宋体" w:cs="Times New Roman"/>
                      <w:b/>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bCs w:val="0"/>
                      <w:color w:val="000000" w:themeColor="text1"/>
                      <w:sz w:val="21"/>
                      <w:szCs w:val="21"/>
                      <w:highlight w:val="none"/>
                      <w:vertAlign w:val="baseline"/>
                      <w:lang w:val="en-US" w:eastAsia="zh-CN"/>
                      <w14:textFill>
                        <w14:solidFill>
                          <w14:schemeClr w14:val="tx1"/>
                        </w14:solidFill>
                      </w14:textFill>
                    </w:rPr>
                    <w:t>二级活性炭</w:t>
                  </w:r>
                </w:p>
              </w:tc>
              <w:tc>
                <w:tcPr>
                  <w:tcW w:w="1860" w:type="dxa"/>
                  <w:noWrap w:val="0"/>
                  <w:vAlign w:val="center"/>
                </w:tcPr>
                <w:p w14:paraId="2670F21D">
                  <w:pPr>
                    <w:jc w:val="center"/>
                    <w:rPr>
                      <w:rFonts w:hint="default" w:ascii="Times New Roman" w:hAnsi="Times New Roman" w:eastAsia="宋体" w:cs="Times New Roman"/>
                      <w:b/>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bCs w:val="0"/>
                      <w:color w:val="000000" w:themeColor="text1"/>
                      <w:sz w:val="21"/>
                      <w:szCs w:val="21"/>
                      <w:highlight w:val="none"/>
                      <w:vertAlign w:val="baseline"/>
                      <w:lang w:val="en-US" w:eastAsia="zh-CN"/>
                      <w14:textFill>
                        <w14:solidFill>
                          <w14:schemeClr w14:val="tx1"/>
                        </w14:solidFill>
                      </w14:textFill>
                    </w:rPr>
                    <w:t>单级活性炭</w:t>
                  </w:r>
                </w:p>
              </w:tc>
            </w:tr>
            <w:tr w14:paraId="6225920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2177" w:type="dxa"/>
                  <w:vMerge w:val="continue"/>
                  <w:noWrap w:val="0"/>
                  <w:vAlign w:val="center"/>
                </w:tcPr>
                <w:p w14:paraId="4BF9B277">
                  <w:pPr>
                    <w:jc w:val="center"/>
                    <w:rPr>
                      <w:rFonts w:hint="default" w:ascii="Times New Roman" w:hAnsi="Times New Roman" w:eastAsia="宋体" w:cs="Times New Roman"/>
                      <w:b/>
                      <w:bCs w:val="0"/>
                      <w:color w:val="000000" w:themeColor="text1"/>
                      <w:sz w:val="21"/>
                      <w:szCs w:val="21"/>
                      <w:highlight w:val="none"/>
                      <w:vertAlign w:val="baseline"/>
                      <w:lang w:val="en-US" w:eastAsia="zh-CN"/>
                      <w14:textFill>
                        <w14:solidFill>
                          <w14:schemeClr w14:val="tx1"/>
                        </w14:solidFill>
                      </w14:textFill>
                    </w:rPr>
                  </w:pPr>
                </w:p>
              </w:tc>
              <w:tc>
                <w:tcPr>
                  <w:tcW w:w="1995" w:type="dxa"/>
                  <w:noWrap w:val="0"/>
                  <w:vAlign w:val="center"/>
                </w:tcPr>
                <w:p w14:paraId="7FD0E29C">
                  <w:pPr>
                    <w:jc w:val="center"/>
                    <w:rPr>
                      <w:rFonts w:hint="default" w:ascii="Times New Roman" w:hAnsi="Times New Roman" w:eastAsia="宋体" w:cs="Times New Roman"/>
                      <w:b/>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bCs w:val="0"/>
                      <w:color w:val="000000" w:themeColor="text1"/>
                      <w:sz w:val="21"/>
                      <w:szCs w:val="21"/>
                      <w:highlight w:val="none"/>
                      <w:vertAlign w:val="baseline"/>
                      <w:lang w:val="en-US" w:eastAsia="zh-CN"/>
                      <w14:textFill>
                        <w14:solidFill>
                          <w14:schemeClr w14:val="tx1"/>
                        </w14:solidFill>
                      </w14:textFill>
                    </w:rPr>
                    <w:t>炭箱1</w:t>
                  </w:r>
                </w:p>
              </w:tc>
              <w:tc>
                <w:tcPr>
                  <w:tcW w:w="1860" w:type="dxa"/>
                  <w:noWrap w:val="0"/>
                  <w:vAlign w:val="center"/>
                </w:tcPr>
                <w:p w14:paraId="77614F87">
                  <w:pPr>
                    <w:jc w:val="center"/>
                    <w:rPr>
                      <w:rFonts w:hint="default" w:ascii="Times New Roman" w:hAnsi="Times New Roman" w:eastAsia="宋体" w:cs="Times New Roman"/>
                      <w:b/>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bCs w:val="0"/>
                      <w:color w:val="000000" w:themeColor="text1"/>
                      <w:sz w:val="21"/>
                      <w:szCs w:val="21"/>
                      <w:highlight w:val="none"/>
                      <w:vertAlign w:val="baseline"/>
                      <w:lang w:val="en-US" w:eastAsia="zh-CN"/>
                      <w14:textFill>
                        <w14:solidFill>
                          <w14:schemeClr w14:val="tx1"/>
                        </w14:solidFill>
                      </w14:textFill>
                    </w:rPr>
                    <w:t>炭箱2</w:t>
                  </w:r>
                </w:p>
              </w:tc>
              <w:tc>
                <w:tcPr>
                  <w:tcW w:w="1860" w:type="dxa"/>
                  <w:noWrap w:val="0"/>
                  <w:vAlign w:val="center"/>
                </w:tcPr>
                <w:p w14:paraId="57ED2FC5">
                  <w:pPr>
                    <w:jc w:val="center"/>
                    <w:rPr>
                      <w:rFonts w:hint="default" w:ascii="Times New Roman" w:hAnsi="Times New Roman" w:eastAsia="宋体" w:cs="Times New Roman"/>
                      <w:b/>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bCs w:val="0"/>
                      <w:color w:val="000000" w:themeColor="text1"/>
                      <w:sz w:val="21"/>
                      <w:szCs w:val="21"/>
                      <w:highlight w:val="none"/>
                      <w:vertAlign w:val="baseline"/>
                      <w:lang w:val="en-US" w:eastAsia="zh-CN"/>
                      <w14:textFill>
                        <w14:solidFill>
                          <w14:schemeClr w14:val="tx1"/>
                        </w14:solidFill>
                      </w14:textFill>
                    </w:rPr>
                    <w:t>炭箱</w:t>
                  </w:r>
                </w:p>
              </w:tc>
            </w:tr>
            <w:tr w14:paraId="0DFBFE0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6" w:hRule="atLeast"/>
              </w:trPr>
              <w:tc>
                <w:tcPr>
                  <w:tcW w:w="2177" w:type="dxa"/>
                  <w:noWrap w:val="0"/>
                  <w:vAlign w:val="center"/>
                </w:tcPr>
                <w:p w14:paraId="2D3FBB98">
                  <w:pPr>
                    <w:jc w:val="cente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风量</w:t>
                  </w:r>
                </w:p>
              </w:tc>
              <w:tc>
                <w:tcPr>
                  <w:tcW w:w="3855" w:type="dxa"/>
                  <w:gridSpan w:val="2"/>
                  <w:noWrap w:val="0"/>
                  <w:vAlign w:val="center"/>
                </w:tcPr>
                <w:p w14:paraId="0BE18E95">
                  <w:pPr>
                    <w:jc w:val="center"/>
                    <w:rPr>
                      <w:rFonts w:hint="default" w:ascii="Times New Roman" w:hAnsi="Times New Roman" w:eastAsia="宋体" w:cs="Times New Roman"/>
                      <w:b/>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color w:val="000000" w:themeColor="text1"/>
                      <w:sz w:val="21"/>
                      <w:szCs w:val="21"/>
                      <w:highlight w:val="none"/>
                      <w:vertAlign w:val="baseline"/>
                      <w:lang w:val="en-US" w:eastAsia="zh-CN"/>
                      <w14:textFill>
                        <w14:solidFill>
                          <w14:schemeClr w14:val="tx1"/>
                        </w14:solidFill>
                      </w14:textFill>
                    </w:rPr>
                    <w:t>6</w:t>
                  </w:r>
                  <w:r>
                    <w:rPr>
                      <w:rFonts w:hint="eastAsia"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000m</w:t>
                  </w:r>
                  <w:r>
                    <w:rPr>
                      <w:rFonts w:hint="eastAsia" w:ascii="Times New Roman" w:hAnsi="Times New Roman" w:eastAsia="宋体" w:cs="Times New Roman"/>
                      <w:b w:val="0"/>
                      <w:bCs/>
                      <w:color w:val="000000" w:themeColor="text1"/>
                      <w:sz w:val="21"/>
                      <w:szCs w:val="21"/>
                      <w:highlight w:val="none"/>
                      <w:vertAlign w:val="superscript"/>
                      <w:lang w:val="en-US" w:eastAsia="zh-CN"/>
                      <w14:textFill>
                        <w14:solidFill>
                          <w14:schemeClr w14:val="tx1"/>
                        </w14:solidFill>
                      </w14:textFill>
                    </w:rPr>
                    <w:t>3</w:t>
                  </w:r>
                  <w:r>
                    <w:rPr>
                      <w:rFonts w:hint="eastAsia"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/h</w:t>
                  </w:r>
                </w:p>
              </w:tc>
              <w:tc>
                <w:tcPr>
                  <w:tcW w:w="1860" w:type="dxa"/>
                  <w:noWrap w:val="0"/>
                  <w:vAlign w:val="center"/>
                </w:tcPr>
                <w:p w14:paraId="10CBDD66">
                  <w:pPr>
                    <w:jc w:val="center"/>
                    <w:rPr>
                      <w:rFonts w:hint="eastAsia"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color w:val="000000" w:themeColor="text1"/>
                      <w:sz w:val="21"/>
                      <w:szCs w:val="21"/>
                      <w:highlight w:val="none"/>
                      <w:vertAlign w:val="baseline"/>
                      <w:lang w:val="en-US" w:eastAsia="zh-CN"/>
                      <w14:textFill>
                        <w14:solidFill>
                          <w14:schemeClr w14:val="tx1"/>
                        </w14:solidFill>
                      </w14:textFill>
                    </w:rPr>
                    <w:t>9</w:t>
                  </w:r>
                  <w:r>
                    <w:rPr>
                      <w:rFonts w:hint="eastAsia"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000m</w:t>
                  </w:r>
                  <w:r>
                    <w:rPr>
                      <w:rFonts w:hint="eastAsia" w:ascii="Times New Roman" w:hAnsi="Times New Roman" w:eastAsia="宋体" w:cs="Times New Roman"/>
                      <w:b w:val="0"/>
                      <w:bCs/>
                      <w:color w:val="000000" w:themeColor="text1"/>
                      <w:sz w:val="21"/>
                      <w:szCs w:val="21"/>
                      <w:highlight w:val="none"/>
                      <w:vertAlign w:val="superscript"/>
                      <w:lang w:val="en-US" w:eastAsia="zh-CN"/>
                      <w14:textFill>
                        <w14:solidFill>
                          <w14:schemeClr w14:val="tx1"/>
                        </w14:solidFill>
                      </w14:textFill>
                    </w:rPr>
                    <w:t>3</w:t>
                  </w:r>
                  <w:r>
                    <w:rPr>
                      <w:rFonts w:hint="eastAsia"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/h</w:t>
                  </w:r>
                </w:p>
              </w:tc>
            </w:tr>
            <w:tr w14:paraId="6B964D1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2177" w:type="dxa"/>
                  <w:noWrap w:val="0"/>
                  <w:vAlign w:val="center"/>
                </w:tcPr>
                <w:p w14:paraId="66AB1012">
                  <w:pPr>
                    <w:jc w:val="cente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活性炭类型</w:t>
                  </w:r>
                </w:p>
              </w:tc>
              <w:tc>
                <w:tcPr>
                  <w:tcW w:w="1995" w:type="dxa"/>
                  <w:noWrap w:val="0"/>
                  <w:vAlign w:val="center"/>
                </w:tcPr>
                <w:p w14:paraId="783656FF">
                  <w:pPr>
                    <w:jc w:val="cente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颗粒状</w:t>
                  </w:r>
                </w:p>
              </w:tc>
              <w:tc>
                <w:tcPr>
                  <w:tcW w:w="1860" w:type="dxa"/>
                  <w:noWrap w:val="0"/>
                  <w:vAlign w:val="center"/>
                </w:tcPr>
                <w:p w14:paraId="13EFD827">
                  <w:pPr>
                    <w:jc w:val="cente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颗粒状</w:t>
                  </w:r>
                </w:p>
              </w:tc>
              <w:tc>
                <w:tcPr>
                  <w:tcW w:w="1860" w:type="dxa"/>
                  <w:noWrap w:val="0"/>
                  <w:vAlign w:val="center"/>
                </w:tcPr>
                <w:p w14:paraId="78BB24AA">
                  <w:pPr>
                    <w:jc w:val="center"/>
                    <w:rPr>
                      <w:rFonts w:hint="eastAsia"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颗粒状</w:t>
                  </w:r>
                </w:p>
              </w:tc>
            </w:tr>
            <w:tr w14:paraId="6ED5CBE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2177" w:type="dxa"/>
                  <w:noWrap w:val="0"/>
                  <w:vAlign w:val="center"/>
                </w:tcPr>
                <w:p w14:paraId="4146C6B4">
                  <w:pPr>
                    <w:jc w:val="cente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活性炭填充量（t）</w:t>
                  </w:r>
                </w:p>
              </w:tc>
              <w:tc>
                <w:tcPr>
                  <w:tcW w:w="1995" w:type="dxa"/>
                  <w:noWrap w:val="0"/>
                  <w:vAlign w:val="center"/>
                </w:tcPr>
                <w:p w14:paraId="4479C48F">
                  <w:pPr>
                    <w:jc w:val="cente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color w:val="000000" w:themeColor="text1"/>
                      <w:sz w:val="21"/>
                      <w:szCs w:val="21"/>
                      <w:highlight w:val="none"/>
                      <w:vertAlign w:val="baseline"/>
                      <w:lang w:val="en-US" w:eastAsia="zh-CN"/>
                      <w14:textFill>
                        <w14:solidFill>
                          <w14:schemeClr w14:val="tx1"/>
                        </w14:solidFill>
                      </w14:textFill>
                    </w:rPr>
                    <w:t>0.5</w:t>
                  </w:r>
                </w:p>
              </w:tc>
              <w:tc>
                <w:tcPr>
                  <w:tcW w:w="1860" w:type="dxa"/>
                  <w:noWrap w:val="0"/>
                  <w:vAlign w:val="center"/>
                </w:tcPr>
                <w:p w14:paraId="5D7067DE">
                  <w:pPr>
                    <w:jc w:val="cente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color w:val="000000" w:themeColor="text1"/>
                      <w:sz w:val="21"/>
                      <w:szCs w:val="21"/>
                      <w:highlight w:val="none"/>
                      <w:vertAlign w:val="baseline"/>
                      <w:lang w:val="en-US" w:eastAsia="zh-CN"/>
                      <w14:textFill>
                        <w14:solidFill>
                          <w14:schemeClr w14:val="tx1"/>
                        </w14:solidFill>
                      </w14:textFill>
                    </w:rPr>
                    <w:t>0.5</w:t>
                  </w:r>
                </w:p>
              </w:tc>
              <w:tc>
                <w:tcPr>
                  <w:tcW w:w="1860" w:type="dxa"/>
                  <w:noWrap w:val="0"/>
                  <w:vAlign w:val="center"/>
                </w:tcPr>
                <w:p w14:paraId="68CAC36D">
                  <w:pPr>
                    <w:jc w:val="cente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color w:val="000000" w:themeColor="text1"/>
                      <w:sz w:val="21"/>
                      <w:szCs w:val="21"/>
                      <w:highlight w:val="none"/>
                      <w:vertAlign w:val="baseline"/>
                      <w:lang w:val="en-US" w:eastAsia="zh-CN"/>
                      <w14:textFill>
                        <w14:solidFill>
                          <w14:schemeClr w14:val="tx1"/>
                        </w14:solidFill>
                      </w14:textFill>
                    </w:rPr>
                    <w:t>1</w:t>
                  </w:r>
                </w:p>
              </w:tc>
            </w:tr>
            <w:tr w14:paraId="5937810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2177" w:type="dxa"/>
                  <w:noWrap w:val="0"/>
                  <w:vAlign w:val="center"/>
                </w:tcPr>
                <w:p w14:paraId="63F51B8D">
                  <w:pPr>
                    <w:jc w:val="cente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活性炭层数</w:t>
                  </w:r>
                </w:p>
              </w:tc>
              <w:tc>
                <w:tcPr>
                  <w:tcW w:w="1995" w:type="dxa"/>
                  <w:noWrap w:val="0"/>
                  <w:vAlign w:val="center"/>
                </w:tcPr>
                <w:p w14:paraId="0340BF28">
                  <w:pPr>
                    <w:jc w:val="cente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2</w:t>
                  </w:r>
                </w:p>
              </w:tc>
              <w:tc>
                <w:tcPr>
                  <w:tcW w:w="1860" w:type="dxa"/>
                  <w:noWrap w:val="0"/>
                  <w:vAlign w:val="center"/>
                </w:tcPr>
                <w:p w14:paraId="46AD4122">
                  <w:pPr>
                    <w:jc w:val="cente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2</w:t>
                  </w:r>
                </w:p>
              </w:tc>
              <w:tc>
                <w:tcPr>
                  <w:tcW w:w="1860" w:type="dxa"/>
                  <w:noWrap w:val="0"/>
                  <w:vAlign w:val="center"/>
                </w:tcPr>
                <w:p w14:paraId="38CCCC85">
                  <w:pPr>
                    <w:jc w:val="cente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color w:val="000000" w:themeColor="text1"/>
                      <w:sz w:val="21"/>
                      <w:szCs w:val="21"/>
                      <w:highlight w:val="none"/>
                      <w:vertAlign w:val="baseline"/>
                      <w:lang w:val="en-US" w:eastAsia="zh-CN"/>
                      <w14:textFill>
                        <w14:solidFill>
                          <w14:schemeClr w14:val="tx1"/>
                        </w14:solidFill>
                      </w14:textFill>
                    </w:rPr>
                    <w:t>2</w:t>
                  </w:r>
                </w:p>
              </w:tc>
            </w:tr>
            <w:tr w14:paraId="4244D12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2177" w:type="dxa"/>
                  <w:noWrap w:val="0"/>
                  <w:vAlign w:val="center"/>
                </w:tcPr>
                <w:p w14:paraId="3860685D">
                  <w:pPr>
                    <w:jc w:val="cente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碘值（mg/g）</w:t>
                  </w:r>
                </w:p>
              </w:tc>
              <w:tc>
                <w:tcPr>
                  <w:tcW w:w="1995" w:type="dxa"/>
                  <w:noWrap w:val="0"/>
                  <w:vAlign w:val="center"/>
                </w:tcPr>
                <w:p w14:paraId="015EEEBC">
                  <w:pPr>
                    <w:jc w:val="cente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800</w:t>
                  </w:r>
                </w:p>
              </w:tc>
              <w:tc>
                <w:tcPr>
                  <w:tcW w:w="1860" w:type="dxa"/>
                  <w:noWrap w:val="0"/>
                  <w:vAlign w:val="center"/>
                </w:tcPr>
                <w:p w14:paraId="4015300F">
                  <w:pPr>
                    <w:jc w:val="cente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800</w:t>
                  </w:r>
                </w:p>
              </w:tc>
              <w:tc>
                <w:tcPr>
                  <w:tcW w:w="1860" w:type="dxa"/>
                  <w:noWrap w:val="0"/>
                  <w:vAlign w:val="center"/>
                </w:tcPr>
                <w:p w14:paraId="3AC9DCAE">
                  <w:pPr>
                    <w:jc w:val="cente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color w:val="000000" w:themeColor="text1"/>
                      <w:sz w:val="21"/>
                      <w:szCs w:val="21"/>
                      <w:highlight w:val="none"/>
                      <w:vertAlign w:val="baseline"/>
                      <w:lang w:val="en-US" w:eastAsia="zh-CN"/>
                      <w14:textFill>
                        <w14:solidFill>
                          <w14:schemeClr w14:val="tx1"/>
                        </w14:solidFill>
                      </w14:textFill>
                    </w:rPr>
                    <w:t>800</w:t>
                  </w:r>
                </w:p>
              </w:tc>
            </w:tr>
            <w:tr w14:paraId="4C9E2C2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2177" w:type="dxa"/>
                  <w:noWrap w:val="0"/>
                  <w:vAlign w:val="center"/>
                </w:tcPr>
                <w:p w14:paraId="7AFAC096">
                  <w:pPr>
                    <w:jc w:val="cente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吸入温度</w:t>
                  </w:r>
                </w:p>
              </w:tc>
              <w:tc>
                <w:tcPr>
                  <w:tcW w:w="1995" w:type="dxa"/>
                  <w:noWrap w:val="0"/>
                  <w:vAlign w:val="center"/>
                </w:tcPr>
                <w:p w14:paraId="45FF90A6">
                  <w:pPr>
                    <w:jc w:val="cente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＜40℃</w:t>
                  </w:r>
                </w:p>
              </w:tc>
              <w:tc>
                <w:tcPr>
                  <w:tcW w:w="1860" w:type="dxa"/>
                  <w:noWrap w:val="0"/>
                  <w:vAlign w:val="center"/>
                </w:tcPr>
                <w:p w14:paraId="7605348E">
                  <w:pPr>
                    <w:jc w:val="cente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＜40℃</w:t>
                  </w:r>
                </w:p>
              </w:tc>
              <w:tc>
                <w:tcPr>
                  <w:tcW w:w="1860" w:type="dxa"/>
                  <w:noWrap w:val="0"/>
                  <w:vAlign w:val="center"/>
                </w:tcPr>
                <w:p w14:paraId="2C3897F0">
                  <w:pPr>
                    <w:jc w:val="cente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＜40℃</w:t>
                  </w:r>
                </w:p>
              </w:tc>
            </w:tr>
            <w:tr w14:paraId="340D3AF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2177" w:type="dxa"/>
                  <w:noWrap w:val="0"/>
                  <w:vAlign w:val="center"/>
                </w:tcPr>
                <w:p w14:paraId="00B0DC84">
                  <w:pPr>
                    <w:jc w:val="cente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气体流速（m/s）</w:t>
                  </w:r>
                </w:p>
              </w:tc>
              <w:tc>
                <w:tcPr>
                  <w:tcW w:w="1995" w:type="dxa"/>
                  <w:noWrap w:val="0"/>
                  <w:vAlign w:val="center"/>
                </w:tcPr>
                <w:p w14:paraId="19BB8D23">
                  <w:pPr>
                    <w:jc w:val="cente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0.6</w:t>
                  </w:r>
                </w:p>
              </w:tc>
              <w:tc>
                <w:tcPr>
                  <w:tcW w:w="1860" w:type="dxa"/>
                  <w:noWrap w:val="0"/>
                  <w:vAlign w:val="center"/>
                </w:tcPr>
                <w:p w14:paraId="04B5C7BE">
                  <w:pPr>
                    <w:jc w:val="cente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0.6</w:t>
                  </w:r>
                </w:p>
              </w:tc>
              <w:tc>
                <w:tcPr>
                  <w:tcW w:w="1860" w:type="dxa"/>
                  <w:noWrap w:val="0"/>
                  <w:vAlign w:val="center"/>
                </w:tcPr>
                <w:p w14:paraId="36327A2F">
                  <w:pPr>
                    <w:jc w:val="center"/>
                    <w:rPr>
                      <w:rFonts w:hint="eastAsia"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0.6</w:t>
                  </w:r>
                </w:p>
              </w:tc>
            </w:tr>
            <w:tr w14:paraId="24EE64A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2177" w:type="dxa"/>
                  <w:noWrap w:val="0"/>
                  <w:vAlign w:val="center"/>
                </w:tcPr>
                <w:p w14:paraId="47AADCB0">
                  <w:pPr>
                    <w:jc w:val="cente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活性炭更换周期</w:t>
                  </w:r>
                </w:p>
              </w:tc>
              <w:tc>
                <w:tcPr>
                  <w:tcW w:w="1995" w:type="dxa"/>
                  <w:noWrap w:val="0"/>
                  <w:vAlign w:val="center"/>
                </w:tcPr>
                <w:p w14:paraId="6B89BF0E">
                  <w:pPr>
                    <w:jc w:val="cente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color w:val="000000" w:themeColor="text1"/>
                      <w:sz w:val="21"/>
                      <w:szCs w:val="21"/>
                      <w:highlight w:val="none"/>
                      <w:vertAlign w:val="baseline"/>
                      <w:lang w:val="en-US" w:eastAsia="zh-CN"/>
                      <w14:textFill>
                        <w14:solidFill>
                          <w14:schemeClr w14:val="tx1"/>
                        </w14:solidFill>
                      </w14:textFill>
                    </w:rPr>
                    <w:t>三个月</w:t>
                  </w:r>
                  <w:r>
                    <w:rPr>
                      <w:rFonts w:hint="eastAsia"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更换1次</w:t>
                  </w:r>
                </w:p>
              </w:tc>
              <w:tc>
                <w:tcPr>
                  <w:tcW w:w="1860" w:type="dxa"/>
                  <w:noWrap w:val="0"/>
                  <w:vAlign w:val="center"/>
                </w:tcPr>
                <w:p w14:paraId="6202E8D6">
                  <w:pPr>
                    <w:jc w:val="cente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color w:val="000000" w:themeColor="text1"/>
                      <w:sz w:val="21"/>
                      <w:szCs w:val="21"/>
                      <w:highlight w:val="none"/>
                      <w:vertAlign w:val="baseline"/>
                      <w:lang w:val="en-US" w:eastAsia="zh-CN"/>
                      <w14:textFill>
                        <w14:solidFill>
                          <w14:schemeClr w14:val="tx1"/>
                        </w14:solidFill>
                      </w14:textFill>
                    </w:rPr>
                    <w:t>三个月</w:t>
                  </w:r>
                  <w:r>
                    <w:rPr>
                      <w:rFonts w:hint="eastAsia"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更换1次</w:t>
                  </w:r>
                </w:p>
              </w:tc>
              <w:tc>
                <w:tcPr>
                  <w:tcW w:w="1860" w:type="dxa"/>
                  <w:noWrap w:val="0"/>
                  <w:vAlign w:val="center"/>
                </w:tcPr>
                <w:p w14:paraId="50A6688E">
                  <w:pPr>
                    <w:jc w:val="center"/>
                    <w:rPr>
                      <w:rFonts w:hint="eastAsia"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color w:val="000000" w:themeColor="text1"/>
                      <w:sz w:val="21"/>
                      <w:szCs w:val="21"/>
                      <w:highlight w:val="none"/>
                      <w:vertAlign w:val="baseline"/>
                      <w:lang w:val="en-US" w:eastAsia="zh-CN"/>
                      <w14:textFill>
                        <w14:solidFill>
                          <w14:schemeClr w14:val="tx1"/>
                        </w14:solidFill>
                      </w14:textFill>
                    </w:rPr>
                    <w:t>三个月</w:t>
                  </w:r>
                  <w:r>
                    <w:rPr>
                      <w:rFonts w:hint="eastAsia"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更换1次</w:t>
                  </w:r>
                </w:p>
              </w:tc>
            </w:tr>
            <w:tr w14:paraId="6CD4C60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7892" w:type="dxa"/>
                  <w:gridSpan w:val="4"/>
                  <w:noWrap w:val="0"/>
                  <w:vAlign w:val="center"/>
                </w:tcPr>
                <w:p w14:paraId="2124B1D7">
                  <w:pPr>
                    <w:jc w:val="both"/>
                    <w:rPr>
                      <w:rFonts w:hint="eastAsia"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注：活性炭装置具体参数以实际为准。</w:t>
                  </w:r>
                </w:p>
              </w:tc>
            </w:tr>
          </w:tbl>
          <w:p w14:paraId="2C99F409">
            <w:pPr>
              <w:keepNext w:val="0"/>
              <w:keepLines w:val="0"/>
              <w:pageBreakBefore w:val="0"/>
              <w:widowControl w:val="0"/>
              <w:shd w:val="clear"/>
              <w:kinsoku/>
              <w:wordWrap/>
              <w:overflowPunct/>
              <w:topLinePunct w:val="0"/>
              <w:autoSpaceDE/>
              <w:autoSpaceDN/>
              <w:bidi w:val="0"/>
              <w:adjustRightInd w:val="0"/>
              <w:snapToGrid/>
              <w:spacing w:afterLines="0" w:line="360" w:lineRule="auto"/>
              <w:ind w:firstLine="482" w:firstLineChars="200"/>
              <w:textAlignment w:val="bottom"/>
              <w:rPr>
                <w:rFonts w:hint="eastAsia" w:ascii="宋体" w:hAnsi="宋体" w:eastAsia="宋体" w:cs="宋体"/>
                <w:color w:val="000000" w:themeColor="text1"/>
                <w:sz w:val="24"/>
                <w:szCs w:val="24"/>
                <w:highlight w:val="none"/>
                <w:shd w:val="clear"/>
                <w:lang w:eastAsia="zh-CN"/>
                <w14:textFill>
                  <w14:solidFill>
                    <w14:schemeClr w14:val="tx1"/>
                  </w14:solidFill>
                </w14:textFill>
              </w:rPr>
            </w:pPr>
            <w:r>
              <w:rPr>
                <w:rFonts w:hint="eastAsia"/>
                <w:b/>
                <w:bCs/>
                <w:color w:val="000000" w:themeColor="text1"/>
                <w:sz w:val="24"/>
                <w:szCs w:val="24"/>
                <w:highlight w:val="none"/>
                <w:shd w:val="clear"/>
                <w:lang w:val="en-US" w:eastAsia="zh-CN"/>
                <w14:textFill>
                  <w14:solidFill>
                    <w14:schemeClr w14:val="tx1"/>
                  </w14:solidFill>
                </w14:textFill>
              </w:rPr>
              <w:t>NMP回收装置</w:t>
            </w:r>
            <w:r>
              <w:rPr>
                <w:rFonts w:hint="eastAsia"/>
                <w:color w:val="000000" w:themeColor="text1"/>
                <w:sz w:val="24"/>
                <w:szCs w:val="24"/>
                <w:highlight w:val="none"/>
                <w:lang w:val="en-US" w:eastAsia="zh-CN"/>
                <w14:textFill>
                  <w14:solidFill>
                    <w14:schemeClr w14:val="tx1"/>
                  </w14:solidFill>
                </w14:textFill>
              </w:rPr>
              <w:t>：</w:t>
            </w:r>
            <w:r>
              <w:rPr>
                <w:rFonts w:ascii="宋体" w:hAnsi="宋体" w:eastAsia="宋体" w:cs="宋体"/>
                <w:color w:val="000000" w:themeColor="text1"/>
                <w:sz w:val="24"/>
                <w:szCs w:val="24"/>
                <w:highlight w:val="none"/>
                <w:shd w:val="clear"/>
                <w14:textFill>
                  <w14:solidFill>
                    <w14:schemeClr w14:val="tx1"/>
                  </w14:solidFill>
                </w14:textFill>
              </w:rPr>
              <w:t>机组由</w:t>
            </w:r>
            <w:r>
              <w:rPr>
                <w:rFonts w:hint="default" w:ascii="宋体" w:hAnsi="宋体" w:eastAsia="宋体" w:cs="宋体"/>
                <w:color w:val="000000" w:themeColor="text1"/>
                <w:sz w:val="24"/>
                <w:szCs w:val="24"/>
                <w:highlight w:val="none"/>
                <w:shd w:val="clear"/>
                <w14:textFill>
                  <w14:solidFill>
                    <w14:schemeClr w14:val="tx1"/>
                  </w14:solidFill>
                </w14:textFill>
              </w:rPr>
              <w:fldChar w:fldCharType="begin"/>
            </w:r>
            <w:r>
              <w:rPr>
                <w:rFonts w:hint="default" w:ascii="宋体" w:hAnsi="宋体" w:eastAsia="宋体" w:cs="宋体"/>
                <w:color w:val="000000" w:themeColor="text1"/>
                <w:sz w:val="24"/>
                <w:szCs w:val="24"/>
                <w:highlight w:val="none"/>
                <w:shd w:val="clear"/>
                <w14:textFill>
                  <w14:solidFill>
                    <w14:schemeClr w14:val="tx1"/>
                  </w14:solidFill>
                </w14:textFill>
              </w:rPr>
              <w:instrText xml:space="preserve"> HYPERLINK "https://www.air36.com/tag/yurehuishou/" \o "余热回收" \t "https://www.air36.com/shou/_blank" </w:instrText>
            </w:r>
            <w:r>
              <w:rPr>
                <w:rFonts w:hint="default" w:ascii="宋体" w:hAnsi="宋体" w:eastAsia="宋体" w:cs="宋体"/>
                <w:color w:val="000000" w:themeColor="text1"/>
                <w:sz w:val="24"/>
                <w:szCs w:val="24"/>
                <w:highlight w:val="none"/>
                <w:shd w:val="clear"/>
                <w14:textFill>
                  <w14:solidFill>
                    <w14:schemeClr w14:val="tx1"/>
                  </w14:solidFill>
                </w14:textFill>
              </w:rPr>
              <w:fldChar w:fldCharType="separate"/>
            </w:r>
            <w:r>
              <w:rPr>
                <w:rFonts w:hint="default" w:ascii="宋体" w:hAnsi="宋体" w:eastAsia="宋体" w:cs="宋体"/>
                <w:color w:val="000000" w:themeColor="text1"/>
                <w:sz w:val="24"/>
                <w:szCs w:val="24"/>
                <w:highlight w:val="none"/>
                <w:shd w:val="clear"/>
                <w14:textFill>
                  <w14:solidFill>
                    <w14:schemeClr w14:val="tx1"/>
                  </w14:solidFill>
                </w14:textFill>
              </w:rPr>
              <w:t>余热回收</w:t>
            </w:r>
            <w:r>
              <w:rPr>
                <w:rFonts w:hint="default" w:ascii="宋体" w:hAnsi="宋体" w:eastAsia="宋体" w:cs="宋体"/>
                <w:color w:val="000000" w:themeColor="text1"/>
                <w:sz w:val="24"/>
                <w:szCs w:val="24"/>
                <w:highlight w:val="none"/>
                <w:shd w:val="clear"/>
                <w14:textFill>
                  <w14:solidFill>
                    <w14:schemeClr w14:val="tx1"/>
                  </w14:solidFill>
                </w14:textFill>
              </w:rPr>
              <w:fldChar w:fldCharType="end"/>
            </w:r>
            <w:r>
              <w:rPr>
                <w:rFonts w:hint="default" w:ascii="宋体" w:hAnsi="宋体" w:eastAsia="宋体" w:cs="宋体"/>
                <w:color w:val="000000" w:themeColor="text1"/>
                <w:sz w:val="24"/>
                <w:szCs w:val="24"/>
                <w:highlight w:val="none"/>
                <w:shd w:val="clear"/>
                <w14:textFill>
                  <w14:solidFill>
                    <w14:schemeClr w14:val="tx1"/>
                  </w14:solidFill>
                </w14:textFill>
              </w:rPr>
              <w:t>器、冷却器、</w:t>
            </w:r>
            <w:r>
              <w:rPr>
                <w:rFonts w:hint="default" w:ascii="宋体" w:hAnsi="宋体" w:eastAsia="宋体" w:cs="宋体"/>
                <w:color w:val="000000" w:themeColor="text1"/>
                <w:sz w:val="24"/>
                <w:szCs w:val="24"/>
                <w:highlight w:val="none"/>
                <w:shd w:val="clear"/>
                <w14:textFill>
                  <w14:solidFill>
                    <w14:schemeClr w14:val="tx1"/>
                  </w14:solidFill>
                </w14:textFill>
              </w:rPr>
              <w:fldChar w:fldCharType="begin"/>
            </w:r>
            <w:r>
              <w:rPr>
                <w:rFonts w:hint="default" w:ascii="宋体" w:hAnsi="宋体" w:eastAsia="宋体" w:cs="宋体"/>
                <w:color w:val="000000" w:themeColor="text1"/>
                <w:sz w:val="24"/>
                <w:szCs w:val="24"/>
                <w:highlight w:val="none"/>
                <w:shd w:val="clear"/>
                <w14:textFill>
                  <w14:solidFill>
                    <w14:schemeClr w14:val="tx1"/>
                  </w14:solidFill>
                </w14:textFill>
              </w:rPr>
              <w:instrText xml:space="preserve"> HYPERLINK "https://www.air36.com/tag/biaolengqi/" \o "表冷器" \t "https://www.air36.com/shou/_blank" </w:instrText>
            </w:r>
            <w:r>
              <w:rPr>
                <w:rFonts w:hint="default" w:ascii="宋体" w:hAnsi="宋体" w:eastAsia="宋体" w:cs="宋体"/>
                <w:color w:val="000000" w:themeColor="text1"/>
                <w:sz w:val="24"/>
                <w:szCs w:val="24"/>
                <w:highlight w:val="none"/>
                <w:shd w:val="clear"/>
                <w14:textFill>
                  <w14:solidFill>
                    <w14:schemeClr w14:val="tx1"/>
                  </w14:solidFill>
                </w14:textFill>
              </w:rPr>
              <w:fldChar w:fldCharType="separate"/>
            </w:r>
            <w:r>
              <w:rPr>
                <w:rFonts w:hint="default" w:ascii="宋体" w:hAnsi="宋体" w:eastAsia="宋体" w:cs="宋体"/>
                <w:color w:val="000000" w:themeColor="text1"/>
                <w:sz w:val="24"/>
                <w:szCs w:val="24"/>
                <w:highlight w:val="none"/>
                <w:shd w:val="clear"/>
                <w14:textFill>
                  <w14:solidFill>
                    <w14:schemeClr w14:val="tx1"/>
                  </w14:solidFill>
                </w14:textFill>
              </w:rPr>
              <w:t>表冷器</w:t>
            </w:r>
            <w:r>
              <w:rPr>
                <w:rFonts w:hint="default" w:ascii="宋体" w:hAnsi="宋体" w:eastAsia="宋体" w:cs="宋体"/>
                <w:color w:val="000000" w:themeColor="text1"/>
                <w:sz w:val="24"/>
                <w:szCs w:val="24"/>
                <w:highlight w:val="none"/>
                <w:shd w:val="clear"/>
                <w14:textFill>
                  <w14:solidFill>
                    <w14:schemeClr w14:val="tx1"/>
                  </w14:solidFill>
                </w14:textFill>
              </w:rPr>
              <w:fldChar w:fldCharType="end"/>
            </w:r>
            <w:r>
              <w:rPr>
                <w:rFonts w:hint="default" w:ascii="宋体" w:hAnsi="宋体" w:eastAsia="宋体" w:cs="宋体"/>
                <w:color w:val="000000" w:themeColor="text1"/>
                <w:sz w:val="24"/>
                <w:szCs w:val="24"/>
                <w:highlight w:val="none"/>
                <w:shd w:val="clear"/>
                <w14:textFill>
                  <w14:solidFill>
                    <w14:schemeClr w14:val="tx1"/>
                  </w14:solidFill>
                </w14:textFill>
              </w:rPr>
              <w:t>、风机、吸附转轮与转轮再生系统</w:t>
            </w:r>
            <w:r>
              <w:rPr>
                <w:rFonts w:hint="default" w:ascii="Times New Roman" w:hAnsi="Times New Roman" w:eastAsia="宋体" w:cs="Times New Roman"/>
                <w:color w:val="000000" w:themeColor="text1"/>
                <w:sz w:val="24"/>
                <w:szCs w:val="24"/>
                <w:highlight w:val="none"/>
                <w:shd w:val="clear"/>
                <w14:textFill>
                  <w14:solidFill>
                    <w14:schemeClr w14:val="tx1"/>
                  </w14:solidFill>
                </w14:textFill>
              </w:rPr>
              <w:t>组成</w:t>
            </w:r>
            <w:r>
              <w:rPr>
                <w:rFonts w:hint="default" w:ascii="Times New Roman" w:hAnsi="Times New Roman" w:eastAsia="宋体" w:cs="Times New Roman"/>
                <w:i w:val="0"/>
                <w:iCs w:val="0"/>
                <w:caps w:val="0"/>
                <w:color w:val="000000" w:themeColor="text1"/>
                <w:spacing w:val="0"/>
                <w:sz w:val="24"/>
                <w:szCs w:val="24"/>
                <w:highlight w:val="none"/>
                <w:shd w:val="clear" w:fill="FFFFFF"/>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shd w:val="clear"/>
                <w:lang w:val="en-US" w:eastAsia="zh-CN"/>
                <w14:textFill>
                  <w14:solidFill>
                    <w14:schemeClr w14:val="tx1"/>
                  </w14:solidFill>
                </w14:textFill>
              </w:rPr>
              <w:t>主要</w:t>
            </w:r>
            <w:r>
              <w:rPr>
                <w:rFonts w:hint="default" w:ascii="Times New Roman" w:hAnsi="Times New Roman" w:eastAsia="宋体" w:cs="Times New Roman"/>
                <w:color w:val="000000" w:themeColor="text1"/>
                <w:sz w:val="24"/>
                <w:szCs w:val="24"/>
                <w:highlight w:val="none"/>
                <w:shd w:val="clear"/>
                <w14:textFill>
                  <w14:solidFill>
                    <w14:schemeClr w14:val="tx1"/>
                  </w14:solidFill>
                </w14:textFill>
              </w:rPr>
              <w:t>利用一级冷却回收装置（余</w:t>
            </w:r>
            <w:r>
              <w:rPr>
                <w:rFonts w:hint="default" w:ascii="Times New Roman" w:hAnsi="Times New Roman" w:eastAsia="宋体" w:cs="Times New Roman"/>
                <w:color w:val="000000" w:themeColor="text1"/>
                <w:sz w:val="24"/>
                <w:szCs w:val="24"/>
                <w:highlight w:val="none"/>
                <w:shd w:val="clear"/>
                <w14:textFill>
                  <w14:solidFill>
                    <w14:schemeClr w14:val="tx1"/>
                  </w14:solidFill>
                </w14:textFill>
              </w:rPr>
              <w:fldChar w:fldCharType="begin"/>
            </w:r>
            <w:r>
              <w:rPr>
                <w:rFonts w:hint="default" w:ascii="Times New Roman" w:hAnsi="Times New Roman" w:eastAsia="宋体" w:cs="Times New Roman"/>
                <w:color w:val="000000" w:themeColor="text1"/>
                <w:sz w:val="24"/>
                <w:szCs w:val="24"/>
                <w:highlight w:val="none"/>
                <w:shd w:val="clear"/>
                <w14:textFill>
                  <w14:solidFill>
                    <w14:schemeClr w14:val="tx1"/>
                  </w14:solidFill>
                </w14:textFill>
              </w:rPr>
              <w:instrText xml:space="preserve"> HYPERLINK "https://www.air36.com/tag/rehuishou/" \o "热回收" \t "https://www.air36.com/shou/_blank" </w:instrText>
            </w:r>
            <w:r>
              <w:rPr>
                <w:rFonts w:hint="default" w:ascii="Times New Roman" w:hAnsi="Times New Roman" w:eastAsia="宋体" w:cs="Times New Roman"/>
                <w:color w:val="000000" w:themeColor="text1"/>
                <w:sz w:val="24"/>
                <w:szCs w:val="24"/>
                <w:highlight w:val="none"/>
                <w:shd w:val="clear"/>
                <w14:textFill>
                  <w14:solidFill>
                    <w14:schemeClr w14:val="tx1"/>
                  </w14:solidFill>
                </w14:textFill>
              </w:rPr>
              <w:fldChar w:fldCharType="separate"/>
            </w:r>
            <w:r>
              <w:rPr>
                <w:rFonts w:hint="default" w:ascii="Times New Roman" w:hAnsi="Times New Roman" w:eastAsia="宋体" w:cs="Times New Roman"/>
                <w:color w:val="000000" w:themeColor="text1"/>
                <w:sz w:val="24"/>
                <w:szCs w:val="24"/>
                <w:highlight w:val="none"/>
                <w:shd w:val="clear"/>
                <w14:textFill>
                  <w14:solidFill>
                    <w14:schemeClr w14:val="tx1"/>
                  </w14:solidFill>
                </w14:textFill>
              </w:rPr>
              <w:t>热回收</w:t>
            </w:r>
            <w:r>
              <w:rPr>
                <w:rFonts w:hint="default" w:ascii="Times New Roman" w:hAnsi="Times New Roman" w:eastAsia="宋体" w:cs="Times New Roman"/>
                <w:color w:val="000000" w:themeColor="text1"/>
                <w:sz w:val="24"/>
                <w:szCs w:val="24"/>
                <w:highlight w:val="none"/>
                <w:shd w:val="clear"/>
                <w14:textFill>
                  <w14:solidFill>
                    <w14:schemeClr w14:val="tx1"/>
                  </w14:solidFill>
                </w14:textFill>
              </w:rPr>
              <w:fldChar w:fldCharType="end"/>
            </w:r>
            <w:r>
              <w:rPr>
                <w:rFonts w:hint="default" w:ascii="Times New Roman" w:hAnsi="Times New Roman" w:eastAsia="宋体" w:cs="Times New Roman"/>
                <w:color w:val="000000" w:themeColor="text1"/>
                <w:sz w:val="24"/>
                <w:szCs w:val="24"/>
                <w:highlight w:val="none"/>
                <w:shd w:val="clear"/>
                <w14:textFill>
                  <w14:solidFill>
                    <w14:schemeClr w14:val="tx1"/>
                  </w14:solidFill>
                </w14:textFill>
              </w:rPr>
              <w:t>器、冷却水冷却器、冷冻水冷却器）使得部分NMP</w:t>
            </w:r>
            <w:r>
              <w:rPr>
                <w:rFonts w:hint="default" w:ascii="Times New Roman" w:hAnsi="Times New Roman" w:eastAsia="宋体" w:cs="Times New Roman"/>
                <w:color w:val="000000" w:themeColor="text1"/>
                <w:sz w:val="24"/>
                <w:szCs w:val="24"/>
                <w:highlight w:val="none"/>
                <w:shd w:val="clear"/>
                <w14:textFill>
                  <w14:solidFill>
                    <w14:schemeClr w14:val="tx1"/>
                  </w14:solidFill>
                </w14:textFill>
              </w:rPr>
              <w:fldChar w:fldCharType="begin"/>
            </w:r>
            <w:r>
              <w:rPr>
                <w:rFonts w:hint="default" w:ascii="Times New Roman" w:hAnsi="Times New Roman" w:eastAsia="宋体" w:cs="Times New Roman"/>
                <w:color w:val="000000" w:themeColor="text1"/>
                <w:sz w:val="24"/>
                <w:szCs w:val="24"/>
                <w:highlight w:val="none"/>
                <w:shd w:val="clear"/>
                <w14:textFill>
                  <w14:solidFill>
                    <w14:schemeClr w14:val="tx1"/>
                  </w14:solidFill>
                </w14:textFill>
              </w:rPr>
              <w:instrText xml:space="preserve"> HYPERLINK "https://www.air36.com/tag/congkong/" \o "从空" \t "https://www.air36.com/shou/_blank" </w:instrText>
            </w:r>
            <w:r>
              <w:rPr>
                <w:rFonts w:hint="default" w:ascii="Times New Roman" w:hAnsi="Times New Roman" w:eastAsia="宋体" w:cs="Times New Roman"/>
                <w:color w:val="000000" w:themeColor="text1"/>
                <w:sz w:val="24"/>
                <w:szCs w:val="24"/>
                <w:highlight w:val="none"/>
                <w:shd w:val="clear"/>
                <w14:textFill>
                  <w14:solidFill>
                    <w14:schemeClr w14:val="tx1"/>
                  </w14:solidFill>
                </w14:textFill>
              </w:rPr>
              <w:fldChar w:fldCharType="separate"/>
            </w:r>
            <w:r>
              <w:rPr>
                <w:rFonts w:hint="default" w:ascii="Times New Roman" w:hAnsi="Times New Roman" w:eastAsia="宋体" w:cs="Times New Roman"/>
                <w:color w:val="000000" w:themeColor="text1"/>
                <w:sz w:val="24"/>
                <w:szCs w:val="24"/>
                <w:highlight w:val="none"/>
                <w:shd w:val="clear"/>
                <w14:textFill>
                  <w14:solidFill>
                    <w14:schemeClr w14:val="tx1"/>
                  </w14:solidFill>
                </w14:textFill>
              </w:rPr>
              <w:t>从空</w:t>
            </w:r>
            <w:r>
              <w:rPr>
                <w:rFonts w:hint="default" w:ascii="Times New Roman" w:hAnsi="Times New Roman" w:eastAsia="宋体" w:cs="Times New Roman"/>
                <w:color w:val="000000" w:themeColor="text1"/>
                <w:sz w:val="24"/>
                <w:szCs w:val="24"/>
                <w:highlight w:val="none"/>
                <w:shd w:val="clear"/>
                <w14:textFill>
                  <w14:solidFill>
                    <w14:schemeClr w14:val="tx1"/>
                  </w14:solidFill>
                </w14:textFill>
              </w:rPr>
              <w:fldChar w:fldCharType="end"/>
            </w:r>
            <w:r>
              <w:rPr>
                <w:rFonts w:hint="default" w:ascii="Times New Roman" w:hAnsi="Times New Roman" w:eastAsia="宋体" w:cs="Times New Roman"/>
                <w:color w:val="000000" w:themeColor="text1"/>
                <w:sz w:val="24"/>
                <w:szCs w:val="24"/>
                <w:highlight w:val="none"/>
                <w:shd w:val="clear"/>
                <w14:textFill>
                  <w14:solidFill>
                    <w14:schemeClr w14:val="tx1"/>
                  </w14:solidFill>
                </w14:textFill>
              </w:rPr>
              <w:t>气中冷凝出来，经过单级NMP吸附</w:t>
            </w:r>
            <w:r>
              <w:rPr>
                <w:rFonts w:hint="default" w:ascii="Times New Roman" w:hAnsi="Times New Roman" w:eastAsia="宋体" w:cs="Times New Roman"/>
                <w:color w:val="000000" w:themeColor="text1"/>
                <w:sz w:val="24"/>
                <w:szCs w:val="24"/>
                <w:highlight w:val="none"/>
                <w:shd w:val="clear"/>
                <w14:textFill>
                  <w14:solidFill>
                    <w14:schemeClr w14:val="tx1"/>
                  </w14:solidFill>
                </w14:textFill>
              </w:rPr>
              <w:fldChar w:fldCharType="begin"/>
            </w:r>
            <w:r>
              <w:rPr>
                <w:rFonts w:hint="default" w:ascii="Times New Roman" w:hAnsi="Times New Roman" w:eastAsia="宋体" w:cs="Times New Roman"/>
                <w:color w:val="000000" w:themeColor="text1"/>
                <w:sz w:val="24"/>
                <w:szCs w:val="24"/>
                <w:highlight w:val="none"/>
                <w:shd w:val="clear"/>
                <w14:textFill>
                  <w14:solidFill>
                    <w14:schemeClr w14:val="tx1"/>
                  </w14:solidFill>
                </w14:textFill>
              </w:rPr>
              <w:instrText xml:space="preserve"> HYPERLINK "https://www.air36.com/tag/zhuanlun/" \o "转轮" \t "https://www.air36.com/shou/_blank" </w:instrText>
            </w:r>
            <w:r>
              <w:rPr>
                <w:rFonts w:hint="default" w:ascii="Times New Roman" w:hAnsi="Times New Roman" w:eastAsia="宋体" w:cs="Times New Roman"/>
                <w:color w:val="000000" w:themeColor="text1"/>
                <w:sz w:val="24"/>
                <w:szCs w:val="24"/>
                <w:highlight w:val="none"/>
                <w:shd w:val="clear"/>
                <w14:textFill>
                  <w14:solidFill>
                    <w14:schemeClr w14:val="tx1"/>
                  </w14:solidFill>
                </w14:textFill>
              </w:rPr>
              <w:fldChar w:fldCharType="separate"/>
            </w:r>
            <w:r>
              <w:rPr>
                <w:rFonts w:hint="default" w:ascii="Times New Roman" w:hAnsi="Times New Roman" w:eastAsia="宋体" w:cs="Times New Roman"/>
                <w:color w:val="000000" w:themeColor="text1"/>
                <w:sz w:val="24"/>
                <w:szCs w:val="24"/>
                <w:highlight w:val="none"/>
                <w:shd w:val="clear"/>
                <w14:textFill>
                  <w14:solidFill>
                    <w14:schemeClr w14:val="tx1"/>
                  </w14:solidFill>
                </w14:textFill>
              </w:rPr>
              <w:t>转轮</w:t>
            </w:r>
            <w:r>
              <w:rPr>
                <w:rFonts w:hint="default" w:ascii="Times New Roman" w:hAnsi="Times New Roman" w:eastAsia="宋体" w:cs="Times New Roman"/>
                <w:color w:val="000000" w:themeColor="text1"/>
                <w:sz w:val="24"/>
                <w:szCs w:val="24"/>
                <w:highlight w:val="none"/>
                <w:shd w:val="clear"/>
                <w14:textFill>
                  <w14:solidFill>
                    <w14:schemeClr w14:val="tx1"/>
                  </w14:solidFill>
                </w14:textFill>
              </w:rPr>
              <w:fldChar w:fldCharType="end"/>
            </w:r>
            <w:r>
              <w:rPr>
                <w:rFonts w:hint="default" w:ascii="Times New Roman" w:hAnsi="Times New Roman" w:eastAsia="宋体" w:cs="Times New Roman"/>
                <w:color w:val="000000" w:themeColor="text1"/>
                <w:sz w:val="24"/>
                <w:szCs w:val="24"/>
                <w:highlight w:val="none"/>
                <w:shd w:val="clear"/>
                <w14:textFill>
                  <w14:solidFill>
                    <w14:schemeClr w14:val="tx1"/>
                  </w14:solidFill>
                </w14:textFill>
              </w:rPr>
              <w:t>处理后，净化排放废气</w:t>
            </w:r>
            <w:r>
              <w:rPr>
                <w:rFonts w:hint="eastAsia" w:cs="Times New Roman"/>
                <w:color w:val="000000" w:themeColor="text1"/>
                <w:sz w:val="24"/>
                <w:szCs w:val="24"/>
                <w:highlight w:val="none"/>
                <w:shd w:val="clear"/>
                <w:lang w:val="en-US" w:eastAsia="zh-CN"/>
                <w14:textFill>
                  <w14:solidFill>
                    <w14:schemeClr w14:val="tx1"/>
                  </w14:solidFill>
                </w14:textFill>
              </w:rPr>
              <w:t>通过排气筒排放</w:t>
            </w:r>
            <w:r>
              <w:rPr>
                <w:rFonts w:hint="eastAsia" w:ascii="宋体" w:hAnsi="宋体" w:eastAsia="宋体" w:cs="宋体"/>
                <w:color w:val="000000" w:themeColor="text1"/>
                <w:sz w:val="24"/>
                <w:szCs w:val="24"/>
                <w:highlight w:val="none"/>
                <w:shd w:val="clear"/>
                <w:lang w:eastAsia="zh-CN"/>
                <w14:textFill>
                  <w14:solidFill>
                    <w14:schemeClr w14:val="tx1"/>
                  </w14:solidFill>
                </w14:textFill>
              </w:rPr>
              <w:t>。</w:t>
            </w:r>
          </w:p>
          <w:p w14:paraId="0E7CE7D3">
            <w:pPr>
              <w:pStyle w:val="34"/>
              <w:rPr>
                <w:rFonts w:hint="eastAsia" w:ascii="宋体" w:hAnsi="宋体" w:eastAsia="宋体" w:cs="宋体"/>
                <w:color w:val="000000" w:themeColor="text1"/>
                <w:sz w:val="24"/>
                <w:szCs w:val="24"/>
                <w:highlight w:val="yellow"/>
                <w:shd w:val="clear"/>
                <w:lang w:eastAsia="zh-CN"/>
                <w14:textFill>
                  <w14:solidFill>
                    <w14:schemeClr w14:val="tx1"/>
                  </w14:solidFill>
                </w14:textFill>
              </w:rPr>
            </w:pPr>
          </w:p>
          <w:p w14:paraId="7C1E4F75">
            <w:pPr>
              <w:rPr>
                <w:rFonts w:hint="eastAsia" w:ascii="宋体" w:hAnsi="宋体" w:eastAsia="宋体" w:cs="宋体"/>
                <w:color w:val="000000" w:themeColor="text1"/>
                <w:sz w:val="24"/>
                <w:szCs w:val="24"/>
                <w:highlight w:val="yellow"/>
                <w:shd w:val="clear"/>
                <w:lang w:eastAsia="zh-CN"/>
                <w14:textFill>
                  <w14:solidFill>
                    <w14:schemeClr w14:val="tx1"/>
                  </w14:solidFill>
                </w14:textFill>
              </w:rPr>
            </w:pPr>
          </w:p>
          <w:p w14:paraId="0039C94B">
            <w:pPr>
              <w:pStyle w:val="34"/>
              <w:rPr>
                <w:rFonts w:hint="eastAsia" w:ascii="宋体" w:hAnsi="宋体" w:eastAsia="宋体" w:cs="宋体"/>
                <w:color w:val="000000" w:themeColor="text1"/>
                <w:sz w:val="24"/>
                <w:szCs w:val="24"/>
                <w:highlight w:val="yellow"/>
                <w:shd w:val="clear"/>
                <w:lang w:eastAsia="zh-CN"/>
                <w14:textFill>
                  <w14:solidFill>
                    <w14:schemeClr w14:val="tx1"/>
                  </w14:solidFill>
                </w14:textFill>
              </w:rPr>
            </w:pPr>
          </w:p>
          <w:p w14:paraId="5A7A949E">
            <w:pPr>
              <w:rPr>
                <w:rFonts w:hint="eastAsia" w:ascii="宋体" w:hAnsi="宋体" w:eastAsia="宋体" w:cs="宋体"/>
                <w:color w:val="000000" w:themeColor="text1"/>
                <w:sz w:val="24"/>
                <w:szCs w:val="24"/>
                <w:highlight w:val="yellow"/>
                <w:shd w:val="clear"/>
                <w:lang w:eastAsia="zh-CN"/>
                <w14:textFill>
                  <w14:solidFill>
                    <w14:schemeClr w14:val="tx1"/>
                  </w14:solidFill>
                </w14:textFill>
              </w:rPr>
            </w:pPr>
          </w:p>
          <w:p w14:paraId="7167B165">
            <w:pPr>
              <w:pStyle w:val="34"/>
              <w:rPr>
                <w:rFonts w:hint="eastAsia" w:ascii="宋体" w:hAnsi="宋体" w:eastAsia="宋体" w:cs="宋体"/>
                <w:color w:val="000000" w:themeColor="text1"/>
                <w:sz w:val="24"/>
                <w:szCs w:val="24"/>
                <w:highlight w:val="yellow"/>
                <w:shd w:val="clear"/>
                <w:lang w:eastAsia="zh-CN"/>
                <w14:textFill>
                  <w14:solidFill>
                    <w14:schemeClr w14:val="tx1"/>
                  </w14:solidFill>
                </w14:textFill>
              </w:rPr>
            </w:pPr>
          </w:p>
          <w:p w14:paraId="711A3F69">
            <w:pPr>
              <w:rPr>
                <w:rFonts w:hint="eastAsia" w:ascii="宋体" w:hAnsi="宋体" w:eastAsia="宋体" w:cs="宋体"/>
                <w:color w:val="000000" w:themeColor="text1"/>
                <w:sz w:val="24"/>
                <w:szCs w:val="24"/>
                <w:highlight w:val="yellow"/>
                <w:shd w:val="clear"/>
                <w:lang w:eastAsia="zh-CN"/>
                <w14:textFill>
                  <w14:solidFill>
                    <w14:schemeClr w14:val="tx1"/>
                  </w14:solidFill>
                </w14:textFill>
              </w:rPr>
            </w:pPr>
          </w:p>
          <w:p w14:paraId="0297DB3D">
            <w:pPr>
              <w:pStyle w:val="34"/>
              <w:rPr>
                <w:rFonts w:hint="eastAsia" w:ascii="宋体" w:hAnsi="宋体" w:eastAsia="宋体" w:cs="宋体"/>
                <w:color w:val="000000" w:themeColor="text1"/>
                <w:sz w:val="24"/>
                <w:szCs w:val="24"/>
                <w:highlight w:val="yellow"/>
                <w:shd w:val="clear"/>
                <w:lang w:eastAsia="zh-CN"/>
                <w14:textFill>
                  <w14:solidFill>
                    <w14:schemeClr w14:val="tx1"/>
                  </w14:solidFill>
                </w14:textFill>
              </w:rPr>
            </w:pPr>
          </w:p>
          <w:p w14:paraId="62499B27">
            <w:pPr>
              <w:rPr>
                <w:rFonts w:hint="eastAsia" w:ascii="宋体" w:hAnsi="宋体" w:eastAsia="宋体" w:cs="宋体"/>
                <w:color w:val="000000" w:themeColor="text1"/>
                <w:sz w:val="24"/>
                <w:szCs w:val="24"/>
                <w:highlight w:val="yellow"/>
                <w:shd w:val="clear"/>
                <w:lang w:eastAsia="zh-CN"/>
                <w14:textFill>
                  <w14:solidFill>
                    <w14:schemeClr w14:val="tx1"/>
                  </w14:solidFill>
                </w14:textFill>
              </w:rPr>
            </w:pPr>
          </w:p>
          <w:p w14:paraId="3FA1F642">
            <w:pPr>
              <w:pStyle w:val="34"/>
              <w:rPr>
                <w:rFonts w:hint="eastAsia" w:ascii="宋体" w:hAnsi="宋体" w:eastAsia="宋体" w:cs="宋体"/>
                <w:color w:val="000000" w:themeColor="text1"/>
                <w:sz w:val="24"/>
                <w:szCs w:val="24"/>
                <w:highlight w:val="yellow"/>
                <w:shd w:val="clear"/>
                <w:lang w:eastAsia="zh-CN"/>
                <w14:textFill>
                  <w14:solidFill>
                    <w14:schemeClr w14:val="tx1"/>
                  </w14:solidFill>
                </w14:textFill>
              </w:rPr>
            </w:pPr>
          </w:p>
          <w:p w14:paraId="08591454">
            <w:pPr>
              <w:rPr>
                <w:rFonts w:hint="eastAsia" w:ascii="宋体" w:hAnsi="宋体" w:eastAsia="宋体" w:cs="宋体"/>
                <w:color w:val="000000" w:themeColor="text1"/>
                <w:sz w:val="24"/>
                <w:szCs w:val="24"/>
                <w:highlight w:val="yellow"/>
                <w:shd w:val="clear"/>
                <w:lang w:eastAsia="zh-CN"/>
                <w14:textFill>
                  <w14:solidFill>
                    <w14:schemeClr w14:val="tx1"/>
                  </w14:solidFill>
                </w14:textFill>
              </w:rPr>
            </w:pPr>
          </w:p>
          <w:p w14:paraId="1AF075EF">
            <w:pPr>
              <w:rPr>
                <w:rFonts w:hint="eastAsia" w:ascii="宋体" w:hAnsi="宋体" w:eastAsia="宋体" w:cs="宋体"/>
                <w:color w:val="000000" w:themeColor="text1"/>
                <w:sz w:val="24"/>
                <w:szCs w:val="24"/>
                <w:highlight w:val="yellow"/>
                <w:shd w:val="clear"/>
                <w:lang w:eastAsia="zh-CN"/>
                <w14:textFill>
                  <w14:solidFill>
                    <w14:schemeClr w14:val="tx1"/>
                  </w14:solidFill>
                </w14:textFill>
              </w:rPr>
            </w:pPr>
          </w:p>
          <w:p w14:paraId="432FBEFF">
            <w:pPr>
              <w:rPr>
                <w:rFonts w:hint="eastAsia" w:ascii="宋体" w:hAnsi="宋体" w:eastAsia="宋体" w:cs="宋体"/>
                <w:color w:val="000000" w:themeColor="text1"/>
                <w:sz w:val="24"/>
                <w:szCs w:val="24"/>
                <w:highlight w:val="yellow"/>
                <w:shd w:val="clear"/>
                <w:lang w:eastAsia="zh-CN"/>
                <w14:textFill>
                  <w14:solidFill>
                    <w14:schemeClr w14:val="tx1"/>
                  </w14:solidFill>
                </w14:textFill>
              </w:rPr>
            </w:pPr>
          </w:p>
          <w:p w14:paraId="232A7136">
            <w:pPr>
              <w:rPr>
                <w:rFonts w:hint="eastAsia" w:ascii="宋体" w:hAnsi="宋体" w:eastAsia="宋体" w:cs="宋体"/>
                <w:color w:val="000000" w:themeColor="text1"/>
                <w:sz w:val="24"/>
                <w:szCs w:val="24"/>
                <w:highlight w:val="yellow"/>
                <w:shd w:val="clear"/>
                <w:lang w:eastAsia="zh-CN"/>
                <w14:textFill>
                  <w14:solidFill>
                    <w14:schemeClr w14:val="tx1"/>
                  </w14:solidFill>
                </w14:textFill>
              </w:rPr>
            </w:pPr>
          </w:p>
          <w:p w14:paraId="71B907F0">
            <w:pPr>
              <w:pStyle w:val="34"/>
              <w:rPr>
                <w:rFonts w:hint="eastAsia"/>
                <w:color w:val="000000" w:themeColor="text1"/>
                <w:lang w:eastAsia="zh-CN"/>
                <w14:textFill>
                  <w14:solidFill>
                    <w14:schemeClr w14:val="tx1"/>
                  </w14:solidFill>
                </w14:textFill>
              </w:rPr>
            </w:pPr>
          </w:p>
          <w:p w14:paraId="68B21C4D">
            <w:pPr>
              <w:rPr>
                <w:rFonts w:hint="eastAsia"/>
                <w:color w:val="000000" w:themeColor="text1"/>
                <w:lang w:eastAsia="zh-CN"/>
                <w14:textFill>
                  <w14:solidFill>
                    <w14:schemeClr w14:val="tx1"/>
                  </w14:solidFill>
                </w14:textFill>
              </w:rPr>
            </w:pPr>
          </w:p>
          <w:p w14:paraId="3AF252F0">
            <w:pPr>
              <w:rPr>
                <w:rFonts w:hint="eastAsia"/>
                <w:color w:val="000000" w:themeColor="text1"/>
                <w:lang w:eastAsia="zh-CN"/>
                <w14:textFill>
                  <w14:solidFill>
                    <w14:schemeClr w14:val="tx1"/>
                  </w14:solidFill>
                </w14:textFill>
              </w:rPr>
            </w:pPr>
          </w:p>
          <w:p w14:paraId="3765E8C6">
            <w:pPr>
              <w:rPr>
                <w:rFonts w:hint="eastAsia"/>
                <w:color w:val="000000" w:themeColor="text1"/>
                <w:lang w:eastAsia="zh-CN"/>
                <w14:textFill>
                  <w14:solidFill>
                    <w14:schemeClr w14:val="tx1"/>
                  </w14:solidFill>
                </w14:textFill>
              </w:rPr>
            </w:pPr>
          </w:p>
          <w:p w14:paraId="00B60945">
            <w:pPr>
              <w:keepNext w:val="0"/>
              <w:keepLines w:val="0"/>
              <w:pageBreakBefore w:val="0"/>
              <w:widowControl w:val="0"/>
              <w:shd w:val="clear"/>
              <w:kinsoku/>
              <w:wordWrap/>
              <w:overflowPunct/>
              <w:topLinePunct w:val="0"/>
              <w:autoSpaceDE/>
              <w:autoSpaceDN/>
              <w:bidi w:val="0"/>
              <w:adjustRightInd w:val="0"/>
              <w:snapToGrid/>
              <w:spacing w:afterLines="0" w:line="360" w:lineRule="auto"/>
              <w:jc w:val="center"/>
              <w:textAlignment w:val="bottom"/>
              <w:rPr>
                <w:rFonts w:hint="eastAsia"/>
                <w:b/>
                <w:bCs/>
                <w:color w:val="000000" w:themeColor="text1"/>
                <w:sz w:val="24"/>
                <w:szCs w:val="24"/>
                <w:highlight w:val="none"/>
                <w:shd w:val="clear"/>
                <w:lang w:val="en-US" w:eastAsia="zh-CN"/>
                <w14:textFill>
                  <w14:solidFill>
                    <w14:schemeClr w14:val="tx1"/>
                  </w14:solidFill>
                </w14:textFill>
              </w:rPr>
            </w:pPr>
            <w:r>
              <w:rPr>
                <w:color w:val="000000" w:themeColor="text1"/>
                <w14:textFill>
                  <w14:solidFill>
                    <w14:schemeClr w14:val="tx1"/>
                  </w14:solidFill>
                </w14:textFill>
              </w:rPr>
              <w:drawing>
                <wp:inline distT="0" distB="0" distL="114300" distR="114300">
                  <wp:extent cx="5055235" cy="2774950"/>
                  <wp:effectExtent l="0" t="0" r="12065" b="6350"/>
                  <wp:docPr id="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pic:cNvPicPr>
                            <a:picLocks noChangeAspect="1"/>
                          </pic:cNvPicPr>
                        </pic:nvPicPr>
                        <pic:blipFill>
                          <a:blip r:embed="rId36"/>
                          <a:stretch>
                            <a:fillRect/>
                          </a:stretch>
                        </pic:blipFill>
                        <pic:spPr>
                          <a:xfrm>
                            <a:off x="0" y="0"/>
                            <a:ext cx="5055235" cy="2774950"/>
                          </a:xfrm>
                          <a:prstGeom prst="rect">
                            <a:avLst/>
                          </a:prstGeom>
                          <a:noFill/>
                          <a:ln>
                            <a:noFill/>
                          </a:ln>
                        </pic:spPr>
                      </pic:pic>
                    </a:graphicData>
                  </a:graphic>
                </wp:inline>
              </w:drawing>
            </w:r>
          </w:p>
          <w:p w14:paraId="168B527A">
            <w:pPr>
              <w:shd w:val="clear"/>
              <w:adjustRightInd w:val="0"/>
              <w:snapToGrid w:val="0"/>
              <w:spacing w:line="360" w:lineRule="auto"/>
              <w:ind w:firstLine="480" w:firstLineChars="200"/>
              <w:rPr>
                <w:rFonts w:ascii="Times New Roman" w:hAnsi="Times New Roman"/>
                <w:b w:val="0"/>
                <w:bCs w:val="0"/>
                <w:color w:val="000000" w:themeColor="text1"/>
                <w:kern w:val="0"/>
                <w:sz w:val="24"/>
                <w:highlight w:val="none"/>
                <w14:textFill>
                  <w14:solidFill>
                    <w14:schemeClr w14:val="tx1"/>
                  </w14:solidFill>
                </w14:textFill>
              </w:rPr>
            </w:pPr>
            <w:r>
              <w:rPr>
                <w:rFonts w:hint="eastAsia" w:ascii="Times New Roman" w:hAnsi="Times New Roman"/>
                <w:b w:val="0"/>
                <w:bCs w:val="0"/>
                <w:color w:val="000000" w:themeColor="text1"/>
                <w:sz w:val="24"/>
                <w:highlight w:val="none"/>
                <w:lang w:val="en-US" w:eastAsia="zh-CN"/>
                <w14:textFill>
                  <w14:solidFill>
                    <w14:schemeClr w14:val="tx1"/>
                  </w14:solidFill>
                </w14:textFill>
              </w:rPr>
              <w:t>（4）</w:t>
            </w:r>
            <w:r>
              <w:rPr>
                <w:rFonts w:hint="eastAsia" w:ascii="Times New Roman" w:hAnsi="Times New Roman"/>
                <w:b w:val="0"/>
                <w:bCs w:val="0"/>
                <w:color w:val="000000" w:themeColor="text1"/>
                <w:sz w:val="24"/>
                <w:highlight w:val="none"/>
                <w14:textFill>
                  <w14:solidFill>
                    <w14:schemeClr w14:val="tx1"/>
                  </w14:solidFill>
                </w14:textFill>
              </w:rPr>
              <w:t>非正常工况下污染物的排放情况</w:t>
            </w:r>
          </w:p>
          <w:p w14:paraId="4840CB1C">
            <w:pPr>
              <w:shd w:val="clear"/>
              <w:autoSpaceDE w:val="0"/>
              <w:autoSpaceDN w:val="0"/>
              <w:adjustRightInd w:val="0"/>
              <w:spacing w:line="360" w:lineRule="auto"/>
              <w:ind w:firstLine="480" w:firstLineChars="200"/>
              <w:rPr>
                <w:rFonts w:ascii="Times New Roman" w:hAnsi="Times New Roman"/>
                <w:snapToGrid w:val="0"/>
                <w:color w:val="000000" w:themeColor="text1"/>
                <w:sz w:val="24"/>
                <w:highlight w:val="none"/>
                <w14:textFill>
                  <w14:solidFill>
                    <w14:schemeClr w14:val="tx1"/>
                  </w14:solidFill>
                </w14:textFill>
              </w:rPr>
            </w:pPr>
            <w:r>
              <w:rPr>
                <w:rFonts w:hint="eastAsia" w:ascii="Times New Roman" w:hAnsi="Times New Roman"/>
                <w:snapToGrid w:val="0"/>
                <w:color w:val="000000" w:themeColor="text1"/>
                <w:sz w:val="24"/>
                <w:highlight w:val="none"/>
                <w14:textFill>
                  <w14:solidFill>
                    <w14:schemeClr w14:val="tx1"/>
                  </w14:solidFill>
                </w14:textFill>
              </w:rPr>
              <w:t>非正常工况下污染物的排放情况详见下表。</w:t>
            </w:r>
          </w:p>
          <w:p w14:paraId="2B82779F">
            <w:pPr>
              <w:pStyle w:val="208"/>
              <w:shd w:val="clear"/>
              <w:spacing w:line="240" w:lineRule="auto"/>
              <w:ind w:firstLine="0"/>
              <w:jc w:val="center"/>
              <w:rPr>
                <w:rFonts w:hint="eastAsia"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t>表4-</w:t>
            </w:r>
            <w:r>
              <w:rPr>
                <w:rFonts w:hint="eastAsia" w:ascii="Times New Roman" w:cs="Times New Roman"/>
                <w:b/>
                <w:bCs/>
                <w:color w:val="000000" w:themeColor="text1"/>
                <w:kern w:val="0"/>
                <w:sz w:val="21"/>
                <w:szCs w:val="21"/>
                <w:highlight w:val="none"/>
                <w:lang w:val="en-US" w:eastAsia="zh-CN"/>
                <w14:textFill>
                  <w14:solidFill>
                    <w14:schemeClr w14:val="tx1"/>
                  </w14:solidFill>
                </w14:textFill>
              </w:rPr>
              <w:t>7</w:t>
            </w:r>
            <w:r>
              <w:rPr>
                <w:rFonts w:hint="eastAsia"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t xml:space="preserve"> 污染物非正常情况排放核算表</w:t>
            </w:r>
          </w:p>
          <w:tbl>
            <w:tblPr>
              <w:tblStyle w:val="41"/>
              <w:tblW w:w="7962"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962"/>
              <w:gridCol w:w="983"/>
              <w:gridCol w:w="633"/>
              <w:gridCol w:w="817"/>
              <w:gridCol w:w="917"/>
              <w:gridCol w:w="867"/>
              <w:gridCol w:w="788"/>
              <w:gridCol w:w="838"/>
              <w:gridCol w:w="1157"/>
            </w:tblGrid>
            <w:tr w14:paraId="7E14D9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962" w:type="dxa"/>
                  <w:shd w:val="clear" w:color="auto" w:fill="auto"/>
                  <w:noWrap w:val="0"/>
                  <w:vAlign w:val="center"/>
                </w:tcPr>
                <w:p w14:paraId="2D009A83">
                  <w:pPr>
                    <w:pStyle w:val="208"/>
                    <w:shd w:val="clear"/>
                    <w:spacing w:line="280" w:lineRule="exact"/>
                    <w:ind w:firstLine="0"/>
                    <w:jc w:val="center"/>
                    <w:rPr>
                      <w:rFonts w:ascii="Times New Roman" w:hAnsi="Times New Roman"/>
                      <w:b/>
                      <w:bCs/>
                      <w:color w:val="000000" w:themeColor="text1"/>
                      <w:sz w:val="21"/>
                      <w:szCs w:val="21"/>
                      <w:highlight w:val="none"/>
                      <w14:textFill>
                        <w14:solidFill>
                          <w14:schemeClr w14:val="tx1"/>
                        </w14:solidFill>
                      </w14:textFill>
                    </w:rPr>
                  </w:pPr>
                  <w:r>
                    <w:rPr>
                      <w:rFonts w:hint="eastAsia" w:ascii="Times New Roman" w:hAnsi="Times New Roman"/>
                      <w:b/>
                      <w:bCs/>
                      <w:color w:val="000000" w:themeColor="text1"/>
                      <w:sz w:val="21"/>
                      <w:szCs w:val="21"/>
                      <w:highlight w:val="none"/>
                      <w14:textFill>
                        <w14:solidFill>
                          <w14:schemeClr w14:val="tx1"/>
                        </w14:solidFill>
                      </w14:textFill>
                    </w:rPr>
                    <w:t>非正常排放源</w:t>
                  </w:r>
                </w:p>
              </w:tc>
              <w:tc>
                <w:tcPr>
                  <w:tcW w:w="983" w:type="dxa"/>
                  <w:shd w:val="clear" w:color="auto" w:fill="auto"/>
                  <w:noWrap w:val="0"/>
                  <w:vAlign w:val="center"/>
                </w:tcPr>
                <w:p w14:paraId="38D71788">
                  <w:pPr>
                    <w:pStyle w:val="208"/>
                    <w:shd w:val="clear"/>
                    <w:spacing w:line="280" w:lineRule="exact"/>
                    <w:ind w:firstLine="0"/>
                    <w:jc w:val="center"/>
                    <w:rPr>
                      <w:rFonts w:ascii="Times New Roman" w:hAnsi="Times New Roman"/>
                      <w:b/>
                      <w:bCs/>
                      <w:color w:val="000000" w:themeColor="text1"/>
                      <w:sz w:val="21"/>
                      <w:szCs w:val="21"/>
                      <w:highlight w:val="none"/>
                      <w14:textFill>
                        <w14:solidFill>
                          <w14:schemeClr w14:val="tx1"/>
                        </w14:solidFill>
                      </w14:textFill>
                    </w:rPr>
                  </w:pPr>
                  <w:r>
                    <w:rPr>
                      <w:rFonts w:hint="eastAsia" w:ascii="Times New Roman" w:hAnsi="Times New Roman"/>
                      <w:b/>
                      <w:bCs/>
                      <w:color w:val="000000" w:themeColor="text1"/>
                      <w:sz w:val="21"/>
                      <w:szCs w:val="21"/>
                      <w:highlight w:val="none"/>
                      <w14:textFill>
                        <w14:solidFill>
                          <w14:schemeClr w14:val="tx1"/>
                        </w14:solidFill>
                      </w14:textFill>
                    </w:rPr>
                    <w:t>排放情景</w:t>
                  </w:r>
                </w:p>
              </w:tc>
              <w:tc>
                <w:tcPr>
                  <w:tcW w:w="1450" w:type="dxa"/>
                  <w:gridSpan w:val="2"/>
                  <w:shd w:val="clear" w:color="auto" w:fill="auto"/>
                  <w:noWrap w:val="0"/>
                  <w:vAlign w:val="center"/>
                </w:tcPr>
                <w:p w14:paraId="767E232F">
                  <w:pPr>
                    <w:pStyle w:val="208"/>
                    <w:shd w:val="clear"/>
                    <w:spacing w:line="280" w:lineRule="exact"/>
                    <w:ind w:firstLine="0"/>
                    <w:jc w:val="center"/>
                    <w:rPr>
                      <w:rFonts w:ascii="Times New Roman" w:hAnsi="Times New Roman"/>
                      <w:b/>
                      <w:bCs/>
                      <w:color w:val="000000" w:themeColor="text1"/>
                      <w:sz w:val="21"/>
                      <w:szCs w:val="21"/>
                      <w:highlight w:val="none"/>
                      <w14:textFill>
                        <w14:solidFill>
                          <w14:schemeClr w14:val="tx1"/>
                        </w14:solidFill>
                      </w14:textFill>
                    </w:rPr>
                  </w:pPr>
                  <w:r>
                    <w:rPr>
                      <w:rFonts w:hint="eastAsia" w:ascii="Times New Roman" w:hAnsi="Times New Roman"/>
                      <w:b/>
                      <w:bCs/>
                      <w:color w:val="000000" w:themeColor="text1"/>
                      <w:sz w:val="21"/>
                      <w:szCs w:val="21"/>
                      <w:highlight w:val="none"/>
                      <w14:textFill>
                        <w14:solidFill>
                          <w14:schemeClr w14:val="tx1"/>
                        </w14:solidFill>
                      </w14:textFill>
                    </w:rPr>
                    <w:t>污染物</w:t>
                  </w:r>
                </w:p>
              </w:tc>
              <w:tc>
                <w:tcPr>
                  <w:tcW w:w="917" w:type="dxa"/>
                  <w:shd w:val="clear" w:color="auto" w:fill="auto"/>
                  <w:noWrap w:val="0"/>
                  <w:vAlign w:val="center"/>
                </w:tcPr>
                <w:p w14:paraId="27DCB013">
                  <w:pPr>
                    <w:pStyle w:val="208"/>
                    <w:shd w:val="clear"/>
                    <w:spacing w:line="280" w:lineRule="exact"/>
                    <w:ind w:firstLine="0"/>
                    <w:jc w:val="center"/>
                    <w:rPr>
                      <w:rFonts w:ascii="Times New Roman" w:hAnsi="Times New Roman"/>
                      <w:b/>
                      <w:bCs/>
                      <w:color w:val="000000" w:themeColor="text1"/>
                      <w:sz w:val="21"/>
                      <w:szCs w:val="21"/>
                      <w:highlight w:val="none"/>
                      <w14:textFill>
                        <w14:solidFill>
                          <w14:schemeClr w14:val="tx1"/>
                        </w14:solidFill>
                      </w14:textFill>
                    </w:rPr>
                  </w:pPr>
                  <w:r>
                    <w:rPr>
                      <w:rFonts w:hint="eastAsia" w:ascii="Times New Roman" w:hAnsi="Times New Roman"/>
                      <w:b/>
                      <w:bCs/>
                      <w:color w:val="000000" w:themeColor="text1"/>
                      <w:sz w:val="21"/>
                      <w:szCs w:val="21"/>
                      <w:highlight w:val="none"/>
                      <w14:textFill>
                        <w14:solidFill>
                          <w14:schemeClr w14:val="tx1"/>
                        </w14:solidFill>
                      </w14:textFill>
                    </w:rPr>
                    <w:t>排放速率（kg/h）</w:t>
                  </w:r>
                </w:p>
              </w:tc>
              <w:tc>
                <w:tcPr>
                  <w:tcW w:w="867" w:type="dxa"/>
                  <w:shd w:val="clear" w:color="auto" w:fill="auto"/>
                  <w:noWrap w:val="0"/>
                  <w:vAlign w:val="center"/>
                </w:tcPr>
                <w:p w14:paraId="379A9597">
                  <w:pPr>
                    <w:pStyle w:val="208"/>
                    <w:shd w:val="clear"/>
                    <w:spacing w:line="280" w:lineRule="exact"/>
                    <w:ind w:firstLine="0"/>
                    <w:jc w:val="center"/>
                    <w:rPr>
                      <w:rFonts w:ascii="Times New Roman" w:hAnsi="Times New Roman"/>
                      <w:b/>
                      <w:bCs/>
                      <w:color w:val="000000" w:themeColor="text1"/>
                      <w:sz w:val="21"/>
                      <w:szCs w:val="21"/>
                      <w:highlight w:val="none"/>
                      <w14:textFill>
                        <w14:solidFill>
                          <w14:schemeClr w14:val="tx1"/>
                        </w14:solidFill>
                      </w14:textFill>
                    </w:rPr>
                  </w:pPr>
                  <w:r>
                    <w:rPr>
                      <w:rFonts w:hint="eastAsia" w:ascii="Times New Roman" w:hAnsi="Times New Roman"/>
                      <w:b/>
                      <w:bCs/>
                      <w:color w:val="000000" w:themeColor="text1"/>
                      <w:sz w:val="21"/>
                      <w:szCs w:val="21"/>
                      <w:highlight w:val="none"/>
                      <w14:textFill>
                        <w14:solidFill>
                          <w14:schemeClr w14:val="tx1"/>
                        </w14:solidFill>
                      </w14:textFill>
                    </w:rPr>
                    <w:t>排放浓度（mg/m</w:t>
                  </w:r>
                  <w:r>
                    <w:rPr>
                      <w:rFonts w:hint="eastAsia" w:ascii="Times New Roman" w:hAnsi="Times New Roman"/>
                      <w:b/>
                      <w:bCs/>
                      <w:color w:val="000000" w:themeColor="text1"/>
                      <w:sz w:val="21"/>
                      <w:szCs w:val="21"/>
                      <w:highlight w:val="none"/>
                      <w:vertAlign w:val="superscript"/>
                      <w14:textFill>
                        <w14:solidFill>
                          <w14:schemeClr w14:val="tx1"/>
                        </w14:solidFill>
                      </w14:textFill>
                    </w:rPr>
                    <w:t>3</w:t>
                  </w:r>
                  <w:r>
                    <w:rPr>
                      <w:rFonts w:hint="eastAsia" w:ascii="Times New Roman" w:hAnsi="Times New Roman"/>
                      <w:b/>
                      <w:bCs/>
                      <w:color w:val="000000" w:themeColor="text1"/>
                      <w:sz w:val="21"/>
                      <w:szCs w:val="21"/>
                      <w:highlight w:val="none"/>
                      <w14:textFill>
                        <w14:solidFill>
                          <w14:schemeClr w14:val="tx1"/>
                        </w14:solidFill>
                      </w14:textFill>
                    </w:rPr>
                    <w:t>）</w:t>
                  </w:r>
                </w:p>
              </w:tc>
              <w:tc>
                <w:tcPr>
                  <w:tcW w:w="788" w:type="dxa"/>
                  <w:shd w:val="clear" w:color="auto" w:fill="auto"/>
                  <w:noWrap w:val="0"/>
                  <w:vAlign w:val="center"/>
                </w:tcPr>
                <w:p w14:paraId="707094A8">
                  <w:pPr>
                    <w:pStyle w:val="208"/>
                    <w:shd w:val="clear"/>
                    <w:spacing w:line="280" w:lineRule="exact"/>
                    <w:ind w:firstLine="0"/>
                    <w:jc w:val="center"/>
                    <w:rPr>
                      <w:rFonts w:ascii="Times New Roman" w:hAnsi="Times New Roman"/>
                      <w:b/>
                      <w:bCs/>
                      <w:color w:val="000000" w:themeColor="text1"/>
                      <w:sz w:val="21"/>
                      <w:szCs w:val="21"/>
                      <w:highlight w:val="none"/>
                      <w14:textFill>
                        <w14:solidFill>
                          <w14:schemeClr w14:val="tx1"/>
                        </w14:solidFill>
                      </w14:textFill>
                    </w:rPr>
                  </w:pPr>
                  <w:r>
                    <w:rPr>
                      <w:rFonts w:hint="eastAsia" w:ascii="Times New Roman" w:hAnsi="Times New Roman"/>
                      <w:b/>
                      <w:bCs/>
                      <w:color w:val="000000" w:themeColor="text1"/>
                      <w:sz w:val="21"/>
                      <w:szCs w:val="21"/>
                      <w:highlight w:val="none"/>
                      <w14:textFill>
                        <w14:solidFill>
                          <w14:schemeClr w14:val="tx1"/>
                        </w14:solidFill>
                      </w14:textFill>
                    </w:rPr>
                    <w:t>年发生频次/次</w:t>
                  </w:r>
                </w:p>
              </w:tc>
              <w:tc>
                <w:tcPr>
                  <w:tcW w:w="838" w:type="dxa"/>
                  <w:shd w:val="clear" w:color="auto" w:fill="auto"/>
                  <w:noWrap w:val="0"/>
                  <w:vAlign w:val="center"/>
                </w:tcPr>
                <w:p w14:paraId="37F0B766">
                  <w:pPr>
                    <w:pStyle w:val="208"/>
                    <w:shd w:val="clear"/>
                    <w:spacing w:line="280" w:lineRule="exact"/>
                    <w:ind w:firstLine="0"/>
                    <w:jc w:val="center"/>
                    <w:rPr>
                      <w:rFonts w:ascii="Times New Roman" w:hAnsi="Times New Roman"/>
                      <w:b/>
                      <w:bCs/>
                      <w:color w:val="000000" w:themeColor="text1"/>
                      <w:sz w:val="21"/>
                      <w:szCs w:val="21"/>
                      <w:highlight w:val="none"/>
                      <w14:textFill>
                        <w14:solidFill>
                          <w14:schemeClr w14:val="tx1"/>
                        </w14:solidFill>
                      </w14:textFill>
                    </w:rPr>
                  </w:pPr>
                  <w:r>
                    <w:rPr>
                      <w:rFonts w:hint="eastAsia" w:ascii="Times New Roman" w:hAnsi="Times New Roman"/>
                      <w:b/>
                      <w:bCs/>
                      <w:color w:val="000000" w:themeColor="text1"/>
                      <w:sz w:val="21"/>
                      <w:szCs w:val="21"/>
                      <w:highlight w:val="none"/>
                      <w14:textFill>
                        <w14:solidFill>
                          <w14:schemeClr w14:val="tx1"/>
                        </w14:solidFill>
                      </w14:textFill>
                    </w:rPr>
                    <w:t>持续时间（min）</w:t>
                  </w:r>
                </w:p>
              </w:tc>
              <w:tc>
                <w:tcPr>
                  <w:tcW w:w="1157" w:type="dxa"/>
                  <w:shd w:val="clear" w:color="auto" w:fill="auto"/>
                  <w:noWrap w:val="0"/>
                  <w:vAlign w:val="center"/>
                </w:tcPr>
                <w:p w14:paraId="453155F1">
                  <w:pPr>
                    <w:pStyle w:val="208"/>
                    <w:shd w:val="clear"/>
                    <w:spacing w:line="280" w:lineRule="exact"/>
                    <w:ind w:firstLine="0"/>
                    <w:jc w:val="center"/>
                    <w:rPr>
                      <w:rFonts w:ascii="Times New Roman" w:hAnsi="Times New Roman"/>
                      <w:b/>
                      <w:bCs/>
                      <w:color w:val="000000" w:themeColor="text1"/>
                      <w:sz w:val="21"/>
                      <w:szCs w:val="21"/>
                      <w:highlight w:val="none"/>
                      <w14:textFill>
                        <w14:solidFill>
                          <w14:schemeClr w14:val="tx1"/>
                        </w14:solidFill>
                      </w14:textFill>
                    </w:rPr>
                  </w:pPr>
                  <w:r>
                    <w:rPr>
                      <w:rFonts w:hint="eastAsia" w:ascii="Times New Roman" w:hAnsi="Times New Roman"/>
                      <w:b/>
                      <w:bCs/>
                      <w:color w:val="000000" w:themeColor="text1"/>
                      <w:sz w:val="21"/>
                      <w:szCs w:val="21"/>
                      <w:highlight w:val="none"/>
                      <w14:textFill>
                        <w14:solidFill>
                          <w14:schemeClr w14:val="tx1"/>
                        </w14:solidFill>
                      </w14:textFill>
                    </w:rPr>
                    <w:t>应对措施</w:t>
                  </w:r>
                </w:p>
              </w:tc>
            </w:tr>
            <w:tr w14:paraId="3462A3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962" w:type="dxa"/>
                  <w:vMerge w:val="restart"/>
                  <w:shd w:val="clear" w:color="auto" w:fill="auto"/>
                  <w:noWrap w:val="0"/>
                  <w:vAlign w:val="center"/>
                </w:tcPr>
                <w:p w14:paraId="7C777AAB">
                  <w:pPr>
                    <w:pStyle w:val="208"/>
                    <w:shd w:val="clear"/>
                    <w:spacing w:line="280" w:lineRule="exact"/>
                    <w:ind w:firstLine="0"/>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ascii="Times New Roman" w:hAnsi="Times New Roman"/>
                      <w:color w:val="000000" w:themeColor="text1"/>
                      <w:sz w:val="21"/>
                      <w:szCs w:val="21"/>
                      <w:highlight w:val="none"/>
                      <w:lang w:val="en-US" w:eastAsia="zh-CN"/>
                      <w14:textFill>
                        <w14:solidFill>
                          <w14:schemeClr w14:val="tx1"/>
                        </w14:solidFill>
                      </w14:textFill>
                    </w:rPr>
                    <w:t>涂布烘干、电解液注液等</w:t>
                  </w:r>
                </w:p>
              </w:tc>
              <w:tc>
                <w:tcPr>
                  <w:tcW w:w="983" w:type="dxa"/>
                  <w:vMerge w:val="restart"/>
                  <w:shd w:val="clear" w:color="auto" w:fill="auto"/>
                  <w:noWrap w:val="0"/>
                  <w:vAlign w:val="center"/>
                </w:tcPr>
                <w:p w14:paraId="5D548C55">
                  <w:pPr>
                    <w:pStyle w:val="208"/>
                    <w:shd w:val="clear"/>
                    <w:spacing w:line="280" w:lineRule="exact"/>
                    <w:ind w:firstLine="0"/>
                    <w:jc w:val="center"/>
                    <w:rPr>
                      <w:rFonts w:hint="eastAsia" w:ascii="Times New Roman" w:hAnsi="Times New Roman" w:eastAsia="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olor w:val="000000" w:themeColor="text1"/>
                      <w:kern w:val="2"/>
                      <w:sz w:val="21"/>
                      <w:szCs w:val="21"/>
                      <w:highlight w:val="none"/>
                      <w:lang w:val="en-US" w:eastAsia="zh-CN" w:bidi="ar-SA"/>
                      <w14:textFill>
                        <w14:solidFill>
                          <w14:schemeClr w14:val="tx1"/>
                        </w14:solidFill>
                      </w14:textFill>
                    </w:rPr>
                    <w:t>废气处理装置出现故障</w:t>
                  </w:r>
                  <w:r>
                    <w:rPr>
                      <w:rFonts w:hint="eastAsia" w:ascii="Times New Roman" w:hAnsi="Times New Roman"/>
                      <w:color w:val="000000" w:themeColor="text1"/>
                      <w:sz w:val="21"/>
                      <w:szCs w:val="21"/>
                      <w:highlight w:val="none"/>
                      <w14:textFill>
                        <w14:solidFill>
                          <w14:schemeClr w14:val="tx1"/>
                        </w14:solidFill>
                      </w14:textFill>
                    </w:rPr>
                    <w:t>，处理效率0</w:t>
                  </w:r>
                  <w:r>
                    <w:rPr>
                      <w:rFonts w:hint="eastAsia" w:ascii="Times New Roman" w:hAnsi="Times New Roman"/>
                      <w:color w:val="000000" w:themeColor="text1"/>
                      <w:sz w:val="21"/>
                      <w:szCs w:val="21"/>
                      <w:highlight w:val="none"/>
                      <w:lang w:val="en-US" w:eastAsia="zh-CN"/>
                      <w14:textFill>
                        <w14:solidFill>
                          <w14:schemeClr w14:val="tx1"/>
                        </w14:solidFill>
                      </w14:textFill>
                    </w:rPr>
                    <w:t>%</w:t>
                  </w:r>
                </w:p>
              </w:tc>
              <w:tc>
                <w:tcPr>
                  <w:tcW w:w="633" w:type="dxa"/>
                  <w:shd w:val="clear" w:color="auto" w:fill="auto"/>
                  <w:noWrap w:val="0"/>
                  <w:vAlign w:val="center"/>
                </w:tcPr>
                <w:p w14:paraId="5F82E16A">
                  <w:pPr>
                    <w:pStyle w:val="208"/>
                    <w:shd w:val="clear"/>
                    <w:spacing w:line="280" w:lineRule="exact"/>
                    <w:ind w:left="0" w:leftChars="0" w:firstLine="0" w:firstLineChars="0"/>
                    <w:jc w:val="center"/>
                    <w:rPr>
                      <w:rFonts w:hint="default" w:ascii="Times New Roman" w:hAnsi="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olor w:val="000000" w:themeColor="text1"/>
                      <w:sz w:val="21"/>
                      <w:szCs w:val="21"/>
                      <w:highlight w:val="none"/>
                      <w:lang w:val="en-US" w:eastAsia="zh-CN"/>
                      <w14:textFill>
                        <w14:solidFill>
                          <w14:schemeClr w14:val="tx1"/>
                        </w14:solidFill>
                      </w14:textFill>
                    </w:rPr>
                    <w:t>DA001</w:t>
                  </w:r>
                </w:p>
              </w:tc>
              <w:tc>
                <w:tcPr>
                  <w:tcW w:w="817" w:type="dxa"/>
                  <w:shd w:val="clear" w:color="auto" w:fill="auto"/>
                  <w:noWrap w:val="0"/>
                  <w:vAlign w:val="center"/>
                </w:tcPr>
                <w:p w14:paraId="5D286D80">
                  <w:pPr>
                    <w:pStyle w:val="208"/>
                    <w:shd w:val="clear"/>
                    <w:spacing w:line="280" w:lineRule="exact"/>
                    <w:ind w:left="0" w:leftChars="0" w:firstLine="0" w:firstLineChars="0"/>
                    <w:jc w:val="center"/>
                    <w:rPr>
                      <w:rFonts w:hint="default" w:ascii="Times New Roman" w:hAnsi="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olor w:val="000000" w:themeColor="text1"/>
                      <w:sz w:val="21"/>
                      <w:szCs w:val="21"/>
                      <w:highlight w:val="none"/>
                      <w:lang w:val="en-US" w:eastAsia="zh-CN"/>
                      <w14:textFill>
                        <w14:solidFill>
                          <w14:schemeClr w14:val="tx1"/>
                        </w14:solidFill>
                      </w14:textFill>
                    </w:rPr>
                    <w:t>非甲烷总烃</w:t>
                  </w:r>
                </w:p>
              </w:tc>
              <w:tc>
                <w:tcPr>
                  <w:tcW w:w="917" w:type="dxa"/>
                  <w:shd w:val="clear" w:color="auto" w:fill="auto"/>
                  <w:noWrap w:val="0"/>
                  <w:vAlign w:val="center"/>
                </w:tcPr>
                <w:p w14:paraId="559C979E">
                  <w:pPr>
                    <w:pStyle w:val="208"/>
                    <w:shd w:val="clear"/>
                    <w:spacing w:line="280" w:lineRule="exact"/>
                    <w:ind w:left="0" w:leftChars="0" w:firstLine="0" w:firstLineChars="0"/>
                    <w:jc w:val="center"/>
                    <w:rPr>
                      <w:rFonts w:hint="default" w:ascii="Times New Roman" w:hAnsi="Times New Roman"/>
                      <w:color w:val="000000" w:themeColor="text1"/>
                      <w:sz w:val="21"/>
                      <w:szCs w:val="21"/>
                      <w:highlight w:val="none"/>
                      <w:lang w:val="en-US" w:eastAsia="zh-CN"/>
                      <w14:textFill>
                        <w14:solidFill>
                          <w14:schemeClr w14:val="tx1"/>
                        </w14:solidFill>
                      </w14:textFill>
                    </w:rPr>
                  </w:pPr>
                  <w:r>
                    <w:rPr>
                      <w:rFonts w:hint="eastAsia" w:ascii="Times New Roman"/>
                      <w:color w:val="000000" w:themeColor="text1"/>
                      <w:sz w:val="21"/>
                      <w:szCs w:val="21"/>
                      <w:highlight w:val="none"/>
                      <w:lang w:val="en-US" w:eastAsia="zh-CN"/>
                      <w14:textFill>
                        <w14:solidFill>
                          <w14:schemeClr w14:val="tx1"/>
                        </w14:solidFill>
                      </w14:textFill>
                    </w:rPr>
                    <w:t>242.7</w:t>
                  </w:r>
                </w:p>
              </w:tc>
              <w:tc>
                <w:tcPr>
                  <w:tcW w:w="867" w:type="dxa"/>
                  <w:shd w:val="clear" w:color="auto" w:fill="auto"/>
                  <w:noWrap w:val="0"/>
                  <w:vAlign w:val="center"/>
                </w:tcPr>
                <w:p w14:paraId="1A573165">
                  <w:pPr>
                    <w:pStyle w:val="208"/>
                    <w:shd w:val="clear"/>
                    <w:spacing w:line="280" w:lineRule="exact"/>
                    <w:ind w:left="0" w:leftChars="0" w:firstLine="0" w:firstLineChars="0"/>
                    <w:jc w:val="center"/>
                    <w:rPr>
                      <w:rFonts w:hint="default" w:ascii="Times New Roman" w:hAnsi="Times New Roman"/>
                      <w:color w:val="000000" w:themeColor="text1"/>
                      <w:sz w:val="21"/>
                      <w:szCs w:val="21"/>
                      <w:highlight w:val="none"/>
                      <w:lang w:val="en-US" w:eastAsia="zh-CN"/>
                      <w14:textFill>
                        <w14:solidFill>
                          <w14:schemeClr w14:val="tx1"/>
                        </w14:solidFill>
                      </w14:textFill>
                    </w:rPr>
                  </w:pPr>
                  <w:r>
                    <w:rPr>
                      <w:rFonts w:hint="eastAsia" w:ascii="Times New Roman"/>
                      <w:color w:val="000000" w:themeColor="text1"/>
                      <w:sz w:val="21"/>
                      <w:szCs w:val="21"/>
                      <w:highlight w:val="none"/>
                      <w:lang w:val="en-US" w:eastAsia="zh-CN"/>
                      <w14:textFill>
                        <w14:solidFill>
                          <w14:schemeClr w14:val="tx1"/>
                        </w14:solidFill>
                      </w14:textFill>
                    </w:rPr>
                    <w:t>6934.3</w:t>
                  </w:r>
                </w:p>
              </w:tc>
              <w:tc>
                <w:tcPr>
                  <w:tcW w:w="788" w:type="dxa"/>
                  <w:vMerge w:val="restart"/>
                  <w:shd w:val="clear" w:color="auto" w:fill="auto"/>
                  <w:noWrap w:val="0"/>
                  <w:vAlign w:val="center"/>
                </w:tcPr>
                <w:p w14:paraId="062B032E">
                  <w:pPr>
                    <w:pStyle w:val="208"/>
                    <w:shd w:val="clear"/>
                    <w:spacing w:line="280" w:lineRule="exact"/>
                    <w:ind w:firstLine="0"/>
                    <w:jc w:val="center"/>
                    <w:rPr>
                      <w:rFonts w:ascii="Times New Roman" w:hAnsi="Times New Roman"/>
                      <w:color w:val="000000" w:themeColor="text1"/>
                      <w:sz w:val="21"/>
                      <w:szCs w:val="21"/>
                      <w:highlight w:val="none"/>
                      <w14:textFill>
                        <w14:solidFill>
                          <w14:schemeClr w14:val="tx1"/>
                        </w14:solidFill>
                      </w14:textFill>
                    </w:rPr>
                  </w:pPr>
                  <w:r>
                    <w:rPr>
                      <w:rFonts w:hint="eastAsia" w:ascii="Times New Roman" w:hAnsi="Times New Roman"/>
                      <w:color w:val="000000" w:themeColor="text1"/>
                      <w:sz w:val="21"/>
                      <w:szCs w:val="21"/>
                      <w:highlight w:val="none"/>
                      <w14:textFill>
                        <w14:solidFill>
                          <w14:schemeClr w14:val="tx1"/>
                        </w14:solidFill>
                      </w14:textFill>
                    </w:rPr>
                    <w:t>1</w:t>
                  </w:r>
                </w:p>
              </w:tc>
              <w:tc>
                <w:tcPr>
                  <w:tcW w:w="838" w:type="dxa"/>
                  <w:vMerge w:val="restart"/>
                  <w:shd w:val="clear" w:color="auto" w:fill="auto"/>
                  <w:noWrap w:val="0"/>
                  <w:vAlign w:val="center"/>
                </w:tcPr>
                <w:p w14:paraId="0641F8F9">
                  <w:pPr>
                    <w:pStyle w:val="208"/>
                    <w:shd w:val="clear"/>
                    <w:spacing w:line="280" w:lineRule="exact"/>
                    <w:ind w:firstLine="0"/>
                    <w:jc w:val="center"/>
                    <w:rPr>
                      <w:rFonts w:hint="default" w:ascii="Times New Roman" w:hAnsi="Times New Roman" w:eastAsia="宋体"/>
                      <w:color w:val="000000" w:themeColor="text1"/>
                      <w:sz w:val="21"/>
                      <w:szCs w:val="21"/>
                      <w:highlight w:val="none"/>
                      <w:lang w:val="en-US" w:eastAsia="zh-CN"/>
                      <w14:textFill>
                        <w14:solidFill>
                          <w14:schemeClr w14:val="tx1"/>
                        </w14:solidFill>
                      </w14:textFill>
                    </w:rPr>
                  </w:pPr>
                  <w:r>
                    <w:rPr>
                      <w:rFonts w:hint="eastAsia" w:ascii="Times New Roman" w:hAnsi="Times New Roman"/>
                      <w:color w:val="000000" w:themeColor="text1"/>
                      <w:sz w:val="21"/>
                      <w:szCs w:val="21"/>
                      <w:highlight w:val="none"/>
                      <w:lang w:val="en-US" w:eastAsia="zh-CN"/>
                      <w14:textFill>
                        <w14:solidFill>
                          <w14:schemeClr w14:val="tx1"/>
                        </w14:solidFill>
                      </w14:textFill>
                    </w:rPr>
                    <w:t>60</w:t>
                  </w:r>
                </w:p>
              </w:tc>
              <w:tc>
                <w:tcPr>
                  <w:tcW w:w="1157" w:type="dxa"/>
                  <w:vMerge w:val="restart"/>
                  <w:shd w:val="clear" w:color="auto" w:fill="auto"/>
                  <w:noWrap w:val="0"/>
                  <w:vAlign w:val="center"/>
                </w:tcPr>
                <w:p w14:paraId="19FD78CB">
                  <w:pPr>
                    <w:pStyle w:val="208"/>
                    <w:shd w:val="clear"/>
                    <w:spacing w:line="280" w:lineRule="exact"/>
                    <w:ind w:firstLine="0"/>
                    <w:jc w:val="center"/>
                    <w:rPr>
                      <w:rFonts w:ascii="Times New Roman" w:hAnsi="Times New Roman"/>
                      <w:color w:val="000000" w:themeColor="text1"/>
                      <w:sz w:val="21"/>
                      <w:szCs w:val="21"/>
                      <w:highlight w:val="none"/>
                      <w14:textFill>
                        <w14:solidFill>
                          <w14:schemeClr w14:val="tx1"/>
                        </w14:solidFill>
                      </w14:textFill>
                    </w:rPr>
                  </w:pPr>
                  <w:r>
                    <w:rPr>
                      <w:rFonts w:ascii="Times New Roman"/>
                      <w:color w:val="000000" w:themeColor="text1"/>
                      <w:sz w:val="21"/>
                      <w:szCs w:val="21"/>
                      <w:highlight w:val="none"/>
                      <w14:textFill>
                        <w14:solidFill>
                          <w14:schemeClr w14:val="tx1"/>
                        </w14:solidFill>
                      </w14:textFill>
                    </w:rPr>
                    <w:t>平时加强检查和维护，如发现环保设施或集气系统故障时，立即停机检查</w:t>
                  </w:r>
                </w:p>
              </w:tc>
            </w:tr>
            <w:tr w14:paraId="146A0A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962" w:type="dxa"/>
                  <w:vMerge w:val="continue"/>
                  <w:shd w:val="clear" w:color="auto" w:fill="auto"/>
                  <w:noWrap w:val="0"/>
                  <w:vAlign w:val="center"/>
                </w:tcPr>
                <w:p w14:paraId="0B2EEB22">
                  <w:pPr>
                    <w:pStyle w:val="208"/>
                    <w:shd w:val="clear"/>
                    <w:spacing w:line="280" w:lineRule="exact"/>
                    <w:ind w:left="0" w:leftChars="0" w:firstLine="0" w:firstLineChars="0"/>
                    <w:jc w:val="center"/>
                    <w:rPr>
                      <w:color w:val="000000" w:themeColor="text1"/>
                      <w14:textFill>
                        <w14:solidFill>
                          <w14:schemeClr w14:val="tx1"/>
                        </w14:solidFill>
                      </w14:textFill>
                    </w:rPr>
                  </w:pPr>
                </w:p>
              </w:tc>
              <w:tc>
                <w:tcPr>
                  <w:tcW w:w="983" w:type="dxa"/>
                  <w:vMerge w:val="continue"/>
                  <w:shd w:val="clear" w:color="auto" w:fill="auto"/>
                  <w:noWrap w:val="0"/>
                  <w:vAlign w:val="center"/>
                </w:tcPr>
                <w:p w14:paraId="313178A5">
                  <w:pPr>
                    <w:pStyle w:val="208"/>
                    <w:shd w:val="clear"/>
                    <w:spacing w:line="280" w:lineRule="exact"/>
                    <w:ind w:left="0" w:leftChars="0" w:firstLine="0" w:firstLineChars="0"/>
                    <w:jc w:val="center"/>
                    <w:rPr>
                      <w:color w:val="000000" w:themeColor="text1"/>
                      <w14:textFill>
                        <w14:solidFill>
                          <w14:schemeClr w14:val="tx1"/>
                        </w14:solidFill>
                      </w14:textFill>
                    </w:rPr>
                  </w:pPr>
                </w:p>
              </w:tc>
              <w:tc>
                <w:tcPr>
                  <w:tcW w:w="633" w:type="dxa"/>
                  <w:shd w:val="clear" w:color="auto" w:fill="auto"/>
                  <w:noWrap w:val="0"/>
                  <w:vAlign w:val="center"/>
                </w:tcPr>
                <w:p w14:paraId="6D1BB7AF">
                  <w:pPr>
                    <w:pStyle w:val="208"/>
                    <w:shd w:val="clear"/>
                    <w:spacing w:line="280" w:lineRule="exact"/>
                    <w:ind w:left="0" w:leftChars="0" w:firstLine="0" w:firstLineChars="0"/>
                    <w:jc w:val="center"/>
                    <w:rPr>
                      <w:rFonts w:hint="default" w:ascii="Times New Roman" w:hAnsi="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olor w:val="000000" w:themeColor="text1"/>
                      <w:sz w:val="21"/>
                      <w:szCs w:val="21"/>
                      <w:highlight w:val="none"/>
                      <w:lang w:val="en-US" w:eastAsia="zh-CN"/>
                      <w14:textFill>
                        <w14:solidFill>
                          <w14:schemeClr w14:val="tx1"/>
                        </w14:solidFill>
                      </w14:textFill>
                    </w:rPr>
                    <w:t>DA002</w:t>
                  </w:r>
                </w:p>
              </w:tc>
              <w:tc>
                <w:tcPr>
                  <w:tcW w:w="817" w:type="dxa"/>
                  <w:shd w:val="clear" w:color="auto" w:fill="auto"/>
                  <w:noWrap w:val="0"/>
                  <w:vAlign w:val="center"/>
                </w:tcPr>
                <w:p w14:paraId="50FCB446">
                  <w:pPr>
                    <w:pStyle w:val="208"/>
                    <w:shd w:val="clear"/>
                    <w:spacing w:line="280" w:lineRule="exact"/>
                    <w:ind w:left="0" w:leftChars="0" w:firstLine="0" w:firstLineChars="0"/>
                    <w:jc w:val="center"/>
                    <w:rPr>
                      <w:rFonts w:hint="default" w:ascii="Times New Roman" w:hAnsi="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olor w:val="000000" w:themeColor="text1"/>
                      <w:sz w:val="21"/>
                      <w:szCs w:val="21"/>
                      <w:highlight w:val="none"/>
                      <w:lang w:val="en-US" w:eastAsia="zh-CN"/>
                      <w14:textFill>
                        <w14:solidFill>
                          <w14:schemeClr w14:val="tx1"/>
                        </w14:solidFill>
                      </w14:textFill>
                    </w:rPr>
                    <w:t>非甲烷总烃</w:t>
                  </w:r>
                </w:p>
              </w:tc>
              <w:tc>
                <w:tcPr>
                  <w:tcW w:w="917" w:type="dxa"/>
                  <w:shd w:val="clear" w:color="auto" w:fill="auto"/>
                  <w:noWrap w:val="0"/>
                  <w:vAlign w:val="center"/>
                </w:tcPr>
                <w:p w14:paraId="39851E72">
                  <w:pPr>
                    <w:pStyle w:val="208"/>
                    <w:shd w:val="clear"/>
                    <w:spacing w:line="280" w:lineRule="exact"/>
                    <w:ind w:left="0" w:leftChars="0" w:firstLine="0" w:firstLineChars="0"/>
                    <w:jc w:val="center"/>
                    <w:rPr>
                      <w:rFonts w:hint="default" w:ascii="Times New Roman" w:hAnsi="Times New Roman"/>
                      <w:color w:val="000000" w:themeColor="text1"/>
                      <w:sz w:val="21"/>
                      <w:szCs w:val="21"/>
                      <w:highlight w:val="none"/>
                      <w:lang w:val="en-US" w:eastAsia="zh-CN"/>
                      <w14:textFill>
                        <w14:solidFill>
                          <w14:schemeClr w14:val="tx1"/>
                        </w14:solidFill>
                      </w14:textFill>
                    </w:rPr>
                  </w:pPr>
                  <w:r>
                    <w:rPr>
                      <w:rFonts w:hint="eastAsia" w:ascii="Times New Roman"/>
                      <w:color w:val="000000" w:themeColor="text1"/>
                      <w:sz w:val="21"/>
                      <w:szCs w:val="21"/>
                      <w:highlight w:val="none"/>
                      <w:lang w:val="en-US" w:eastAsia="zh-CN"/>
                      <w14:textFill>
                        <w14:solidFill>
                          <w14:schemeClr w14:val="tx1"/>
                        </w14:solidFill>
                      </w14:textFill>
                    </w:rPr>
                    <w:t>0.195</w:t>
                  </w:r>
                </w:p>
              </w:tc>
              <w:tc>
                <w:tcPr>
                  <w:tcW w:w="867" w:type="dxa"/>
                  <w:shd w:val="clear" w:color="auto" w:fill="auto"/>
                  <w:noWrap w:val="0"/>
                  <w:vAlign w:val="center"/>
                </w:tcPr>
                <w:p w14:paraId="7391BBCD">
                  <w:pPr>
                    <w:pStyle w:val="208"/>
                    <w:shd w:val="clear"/>
                    <w:spacing w:line="280" w:lineRule="exact"/>
                    <w:ind w:left="0" w:leftChars="0" w:firstLine="0" w:firstLineChars="0"/>
                    <w:jc w:val="center"/>
                    <w:rPr>
                      <w:rFonts w:hint="default" w:ascii="Times New Roman" w:hAnsi="Times New Roman"/>
                      <w:color w:val="000000" w:themeColor="text1"/>
                      <w:sz w:val="21"/>
                      <w:szCs w:val="21"/>
                      <w:highlight w:val="none"/>
                      <w:lang w:val="en-US" w:eastAsia="zh-CN"/>
                      <w14:textFill>
                        <w14:solidFill>
                          <w14:schemeClr w14:val="tx1"/>
                        </w14:solidFill>
                      </w14:textFill>
                    </w:rPr>
                  </w:pPr>
                  <w:r>
                    <w:rPr>
                      <w:rFonts w:hint="eastAsia" w:ascii="Times New Roman"/>
                      <w:color w:val="000000" w:themeColor="text1"/>
                      <w:sz w:val="21"/>
                      <w:szCs w:val="21"/>
                      <w:highlight w:val="none"/>
                      <w:lang w:val="en-US" w:eastAsia="zh-CN"/>
                      <w14:textFill>
                        <w14:solidFill>
                          <w14:schemeClr w14:val="tx1"/>
                        </w14:solidFill>
                      </w14:textFill>
                    </w:rPr>
                    <w:t>32.5</w:t>
                  </w:r>
                </w:p>
              </w:tc>
              <w:tc>
                <w:tcPr>
                  <w:tcW w:w="788" w:type="dxa"/>
                  <w:vMerge w:val="continue"/>
                  <w:shd w:val="clear" w:color="auto" w:fill="auto"/>
                  <w:noWrap w:val="0"/>
                  <w:vAlign w:val="center"/>
                </w:tcPr>
                <w:p w14:paraId="71D5B3F3">
                  <w:pPr>
                    <w:pStyle w:val="208"/>
                    <w:shd w:val="clear"/>
                    <w:spacing w:line="280" w:lineRule="exact"/>
                    <w:ind w:left="0" w:leftChars="0" w:firstLine="0" w:firstLineChars="0"/>
                    <w:jc w:val="center"/>
                    <w:rPr>
                      <w:rFonts w:hint="eastAsia" w:ascii="Times New Roman" w:hAnsi="Times New Roman"/>
                      <w:color w:val="000000" w:themeColor="text1"/>
                      <w:sz w:val="21"/>
                      <w:szCs w:val="21"/>
                      <w:highlight w:val="none"/>
                      <w:lang w:val="en-US" w:eastAsia="zh-CN"/>
                      <w14:textFill>
                        <w14:solidFill>
                          <w14:schemeClr w14:val="tx1"/>
                        </w14:solidFill>
                      </w14:textFill>
                    </w:rPr>
                  </w:pPr>
                </w:p>
              </w:tc>
              <w:tc>
                <w:tcPr>
                  <w:tcW w:w="838" w:type="dxa"/>
                  <w:vMerge w:val="continue"/>
                  <w:shd w:val="clear" w:color="auto" w:fill="auto"/>
                  <w:noWrap w:val="0"/>
                  <w:vAlign w:val="center"/>
                </w:tcPr>
                <w:p w14:paraId="1A1507C5">
                  <w:pPr>
                    <w:pStyle w:val="208"/>
                    <w:shd w:val="clear"/>
                    <w:spacing w:line="280" w:lineRule="exact"/>
                    <w:ind w:left="0" w:leftChars="0" w:firstLine="0" w:firstLineChars="0"/>
                    <w:jc w:val="center"/>
                    <w:rPr>
                      <w:rFonts w:hint="eastAsia" w:ascii="Times New Roman" w:hAnsi="Times New Roman"/>
                      <w:color w:val="000000" w:themeColor="text1"/>
                      <w:sz w:val="21"/>
                      <w:szCs w:val="21"/>
                      <w:highlight w:val="none"/>
                      <w:lang w:val="en-US" w:eastAsia="zh-CN"/>
                      <w14:textFill>
                        <w14:solidFill>
                          <w14:schemeClr w14:val="tx1"/>
                        </w14:solidFill>
                      </w14:textFill>
                    </w:rPr>
                  </w:pPr>
                </w:p>
              </w:tc>
              <w:tc>
                <w:tcPr>
                  <w:tcW w:w="1157" w:type="dxa"/>
                  <w:vMerge w:val="continue"/>
                  <w:shd w:val="clear" w:color="auto" w:fill="auto"/>
                  <w:noWrap w:val="0"/>
                  <w:vAlign w:val="center"/>
                </w:tcPr>
                <w:p w14:paraId="24E54155">
                  <w:pPr>
                    <w:pStyle w:val="208"/>
                    <w:shd w:val="clear"/>
                    <w:spacing w:line="280" w:lineRule="exact"/>
                    <w:ind w:left="0" w:leftChars="0" w:firstLine="0" w:firstLineChars="0"/>
                    <w:jc w:val="center"/>
                    <w:rPr>
                      <w:rFonts w:hint="eastAsia" w:ascii="Times New Roman" w:hAnsi="Times New Roman"/>
                      <w:color w:val="000000" w:themeColor="text1"/>
                      <w:sz w:val="21"/>
                      <w:szCs w:val="21"/>
                      <w:highlight w:val="none"/>
                      <w:lang w:val="en-US" w:eastAsia="zh-CN"/>
                      <w14:textFill>
                        <w14:solidFill>
                          <w14:schemeClr w14:val="tx1"/>
                        </w14:solidFill>
                      </w14:textFill>
                    </w:rPr>
                  </w:pPr>
                </w:p>
              </w:tc>
            </w:tr>
          </w:tbl>
          <w:p w14:paraId="7690CD7B">
            <w:pPr>
              <w:shd w:val="clear"/>
              <w:adjustRightInd w:val="0"/>
              <w:snapToGrid w:val="0"/>
              <w:spacing w:line="360" w:lineRule="auto"/>
              <w:ind w:firstLine="482" w:firstLineChars="200"/>
              <w:rPr>
                <w:rFonts w:ascii="Times New Roman" w:hAnsi="Times New Roman"/>
                <w:color w:val="000000" w:themeColor="text1"/>
                <w:kern w:val="0"/>
                <w:sz w:val="24"/>
                <w:highlight w:val="none"/>
                <w14:textFill>
                  <w14:solidFill>
                    <w14:schemeClr w14:val="tx1"/>
                  </w14:solidFill>
                </w14:textFill>
              </w:rPr>
            </w:pPr>
            <w:r>
              <w:rPr>
                <w:rFonts w:hint="eastAsia" w:ascii="Times New Roman" w:hAnsi="Times New Roman"/>
                <w:b/>
                <w:bCs/>
                <w:color w:val="000000" w:themeColor="text1"/>
                <w:sz w:val="24"/>
                <w:highlight w:val="none"/>
                <w:lang w:val="en-US" w:eastAsia="zh-CN"/>
                <w14:textFill>
                  <w14:solidFill>
                    <w14:schemeClr w14:val="tx1"/>
                  </w14:solidFill>
                </w14:textFill>
              </w:rPr>
              <w:t>5</w:t>
            </w:r>
            <w:r>
              <w:rPr>
                <w:rFonts w:hint="eastAsia" w:ascii="Times New Roman" w:hAnsi="Times New Roman"/>
                <w:b/>
                <w:bCs/>
                <w:color w:val="000000" w:themeColor="text1"/>
                <w:sz w:val="24"/>
                <w:highlight w:val="none"/>
                <w14:textFill>
                  <w14:solidFill>
                    <w14:schemeClr w14:val="tx1"/>
                  </w14:solidFill>
                </w14:textFill>
              </w:rPr>
              <w:t>、监测要求</w:t>
            </w:r>
          </w:p>
          <w:p w14:paraId="17E4CEDD">
            <w:pPr>
              <w:shd w:val="clear"/>
              <w:spacing w:line="360" w:lineRule="auto"/>
              <w:ind w:firstLine="480" w:firstLineChars="200"/>
              <w:jc w:val="both"/>
              <w:rPr>
                <w:rFonts w:ascii="Times New Roman" w:hAnsi="Times New Roman"/>
                <w:color w:val="000000" w:themeColor="text1"/>
                <w:sz w:val="24"/>
                <w:highlight w:val="none"/>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本项目为</w:t>
            </w:r>
            <w:r>
              <w:rPr>
                <w:color w:val="000000" w:themeColor="text1"/>
                <w:sz w:val="24"/>
                <w:szCs w:val="24"/>
                <w14:textFill>
                  <w14:solidFill>
                    <w14:schemeClr w14:val="tx1"/>
                  </w14:solidFill>
                </w14:textFill>
              </w:rPr>
              <w:t>C</w:t>
            </w:r>
            <w:r>
              <w:rPr>
                <w:rFonts w:hint="eastAsia"/>
                <w:color w:val="000000" w:themeColor="text1"/>
                <w:sz w:val="24"/>
                <w:szCs w:val="24"/>
                <w:lang w:val="en-US" w:eastAsia="zh-CN"/>
                <w14:textFill>
                  <w14:solidFill>
                    <w14:schemeClr w14:val="tx1"/>
                  </w14:solidFill>
                </w14:textFill>
              </w:rPr>
              <w:t>3841 锂离子电池制造，根据《固定污染源排污许可分类管理名录》（2019年版），项目属于简化管理，</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参照</w:t>
            </w:r>
            <w:r>
              <w:rPr>
                <w:rFonts w:hint="eastAsia" w:ascii="Times New Roman" w:hAnsi="Times New Roman" w:eastAsia="宋体" w:cs="Times New Roman"/>
                <w:color w:val="000000" w:themeColor="text1"/>
                <w:sz w:val="24"/>
                <w:highlight w:val="none"/>
                <w:lang w:eastAsia="zh-CN"/>
                <w14:textFill>
                  <w14:solidFill>
                    <w14:schemeClr w14:val="tx1"/>
                  </w14:solidFill>
                </w14:textFill>
              </w:rPr>
              <w:t>《</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排污许可</w:t>
            </w:r>
            <w:r>
              <w:rPr>
                <w:rFonts w:hint="eastAsia" w:cs="Times New Roman"/>
                <w:color w:val="000000" w:themeColor="text1"/>
                <w:sz w:val="24"/>
                <w:highlight w:val="none"/>
                <w:lang w:val="en-US" w:eastAsia="zh-CN"/>
                <w14:textFill>
                  <w14:solidFill>
                    <w14:schemeClr w14:val="tx1"/>
                  </w14:solidFill>
                </w14:textFill>
              </w:rPr>
              <w:t>证申请与核发技术规范 电池工业</w:t>
            </w:r>
            <w:r>
              <w:rPr>
                <w:rFonts w:hint="eastAsia" w:ascii="Times New Roman" w:hAnsi="Times New Roman" w:eastAsia="宋体" w:cs="Times New Roman"/>
                <w:color w:val="000000" w:themeColor="text1"/>
                <w:sz w:val="24"/>
                <w:highlight w:val="none"/>
                <w:lang w:eastAsia="zh-CN"/>
                <w14:textFill>
                  <w14:solidFill>
                    <w14:schemeClr w14:val="tx1"/>
                  </w14:solidFill>
                </w14:textFill>
              </w:rPr>
              <w:t>》</w:t>
            </w:r>
            <w:r>
              <w:rPr>
                <w:rFonts w:hint="eastAsia" w:cs="Times New Roman"/>
                <w:color w:val="000000" w:themeColor="text1"/>
                <w:sz w:val="24"/>
                <w:highlight w:val="none"/>
                <w:lang w:eastAsia="zh-CN"/>
                <w14:textFill>
                  <w14:solidFill>
                    <w14:schemeClr w14:val="tx1"/>
                  </w14:solidFill>
                </w14:textFill>
              </w:rPr>
              <w:t>（</w:t>
            </w:r>
            <w:r>
              <w:rPr>
                <w:rFonts w:hint="eastAsia" w:cs="Times New Roman"/>
                <w:color w:val="000000" w:themeColor="text1"/>
                <w:sz w:val="24"/>
                <w:highlight w:val="none"/>
                <w:lang w:val="en-US" w:eastAsia="zh-CN"/>
                <w14:textFill>
                  <w14:solidFill>
                    <w14:schemeClr w14:val="tx1"/>
                  </w14:solidFill>
                </w14:textFill>
              </w:rPr>
              <w:t>HJ 967-2018</w:t>
            </w:r>
            <w:r>
              <w:rPr>
                <w:rFonts w:hint="eastAsia" w:cs="Times New Roman"/>
                <w:color w:val="000000" w:themeColor="text1"/>
                <w:sz w:val="24"/>
                <w:highlight w:val="none"/>
                <w:lang w:eastAsia="zh-CN"/>
                <w14:textFill>
                  <w14:solidFill>
                    <w14:schemeClr w14:val="tx1"/>
                  </w14:solidFill>
                </w14:textFill>
              </w:rPr>
              <w:t>）</w:t>
            </w:r>
            <w:r>
              <w:rPr>
                <w:rFonts w:hint="eastAsia" w:cs="Times New Roman"/>
                <w:color w:val="000000" w:themeColor="text1"/>
                <w:sz w:val="24"/>
                <w:highlight w:val="none"/>
                <w:lang w:val="en-US" w:eastAsia="zh-CN"/>
                <w14:textFill>
                  <w14:solidFill>
                    <w14:schemeClr w14:val="tx1"/>
                  </w14:solidFill>
                </w14:textFill>
              </w:rPr>
              <w:t>与《排污单位自行监测技术指南 电池工业》（HJ 1204-2021）</w:t>
            </w:r>
            <w:r>
              <w:rPr>
                <w:rFonts w:hint="eastAsia" w:ascii="宋体" w:hAnsi="宋体" w:eastAsia="宋体" w:cs="宋体"/>
                <w:color w:val="000000" w:themeColor="text1"/>
                <w:sz w:val="24"/>
                <w:highlight w:val="none"/>
                <w14:textFill>
                  <w14:solidFill>
                    <w14:schemeClr w14:val="tx1"/>
                  </w14:solidFill>
                </w14:textFill>
              </w:rPr>
              <w:t>，</w:t>
            </w:r>
            <w:r>
              <w:rPr>
                <w:rFonts w:hint="eastAsia" w:ascii="Times New Roman" w:hAnsi="Times New Roman"/>
                <w:color w:val="000000" w:themeColor="text1"/>
                <w:sz w:val="24"/>
                <w:highlight w:val="none"/>
                <w14:textFill>
                  <w14:solidFill>
                    <w14:schemeClr w14:val="tx1"/>
                  </w14:solidFill>
                </w14:textFill>
              </w:rPr>
              <w:t>本项目废气自行监测要求如下。</w:t>
            </w:r>
          </w:p>
          <w:p w14:paraId="4CE1A36B">
            <w:pPr>
              <w:pStyle w:val="208"/>
              <w:shd w:val="clear"/>
              <w:spacing w:line="240" w:lineRule="auto"/>
              <w:ind w:firstLine="0"/>
              <w:jc w:val="center"/>
              <w:rPr>
                <w:rFonts w:hint="eastAsia"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t>表4-</w:t>
            </w:r>
            <w:r>
              <w:rPr>
                <w:rFonts w:hint="eastAsia" w:ascii="Times New Roman" w:cs="Times New Roman"/>
                <w:b/>
                <w:bCs/>
                <w:color w:val="000000" w:themeColor="text1"/>
                <w:kern w:val="0"/>
                <w:sz w:val="21"/>
                <w:szCs w:val="21"/>
                <w:highlight w:val="none"/>
                <w:lang w:val="en-US" w:eastAsia="zh-CN"/>
                <w14:textFill>
                  <w14:solidFill>
                    <w14:schemeClr w14:val="tx1"/>
                  </w14:solidFill>
                </w14:textFill>
              </w:rPr>
              <w:t>8</w:t>
            </w:r>
            <w:r>
              <w:rPr>
                <w:rFonts w:hint="eastAsia"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t xml:space="preserve"> 废气污染物排放标准及自行监测要求</w:t>
            </w:r>
          </w:p>
          <w:tbl>
            <w:tblPr>
              <w:tblStyle w:val="41"/>
              <w:tblW w:w="781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445"/>
              <w:gridCol w:w="829"/>
              <w:gridCol w:w="956"/>
              <w:gridCol w:w="1815"/>
              <w:gridCol w:w="1245"/>
              <w:gridCol w:w="2528"/>
            </w:tblGrid>
            <w:tr w14:paraId="3C9803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445" w:type="dxa"/>
                  <w:shd w:val="clear" w:color="auto" w:fill="auto"/>
                  <w:noWrap w:val="0"/>
                  <w:vAlign w:val="center"/>
                </w:tcPr>
                <w:p w14:paraId="03038550">
                  <w:pPr>
                    <w:pStyle w:val="208"/>
                    <w:shd w:val="clear"/>
                    <w:spacing w:line="280" w:lineRule="exact"/>
                    <w:ind w:firstLine="0"/>
                    <w:jc w:val="center"/>
                    <w:rPr>
                      <w:rFonts w:ascii="Times New Roman" w:hAnsi="Times New Roman"/>
                      <w:b/>
                      <w:bCs/>
                      <w:color w:val="000000" w:themeColor="text1"/>
                      <w:sz w:val="21"/>
                      <w:szCs w:val="21"/>
                      <w:highlight w:val="none"/>
                      <w14:textFill>
                        <w14:solidFill>
                          <w14:schemeClr w14:val="tx1"/>
                        </w14:solidFill>
                      </w14:textFill>
                    </w:rPr>
                  </w:pPr>
                  <w:r>
                    <w:rPr>
                      <w:rFonts w:hint="eastAsia" w:ascii="Times New Roman" w:hAnsi="Times New Roman"/>
                      <w:b/>
                      <w:bCs/>
                      <w:color w:val="000000" w:themeColor="text1"/>
                      <w:sz w:val="21"/>
                      <w:szCs w:val="21"/>
                      <w:highlight w:val="none"/>
                      <w14:textFill>
                        <w14:solidFill>
                          <w14:schemeClr w14:val="tx1"/>
                        </w14:solidFill>
                      </w14:textFill>
                    </w:rPr>
                    <w:t>序号</w:t>
                  </w:r>
                </w:p>
              </w:tc>
              <w:tc>
                <w:tcPr>
                  <w:tcW w:w="1785" w:type="dxa"/>
                  <w:gridSpan w:val="2"/>
                  <w:shd w:val="clear" w:color="auto" w:fill="auto"/>
                  <w:noWrap w:val="0"/>
                  <w:vAlign w:val="center"/>
                </w:tcPr>
                <w:p w14:paraId="57A7BC7B">
                  <w:pPr>
                    <w:pStyle w:val="208"/>
                    <w:shd w:val="clear"/>
                    <w:spacing w:line="280" w:lineRule="exact"/>
                    <w:ind w:firstLine="0"/>
                    <w:jc w:val="center"/>
                    <w:rPr>
                      <w:rFonts w:ascii="Times New Roman" w:hAnsi="Times New Roman"/>
                      <w:b/>
                      <w:bCs/>
                      <w:color w:val="000000" w:themeColor="text1"/>
                      <w:sz w:val="21"/>
                      <w:szCs w:val="21"/>
                      <w:highlight w:val="none"/>
                      <w14:textFill>
                        <w14:solidFill>
                          <w14:schemeClr w14:val="tx1"/>
                        </w14:solidFill>
                      </w14:textFill>
                    </w:rPr>
                  </w:pPr>
                  <w:r>
                    <w:rPr>
                      <w:rFonts w:hint="eastAsia" w:ascii="Times New Roman" w:hAnsi="Times New Roman"/>
                      <w:b/>
                      <w:bCs/>
                      <w:color w:val="000000" w:themeColor="text1"/>
                      <w:sz w:val="21"/>
                      <w:szCs w:val="21"/>
                      <w:highlight w:val="none"/>
                      <w14:textFill>
                        <w14:solidFill>
                          <w14:schemeClr w14:val="tx1"/>
                        </w14:solidFill>
                      </w14:textFill>
                    </w:rPr>
                    <w:t>监测点位</w:t>
                  </w:r>
                </w:p>
              </w:tc>
              <w:tc>
                <w:tcPr>
                  <w:tcW w:w="1815" w:type="dxa"/>
                  <w:shd w:val="clear" w:color="auto" w:fill="auto"/>
                  <w:noWrap w:val="0"/>
                  <w:vAlign w:val="center"/>
                </w:tcPr>
                <w:p w14:paraId="0D6C4703">
                  <w:pPr>
                    <w:pStyle w:val="208"/>
                    <w:shd w:val="clear"/>
                    <w:spacing w:line="280" w:lineRule="exact"/>
                    <w:ind w:firstLine="0"/>
                    <w:jc w:val="center"/>
                    <w:rPr>
                      <w:rFonts w:ascii="Times New Roman" w:hAnsi="Times New Roman"/>
                      <w:b/>
                      <w:bCs/>
                      <w:color w:val="000000" w:themeColor="text1"/>
                      <w:sz w:val="21"/>
                      <w:szCs w:val="21"/>
                      <w:highlight w:val="none"/>
                      <w14:textFill>
                        <w14:solidFill>
                          <w14:schemeClr w14:val="tx1"/>
                        </w14:solidFill>
                      </w14:textFill>
                    </w:rPr>
                  </w:pPr>
                  <w:r>
                    <w:rPr>
                      <w:rFonts w:hint="eastAsia" w:ascii="Times New Roman" w:hAnsi="Times New Roman"/>
                      <w:b/>
                      <w:bCs/>
                      <w:color w:val="000000" w:themeColor="text1"/>
                      <w:sz w:val="21"/>
                      <w:szCs w:val="21"/>
                      <w:highlight w:val="none"/>
                      <w14:textFill>
                        <w14:solidFill>
                          <w14:schemeClr w14:val="tx1"/>
                        </w14:solidFill>
                      </w14:textFill>
                    </w:rPr>
                    <w:t>监测因子</w:t>
                  </w:r>
                </w:p>
              </w:tc>
              <w:tc>
                <w:tcPr>
                  <w:tcW w:w="1245" w:type="dxa"/>
                  <w:shd w:val="clear" w:color="auto" w:fill="auto"/>
                  <w:noWrap w:val="0"/>
                  <w:vAlign w:val="center"/>
                </w:tcPr>
                <w:p w14:paraId="6AA751AA">
                  <w:pPr>
                    <w:pStyle w:val="208"/>
                    <w:shd w:val="clear"/>
                    <w:spacing w:line="280" w:lineRule="exact"/>
                    <w:ind w:firstLine="0"/>
                    <w:jc w:val="center"/>
                    <w:rPr>
                      <w:rFonts w:ascii="Times New Roman" w:hAnsi="Times New Roman"/>
                      <w:b/>
                      <w:bCs/>
                      <w:color w:val="000000" w:themeColor="text1"/>
                      <w:sz w:val="21"/>
                      <w:szCs w:val="21"/>
                      <w:highlight w:val="none"/>
                      <w14:textFill>
                        <w14:solidFill>
                          <w14:schemeClr w14:val="tx1"/>
                        </w14:solidFill>
                      </w14:textFill>
                    </w:rPr>
                  </w:pPr>
                  <w:r>
                    <w:rPr>
                      <w:rFonts w:hint="eastAsia" w:ascii="Times New Roman" w:hAnsi="Times New Roman"/>
                      <w:b/>
                      <w:bCs/>
                      <w:color w:val="000000" w:themeColor="text1"/>
                      <w:sz w:val="21"/>
                      <w:szCs w:val="21"/>
                      <w:highlight w:val="none"/>
                      <w14:textFill>
                        <w14:solidFill>
                          <w14:schemeClr w14:val="tx1"/>
                        </w14:solidFill>
                      </w14:textFill>
                    </w:rPr>
                    <w:t>监测频次</w:t>
                  </w:r>
                </w:p>
              </w:tc>
              <w:tc>
                <w:tcPr>
                  <w:tcW w:w="2528" w:type="dxa"/>
                  <w:shd w:val="clear" w:color="auto" w:fill="auto"/>
                  <w:noWrap w:val="0"/>
                  <w:vAlign w:val="center"/>
                </w:tcPr>
                <w:p w14:paraId="271602DF">
                  <w:pPr>
                    <w:pStyle w:val="208"/>
                    <w:shd w:val="clear"/>
                    <w:spacing w:line="280" w:lineRule="exact"/>
                    <w:ind w:firstLine="0"/>
                    <w:jc w:val="center"/>
                    <w:rPr>
                      <w:rFonts w:ascii="Times New Roman" w:hAnsi="Times New Roman"/>
                      <w:b/>
                      <w:bCs/>
                      <w:color w:val="000000" w:themeColor="text1"/>
                      <w:sz w:val="21"/>
                      <w:szCs w:val="21"/>
                      <w:highlight w:val="none"/>
                      <w14:textFill>
                        <w14:solidFill>
                          <w14:schemeClr w14:val="tx1"/>
                        </w14:solidFill>
                      </w14:textFill>
                    </w:rPr>
                  </w:pPr>
                  <w:r>
                    <w:rPr>
                      <w:rFonts w:hint="eastAsia" w:ascii="Times New Roman" w:hAnsi="Times New Roman"/>
                      <w:b/>
                      <w:bCs/>
                      <w:color w:val="000000" w:themeColor="text1"/>
                      <w:sz w:val="21"/>
                      <w:szCs w:val="21"/>
                      <w:highlight w:val="none"/>
                      <w14:textFill>
                        <w14:solidFill>
                          <w14:schemeClr w14:val="tx1"/>
                        </w14:solidFill>
                      </w14:textFill>
                    </w:rPr>
                    <w:t>执行排放标准</w:t>
                  </w:r>
                </w:p>
              </w:tc>
            </w:tr>
            <w:tr w14:paraId="11C404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445" w:type="dxa"/>
                  <w:vMerge w:val="restart"/>
                  <w:shd w:val="clear" w:color="auto" w:fill="auto"/>
                  <w:noWrap w:val="0"/>
                  <w:vAlign w:val="center"/>
                </w:tcPr>
                <w:p w14:paraId="309038DB">
                  <w:pPr>
                    <w:pStyle w:val="208"/>
                    <w:shd w:val="clear"/>
                    <w:spacing w:line="280" w:lineRule="exact"/>
                    <w:ind w:firstLine="0"/>
                    <w:jc w:val="center"/>
                    <w:rPr>
                      <w:rFonts w:hint="eastAsia" w:ascii="Times New Roman" w:hAnsi="Times New Roman" w:eastAsia="宋体"/>
                      <w:color w:val="000000" w:themeColor="text1"/>
                      <w:sz w:val="21"/>
                      <w:szCs w:val="21"/>
                      <w:highlight w:val="none"/>
                      <w:lang w:val="en-US" w:eastAsia="zh-CN"/>
                      <w14:textFill>
                        <w14:solidFill>
                          <w14:schemeClr w14:val="tx1"/>
                        </w14:solidFill>
                      </w14:textFill>
                    </w:rPr>
                  </w:pPr>
                  <w:r>
                    <w:rPr>
                      <w:rFonts w:hint="eastAsia" w:ascii="Times New Roman" w:hAnsi="Times New Roman"/>
                      <w:color w:val="000000" w:themeColor="text1"/>
                      <w:sz w:val="21"/>
                      <w:szCs w:val="21"/>
                      <w:highlight w:val="none"/>
                      <w:lang w:val="en-US" w:eastAsia="zh-CN"/>
                      <w14:textFill>
                        <w14:solidFill>
                          <w14:schemeClr w14:val="tx1"/>
                        </w14:solidFill>
                      </w14:textFill>
                    </w:rPr>
                    <w:t>1</w:t>
                  </w:r>
                </w:p>
              </w:tc>
              <w:tc>
                <w:tcPr>
                  <w:tcW w:w="829" w:type="dxa"/>
                  <w:vMerge w:val="restart"/>
                  <w:shd w:val="clear" w:color="auto" w:fill="auto"/>
                  <w:noWrap w:val="0"/>
                  <w:vAlign w:val="center"/>
                </w:tcPr>
                <w:p w14:paraId="6515C38C">
                  <w:pPr>
                    <w:pStyle w:val="208"/>
                    <w:shd w:val="clear"/>
                    <w:spacing w:line="280" w:lineRule="exact"/>
                    <w:ind w:firstLine="0"/>
                    <w:jc w:val="center"/>
                    <w:rPr>
                      <w:rFonts w:hint="default" w:ascii="Times New Roman" w:hAnsi="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olor w:val="000000" w:themeColor="text1"/>
                      <w:sz w:val="21"/>
                      <w:szCs w:val="21"/>
                      <w:highlight w:val="none"/>
                      <w:lang w:val="en-US" w:eastAsia="zh-CN"/>
                      <w14:textFill>
                        <w14:solidFill>
                          <w14:schemeClr w14:val="tx1"/>
                        </w14:solidFill>
                      </w14:textFill>
                    </w:rPr>
                    <w:t>有组织排放监测</w:t>
                  </w:r>
                </w:p>
              </w:tc>
              <w:tc>
                <w:tcPr>
                  <w:tcW w:w="956" w:type="dxa"/>
                  <w:shd w:val="clear" w:color="auto" w:fill="auto"/>
                  <w:noWrap w:val="0"/>
                  <w:vAlign w:val="center"/>
                </w:tcPr>
                <w:p w14:paraId="5680E453">
                  <w:pPr>
                    <w:pStyle w:val="208"/>
                    <w:shd w:val="clear"/>
                    <w:spacing w:line="280" w:lineRule="exact"/>
                    <w:ind w:firstLine="0"/>
                    <w:jc w:val="center"/>
                    <w:rPr>
                      <w:rFonts w:hint="default" w:ascii="Times New Roman" w:hAnsi="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olor w:val="000000" w:themeColor="text1"/>
                      <w:sz w:val="21"/>
                      <w:szCs w:val="21"/>
                      <w:highlight w:val="none"/>
                      <w:lang w:val="en-US" w:eastAsia="zh-CN"/>
                      <w14:textFill>
                        <w14:solidFill>
                          <w14:schemeClr w14:val="tx1"/>
                        </w14:solidFill>
                      </w14:textFill>
                    </w:rPr>
                    <w:t>DA001</w:t>
                  </w:r>
                </w:p>
              </w:tc>
              <w:tc>
                <w:tcPr>
                  <w:tcW w:w="1815" w:type="dxa"/>
                  <w:shd w:val="clear" w:color="auto" w:fill="auto"/>
                  <w:noWrap w:val="0"/>
                  <w:vAlign w:val="center"/>
                </w:tcPr>
                <w:p w14:paraId="182ECD67">
                  <w:pPr>
                    <w:pStyle w:val="208"/>
                    <w:shd w:val="clear"/>
                    <w:spacing w:line="280" w:lineRule="exact"/>
                    <w:ind w:firstLine="0"/>
                    <w:jc w:val="center"/>
                    <w:rPr>
                      <w:rFonts w:hint="default" w:ascii="Times New Roman" w:hAnsi="Times New Roman" w:eastAsia="宋体" w:cs="Times New Roman"/>
                      <w:b w:val="0"/>
                      <w:bCs w:val="0"/>
                      <w:i w:val="0"/>
                      <w:caps w:val="0"/>
                      <w:color w:val="000000" w:themeColor="text1"/>
                      <w:spacing w:val="0"/>
                      <w:kern w:val="2"/>
                      <w:sz w:val="21"/>
                      <w:szCs w:val="21"/>
                      <w:highlight w:val="none"/>
                      <w:shd w:val="clear" w:color="auto" w:fill="FFFFFF"/>
                      <w:vertAlign w:val="baseline"/>
                      <w:lang w:val="en-US" w:eastAsia="zh-CN" w:bidi="ar-SA"/>
                      <w14:textFill>
                        <w14:solidFill>
                          <w14:schemeClr w14:val="tx1"/>
                        </w14:solidFill>
                      </w14:textFill>
                    </w:rPr>
                  </w:pPr>
                  <w:r>
                    <w:rPr>
                      <w:rFonts w:hint="eastAsia" w:ascii="Times New Roman" w:hAnsi="Times New Roman" w:eastAsia="宋体" w:cs="Times New Roman"/>
                      <w:b w:val="0"/>
                      <w:bCs w:val="0"/>
                      <w:i w:val="0"/>
                      <w:caps w:val="0"/>
                      <w:color w:val="000000" w:themeColor="text1"/>
                      <w:spacing w:val="0"/>
                      <w:kern w:val="2"/>
                      <w:sz w:val="21"/>
                      <w:szCs w:val="21"/>
                      <w:highlight w:val="none"/>
                      <w:shd w:val="clear" w:color="auto" w:fill="FFFFFF"/>
                      <w:vertAlign w:val="baseline"/>
                      <w:lang w:val="en-US" w:eastAsia="zh-CN" w:bidi="ar-SA"/>
                      <w14:textFill>
                        <w14:solidFill>
                          <w14:schemeClr w14:val="tx1"/>
                        </w14:solidFill>
                      </w14:textFill>
                    </w:rPr>
                    <w:t>挥发性有机物（以非甲烷总烃计）</w:t>
                  </w:r>
                </w:p>
              </w:tc>
              <w:tc>
                <w:tcPr>
                  <w:tcW w:w="1245" w:type="dxa"/>
                  <w:shd w:val="clear" w:color="auto" w:fill="auto"/>
                  <w:noWrap w:val="0"/>
                  <w:vAlign w:val="center"/>
                </w:tcPr>
                <w:p w14:paraId="3B68110C">
                  <w:pPr>
                    <w:pStyle w:val="208"/>
                    <w:shd w:val="clear"/>
                    <w:spacing w:line="280" w:lineRule="exact"/>
                    <w:ind w:firstLine="0"/>
                    <w:jc w:val="center"/>
                    <w:rPr>
                      <w:rFonts w:hint="default" w:ascii="Times New Roman" w:hAnsi="Times New Roman" w:eastAsia="宋体" w:cs="Times New Roman"/>
                      <w:b w:val="0"/>
                      <w:bCs w:val="0"/>
                      <w:i w:val="0"/>
                      <w:caps w:val="0"/>
                      <w:color w:val="000000" w:themeColor="text1"/>
                      <w:spacing w:val="0"/>
                      <w:kern w:val="2"/>
                      <w:sz w:val="21"/>
                      <w:szCs w:val="21"/>
                      <w:highlight w:val="none"/>
                      <w:shd w:val="clear" w:color="auto" w:fill="FFFFFF"/>
                      <w:vertAlign w:val="baseline"/>
                      <w:lang w:val="en-US" w:eastAsia="zh-CN" w:bidi="ar-SA"/>
                      <w14:textFill>
                        <w14:solidFill>
                          <w14:schemeClr w14:val="tx1"/>
                        </w14:solidFill>
                      </w14:textFill>
                    </w:rPr>
                  </w:pPr>
                  <w:r>
                    <w:rPr>
                      <w:rFonts w:hint="default" w:ascii="Times New Roman" w:hAnsi="Times New Roman" w:eastAsia="宋体" w:cs="Times New Roman"/>
                      <w:b w:val="0"/>
                      <w:bCs w:val="0"/>
                      <w:i w:val="0"/>
                      <w:caps w:val="0"/>
                      <w:color w:val="000000" w:themeColor="text1"/>
                      <w:spacing w:val="0"/>
                      <w:kern w:val="2"/>
                      <w:sz w:val="21"/>
                      <w:szCs w:val="21"/>
                      <w:highlight w:val="none"/>
                      <w:shd w:val="clear" w:color="auto" w:fill="FFFFFF"/>
                      <w:vertAlign w:val="baseline"/>
                      <w:lang w:val="en-US" w:eastAsia="zh-CN" w:bidi="ar-SA"/>
                      <w14:textFill>
                        <w14:solidFill>
                          <w14:schemeClr w14:val="tx1"/>
                        </w14:solidFill>
                      </w14:textFill>
                    </w:rPr>
                    <w:t>1次/半年</w:t>
                  </w:r>
                </w:p>
              </w:tc>
              <w:tc>
                <w:tcPr>
                  <w:tcW w:w="2528" w:type="dxa"/>
                  <w:vMerge w:val="restart"/>
                  <w:shd w:val="clear" w:color="auto" w:fill="auto"/>
                  <w:noWrap w:val="0"/>
                  <w:vAlign w:val="center"/>
                </w:tcPr>
                <w:p w14:paraId="57773EC4">
                  <w:pPr>
                    <w:pStyle w:val="208"/>
                    <w:shd w:val="clear"/>
                    <w:spacing w:line="280" w:lineRule="exact"/>
                    <w:ind w:firstLine="0"/>
                    <w:jc w:val="center"/>
                    <w:rPr>
                      <w:rFonts w:hint="eastAsia" w:ascii="Times New Roman" w:hAnsi="Times New Roman" w:eastAsia="宋体" w:cs="Times New Roman"/>
                      <w:b w:val="0"/>
                      <w:bCs w:val="0"/>
                      <w:i w:val="0"/>
                      <w:caps w:val="0"/>
                      <w:color w:val="000000" w:themeColor="text1"/>
                      <w:spacing w:val="0"/>
                      <w:kern w:val="2"/>
                      <w:sz w:val="21"/>
                      <w:szCs w:val="21"/>
                      <w:highlight w:val="none"/>
                      <w:shd w:val="clear" w:color="auto" w:fill="FFFFFF"/>
                      <w:vertAlign w:val="baseline"/>
                      <w:lang w:val="en-US" w:eastAsia="zh-CN" w:bidi="ar-SA"/>
                      <w14:textFill>
                        <w14:solidFill>
                          <w14:schemeClr w14:val="tx1"/>
                        </w14:solidFill>
                      </w14:textFill>
                    </w:rPr>
                  </w:pPr>
                  <w:r>
                    <w:rPr>
                      <w:rFonts w:hint="eastAsia" w:ascii="Times New Roman" w:hAnsi="Times New Roman" w:eastAsia="宋体" w:cs="Times New Roman"/>
                      <w:b w:val="0"/>
                      <w:bCs w:val="0"/>
                      <w:i w:val="0"/>
                      <w:caps w:val="0"/>
                      <w:color w:val="000000" w:themeColor="text1"/>
                      <w:spacing w:val="0"/>
                      <w:kern w:val="2"/>
                      <w:sz w:val="21"/>
                      <w:szCs w:val="21"/>
                      <w:highlight w:val="none"/>
                      <w:shd w:val="clear" w:color="auto" w:fill="FFFFFF"/>
                      <w:vertAlign w:val="baseline"/>
                      <w:lang w:val="en-US" w:eastAsia="zh-CN" w:bidi="ar-SA"/>
                      <w14:textFill>
                        <w14:solidFill>
                          <w14:schemeClr w14:val="tx1"/>
                        </w14:solidFill>
                      </w14:textFill>
                    </w:rPr>
                    <w:t>《电池工业污染物排放标准》（GB30484-2013）</w:t>
                  </w:r>
                </w:p>
              </w:tc>
            </w:tr>
            <w:tr w14:paraId="40C275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3" w:hRule="atLeast"/>
                <w:jc w:val="center"/>
              </w:trPr>
              <w:tc>
                <w:tcPr>
                  <w:tcW w:w="445" w:type="dxa"/>
                  <w:vMerge w:val="continue"/>
                  <w:shd w:val="clear" w:color="auto" w:fill="auto"/>
                  <w:noWrap w:val="0"/>
                  <w:vAlign w:val="center"/>
                </w:tcPr>
                <w:p w14:paraId="1EFE6B2F">
                  <w:pPr>
                    <w:pStyle w:val="208"/>
                    <w:shd w:val="clear"/>
                    <w:spacing w:line="280" w:lineRule="exact"/>
                    <w:ind w:firstLine="0"/>
                    <w:jc w:val="center"/>
                    <w:rPr>
                      <w:rFonts w:hint="eastAsia" w:ascii="Times New Roman" w:hAnsi="Times New Roman" w:eastAsia="宋体"/>
                      <w:color w:val="000000" w:themeColor="text1"/>
                      <w:sz w:val="21"/>
                      <w:szCs w:val="21"/>
                      <w:highlight w:val="none"/>
                      <w:lang w:val="en-US" w:eastAsia="zh-CN"/>
                      <w14:textFill>
                        <w14:solidFill>
                          <w14:schemeClr w14:val="tx1"/>
                        </w14:solidFill>
                      </w14:textFill>
                    </w:rPr>
                  </w:pPr>
                </w:p>
              </w:tc>
              <w:tc>
                <w:tcPr>
                  <w:tcW w:w="829" w:type="dxa"/>
                  <w:vMerge w:val="continue"/>
                  <w:shd w:val="clear" w:color="auto" w:fill="auto"/>
                  <w:noWrap w:val="0"/>
                  <w:vAlign w:val="center"/>
                </w:tcPr>
                <w:p w14:paraId="1B396947">
                  <w:pPr>
                    <w:pStyle w:val="208"/>
                    <w:shd w:val="clear"/>
                    <w:spacing w:line="280" w:lineRule="exact"/>
                    <w:ind w:firstLine="0"/>
                    <w:jc w:val="center"/>
                    <w:rPr>
                      <w:rFonts w:hint="default" w:ascii="Times New Roman" w:hAnsi="Times New Roman" w:eastAsia="宋体"/>
                      <w:color w:val="000000" w:themeColor="text1"/>
                      <w:sz w:val="21"/>
                      <w:szCs w:val="21"/>
                      <w:highlight w:val="none"/>
                      <w:lang w:val="en-US" w:eastAsia="zh-CN"/>
                      <w14:textFill>
                        <w14:solidFill>
                          <w14:schemeClr w14:val="tx1"/>
                        </w14:solidFill>
                      </w14:textFill>
                    </w:rPr>
                  </w:pPr>
                </w:p>
              </w:tc>
              <w:tc>
                <w:tcPr>
                  <w:tcW w:w="956" w:type="dxa"/>
                  <w:shd w:val="clear" w:color="auto" w:fill="auto"/>
                  <w:noWrap w:val="0"/>
                  <w:vAlign w:val="center"/>
                </w:tcPr>
                <w:p w14:paraId="5B631BAD">
                  <w:pPr>
                    <w:pStyle w:val="208"/>
                    <w:shd w:val="clear"/>
                    <w:spacing w:line="280" w:lineRule="exact"/>
                    <w:ind w:firstLine="0"/>
                    <w:jc w:val="center"/>
                    <w:rPr>
                      <w:rFonts w:hint="default" w:ascii="Times New Roman" w:hAnsi="Times New Roman"/>
                      <w:color w:val="000000" w:themeColor="text1"/>
                      <w:sz w:val="21"/>
                      <w:szCs w:val="21"/>
                      <w:highlight w:val="none"/>
                      <w:lang w:val="en-US" w:eastAsia="zh-CN"/>
                      <w14:textFill>
                        <w14:solidFill>
                          <w14:schemeClr w14:val="tx1"/>
                        </w14:solidFill>
                      </w14:textFill>
                    </w:rPr>
                  </w:pPr>
                  <w:r>
                    <w:rPr>
                      <w:rFonts w:hint="eastAsia" w:ascii="Times New Roman"/>
                      <w:color w:val="000000" w:themeColor="text1"/>
                      <w:sz w:val="21"/>
                      <w:szCs w:val="21"/>
                      <w:highlight w:val="none"/>
                      <w:lang w:val="en-US" w:eastAsia="zh-CN"/>
                      <w14:textFill>
                        <w14:solidFill>
                          <w14:schemeClr w14:val="tx1"/>
                        </w14:solidFill>
                      </w14:textFill>
                    </w:rPr>
                    <w:t>DA002</w:t>
                  </w:r>
                </w:p>
              </w:tc>
              <w:tc>
                <w:tcPr>
                  <w:tcW w:w="1815" w:type="dxa"/>
                  <w:shd w:val="clear" w:color="auto" w:fill="auto"/>
                  <w:noWrap w:val="0"/>
                  <w:vAlign w:val="center"/>
                </w:tcPr>
                <w:p w14:paraId="31C94686">
                  <w:pPr>
                    <w:pStyle w:val="208"/>
                    <w:shd w:val="clear"/>
                    <w:spacing w:line="280" w:lineRule="exact"/>
                    <w:ind w:firstLine="0"/>
                    <w:jc w:val="center"/>
                    <w:rPr>
                      <w:rFonts w:hint="default" w:ascii="Times New Roman" w:hAnsi="Times New Roman" w:eastAsia="宋体" w:cs="Times New Roman"/>
                      <w:b w:val="0"/>
                      <w:bCs w:val="0"/>
                      <w:i w:val="0"/>
                      <w:caps w:val="0"/>
                      <w:color w:val="000000" w:themeColor="text1"/>
                      <w:spacing w:val="0"/>
                      <w:kern w:val="2"/>
                      <w:sz w:val="21"/>
                      <w:szCs w:val="21"/>
                      <w:highlight w:val="none"/>
                      <w:shd w:val="clear" w:color="auto" w:fill="FFFFFF"/>
                      <w:vertAlign w:val="baseline"/>
                      <w:lang w:val="en-US" w:eastAsia="zh-CN" w:bidi="ar-SA"/>
                      <w14:textFill>
                        <w14:solidFill>
                          <w14:schemeClr w14:val="tx1"/>
                        </w14:solidFill>
                      </w14:textFill>
                    </w:rPr>
                  </w:pPr>
                  <w:r>
                    <w:rPr>
                      <w:rFonts w:hint="eastAsia" w:ascii="Times New Roman" w:hAnsi="Times New Roman" w:eastAsia="宋体" w:cs="Times New Roman"/>
                      <w:b w:val="0"/>
                      <w:bCs w:val="0"/>
                      <w:i w:val="0"/>
                      <w:caps w:val="0"/>
                      <w:color w:val="000000" w:themeColor="text1"/>
                      <w:spacing w:val="0"/>
                      <w:kern w:val="2"/>
                      <w:sz w:val="21"/>
                      <w:szCs w:val="21"/>
                      <w:highlight w:val="none"/>
                      <w:shd w:val="clear" w:color="auto" w:fill="FFFFFF"/>
                      <w:vertAlign w:val="baseline"/>
                      <w:lang w:val="en-US" w:eastAsia="zh-CN" w:bidi="ar-SA"/>
                      <w14:textFill>
                        <w14:solidFill>
                          <w14:schemeClr w14:val="tx1"/>
                        </w14:solidFill>
                      </w14:textFill>
                    </w:rPr>
                    <w:t>挥发性有机物（以非甲烷总烃计）</w:t>
                  </w:r>
                </w:p>
              </w:tc>
              <w:tc>
                <w:tcPr>
                  <w:tcW w:w="1245" w:type="dxa"/>
                  <w:shd w:val="clear" w:color="auto" w:fill="auto"/>
                  <w:noWrap w:val="0"/>
                  <w:vAlign w:val="center"/>
                </w:tcPr>
                <w:p w14:paraId="06F617E6">
                  <w:pPr>
                    <w:pStyle w:val="208"/>
                    <w:shd w:val="clear"/>
                    <w:spacing w:line="280" w:lineRule="exact"/>
                    <w:ind w:firstLine="0"/>
                    <w:jc w:val="center"/>
                    <w:rPr>
                      <w:rFonts w:hint="eastAsia" w:ascii="Times New Roman" w:hAnsi="Times New Roman" w:eastAsia="宋体" w:cs="Times New Roman"/>
                      <w:b w:val="0"/>
                      <w:bCs w:val="0"/>
                      <w:i w:val="0"/>
                      <w:caps w:val="0"/>
                      <w:color w:val="000000" w:themeColor="text1"/>
                      <w:spacing w:val="0"/>
                      <w:kern w:val="2"/>
                      <w:sz w:val="21"/>
                      <w:szCs w:val="21"/>
                      <w:highlight w:val="none"/>
                      <w:shd w:val="clear" w:color="auto" w:fill="FFFFFF"/>
                      <w:vertAlign w:val="baseline"/>
                      <w:lang w:val="en-US" w:eastAsia="zh-CN" w:bidi="ar-SA"/>
                      <w14:textFill>
                        <w14:solidFill>
                          <w14:schemeClr w14:val="tx1"/>
                        </w14:solidFill>
                      </w14:textFill>
                    </w:rPr>
                  </w:pPr>
                  <w:r>
                    <w:rPr>
                      <w:rFonts w:hint="default" w:ascii="Times New Roman" w:hAnsi="Times New Roman" w:eastAsia="宋体" w:cs="Times New Roman"/>
                      <w:b w:val="0"/>
                      <w:bCs w:val="0"/>
                      <w:i w:val="0"/>
                      <w:caps w:val="0"/>
                      <w:color w:val="000000" w:themeColor="text1"/>
                      <w:spacing w:val="0"/>
                      <w:kern w:val="2"/>
                      <w:sz w:val="21"/>
                      <w:szCs w:val="21"/>
                      <w:highlight w:val="none"/>
                      <w:shd w:val="clear" w:color="auto" w:fill="FFFFFF"/>
                      <w:vertAlign w:val="baseline"/>
                      <w:lang w:val="en-US" w:eastAsia="zh-CN" w:bidi="ar-SA"/>
                      <w14:textFill>
                        <w14:solidFill>
                          <w14:schemeClr w14:val="tx1"/>
                        </w14:solidFill>
                      </w14:textFill>
                    </w:rPr>
                    <w:t>1次/半年</w:t>
                  </w:r>
                </w:p>
              </w:tc>
              <w:tc>
                <w:tcPr>
                  <w:tcW w:w="2528" w:type="dxa"/>
                  <w:vMerge w:val="continue"/>
                  <w:shd w:val="clear" w:color="auto" w:fill="auto"/>
                  <w:noWrap w:val="0"/>
                  <w:vAlign w:val="center"/>
                </w:tcPr>
                <w:p w14:paraId="12B8D6EF">
                  <w:pPr>
                    <w:pStyle w:val="208"/>
                    <w:shd w:val="clear"/>
                    <w:spacing w:line="280" w:lineRule="exact"/>
                    <w:ind w:firstLine="0"/>
                    <w:jc w:val="center"/>
                    <w:rPr>
                      <w:rFonts w:hint="eastAsia" w:ascii="Times New Roman" w:hAnsi="Times New Roman" w:eastAsia="宋体" w:cs="Times New Roman"/>
                      <w:b w:val="0"/>
                      <w:bCs w:val="0"/>
                      <w:i w:val="0"/>
                      <w:caps w:val="0"/>
                      <w:color w:val="000000" w:themeColor="text1"/>
                      <w:spacing w:val="0"/>
                      <w:kern w:val="2"/>
                      <w:sz w:val="21"/>
                      <w:szCs w:val="21"/>
                      <w:highlight w:val="none"/>
                      <w:shd w:val="clear" w:color="auto" w:fill="FFFFFF"/>
                      <w:vertAlign w:val="baseline"/>
                      <w:lang w:val="en-US" w:eastAsia="zh-CN" w:bidi="ar-SA"/>
                      <w14:textFill>
                        <w14:solidFill>
                          <w14:schemeClr w14:val="tx1"/>
                        </w14:solidFill>
                      </w14:textFill>
                    </w:rPr>
                  </w:pPr>
                </w:p>
              </w:tc>
            </w:tr>
            <w:tr w14:paraId="299A85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445" w:type="dxa"/>
                  <w:vMerge w:val="continue"/>
                  <w:shd w:val="clear" w:color="auto" w:fill="auto"/>
                  <w:noWrap w:val="0"/>
                  <w:vAlign w:val="center"/>
                </w:tcPr>
                <w:p w14:paraId="4F4F7484">
                  <w:pPr>
                    <w:pStyle w:val="208"/>
                    <w:shd w:val="clear"/>
                    <w:spacing w:line="280" w:lineRule="exact"/>
                    <w:ind w:firstLine="0"/>
                    <w:jc w:val="center"/>
                    <w:rPr>
                      <w:rFonts w:hint="eastAsia" w:ascii="Times New Roman" w:hAnsi="Times New Roman"/>
                      <w:color w:val="000000" w:themeColor="text1"/>
                      <w:sz w:val="21"/>
                      <w:szCs w:val="21"/>
                      <w:highlight w:val="none"/>
                      <w14:textFill>
                        <w14:solidFill>
                          <w14:schemeClr w14:val="tx1"/>
                        </w14:solidFill>
                      </w14:textFill>
                    </w:rPr>
                  </w:pPr>
                </w:p>
              </w:tc>
              <w:tc>
                <w:tcPr>
                  <w:tcW w:w="1785" w:type="dxa"/>
                  <w:gridSpan w:val="2"/>
                  <w:vMerge w:val="restart"/>
                  <w:shd w:val="clear" w:color="auto" w:fill="auto"/>
                  <w:noWrap w:val="0"/>
                  <w:vAlign w:val="center"/>
                </w:tcPr>
                <w:p w14:paraId="7237ED12">
                  <w:pPr>
                    <w:pStyle w:val="208"/>
                    <w:shd w:val="clear"/>
                    <w:spacing w:line="280" w:lineRule="exact"/>
                    <w:ind w:firstLine="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无组织排放监测（厂界上风向1处，下风向3处）</w:t>
                  </w:r>
                </w:p>
              </w:tc>
              <w:tc>
                <w:tcPr>
                  <w:tcW w:w="1815" w:type="dxa"/>
                  <w:shd w:val="clear" w:color="auto" w:fill="auto"/>
                  <w:noWrap w:val="0"/>
                  <w:vAlign w:val="center"/>
                </w:tcPr>
                <w:p w14:paraId="7548BE84">
                  <w:pPr>
                    <w:pStyle w:val="208"/>
                    <w:shd w:val="clear"/>
                    <w:spacing w:line="280" w:lineRule="exact"/>
                    <w:ind w:firstLine="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挥发性有机物（以非甲烷总烃计）</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、颗粒物</w:t>
                  </w:r>
                  <w:r>
                    <w:rPr>
                      <w:rFonts w:hint="eastAsia" w:ascii="Times New Roman" w:cs="Times New Roman"/>
                      <w:color w:val="000000" w:themeColor="text1"/>
                      <w:sz w:val="21"/>
                      <w:szCs w:val="21"/>
                      <w:highlight w:val="none"/>
                      <w:lang w:val="en-US" w:eastAsia="zh-CN"/>
                      <w14:textFill>
                        <w14:solidFill>
                          <w14:schemeClr w14:val="tx1"/>
                        </w14:solidFill>
                      </w14:textFill>
                    </w:rPr>
                    <w:t>、镍及其化合物</w:t>
                  </w:r>
                </w:p>
              </w:tc>
              <w:tc>
                <w:tcPr>
                  <w:tcW w:w="1245" w:type="dxa"/>
                  <w:shd w:val="clear" w:color="auto" w:fill="auto"/>
                  <w:noWrap w:val="0"/>
                  <w:vAlign w:val="center"/>
                </w:tcPr>
                <w:p w14:paraId="1EAAFAE6">
                  <w:pPr>
                    <w:pStyle w:val="208"/>
                    <w:shd w:val="clear"/>
                    <w:spacing w:line="280" w:lineRule="exact"/>
                    <w:ind w:firstLine="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1次/年</w:t>
                  </w:r>
                </w:p>
              </w:tc>
              <w:tc>
                <w:tcPr>
                  <w:tcW w:w="2528" w:type="dxa"/>
                  <w:shd w:val="clear" w:color="auto" w:fill="auto"/>
                  <w:noWrap w:val="0"/>
                  <w:vAlign w:val="center"/>
                </w:tcPr>
                <w:p w14:paraId="3A6B8F65">
                  <w:pPr>
                    <w:pStyle w:val="208"/>
                    <w:shd w:val="clear"/>
                    <w:spacing w:line="280" w:lineRule="exact"/>
                    <w:ind w:firstLine="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《电池工业污染物排放标准》（GB30484-2013）</w:t>
                  </w:r>
                </w:p>
              </w:tc>
            </w:tr>
            <w:tr w14:paraId="4184CA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45" w:type="dxa"/>
                  <w:vMerge w:val="continue"/>
                  <w:shd w:val="clear" w:color="auto" w:fill="auto"/>
                  <w:noWrap w:val="0"/>
                  <w:vAlign w:val="center"/>
                </w:tcPr>
                <w:p w14:paraId="706CDAB2">
                  <w:pPr>
                    <w:pStyle w:val="208"/>
                    <w:shd w:val="clear"/>
                    <w:spacing w:line="280" w:lineRule="exact"/>
                    <w:ind w:firstLine="0"/>
                    <w:jc w:val="center"/>
                    <w:rPr>
                      <w:rFonts w:hint="eastAsia" w:ascii="Times New Roman" w:hAnsi="Times New Roman"/>
                      <w:color w:val="000000" w:themeColor="text1"/>
                      <w:sz w:val="21"/>
                      <w:szCs w:val="21"/>
                      <w:highlight w:val="none"/>
                      <w14:textFill>
                        <w14:solidFill>
                          <w14:schemeClr w14:val="tx1"/>
                        </w14:solidFill>
                      </w14:textFill>
                    </w:rPr>
                  </w:pPr>
                </w:p>
              </w:tc>
              <w:tc>
                <w:tcPr>
                  <w:tcW w:w="1785" w:type="dxa"/>
                  <w:gridSpan w:val="2"/>
                  <w:vMerge w:val="continue"/>
                  <w:shd w:val="clear" w:color="auto" w:fill="auto"/>
                  <w:noWrap w:val="0"/>
                  <w:vAlign w:val="center"/>
                </w:tcPr>
                <w:p w14:paraId="7505503F">
                  <w:pPr>
                    <w:pStyle w:val="208"/>
                    <w:shd w:val="clear"/>
                    <w:spacing w:line="280" w:lineRule="exact"/>
                    <w:ind w:firstLine="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815" w:type="dxa"/>
                  <w:shd w:val="clear" w:color="auto" w:fill="auto"/>
                  <w:noWrap w:val="0"/>
                  <w:vAlign w:val="center"/>
                </w:tcPr>
                <w:p w14:paraId="03DDD2B7">
                  <w:pPr>
                    <w:pStyle w:val="208"/>
                    <w:shd w:val="clear"/>
                    <w:spacing w:line="280" w:lineRule="exact"/>
                    <w:ind w:firstLine="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氨、硫化氢、臭气浓度</w:t>
                  </w:r>
                </w:p>
              </w:tc>
              <w:tc>
                <w:tcPr>
                  <w:tcW w:w="1245" w:type="dxa"/>
                  <w:shd w:val="clear" w:color="auto" w:fill="auto"/>
                  <w:noWrap w:val="0"/>
                  <w:vAlign w:val="center"/>
                </w:tcPr>
                <w:p w14:paraId="51F4ABAA">
                  <w:pPr>
                    <w:pStyle w:val="208"/>
                    <w:shd w:val="clear"/>
                    <w:spacing w:line="280" w:lineRule="exact"/>
                    <w:ind w:firstLine="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1次/年</w:t>
                  </w:r>
                </w:p>
              </w:tc>
              <w:tc>
                <w:tcPr>
                  <w:tcW w:w="2528" w:type="dxa"/>
                  <w:shd w:val="clear" w:color="auto" w:fill="auto"/>
                  <w:noWrap w:val="0"/>
                  <w:vAlign w:val="center"/>
                </w:tcPr>
                <w:p w14:paraId="7C15AAA6">
                  <w:pPr>
                    <w:pStyle w:val="208"/>
                    <w:shd w:val="clear"/>
                    <w:spacing w:line="280" w:lineRule="exact"/>
                    <w:ind w:firstLine="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《恶臭污染物排放标准》（GB14554-93）</w:t>
                  </w:r>
                </w:p>
              </w:tc>
            </w:tr>
            <w:tr w14:paraId="462798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45" w:type="dxa"/>
                  <w:vMerge w:val="continue"/>
                  <w:shd w:val="clear" w:color="auto" w:fill="auto"/>
                  <w:noWrap w:val="0"/>
                  <w:vAlign w:val="center"/>
                </w:tcPr>
                <w:p w14:paraId="3EA8BB20">
                  <w:pPr>
                    <w:pStyle w:val="208"/>
                    <w:shd w:val="clear"/>
                    <w:spacing w:line="280" w:lineRule="exact"/>
                    <w:ind w:firstLine="0"/>
                    <w:jc w:val="center"/>
                    <w:rPr>
                      <w:rFonts w:hint="eastAsia" w:ascii="Times New Roman" w:hAnsi="Times New Roman"/>
                      <w:color w:val="000000" w:themeColor="text1"/>
                      <w:sz w:val="21"/>
                      <w:szCs w:val="21"/>
                      <w:highlight w:val="none"/>
                      <w14:textFill>
                        <w14:solidFill>
                          <w14:schemeClr w14:val="tx1"/>
                        </w14:solidFill>
                      </w14:textFill>
                    </w:rPr>
                  </w:pPr>
                </w:p>
              </w:tc>
              <w:tc>
                <w:tcPr>
                  <w:tcW w:w="1785" w:type="dxa"/>
                  <w:gridSpan w:val="2"/>
                  <w:shd w:val="clear" w:color="auto" w:fill="auto"/>
                  <w:noWrap w:val="0"/>
                  <w:vAlign w:val="center"/>
                </w:tcPr>
                <w:p w14:paraId="10FB2614">
                  <w:pPr>
                    <w:pStyle w:val="208"/>
                    <w:shd w:val="clear"/>
                    <w:spacing w:line="280" w:lineRule="exact"/>
                    <w:ind w:firstLine="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厂区内（在厂房外设置监控点）</w:t>
                  </w:r>
                </w:p>
              </w:tc>
              <w:tc>
                <w:tcPr>
                  <w:tcW w:w="1815" w:type="dxa"/>
                  <w:shd w:val="clear" w:color="auto" w:fill="auto"/>
                  <w:noWrap w:val="0"/>
                  <w:vAlign w:val="center"/>
                </w:tcPr>
                <w:p w14:paraId="448823AB">
                  <w:pPr>
                    <w:pStyle w:val="208"/>
                    <w:shd w:val="clear"/>
                    <w:spacing w:line="280" w:lineRule="exact"/>
                    <w:ind w:firstLine="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NMHC</w:t>
                  </w:r>
                </w:p>
              </w:tc>
              <w:tc>
                <w:tcPr>
                  <w:tcW w:w="1245" w:type="dxa"/>
                  <w:shd w:val="clear" w:color="auto" w:fill="auto"/>
                  <w:noWrap w:val="0"/>
                  <w:vAlign w:val="center"/>
                </w:tcPr>
                <w:p w14:paraId="2EC9DC6B">
                  <w:pPr>
                    <w:pStyle w:val="208"/>
                    <w:shd w:val="clear"/>
                    <w:spacing w:line="280" w:lineRule="exact"/>
                    <w:ind w:firstLine="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1次/年</w:t>
                  </w:r>
                </w:p>
              </w:tc>
              <w:tc>
                <w:tcPr>
                  <w:tcW w:w="2528" w:type="dxa"/>
                  <w:shd w:val="clear" w:color="auto" w:fill="auto"/>
                  <w:noWrap w:val="0"/>
                  <w:vAlign w:val="center"/>
                </w:tcPr>
                <w:p w14:paraId="34EACAEC">
                  <w:pPr>
                    <w:pStyle w:val="208"/>
                    <w:shd w:val="clear"/>
                    <w:spacing w:line="280" w:lineRule="exact"/>
                    <w:ind w:firstLine="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《挥发性有机物无组织排放控制标准》（GB37822-2019）</w:t>
                  </w:r>
                </w:p>
              </w:tc>
            </w:tr>
          </w:tbl>
          <w:p w14:paraId="421C6347">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14:textFill>
                  <w14:solidFill>
                    <w14:schemeClr w14:val="tx1"/>
                  </w14:solidFill>
                </w14:textFill>
              </w:rPr>
              <w:t>废水</w:t>
            </w:r>
          </w:p>
          <w:p w14:paraId="121948D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（1）废水产生</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及排放情况</w:t>
            </w:r>
          </w:p>
          <w:p w14:paraId="18FE71A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eastAsia="瀹嬩綋" w:cs="Times New Roman"/>
                <w:color w:val="000000" w:themeColor="text1"/>
                <w:spacing w:val="-6"/>
                <w:sz w:val="24"/>
                <w:lang w:eastAsia="zh-CN"/>
                <w14:textFill>
                  <w14:solidFill>
                    <w14:schemeClr w14:val="tx1"/>
                  </w14:solidFill>
                </w14:textFill>
              </w:rPr>
            </w:pPr>
            <w:r>
              <w:rPr>
                <w:rFonts w:hint="eastAsia" w:ascii="Calibri" w:hAnsi="Calibri"/>
                <w:color w:val="000000" w:themeColor="text1"/>
                <w:sz w:val="24"/>
                <w:highlight w:val="none"/>
                <w14:textFill>
                  <w14:solidFill>
                    <w14:schemeClr w14:val="tx1"/>
                  </w14:solidFill>
                </w14:textFill>
              </w:rPr>
              <w:t>本项目排水采取雨污分流，</w:t>
            </w:r>
            <w:r>
              <w:rPr>
                <w:rFonts w:hint="eastAsia" w:ascii="宋体" w:hAnsi="宋体" w:eastAsia="宋体" w:cs="宋体"/>
                <w:color w:val="000000" w:themeColor="text1"/>
                <w:sz w:val="24"/>
                <w:szCs w:val="24"/>
                <w:lang w:val="en-US" w:eastAsia="zh-CN"/>
                <w14:textFill>
                  <w14:solidFill>
                    <w14:schemeClr w14:val="tx1"/>
                  </w14:solidFill>
                </w14:textFill>
              </w:rPr>
              <w:t>项目外排废水主要为纯水制备浓水、生活污水、设备清洗废水</w:t>
            </w:r>
            <w:r>
              <w:rPr>
                <w:rFonts w:hint="eastAsia" w:ascii="宋体" w:hAnsi="宋体" w:cs="宋体"/>
                <w:color w:val="000000" w:themeColor="text1"/>
                <w:sz w:val="24"/>
                <w:szCs w:val="24"/>
                <w:lang w:val="en-US" w:eastAsia="zh-CN"/>
                <w14:textFill>
                  <w14:solidFill>
                    <w14:schemeClr w14:val="tx1"/>
                  </w14:solidFill>
                </w14:textFill>
              </w:rPr>
              <w:t>、空压机冷凝水、反冲洗水</w:t>
            </w:r>
            <w:r>
              <w:rPr>
                <w:rFonts w:hint="eastAsia" w:ascii="宋体" w:hAnsi="宋体" w:eastAsia="宋体" w:cs="宋体"/>
                <w:color w:val="000000" w:themeColor="text1"/>
                <w:sz w:val="24"/>
                <w:szCs w:val="24"/>
                <w:lang w:val="en-US" w:eastAsia="zh-CN"/>
                <w14:textFill>
                  <w14:solidFill>
                    <w14:schemeClr w14:val="tx1"/>
                  </w14:solidFill>
                </w14:textFill>
              </w:rPr>
              <w:t>等，其中</w:t>
            </w:r>
            <w:r>
              <w:rPr>
                <w:rFonts w:hint="default" w:ascii="Times New Roman" w:hAnsi="Times New Roman" w:eastAsia="宋体" w:cs="Times New Roman"/>
                <w:color w:val="000000" w:themeColor="text1"/>
                <w:sz w:val="24"/>
                <w14:textFill>
                  <w14:solidFill>
                    <w14:schemeClr w14:val="tx1"/>
                  </w14:solidFill>
                </w14:textFill>
              </w:rPr>
              <w:t>项目</w:t>
            </w:r>
            <w:r>
              <w:rPr>
                <w:rFonts w:hint="eastAsia" w:cs="Times New Roman"/>
                <w:color w:val="000000" w:themeColor="text1"/>
                <w:sz w:val="24"/>
                <w:lang w:val="en-US" w:eastAsia="zh-CN"/>
                <w14:textFill>
                  <w14:solidFill>
                    <w14:schemeClr w14:val="tx1"/>
                  </w14:solidFill>
                </w14:textFill>
              </w:rPr>
              <w:t>生活污水、纯水制备浓水、反冲洗水经厂区预处理池处理，设备清洗废水</w:t>
            </w:r>
            <w:r>
              <w:rPr>
                <w:rFonts w:hint="default" w:ascii="Times New Roman" w:hAnsi="Times New Roman" w:eastAsia="宋体" w:cs="Times New Roman"/>
                <w:color w:val="000000" w:themeColor="text1"/>
                <w:sz w:val="24"/>
                <w14:textFill>
                  <w14:solidFill>
                    <w14:schemeClr w14:val="tx1"/>
                  </w14:solidFill>
                </w14:textFill>
              </w:rPr>
              <w:t>经</w:t>
            </w:r>
            <w:r>
              <w:rPr>
                <w:rFonts w:hint="default" w:ascii="Times New Roman" w:hAnsi="Times New Roman" w:eastAsia="瀹嬩綋" w:cs="Times New Roman"/>
                <w:color w:val="000000" w:themeColor="text1"/>
                <w:spacing w:val="-6"/>
                <w:sz w:val="24"/>
                <w:lang w:val="en-US" w:eastAsia="zh-CN"/>
                <w14:textFill>
                  <w14:solidFill>
                    <w14:schemeClr w14:val="tx1"/>
                  </w14:solidFill>
                </w14:textFill>
              </w:rPr>
              <w:t>厂区废水处理站处理</w:t>
            </w:r>
            <w:r>
              <w:rPr>
                <w:rFonts w:hint="eastAsia" w:eastAsia="瀹嬩綋" w:cs="Times New Roman"/>
                <w:color w:val="000000" w:themeColor="text1"/>
                <w:spacing w:val="-6"/>
                <w:sz w:val="24"/>
                <w:lang w:val="en-US" w:eastAsia="zh-CN"/>
                <w14:textFill>
                  <w14:solidFill>
                    <w14:schemeClr w14:val="tx1"/>
                  </w14:solidFill>
                </w14:textFill>
              </w:rPr>
              <w:t>，处理后的废水一同</w:t>
            </w:r>
            <w:r>
              <w:rPr>
                <w:rFonts w:hint="default" w:ascii="Times New Roman" w:hAnsi="Times New Roman" w:eastAsia="瀹嬩綋" w:cs="Times New Roman"/>
                <w:color w:val="000000" w:themeColor="text1"/>
                <w:spacing w:val="-6"/>
                <w:sz w:val="24"/>
                <w:lang w:val="en-US" w:eastAsia="zh-CN"/>
                <w14:textFill>
                  <w14:solidFill>
                    <w14:schemeClr w14:val="tx1"/>
                  </w14:solidFill>
                </w14:textFill>
              </w:rPr>
              <w:t>经</w:t>
            </w:r>
            <w:r>
              <w:rPr>
                <w:rFonts w:hint="default" w:ascii="Times New Roman" w:hAnsi="Times New Roman" w:eastAsia="瀹嬩綋" w:cs="Times New Roman"/>
                <w:color w:val="000000" w:themeColor="text1"/>
                <w:spacing w:val="-6"/>
                <w:sz w:val="24"/>
                <w14:textFill>
                  <w14:solidFill>
                    <w14:schemeClr w14:val="tx1"/>
                  </w14:solidFill>
                </w14:textFill>
              </w:rPr>
              <w:t>厂区总排放口排入园区市政污水管网，</w:t>
            </w:r>
            <w:r>
              <w:rPr>
                <w:rFonts w:hint="default" w:ascii="Times New Roman" w:hAnsi="Times New Roman" w:eastAsia="瀹嬩綋" w:cs="Times New Roman"/>
                <w:color w:val="000000" w:themeColor="text1"/>
                <w:spacing w:val="-6"/>
                <w:sz w:val="24"/>
                <w:lang w:eastAsia="zh-CN"/>
                <w14:textFill>
                  <w14:solidFill>
                    <w14:schemeClr w14:val="tx1"/>
                  </w14:solidFill>
                </w14:textFill>
              </w:rPr>
              <w:t>最终进入园区污水处理厂处理达标后排入巴河</w:t>
            </w:r>
            <w:r>
              <w:rPr>
                <w:rFonts w:hint="eastAsia" w:ascii="Times New Roman" w:hAnsi="Times New Roman" w:eastAsia="瀹嬩綋" w:cs="Times New Roman"/>
                <w:color w:val="000000" w:themeColor="text1"/>
                <w:spacing w:val="-6"/>
                <w:sz w:val="24"/>
                <w:lang w:eastAsia="zh-CN"/>
                <w14:textFill>
                  <w14:solidFill>
                    <w14:schemeClr w14:val="tx1"/>
                  </w14:solidFill>
                </w14:textFill>
              </w:rPr>
              <w:t>。</w:t>
            </w:r>
          </w:p>
          <w:p w14:paraId="2242AF79">
            <w:pPr>
              <w:keepNext w:val="0"/>
              <w:keepLines w:val="0"/>
              <w:pageBreakBefore w:val="0"/>
              <w:widowControl w:val="0"/>
              <w:kinsoku/>
              <w:wordWrap/>
              <w:overflowPunct/>
              <w:topLinePunct w:val="0"/>
              <w:autoSpaceDE/>
              <w:autoSpaceDN/>
              <w:bidi w:val="0"/>
              <w:adjustRightInd/>
              <w:snapToGrid/>
              <w:spacing w:line="360" w:lineRule="auto"/>
              <w:ind w:firstLine="456" w:firstLineChars="200"/>
              <w:jc w:val="both"/>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eastAsia="瀹嬩綋" w:cs="Times New Roman"/>
                <w:color w:val="000000" w:themeColor="text1"/>
                <w:spacing w:val="-6"/>
                <w:sz w:val="24"/>
                <w:lang w:val="en-US" w:eastAsia="zh-CN"/>
                <w14:textFill>
                  <w14:solidFill>
                    <w14:schemeClr w14:val="tx1"/>
                  </w14:solidFill>
                </w14:textFill>
              </w:rPr>
              <w:t>项目</w:t>
            </w:r>
            <w:r>
              <w:rPr>
                <w:rFonts w:ascii="宋体" w:hAnsi="宋体" w:eastAsia="宋体" w:cs="宋体"/>
                <w:color w:val="000000" w:themeColor="text1"/>
                <w:sz w:val="24"/>
                <w:szCs w:val="24"/>
                <w14:textFill>
                  <w14:solidFill>
                    <w14:schemeClr w14:val="tx1"/>
                  </w14:solidFill>
                </w14:textFill>
              </w:rPr>
              <w:t>配套无油螺杆式空压机，运行过程不添加润滑油</w:t>
            </w:r>
            <w:r>
              <w:rPr>
                <w:rFonts w:hint="eastAsia" w:ascii="宋体" w:hAnsi="宋体" w:cs="宋体"/>
                <w:color w:val="000000" w:themeColor="text1"/>
                <w:sz w:val="24"/>
                <w:szCs w:val="24"/>
                <w:lang w:eastAsia="zh-CN"/>
                <w14:textFill>
                  <w14:solidFill>
                    <w14:schemeClr w14:val="tx1"/>
                  </w14:solidFill>
                </w14:textFill>
              </w:rPr>
              <w:t>，</w:t>
            </w:r>
            <w:r>
              <w:rPr>
                <w:rFonts w:ascii="宋体" w:hAnsi="宋体" w:eastAsia="宋体" w:cs="宋体"/>
                <w:color w:val="000000" w:themeColor="text1"/>
                <w:sz w:val="24"/>
                <w:szCs w:val="24"/>
                <w14:textFill>
                  <w14:solidFill>
                    <w14:schemeClr w14:val="tx1"/>
                  </w14:solidFill>
                </w14:textFill>
              </w:rPr>
              <w:t>压缩空气冷却干燥过程产生空压机冷凝废水</w:t>
            </w:r>
            <w:r>
              <w:rPr>
                <w:rFonts w:hint="eastAsia" w:ascii="宋体" w:hAnsi="宋体" w:eastAsia="宋体" w:cs="宋体"/>
                <w:color w:val="000000" w:themeColor="text1"/>
                <w:sz w:val="24"/>
                <w:szCs w:val="24"/>
                <w:lang w:eastAsia="zh-CN"/>
                <w14:textFill>
                  <w14:solidFill>
                    <w14:schemeClr w14:val="tx1"/>
                  </w14:solidFill>
                </w14:textFill>
              </w:rPr>
              <w:t>，</w:t>
            </w:r>
            <w:r>
              <w:rPr>
                <w:rFonts w:ascii="宋体" w:hAnsi="宋体" w:eastAsia="宋体" w:cs="宋体"/>
                <w:color w:val="000000" w:themeColor="text1"/>
                <w:sz w:val="24"/>
                <w:szCs w:val="24"/>
                <w14:textFill>
                  <w14:solidFill>
                    <w14:schemeClr w14:val="tx1"/>
                  </w14:solidFill>
                </w14:textFill>
              </w:rPr>
              <w:t>该类冷凝水为空气中水汽凝结形成，</w:t>
            </w:r>
            <w:r>
              <w:rPr>
                <w:rFonts w:hint="eastAsia" w:ascii="宋体" w:hAnsi="宋体" w:cs="宋体"/>
                <w:color w:val="000000" w:themeColor="text1"/>
                <w:sz w:val="24"/>
                <w:szCs w:val="24"/>
                <w:lang w:val="en-US" w:eastAsia="zh-CN"/>
                <w14:textFill>
                  <w14:solidFill>
                    <w14:schemeClr w14:val="tx1"/>
                  </w14:solidFill>
                </w14:textFill>
              </w:rPr>
              <w:t>主要污染物为</w:t>
            </w:r>
            <w:r>
              <w:rPr>
                <w:rFonts w:hint="default" w:ascii="Times New Roman" w:hAnsi="Times New Roman" w:cs="Times New Roman"/>
                <w:color w:val="000000" w:themeColor="text1"/>
                <w:sz w:val="24"/>
                <w:szCs w:val="24"/>
                <w:lang w:val="en-US" w:eastAsia="zh-CN"/>
                <w14:textFill>
                  <w14:solidFill>
                    <w14:schemeClr w14:val="tx1"/>
                  </w14:solidFill>
                </w14:textFill>
              </w:rPr>
              <w:t>SS，浓度为50mg/L</w:t>
            </w:r>
            <w:r>
              <w:rPr>
                <w:rFonts w:hint="eastAsia" w:eastAsia="瀹嬩綋" w:cs="Times New Roman"/>
                <w:color w:val="000000" w:themeColor="text1"/>
                <w:spacing w:val="-6"/>
                <w:sz w:val="24"/>
                <w:lang w:eastAsia="zh-CN"/>
                <w14:textFill>
                  <w14:solidFill>
                    <w14:schemeClr w14:val="tx1"/>
                  </w14:solidFill>
                </w14:textFill>
              </w:rPr>
              <w:t>。</w:t>
            </w:r>
          </w:p>
          <w:p w14:paraId="37EB65DA">
            <w:pPr>
              <w:autoSpaceDE w:val="0"/>
              <w:autoSpaceDN w:val="0"/>
              <w:spacing w:line="360" w:lineRule="auto"/>
              <w:ind w:firstLine="480" w:firstLineChars="200"/>
              <w:rPr>
                <w:rFonts w:hint="default" w:ascii="Times New Roman" w:hAnsi="Times New Roman" w:eastAsia="瀹嬩綋" w:cs="Times New Roman"/>
                <w:b w:val="0"/>
                <w:bCs w:val="0"/>
                <w:color w:val="000000" w:themeColor="text1"/>
                <w:sz w:val="24"/>
                <w:szCs w:val="24"/>
                <w:lang w:val="en-US" w:eastAsia="zh-CN"/>
                <w14:textFill>
                  <w14:solidFill>
                    <w14:schemeClr w14:val="tx1"/>
                  </w14:solidFill>
                </w14:textFill>
              </w:rPr>
            </w:pPr>
            <w:r>
              <w:rPr>
                <w:rFonts w:hint="eastAsia" w:cs="Times New Roman"/>
                <w:color w:val="000000" w:themeColor="text1"/>
                <w:spacing w:val="0"/>
                <w:sz w:val="24"/>
                <w:szCs w:val="24"/>
                <w:lang w:val="en-US" w:eastAsia="zh-CN"/>
                <w14:textFill>
                  <w14:solidFill>
                    <w14:schemeClr w14:val="tx1"/>
                  </w14:solidFill>
                </w14:textFill>
              </w:rPr>
              <w:t>生活污水</w:t>
            </w:r>
            <w:r>
              <w:rPr>
                <w:rFonts w:hint="default" w:ascii="Times New Roman" w:hAnsi="Times New Roman" w:eastAsia="宋体" w:cs="Times New Roman"/>
                <w:color w:val="000000" w:themeColor="text1"/>
                <w:spacing w:val="0"/>
                <w:sz w:val="24"/>
                <w:szCs w:val="24"/>
                <w:lang w:val="en-US" w:eastAsia="zh-CN"/>
                <w14:textFill>
                  <w14:solidFill>
                    <w14:schemeClr w14:val="tx1"/>
                  </w14:solidFill>
                </w14:textFill>
              </w:rPr>
              <w:t>：</w:t>
            </w:r>
            <w:r>
              <w:rPr>
                <w:rFonts w:hint="eastAsia"/>
                <w:color w:val="000000" w:themeColor="text1"/>
                <w:kern w:val="0"/>
                <w:sz w:val="24"/>
                <w:highlight w:val="none"/>
                <w:lang w:val="en-US" w:eastAsia="zh-CN"/>
                <w14:textFill>
                  <w14:solidFill>
                    <w14:schemeClr w14:val="tx1"/>
                  </w14:solidFill>
                </w14:textFill>
              </w:rPr>
              <w:t>参照《排放源统计调查产排污核算方法和系数手册—生活污染源产排污系数手册》及《社会区域类环境影响评价》，其COD：325mg/L，BOD</w:t>
            </w:r>
            <w:r>
              <w:rPr>
                <w:rFonts w:hint="eastAsia"/>
                <w:color w:val="000000" w:themeColor="text1"/>
                <w:kern w:val="0"/>
                <w:sz w:val="24"/>
                <w:highlight w:val="none"/>
                <w:vertAlign w:val="subscript"/>
                <w:lang w:val="en-US" w:eastAsia="zh-CN"/>
                <w14:textFill>
                  <w14:solidFill>
                    <w14:schemeClr w14:val="tx1"/>
                  </w14:solidFill>
                </w14:textFill>
              </w:rPr>
              <w:t>5</w:t>
            </w:r>
            <w:r>
              <w:rPr>
                <w:rFonts w:hint="eastAsia"/>
                <w:color w:val="000000" w:themeColor="text1"/>
                <w:kern w:val="0"/>
                <w:sz w:val="24"/>
                <w:highlight w:val="none"/>
                <w:lang w:val="en-US" w:eastAsia="zh-CN"/>
                <w14:textFill>
                  <w14:solidFill>
                    <w14:schemeClr w14:val="tx1"/>
                  </w14:solidFill>
                </w14:textFill>
              </w:rPr>
              <w:t>：230mg/L，氨氮：37.7mg/L，总磷：4.28mg/L，SS：250mg/L，TN：49.8mg/L。</w:t>
            </w:r>
          </w:p>
          <w:p w14:paraId="2CCE6ECA">
            <w:pPr>
              <w:keepNext w:val="0"/>
              <w:keepLines w:val="0"/>
              <w:pageBreakBefore w:val="0"/>
              <w:widowControl w:val="0"/>
              <w:kinsoku/>
              <w:wordWrap/>
              <w:overflowPunct/>
              <w:topLinePunct w:val="0"/>
              <w:autoSpaceDE/>
              <w:autoSpaceDN/>
              <w:bidi w:val="0"/>
              <w:adjustRightInd/>
              <w:snapToGrid/>
              <w:spacing w:line="360" w:lineRule="auto"/>
              <w:ind w:firstLine="456" w:firstLineChars="200"/>
              <w:jc w:val="both"/>
              <w:textAlignment w:val="auto"/>
              <w:rPr>
                <w:rFonts w:hint="default" w:ascii="Times New Roman" w:hAnsi="Times New Roman" w:eastAsia="宋体" w:cs="Times New Roman"/>
                <w:color w:val="000000" w:themeColor="text1"/>
                <w:spacing w:val="-6"/>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pacing w:val="-6"/>
                <w:sz w:val="24"/>
                <w:szCs w:val="24"/>
                <w:lang w:val="en-US" w:eastAsia="zh-CN"/>
                <w14:textFill>
                  <w14:solidFill>
                    <w14:schemeClr w14:val="tx1"/>
                  </w14:solidFill>
                </w14:textFill>
              </w:rPr>
              <w:t>纯水制备浓水</w:t>
            </w:r>
            <w:r>
              <w:rPr>
                <w:rFonts w:hint="eastAsia" w:cs="Times New Roman"/>
                <w:color w:val="000000" w:themeColor="text1"/>
                <w:spacing w:val="-6"/>
                <w:sz w:val="24"/>
                <w:szCs w:val="24"/>
                <w:lang w:val="en-US" w:eastAsia="zh-CN"/>
                <w14:textFill>
                  <w14:solidFill>
                    <w14:schemeClr w14:val="tx1"/>
                  </w14:solidFill>
                </w14:textFill>
              </w:rPr>
              <w:t>、反冲洗水</w:t>
            </w:r>
            <w:r>
              <w:rPr>
                <w:rFonts w:hint="default" w:ascii="Times New Roman" w:hAnsi="Times New Roman" w:eastAsia="宋体" w:cs="Times New Roman"/>
                <w:color w:val="000000" w:themeColor="text1"/>
                <w:spacing w:val="-6"/>
                <w:sz w:val="24"/>
                <w:szCs w:val="24"/>
                <w:lang w:val="en-US" w:eastAsia="zh-CN"/>
                <w14:textFill>
                  <w14:solidFill>
                    <w14:schemeClr w14:val="tx1"/>
                  </w14:solidFill>
                </w14:textFill>
              </w:rPr>
              <w:t>：</w:t>
            </w:r>
            <w:r>
              <w:rPr>
                <w:rFonts w:hint="eastAsia"/>
                <w:color w:val="000000" w:themeColor="text1"/>
                <w:sz w:val="24"/>
                <w:szCs w:val="24"/>
                <w14:textFill>
                  <w14:solidFill>
                    <w14:schemeClr w14:val="tx1"/>
                  </w14:solidFill>
                </w14:textFill>
              </w:rPr>
              <w:t>参照文献《纯水制备过程中氨氮和总氮在制水废水中的富集》</w:t>
            </w:r>
            <w:r>
              <w:rPr>
                <w:color w:val="000000" w:themeColor="text1"/>
                <w:sz w:val="24"/>
                <w:szCs w:val="24"/>
                <w14:textFill>
                  <w14:solidFill>
                    <w14:schemeClr w14:val="tx1"/>
                  </w14:solidFill>
                </w14:textFill>
              </w:rPr>
              <w:t>，山东化工，</w:t>
            </w:r>
            <w:r>
              <w:rPr>
                <w:rFonts w:hint="eastAsia"/>
                <w:color w:val="000000" w:themeColor="text1"/>
                <w:sz w:val="24"/>
                <w:szCs w:val="24"/>
                <w14:textFill>
                  <w14:solidFill>
                    <w14:schemeClr w14:val="tx1"/>
                  </w14:solidFill>
                </w14:textFill>
              </w:rPr>
              <w:t>2020</w:t>
            </w:r>
            <w:r>
              <w:rPr>
                <w:color w:val="000000" w:themeColor="text1"/>
                <w:sz w:val="24"/>
                <w:szCs w:val="24"/>
                <w14:textFill>
                  <w14:solidFill>
                    <w14:schemeClr w14:val="tx1"/>
                  </w14:solidFill>
                </w14:textFill>
              </w:rPr>
              <w:t>，</w:t>
            </w:r>
            <w:r>
              <w:rPr>
                <w:rFonts w:hint="eastAsia"/>
                <w:color w:val="000000" w:themeColor="text1"/>
                <w:sz w:val="24"/>
                <w:szCs w:val="24"/>
                <w14:textFill>
                  <w14:solidFill>
                    <w14:schemeClr w14:val="tx1"/>
                  </w14:solidFill>
                </w14:textFill>
              </w:rPr>
              <w:t>49（7）</w:t>
            </w:r>
            <w:r>
              <w:rPr>
                <w:color w:val="000000" w:themeColor="text1"/>
                <w:sz w:val="24"/>
                <w:szCs w:val="24"/>
                <w14:textFill>
                  <w14:solidFill>
                    <w14:schemeClr w14:val="tx1"/>
                  </w14:solidFill>
                </w14:textFill>
              </w:rPr>
              <w:t>：</w:t>
            </w:r>
            <w:r>
              <w:rPr>
                <w:rFonts w:hint="eastAsia"/>
                <w:color w:val="000000" w:themeColor="text1"/>
                <w:sz w:val="24"/>
                <w:szCs w:val="24"/>
                <w14:textFill>
                  <w14:solidFill>
                    <w14:schemeClr w14:val="tx1"/>
                  </w14:solidFill>
                </w14:textFill>
              </w:rPr>
              <w:t>263-264，</w:t>
            </w:r>
            <w:r>
              <w:rPr>
                <w:rFonts w:hint="eastAsia"/>
                <w:color w:val="000000" w:themeColor="text1"/>
                <w:sz w:val="24"/>
                <w:szCs w:val="24"/>
                <w:lang w:eastAsia="zh-CN"/>
                <w14:textFill>
                  <w14:solidFill>
                    <w14:schemeClr w14:val="tx1"/>
                  </w14:solidFill>
                </w14:textFill>
              </w:rPr>
              <w:t>纯水制备浓水</w:t>
            </w:r>
            <w:r>
              <w:rPr>
                <w:rFonts w:hint="eastAsia"/>
                <w:color w:val="000000" w:themeColor="text1"/>
                <w:sz w:val="24"/>
                <w:szCs w:val="24"/>
                <w:lang w:val="en-US" w:eastAsia="zh-CN"/>
                <w14:textFill>
                  <w14:solidFill>
                    <w14:schemeClr w14:val="tx1"/>
                  </w14:solidFill>
                </w14:textFill>
              </w:rPr>
              <w:t>及反冲洗水</w:t>
            </w:r>
            <w:r>
              <w:rPr>
                <w:rFonts w:hint="eastAsia"/>
                <w:color w:val="000000" w:themeColor="text1"/>
                <w:sz w:val="24"/>
                <w:szCs w:val="24"/>
                <w14:textFill>
                  <w14:solidFill>
                    <w14:schemeClr w14:val="tx1"/>
                  </w14:solidFill>
                </w14:textFill>
              </w:rPr>
              <w:t>污染物SS浓度为160mg/L，COD浓度为41mg/L</w:t>
            </w:r>
            <w:r>
              <w:rPr>
                <w:rFonts w:hint="eastAsia"/>
                <w:color w:val="000000" w:themeColor="text1"/>
                <w:sz w:val="24"/>
                <w:szCs w:val="24"/>
                <w:lang w:eastAsia="zh-CN"/>
                <w14:textFill>
                  <w14:solidFill>
                    <w14:schemeClr w14:val="tx1"/>
                  </w14:solidFill>
                </w14:textFill>
              </w:rPr>
              <w:t>。</w:t>
            </w:r>
          </w:p>
          <w:p w14:paraId="0D9C1676">
            <w:pPr>
              <w:pStyle w:val="66"/>
              <w:keepNext w:val="0"/>
              <w:keepLines w:val="0"/>
              <w:pageBreakBefore w:val="0"/>
              <w:widowControl w:val="0"/>
              <w:kinsoku/>
              <w:wordWrap/>
              <w:overflowPunct/>
              <w:topLinePunct w:val="0"/>
              <w:bidi w:val="0"/>
              <w:spacing w:line="360" w:lineRule="auto"/>
              <w:ind w:firstLine="480" w:firstLineChars="200"/>
              <w:jc w:val="both"/>
              <w:textAlignment w:val="auto"/>
              <w:rPr>
                <w:rFonts w:hint="eastAsia"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设备清洗废水：</w:t>
            </w:r>
            <w:r>
              <w:rPr>
                <w:rFonts w:hint="eastAsia" w:cs="Times New Roman"/>
                <w:color w:val="000000" w:themeColor="text1"/>
                <w:sz w:val="24"/>
                <w:szCs w:val="24"/>
                <w:lang w:val="en-US" w:eastAsia="zh-CN"/>
                <w14:textFill>
                  <w14:solidFill>
                    <w14:schemeClr w14:val="tx1"/>
                  </w14:solidFill>
                </w14:textFill>
              </w:rPr>
              <w:t>类比同类项目（正极废水：《新津时代锂离子电池生产二期项目环境影响报告表》，负极废水：《南京市欣旺达欣能源有限公司“欣旺达动力电池项目”竣工环境保护验收监测报告》），本项目清洗废水源强见下表。</w:t>
            </w:r>
          </w:p>
          <w:p w14:paraId="3B930FE6">
            <w:pPr>
              <w:pStyle w:val="66"/>
              <w:keepNext w:val="0"/>
              <w:keepLines w:val="0"/>
              <w:pageBreakBefore w:val="0"/>
              <w:widowControl w:val="0"/>
              <w:kinsoku/>
              <w:wordWrap/>
              <w:overflowPunct/>
              <w:topLinePunct w:val="0"/>
              <w:bidi w:val="0"/>
              <w:spacing w:line="240" w:lineRule="auto"/>
              <w:ind w:left="0" w:leftChars="0" w:firstLine="0" w:firstLineChars="0"/>
              <w:jc w:val="center"/>
              <w:textAlignment w:val="auto"/>
              <w:rPr>
                <w:rFonts w:hint="default" w:cs="Times New Roman"/>
                <w:b/>
                <w:bCs/>
                <w:color w:val="000000" w:themeColor="text1"/>
                <w:sz w:val="21"/>
                <w:szCs w:val="21"/>
                <w:lang w:val="en-US" w:eastAsia="zh-CN"/>
                <w14:textFill>
                  <w14:solidFill>
                    <w14:schemeClr w14:val="tx1"/>
                  </w14:solidFill>
                </w14:textFill>
              </w:rPr>
            </w:pPr>
            <w:r>
              <w:rPr>
                <w:rFonts w:hint="eastAsia" w:cs="Times New Roman"/>
                <w:b/>
                <w:bCs/>
                <w:color w:val="000000" w:themeColor="text1"/>
                <w:sz w:val="21"/>
                <w:szCs w:val="21"/>
                <w:lang w:val="en-US" w:eastAsia="zh-CN"/>
                <w14:textFill>
                  <w14:solidFill>
                    <w14:schemeClr w14:val="tx1"/>
                  </w14:solidFill>
                </w14:textFill>
              </w:rPr>
              <w:t>表4-9 类比清洗废水水质情况 （单位：mg/L）</w:t>
            </w:r>
          </w:p>
          <w:tbl>
            <w:tblPr>
              <w:tblStyle w:val="42"/>
              <w:tblW w:w="7939"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14"/>
              <w:gridCol w:w="926"/>
              <w:gridCol w:w="720"/>
              <w:gridCol w:w="632"/>
              <w:gridCol w:w="822"/>
              <w:gridCol w:w="600"/>
              <w:gridCol w:w="915"/>
              <w:gridCol w:w="645"/>
              <w:gridCol w:w="600"/>
              <w:gridCol w:w="765"/>
            </w:tblGrid>
            <w:tr w14:paraId="60846FB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2240" w:type="dxa"/>
                  <w:gridSpan w:val="2"/>
                  <w:vAlign w:val="center"/>
                </w:tcPr>
                <w:p w14:paraId="082E8AE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b/>
                      <w:bCs/>
                      <w:color w:val="000000" w:themeColor="text1"/>
                      <w:kern w:val="0"/>
                      <w:sz w:val="21"/>
                      <w:szCs w:val="21"/>
                      <w:lang w:val="en-US" w:eastAsia="zh-CN"/>
                      <w14:textFill>
                        <w14:solidFill>
                          <w14:schemeClr w14:val="tx1"/>
                        </w14:solidFill>
                      </w14:textFill>
                    </w:rPr>
                    <w:t>废水类型</w:t>
                  </w:r>
                </w:p>
              </w:tc>
              <w:tc>
                <w:tcPr>
                  <w:tcW w:w="720" w:type="dxa"/>
                  <w:vAlign w:val="center"/>
                </w:tcPr>
                <w:p w14:paraId="247779D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b/>
                      <w:bCs/>
                      <w:color w:val="000000" w:themeColor="text1"/>
                      <w:kern w:val="0"/>
                      <w:sz w:val="21"/>
                      <w:szCs w:val="21"/>
                      <w:lang w:val="en-US" w:eastAsia="zh-CN"/>
                      <w14:textFill>
                        <w14:solidFill>
                          <w14:schemeClr w14:val="tx1"/>
                        </w14:solidFill>
                      </w14:textFill>
                    </w:rPr>
                    <w:t>COD</w:t>
                  </w:r>
                </w:p>
              </w:tc>
              <w:tc>
                <w:tcPr>
                  <w:tcW w:w="632" w:type="dxa"/>
                  <w:vAlign w:val="center"/>
                </w:tcPr>
                <w:p w14:paraId="310BB51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b/>
                      <w:bCs/>
                      <w:color w:val="000000" w:themeColor="text1"/>
                      <w:kern w:val="0"/>
                      <w:sz w:val="21"/>
                      <w:szCs w:val="21"/>
                      <w:lang w:val="en-US" w:eastAsia="zh-CN"/>
                      <w14:textFill>
                        <w14:solidFill>
                          <w14:schemeClr w14:val="tx1"/>
                        </w14:solidFill>
                      </w14:textFill>
                    </w:rPr>
                    <w:t>SS</w:t>
                  </w:r>
                </w:p>
              </w:tc>
              <w:tc>
                <w:tcPr>
                  <w:tcW w:w="822" w:type="dxa"/>
                  <w:vAlign w:val="center"/>
                </w:tcPr>
                <w:p w14:paraId="03E2074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b/>
                      <w:bCs/>
                      <w:color w:val="000000" w:themeColor="text1"/>
                      <w:kern w:val="0"/>
                      <w:sz w:val="21"/>
                      <w:szCs w:val="21"/>
                      <w:lang w:val="en-US" w:eastAsia="zh-CN"/>
                      <w14:textFill>
                        <w14:solidFill>
                          <w14:schemeClr w14:val="tx1"/>
                        </w14:solidFill>
                      </w14:textFill>
                    </w:rPr>
                    <w:t>氨氮</w:t>
                  </w:r>
                </w:p>
              </w:tc>
              <w:tc>
                <w:tcPr>
                  <w:tcW w:w="600" w:type="dxa"/>
                  <w:vAlign w:val="center"/>
                </w:tcPr>
                <w:p w14:paraId="129F8A6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b/>
                      <w:bCs/>
                      <w:color w:val="000000" w:themeColor="text1"/>
                      <w:kern w:val="0"/>
                      <w:sz w:val="21"/>
                      <w:szCs w:val="21"/>
                      <w:lang w:val="en-US" w:eastAsia="zh-CN"/>
                      <w14:textFill>
                        <w14:solidFill>
                          <w14:schemeClr w14:val="tx1"/>
                        </w14:solidFill>
                      </w14:textFill>
                    </w:rPr>
                    <w:t>TP</w:t>
                  </w:r>
                </w:p>
              </w:tc>
              <w:tc>
                <w:tcPr>
                  <w:tcW w:w="915" w:type="dxa"/>
                  <w:vAlign w:val="center"/>
                </w:tcPr>
                <w:p w14:paraId="637EF6B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b/>
                      <w:bCs/>
                      <w:color w:val="000000" w:themeColor="text1"/>
                      <w:kern w:val="0"/>
                      <w:sz w:val="21"/>
                      <w:szCs w:val="21"/>
                      <w:lang w:val="en-US" w:eastAsia="zh-CN"/>
                      <w14:textFill>
                        <w14:solidFill>
                          <w14:schemeClr w14:val="tx1"/>
                        </w14:solidFill>
                      </w14:textFill>
                    </w:rPr>
                    <w:t>BOD</w:t>
                  </w:r>
                  <w:r>
                    <w:rPr>
                      <w:rFonts w:hint="eastAsia" w:ascii="Times New Roman" w:hAnsi="Times New Roman" w:eastAsia="宋体" w:cs="Times New Roman"/>
                      <w:b/>
                      <w:bCs/>
                      <w:color w:val="000000" w:themeColor="text1"/>
                      <w:kern w:val="0"/>
                      <w:sz w:val="21"/>
                      <w:szCs w:val="21"/>
                      <w:vertAlign w:val="subscript"/>
                      <w:lang w:val="en-US" w:eastAsia="zh-CN"/>
                      <w14:textFill>
                        <w14:solidFill>
                          <w14:schemeClr w14:val="tx1"/>
                        </w14:solidFill>
                      </w14:textFill>
                    </w:rPr>
                    <w:t>5</w:t>
                  </w:r>
                </w:p>
              </w:tc>
              <w:tc>
                <w:tcPr>
                  <w:tcW w:w="645" w:type="dxa"/>
                  <w:vAlign w:val="center"/>
                </w:tcPr>
                <w:p w14:paraId="05ACD6B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color w:val="000000" w:themeColor="text1"/>
                      <w:kern w:val="0"/>
                      <w:sz w:val="21"/>
                      <w:szCs w:val="21"/>
                      <w:lang w:val="en-US" w:eastAsia="zh-CN"/>
                      <w14:textFill>
                        <w14:solidFill>
                          <w14:schemeClr w14:val="tx1"/>
                        </w14:solidFill>
                      </w14:textFill>
                    </w:rPr>
                  </w:pPr>
                  <w:r>
                    <w:rPr>
                      <w:rFonts w:hint="eastAsia" w:cs="Times New Roman"/>
                      <w:b/>
                      <w:bCs/>
                      <w:color w:val="000000" w:themeColor="text1"/>
                      <w:kern w:val="0"/>
                      <w:sz w:val="21"/>
                      <w:szCs w:val="21"/>
                      <w:lang w:val="en-US" w:eastAsia="zh-CN"/>
                      <w14:textFill>
                        <w14:solidFill>
                          <w14:schemeClr w14:val="tx1"/>
                        </w14:solidFill>
                      </w14:textFill>
                    </w:rPr>
                    <w:t>Ni</w:t>
                  </w:r>
                </w:p>
              </w:tc>
              <w:tc>
                <w:tcPr>
                  <w:tcW w:w="600" w:type="dxa"/>
                  <w:vAlign w:val="center"/>
                </w:tcPr>
                <w:p w14:paraId="73F5B88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color w:val="000000" w:themeColor="text1"/>
                      <w:kern w:val="0"/>
                      <w:sz w:val="21"/>
                      <w:szCs w:val="21"/>
                      <w:lang w:val="en-US" w:eastAsia="zh-CN"/>
                      <w14:textFill>
                        <w14:solidFill>
                          <w14:schemeClr w14:val="tx1"/>
                        </w14:solidFill>
                      </w14:textFill>
                    </w:rPr>
                  </w:pPr>
                  <w:r>
                    <w:rPr>
                      <w:rFonts w:hint="eastAsia" w:cs="Times New Roman"/>
                      <w:b/>
                      <w:bCs/>
                      <w:color w:val="000000" w:themeColor="text1"/>
                      <w:kern w:val="0"/>
                      <w:sz w:val="21"/>
                      <w:szCs w:val="21"/>
                      <w:lang w:val="en-US" w:eastAsia="zh-CN"/>
                      <w14:textFill>
                        <w14:solidFill>
                          <w14:schemeClr w14:val="tx1"/>
                        </w14:solidFill>
                      </w14:textFill>
                    </w:rPr>
                    <w:t>Co</w:t>
                  </w:r>
                </w:p>
              </w:tc>
              <w:tc>
                <w:tcPr>
                  <w:tcW w:w="765" w:type="dxa"/>
                  <w:vAlign w:val="center"/>
                </w:tcPr>
                <w:p w14:paraId="2EC06C0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color w:val="000000" w:themeColor="text1"/>
                      <w:kern w:val="0"/>
                      <w:sz w:val="21"/>
                      <w:szCs w:val="21"/>
                      <w:lang w:val="en-US" w:eastAsia="zh-CN"/>
                      <w14:textFill>
                        <w14:solidFill>
                          <w14:schemeClr w14:val="tx1"/>
                        </w14:solidFill>
                      </w14:textFill>
                    </w:rPr>
                  </w:pPr>
                  <w:r>
                    <w:rPr>
                      <w:rFonts w:hint="eastAsia" w:cs="Times New Roman"/>
                      <w:b/>
                      <w:bCs/>
                      <w:color w:val="000000" w:themeColor="text1"/>
                      <w:kern w:val="0"/>
                      <w:sz w:val="21"/>
                      <w:szCs w:val="21"/>
                      <w:lang w:val="en-US" w:eastAsia="zh-CN"/>
                      <w14:textFill>
                        <w14:solidFill>
                          <w14:schemeClr w14:val="tx1"/>
                        </w14:solidFill>
                      </w14:textFill>
                    </w:rPr>
                    <w:t>Mn</w:t>
                  </w:r>
                </w:p>
              </w:tc>
            </w:tr>
            <w:tr w14:paraId="6A169F9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1314" w:type="dxa"/>
                  <w:vAlign w:val="center"/>
                </w:tcPr>
                <w:p w14:paraId="0861063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正极清洗废水</w:t>
                  </w:r>
                </w:p>
              </w:tc>
              <w:tc>
                <w:tcPr>
                  <w:tcW w:w="926" w:type="dxa"/>
                  <w:shd w:val="clear" w:color="auto" w:fill="auto"/>
                  <w:vAlign w:val="center"/>
                </w:tcPr>
                <w:p w14:paraId="719F60F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38.4t/a</w:t>
                  </w:r>
                </w:p>
              </w:tc>
              <w:tc>
                <w:tcPr>
                  <w:tcW w:w="720" w:type="dxa"/>
                  <w:vAlign w:val="center"/>
                </w:tcPr>
                <w:p w14:paraId="3F28ED7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9850</w:t>
                  </w:r>
                </w:p>
              </w:tc>
              <w:tc>
                <w:tcPr>
                  <w:tcW w:w="632" w:type="dxa"/>
                  <w:vAlign w:val="center"/>
                </w:tcPr>
                <w:p w14:paraId="739BA57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560</w:t>
                  </w:r>
                </w:p>
              </w:tc>
              <w:tc>
                <w:tcPr>
                  <w:tcW w:w="822" w:type="dxa"/>
                  <w:vAlign w:val="center"/>
                </w:tcPr>
                <w:p w14:paraId="6D66661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118</w:t>
                  </w:r>
                </w:p>
              </w:tc>
              <w:tc>
                <w:tcPr>
                  <w:tcW w:w="600" w:type="dxa"/>
                  <w:vAlign w:val="center"/>
                </w:tcPr>
                <w:p w14:paraId="3FA0C10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12.8</w:t>
                  </w:r>
                </w:p>
              </w:tc>
              <w:tc>
                <w:tcPr>
                  <w:tcW w:w="915" w:type="dxa"/>
                  <w:vAlign w:val="center"/>
                </w:tcPr>
                <w:p w14:paraId="040A093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3576</w:t>
                  </w:r>
                </w:p>
              </w:tc>
              <w:tc>
                <w:tcPr>
                  <w:tcW w:w="645" w:type="dxa"/>
                  <w:vAlign w:val="center"/>
                </w:tcPr>
                <w:p w14:paraId="60F9B82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5</w:t>
                  </w:r>
                </w:p>
              </w:tc>
              <w:tc>
                <w:tcPr>
                  <w:tcW w:w="600" w:type="dxa"/>
                  <w:vAlign w:val="center"/>
                </w:tcPr>
                <w:p w14:paraId="7B8C4B3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1</w:t>
                  </w:r>
                </w:p>
              </w:tc>
              <w:tc>
                <w:tcPr>
                  <w:tcW w:w="765" w:type="dxa"/>
                  <w:vAlign w:val="center"/>
                </w:tcPr>
                <w:p w14:paraId="07643A3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3</w:t>
                  </w:r>
                </w:p>
              </w:tc>
            </w:tr>
            <w:tr w14:paraId="72D28AD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1314" w:type="dxa"/>
                  <w:vAlign w:val="center"/>
                </w:tcPr>
                <w:p w14:paraId="2F7E07C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负极清洗废水</w:t>
                  </w:r>
                </w:p>
              </w:tc>
              <w:tc>
                <w:tcPr>
                  <w:tcW w:w="926" w:type="dxa"/>
                  <w:shd w:val="clear" w:color="auto" w:fill="auto"/>
                  <w:vAlign w:val="center"/>
                </w:tcPr>
                <w:p w14:paraId="08E0FDC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38.4t/a</w:t>
                  </w:r>
                </w:p>
              </w:tc>
              <w:tc>
                <w:tcPr>
                  <w:tcW w:w="720" w:type="dxa"/>
                  <w:vAlign w:val="center"/>
                </w:tcPr>
                <w:p w14:paraId="40B1DE1C">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cs="Times New Roman"/>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758</w:t>
                  </w:r>
                </w:p>
              </w:tc>
              <w:tc>
                <w:tcPr>
                  <w:tcW w:w="632" w:type="dxa"/>
                  <w:vAlign w:val="center"/>
                </w:tcPr>
                <w:p w14:paraId="797569C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cs="Times New Roman"/>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39</w:t>
                  </w:r>
                </w:p>
              </w:tc>
              <w:tc>
                <w:tcPr>
                  <w:tcW w:w="822" w:type="dxa"/>
                  <w:vAlign w:val="center"/>
                </w:tcPr>
                <w:p w14:paraId="2D090E2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cs="Times New Roman"/>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0.17</w:t>
                  </w:r>
                </w:p>
              </w:tc>
              <w:tc>
                <w:tcPr>
                  <w:tcW w:w="600" w:type="dxa"/>
                  <w:vAlign w:val="center"/>
                </w:tcPr>
                <w:p w14:paraId="4B92A33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cs="Times New Roman"/>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1.35</w:t>
                  </w:r>
                </w:p>
              </w:tc>
              <w:tc>
                <w:tcPr>
                  <w:tcW w:w="915" w:type="dxa"/>
                  <w:vAlign w:val="center"/>
                </w:tcPr>
                <w:p w14:paraId="0945CA7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cs="Times New Roman"/>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368</w:t>
                  </w:r>
                </w:p>
              </w:tc>
              <w:tc>
                <w:tcPr>
                  <w:tcW w:w="645" w:type="dxa"/>
                  <w:vAlign w:val="center"/>
                </w:tcPr>
                <w:p w14:paraId="1BA08E5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w:t>
                  </w:r>
                </w:p>
              </w:tc>
              <w:tc>
                <w:tcPr>
                  <w:tcW w:w="600" w:type="dxa"/>
                  <w:vAlign w:val="center"/>
                </w:tcPr>
                <w:p w14:paraId="59E5173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w:t>
                  </w:r>
                </w:p>
              </w:tc>
              <w:tc>
                <w:tcPr>
                  <w:tcW w:w="765" w:type="dxa"/>
                  <w:vAlign w:val="center"/>
                </w:tcPr>
                <w:p w14:paraId="7F1C209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w:t>
                  </w:r>
                </w:p>
              </w:tc>
            </w:tr>
          </w:tbl>
          <w:p w14:paraId="2A67637D">
            <w:pPr>
              <w:pStyle w:val="66"/>
              <w:keepNext w:val="0"/>
              <w:keepLines w:val="0"/>
              <w:pageBreakBefore w:val="0"/>
              <w:widowControl w:val="0"/>
              <w:kinsoku/>
              <w:wordWrap/>
              <w:overflowPunct/>
              <w:topLinePunct w:val="0"/>
              <w:bidi w:val="0"/>
              <w:spacing w:line="360" w:lineRule="auto"/>
              <w:ind w:firstLine="480" w:firstLineChars="200"/>
              <w:textAlignment w:val="auto"/>
              <w:rPr>
                <w:rFonts w:hint="eastAsia" w:cs="Times New Roman"/>
                <w:b w:val="0"/>
                <w:bCs w:val="0"/>
                <w:color w:val="000000" w:themeColor="text1"/>
                <w:sz w:val="24"/>
                <w:szCs w:val="24"/>
                <w:shd w:val="clear"/>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shd w:val="clear"/>
                <w:lang w:val="en-US" w:eastAsia="zh-CN"/>
                <w14:textFill>
                  <w14:solidFill>
                    <w14:schemeClr w14:val="tx1"/>
                  </w14:solidFill>
                </w14:textFill>
              </w:rPr>
              <w:t>项目类比《</w:t>
            </w:r>
            <w:r>
              <w:rPr>
                <w:rFonts w:hint="eastAsia" w:cs="Times New Roman"/>
                <w:color w:val="000000" w:themeColor="text1"/>
                <w:sz w:val="24"/>
                <w:szCs w:val="24"/>
                <w:lang w:val="en-US" w:eastAsia="zh-CN"/>
                <w14:textFill>
                  <w14:solidFill>
                    <w14:schemeClr w14:val="tx1"/>
                  </w14:solidFill>
                </w14:textFill>
              </w:rPr>
              <w:t>新津时代锂离子电池生产二期项目环境影响报告表</w:t>
            </w:r>
            <w:r>
              <w:rPr>
                <w:rFonts w:hint="eastAsia" w:ascii="Times New Roman" w:hAnsi="Times New Roman" w:eastAsia="宋体" w:cs="Times New Roman"/>
                <w:b w:val="0"/>
                <w:bCs w:val="0"/>
                <w:color w:val="000000" w:themeColor="text1"/>
                <w:sz w:val="24"/>
                <w:szCs w:val="24"/>
                <w:shd w:val="clear"/>
                <w:lang w:val="en-US" w:eastAsia="zh-CN"/>
                <w14:textFill>
                  <w14:solidFill>
                    <w14:schemeClr w14:val="tx1"/>
                  </w14:solidFill>
                </w14:textFill>
              </w:rPr>
              <w:t>》</w:t>
            </w:r>
            <w:r>
              <w:rPr>
                <w:rFonts w:hint="eastAsia" w:cs="Times New Roman"/>
                <w:b w:val="0"/>
                <w:bCs w:val="0"/>
                <w:color w:val="000000" w:themeColor="text1"/>
                <w:sz w:val="24"/>
                <w:szCs w:val="24"/>
                <w:shd w:val="clear"/>
                <w:lang w:val="en-US" w:eastAsia="zh-CN"/>
                <w14:textFill>
                  <w14:solidFill>
                    <w14:schemeClr w14:val="tx1"/>
                  </w14:solidFill>
                </w14:textFill>
              </w:rPr>
              <w:t>、</w:t>
            </w:r>
            <w:r>
              <w:rPr>
                <w:rFonts w:hint="eastAsia" w:cs="Times New Roman"/>
                <w:color w:val="000000" w:themeColor="text1"/>
                <w:sz w:val="24"/>
                <w:szCs w:val="24"/>
                <w:lang w:val="en-US" w:eastAsia="zh-CN"/>
                <w14:textFill>
                  <w14:solidFill>
                    <w14:schemeClr w14:val="tx1"/>
                  </w14:solidFill>
                </w14:textFill>
              </w:rPr>
              <w:t>《南京市欣旺达欣能源有限公司“欣旺达动力电池项目”竣工环境保护验收监测报告》</w:t>
            </w:r>
            <w:r>
              <w:rPr>
                <w:rFonts w:hint="eastAsia" w:cs="Times New Roman"/>
                <w:b w:val="0"/>
                <w:bCs w:val="0"/>
                <w:color w:val="000000" w:themeColor="text1"/>
                <w:sz w:val="24"/>
                <w:szCs w:val="24"/>
                <w:shd w:val="clear"/>
                <w:lang w:val="en-US" w:eastAsia="zh-CN"/>
                <w14:textFill>
                  <w14:solidFill>
                    <w14:schemeClr w14:val="tx1"/>
                  </w14:solidFill>
                </w14:textFill>
              </w:rPr>
              <w:t>可行性分析详见下表：</w:t>
            </w:r>
          </w:p>
          <w:p w14:paraId="5BD25F42">
            <w:pPr>
              <w:pStyle w:val="66"/>
              <w:keepNext w:val="0"/>
              <w:keepLines w:val="0"/>
              <w:pageBreakBefore w:val="0"/>
              <w:widowControl w:val="0"/>
              <w:kinsoku/>
              <w:wordWrap/>
              <w:overflowPunct/>
              <w:topLinePunct w:val="0"/>
              <w:bidi w:val="0"/>
              <w:spacing w:line="240" w:lineRule="auto"/>
              <w:ind w:left="0" w:leftChars="0" w:firstLine="0" w:firstLineChars="0"/>
              <w:jc w:val="center"/>
              <w:textAlignment w:val="auto"/>
              <w:rPr>
                <w:rFonts w:hint="eastAsia" w:cs="Times New Roman"/>
                <w:b/>
                <w:bCs/>
                <w:color w:val="000000" w:themeColor="text1"/>
                <w:sz w:val="21"/>
                <w:szCs w:val="21"/>
                <w:shd w:val="clear"/>
                <w:lang w:val="en-US" w:eastAsia="zh-CN"/>
                <w14:textFill>
                  <w14:solidFill>
                    <w14:schemeClr w14:val="tx1"/>
                  </w14:solidFill>
                </w14:textFill>
              </w:rPr>
            </w:pPr>
            <w:r>
              <w:rPr>
                <w:rFonts w:hint="eastAsia" w:cs="Times New Roman"/>
                <w:b/>
                <w:bCs/>
                <w:color w:val="000000" w:themeColor="text1"/>
                <w:sz w:val="21"/>
                <w:szCs w:val="21"/>
                <w:shd w:val="clear"/>
                <w:lang w:val="en-US" w:eastAsia="zh-CN"/>
                <w14:textFill>
                  <w14:solidFill>
                    <w14:schemeClr w14:val="tx1"/>
                  </w14:solidFill>
                </w14:textFill>
              </w:rPr>
              <w:t>表4-10 本项目与类比情况一览表</w:t>
            </w:r>
          </w:p>
          <w:tbl>
            <w:tblPr>
              <w:tblStyle w:val="42"/>
              <w:tblW w:w="7917" w:type="dxa"/>
              <w:tblInd w:w="5"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06"/>
              <w:gridCol w:w="2145"/>
              <w:gridCol w:w="2115"/>
              <w:gridCol w:w="2115"/>
              <w:gridCol w:w="836"/>
            </w:tblGrid>
            <w:tr w14:paraId="2A743CC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91" w:hRule="atLeast"/>
              </w:trPr>
              <w:tc>
                <w:tcPr>
                  <w:tcW w:w="706" w:type="dxa"/>
                  <w:vAlign w:val="center"/>
                </w:tcPr>
                <w:p w14:paraId="58CA76E1">
                  <w:pPr>
                    <w:pStyle w:val="66"/>
                    <w:keepNext w:val="0"/>
                    <w:keepLines w:val="0"/>
                    <w:pageBreakBefore w:val="0"/>
                    <w:widowControl w:val="0"/>
                    <w:kinsoku/>
                    <w:wordWrap/>
                    <w:overflowPunct/>
                    <w:topLinePunct w:val="0"/>
                    <w:bidi w:val="0"/>
                    <w:spacing w:line="240" w:lineRule="auto"/>
                    <w:ind w:left="0" w:leftChars="0" w:firstLine="0" w:firstLineChars="0"/>
                    <w:jc w:val="center"/>
                    <w:textAlignment w:val="auto"/>
                    <w:rPr>
                      <w:rFonts w:hint="default" w:ascii="Times New Roman" w:hAnsi="Times New Roman" w:cs="Times New Roman"/>
                      <w:b/>
                      <w:bCs/>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bCs/>
                      <w:color w:val="000000" w:themeColor="text1"/>
                      <w:sz w:val="21"/>
                      <w:szCs w:val="21"/>
                      <w:highlight w:val="none"/>
                      <w:vertAlign w:val="baseline"/>
                      <w:lang w:val="en-US" w:eastAsia="zh-CN"/>
                      <w14:textFill>
                        <w14:solidFill>
                          <w14:schemeClr w14:val="tx1"/>
                        </w14:solidFill>
                      </w14:textFill>
                    </w:rPr>
                    <w:t>类比项目</w:t>
                  </w:r>
                </w:p>
              </w:tc>
              <w:tc>
                <w:tcPr>
                  <w:tcW w:w="2145" w:type="dxa"/>
                  <w:vAlign w:val="center"/>
                </w:tcPr>
                <w:p w14:paraId="2AE3D07F">
                  <w:pPr>
                    <w:pStyle w:val="66"/>
                    <w:keepNext w:val="0"/>
                    <w:keepLines w:val="0"/>
                    <w:pageBreakBefore w:val="0"/>
                    <w:widowControl w:val="0"/>
                    <w:kinsoku/>
                    <w:wordWrap/>
                    <w:overflowPunct/>
                    <w:topLinePunct w:val="0"/>
                    <w:bidi w:val="0"/>
                    <w:spacing w:line="240" w:lineRule="auto"/>
                    <w:ind w:left="0" w:leftChars="0" w:firstLine="0" w:firstLineChars="0"/>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《新津时代锂离子电池生产二期项目环境影响报告表》</w:t>
                  </w:r>
                </w:p>
              </w:tc>
              <w:tc>
                <w:tcPr>
                  <w:tcW w:w="2115" w:type="dxa"/>
                  <w:vAlign w:val="center"/>
                </w:tcPr>
                <w:p w14:paraId="02663B78">
                  <w:pPr>
                    <w:pStyle w:val="66"/>
                    <w:keepNext w:val="0"/>
                    <w:keepLines w:val="0"/>
                    <w:pageBreakBefore w:val="0"/>
                    <w:widowControl w:val="0"/>
                    <w:kinsoku/>
                    <w:wordWrap/>
                    <w:overflowPunct/>
                    <w:topLinePunct w:val="0"/>
                    <w:bidi w:val="0"/>
                    <w:spacing w:line="240" w:lineRule="auto"/>
                    <w:ind w:left="0" w:leftChars="0" w:firstLine="0" w:firstLineChars="0"/>
                    <w:jc w:val="center"/>
                    <w:textAlignment w:val="auto"/>
                    <w:rPr>
                      <w:rFonts w:hint="eastAsia"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《南京市欣旺达欣能源有限公司“欣旺达动力电池项目”竣工环境保护验收监测报告》</w:t>
                  </w:r>
                </w:p>
              </w:tc>
              <w:tc>
                <w:tcPr>
                  <w:tcW w:w="2115" w:type="dxa"/>
                  <w:vAlign w:val="center"/>
                </w:tcPr>
                <w:p w14:paraId="4D445BC0">
                  <w:pPr>
                    <w:pStyle w:val="66"/>
                    <w:keepNext w:val="0"/>
                    <w:keepLines w:val="0"/>
                    <w:pageBreakBefore w:val="0"/>
                    <w:widowControl w:val="0"/>
                    <w:kinsoku/>
                    <w:wordWrap/>
                    <w:overflowPunct/>
                    <w:topLinePunct w:val="0"/>
                    <w:bidi w:val="0"/>
                    <w:spacing w:line="240" w:lineRule="auto"/>
                    <w:ind w:left="0" w:leftChars="0" w:firstLine="0" w:firstLineChars="0"/>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本项目</w:t>
                  </w:r>
                </w:p>
              </w:tc>
              <w:tc>
                <w:tcPr>
                  <w:tcW w:w="836" w:type="dxa"/>
                  <w:vAlign w:val="center"/>
                </w:tcPr>
                <w:p w14:paraId="7600CB40">
                  <w:pPr>
                    <w:pStyle w:val="66"/>
                    <w:keepNext w:val="0"/>
                    <w:keepLines w:val="0"/>
                    <w:pageBreakBefore w:val="0"/>
                    <w:widowControl w:val="0"/>
                    <w:kinsoku/>
                    <w:wordWrap/>
                    <w:overflowPunct/>
                    <w:topLinePunct w:val="0"/>
                    <w:bidi w:val="0"/>
                    <w:spacing w:line="240" w:lineRule="auto"/>
                    <w:ind w:left="0" w:leftChars="0" w:firstLine="0" w:firstLineChars="0"/>
                    <w:jc w:val="center"/>
                    <w:textAlignment w:val="auto"/>
                    <w:rPr>
                      <w:rFonts w:hint="default" w:cs="Times New Roman"/>
                      <w:b/>
                      <w:bCs/>
                      <w:color w:val="000000" w:themeColor="text1"/>
                      <w:sz w:val="21"/>
                      <w:szCs w:val="21"/>
                      <w:shd w:val="clear"/>
                      <w:vertAlign w:val="baseli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vertAlign w:val="baseline"/>
                      <w:lang w:val="en-US" w:eastAsia="zh-CN"/>
                      <w14:textFill>
                        <w14:solidFill>
                          <w14:schemeClr w14:val="tx1"/>
                        </w14:solidFill>
                      </w14:textFill>
                    </w:rPr>
                    <w:t>类比情况</w:t>
                  </w:r>
                </w:p>
              </w:tc>
            </w:tr>
            <w:tr w14:paraId="17B093E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706" w:type="dxa"/>
                  <w:vAlign w:val="center"/>
                </w:tcPr>
                <w:p w14:paraId="61E6D4FF">
                  <w:pPr>
                    <w:pStyle w:val="66"/>
                    <w:keepNext w:val="0"/>
                    <w:keepLines w:val="0"/>
                    <w:pageBreakBefore w:val="0"/>
                    <w:widowControl w:val="0"/>
                    <w:kinsoku/>
                    <w:wordWrap/>
                    <w:overflowPunct/>
                    <w:topLinePunct w:val="0"/>
                    <w:bidi w:val="0"/>
                    <w:spacing w:line="240" w:lineRule="auto"/>
                    <w:ind w:left="0" w:leftChars="0" w:firstLine="0" w:firstLineChars="0"/>
                    <w:jc w:val="center"/>
                    <w:textAlignment w:val="auto"/>
                    <w:rPr>
                      <w:rFonts w:hint="default" w:ascii="Times New Roman" w:hAnsi="Times New Roman" w:eastAsia="宋体" w:cs="Times New Roman"/>
                      <w:b w:val="0"/>
                      <w:bCs w:val="0"/>
                      <w:color w:val="000000" w:themeColor="text1"/>
                      <w:sz w:val="21"/>
                      <w:szCs w:val="21"/>
                      <w:shd w:val="clear"/>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shd w:val="clear"/>
                      <w:vertAlign w:val="baseline"/>
                      <w:lang w:val="en-US" w:eastAsia="zh-CN"/>
                      <w14:textFill>
                        <w14:solidFill>
                          <w14:schemeClr w14:val="tx1"/>
                        </w14:solidFill>
                      </w14:textFill>
                    </w:rPr>
                    <w:t>产品</w:t>
                  </w:r>
                </w:p>
              </w:tc>
              <w:tc>
                <w:tcPr>
                  <w:tcW w:w="2145" w:type="dxa"/>
                  <w:vAlign w:val="center"/>
                </w:tcPr>
                <w:p w14:paraId="0793A7D7">
                  <w:pPr>
                    <w:pStyle w:val="66"/>
                    <w:keepNext w:val="0"/>
                    <w:keepLines w:val="0"/>
                    <w:pageBreakBefore w:val="0"/>
                    <w:widowControl w:val="0"/>
                    <w:kinsoku/>
                    <w:wordWrap/>
                    <w:overflowPunct/>
                    <w:topLinePunct w:val="0"/>
                    <w:bidi w:val="0"/>
                    <w:spacing w:line="240" w:lineRule="auto"/>
                    <w:ind w:left="0" w:leftChars="0" w:firstLine="0" w:firstLineChars="0"/>
                    <w:jc w:val="center"/>
                    <w:textAlignment w:val="auto"/>
                    <w:rPr>
                      <w:rFonts w:hint="default" w:ascii="Times New Roman" w:hAnsi="Times New Roman" w:eastAsia="宋体" w:cs="Times New Roman"/>
                      <w:b w:val="0"/>
                      <w:bCs w:val="0"/>
                      <w:color w:val="000000" w:themeColor="text1"/>
                      <w:sz w:val="21"/>
                      <w:szCs w:val="21"/>
                      <w:shd w:val="clear"/>
                      <w:vertAlign w:val="baseline"/>
                      <w:lang w:val="en-US" w:eastAsia="zh-CN"/>
                      <w14:textFill>
                        <w14:solidFill>
                          <w14:schemeClr w14:val="tx1"/>
                        </w14:solidFill>
                      </w14:textFill>
                    </w:rPr>
                  </w:pPr>
                  <w:r>
                    <w:rPr>
                      <w:rFonts w:hint="eastAsia" w:cs="Times New Roman"/>
                      <w:b w:val="0"/>
                      <w:bCs w:val="0"/>
                      <w:color w:val="000000" w:themeColor="text1"/>
                      <w:sz w:val="21"/>
                      <w:szCs w:val="21"/>
                      <w:shd w:val="clear"/>
                      <w:vertAlign w:val="baseline"/>
                      <w:lang w:val="en-US" w:eastAsia="zh-CN"/>
                      <w14:textFill>
                        <w14:solidFill>
                          <w14:schemeClr w14:val="tx1"/>
                        </w14:solidFill>
                      </w14:textFill>
                    </w:rPr>
                    <w:t>年产20GWh磷酸铁锂/三元锂电池</w:t>
                  </w:r>
                </w:p>
              </w:tc>
              <w:tc>
                <w:tcPr>
                  <w:tcW w:w="2115" w:type="dxa"/>
                  <w:vAlign w:val="center"/>
                </w:tcPr>
                <w:p w14:paraId="2441C997">
                  <w:pPr>
                    <w:pStyle w:val="66"/>
                    <w:keepNext w:val="0"/>
                    <w:keepLines w:val="0"/>
                    <w:pageBreakBefore w:val="0"/>
                    <w:widowControl w:val="0"/>
                    <w:kinsoku/>
                    <w:wordWrap/>
                    <w:overflowPunct/>
                    <w:topLinePunct w:val="0"/>
                    <w:bidi w:val="0"/>
                    <w:spacing w:line="240" w:lineRule="auto"/>
                    <w:ind w:left="0" w:leftChars="0" w:firstLine="0" w:firstLineChars="0"/>
                    <w:jc w:val="center"/>
                    <w:textAlignment w:val="auto"/>
                    <w:rPr>
                      <w:rFonts w:hint="default" w:cs="Times New Roman"/>
                      <w:b w:val="0"/>
                      <w:bCs w:val="0"/>
                      <w:color w:val="000000" w:themeColor="text1"/>
                      <w:sz w:val="21"/>
                      <w:szCs w:val="21"/>
                      <w:shd w:val="clear"/>
                      <w:vertAlign w:val="baseline"/>
                      <w:lang w:val="en-US" w:eastAsia="zh-CN"/>
                      <w14:textFill>
                        <w14:solidFill>
                          <w14:schemeClr w14:val="tx1"/>
                        </w14:solidFill>
                      </w14:textFill>
                    </w:rPr>
                  </w:pPr>
                  <w:r>
                    <w:rPr>
                      <w:rFonts w:hint="eastAsia" w:cs="Times New Roman"/>
                      <w:b w:val="0"/>
                      <w:bCs w:val="0"/>
                      <w:color w:val="000000" w:themeColor="text1"/>
                      <w:sz w:val="21"/>
                      <w:szCs w:val="21"/>
                      <w:shd w:val="clear"/>
                      <w:vertAlign w:val="baseline"/>
                      <w:lang w:val="en-US" w:eastAsia="zh-CN"/>
                      <w14:textFill>
                        <w14:solidFill>
                          <w14:schemeClr w14:val="tx1"/>
                        </w14:solidFill>
                      </w14:textFill>
                    </w:rPr>
                    <w:t>年产1.647×10</w:t>
                  </w:r>
                  <w:r>
                    <w:rPr>
                      <w:rFonts w:hint="eastAsia" w:cs="Times New Roman"/>
                      <w:b w:val="0"/>
                      <w:bCs w:val="0"/>
                      <w:color w:val="000000" w:themeColor="text1"/>
                      <w:sz w:val="21"/>
                      <w:szCs w:val="21"/>
                      <w:shd w:val="clear"/>
                      <w:vertAlign w:val="superscript"/>
                      <w:lang w:val="en-US" w:eastAsia="zh-CN"/>
                      <w14:textFill>
                        <w14:solidFill>
                          <w14:schemeClr w14:val="tx1"/>
                        </w14:solidFill>
                      </w14:textFill>
                    </w:rPr>
                    <w:t>8</w:t>
                  </w:r>
                  <w:r>
                    <w:rPr>
                      <w:rFonts w:hint="eastAsia" w:cs="Times New Roman"/>
                      <w:b w:val="0"/>
                      <w:bCs w:val="0"/>
                      <w:color w:val="000000" w:themeColor="text1"/>
                      <w:sz w:val="21"/>
                      <w:szCs w:val="21"/>
                      <w:shd w:val="clear"/>
                      <w:vertAlign w:val="baseline"/>
                      <w:lang w:val="en-US" w:eastAsia="zh-CN"/>
                      <w14:textFill>
                        <w14:solidFill>
                          <w14:schemeClr w14:val="tx1"/>
                        </w14:solidFill>
                      </w14:textFill>
                    </w:rPr>
                    <w:t>枚HEV电芯、6.17×10</w:t>
                  </w:r>
                  <w:r>
                    <w:rPr>
                      <w:rFonts w:hint="eastAsia" w:cs="Times New Roman"/>
                      <w:b w:val="0"/>
                      <w:bCs w:val="0"/>
                      <w:color w:val="000000" w:themeColor="text1"/>
                      <w:sz w:val="21"/>
                      <w:szCs w:val="21"/>
                      <w:shd w:val="clear"/>
                      <w:vertAlign w:val="superscript"/>
                      <w:lang w:val="en-US" w:eastAsia="zh-CN"/>
                      <w14:textFill>
                        <w14:solidFill>
                          <w14:schemeClr w14:val="tx1"/>
                        </w14:solidFill>
                      </w14:textFill>
                    </w:rPr>
                    <w:t>6</w:t>
                  </w:r>
                  <w:r>
                    <w:rPr>
                      <w:rFonts w:hint="eastAsia" w:cs="Times New Roman"/>
                      <w:b w:val="0"/>
                      <w:bCs w:val="0"/>
                      <w:color w:val="000000" w:themeColor="text1"/>
                      <w:sz w:val="21"/>
                      <w:szCs w:val="21"/>
                      <w:shd w:val="clear"/>
                      <w:vertAlign w:val="baseline"/>
                      <w:lang w:val="en-US" w:eastAsia="zh-CN"/>
                      <w14:textFill>
                        <w14:solidFill>
                          <w14:schemeClr w14:val="tx1"/>
                        </w14:solidFill>
                      </w14:textFill>
                    </w:rPr>
                    <w:t>枚BEV电芯</w:t>
                  </w:r>
                </w:p>
              </w:tc>
              <w:tc>
                <w:tcPr>
                  <w:tcW w:w="2115" w:type="dxa"/>
                  <w:vAlign w:val="center"/>
                </w:tcPr>
                <w:p w14:paraId="23FBA350">
                  <w:pPr>
                    <w:pStyle w:val="66"/>
                    <w:keepNext w:val="0"/>
                    <w:keepLines w:val="0"/>
                    <w:pageBreakBefore w:val="0"/>
                    <w:widowControl w:val="0"/>
                    <w:kinsoku/>
                    <w:wordWrap/>
                    <w:overflowPunct/>
                    <w:topLinePunct w:val="0"/>
                    <w:bidi w:val="0"/>
                    <w:spacing w:line="240" w:lineRule="auto"/>
                    <w:ind w:left="0" w:leftChars="0" w:firstLine="0" w:firstLineChars="0"/>
                    <w:jc w:val="center"/>
                    <w:textAlignment w:val="auto"/>
                    <w:rPr>
                      <w:rFonts w:hint="default" w:ascii="Times New Roman" w:hAnsi="Times New Roman" w:eastAsia="宋体" w:cs="Times New Roman"/>
                      <w:b w:val="0"/>
                      <w:bCs w:val="0"/>
                      <w:color w:val="000000" w:themeColor="text1"/>
                      <w:sz w:val="21"/>
                      <w:szCs w:val="21"/>
                      <w:shd w:val="clear"/>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shd w:val="clear"/>
                      <w:vertAlign w:val="baseline"/>
                      <w:lang w:val="en-US" w:eastAsia="zh-CN"/>
                      <w14:textFill>
                        <w14:solidFill>
                          <w14:schemeClr w14:val="tx1"/>
                        </w14:solidFill>
                      </w14:textFill>
                    </w:rPr>
                    <w:t>年产1GWh高倍率半固态电池</w:t>
                  </w:r>
                </w:p>
              </w:tc>
              <w:tc>
                <w:tcPr>
                  <w:tcW w:w="836" w:type="dxa"/>
                  <w:vAlign w:val="center"/>
                </w:tcPr>
                <w:p w14:paraId="6547259D">
                  <w:pPr>
                    <w:pStyle w:val="66"/>
                    <w:keepNext w:val="0"/>
                    <w:keepLines w:val="0"/>
                    <w:pageBreakBefore w:val="0"/>
                    <w:widowControl w:val="0"/>
                    <w:kinsoku/>
                    <w:wordWrap/>
                    <w:overflowPunct/>
                    <w:topLinePunct w:val="0"/>
                    <w:bidi w:val="0"/>
                    <w:spacing w:line="240" w:lineRule="auto"/>
                    <w:ind w:left="0" w:leftChars="0" w:firstLine="0" w:firstLineChars="0"/>
                    <w:jc w:val="center"/>
                    <w:textAlignment w:val="auto"/>
                    <w:rPr>
                      <w:rFonts w:hint="default" w:ascii="Times New Roman" w:hAnsi="Times New Roman" w:eastAsia="宋体" w:cs="Times New Roman"/>
                      <w:b w:val="0"/>
                      <w:bCs w:val="0"/>
                      <w:color w:val="000000" w:themeColor="text1"/>
                      <w:sz w:val="21"/>
                      <w:szCs w:val="21"/>
                      <w:shd w:val="clear"/>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shd w:val="clear"/>
                      <w:vertAlign w:val="baseline"/>
                      <w:lang w:val="en-US" w:eastAsia="zh-CN"/>
                      <w14:textFill>
                        <w14:solidFill>
                          <w14:schemeClr w14:val="tx1"/>
                        </w14:solidFill>
                      </w14:textFill>
                    </w:rPr>
                    <w:t>基本一致</w:t>
                  </w:r>
                </w:p>
              </w:tc>
            </w:tr>
            <w:tr w14:paraId="39D4FBA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83" w:hRule="atLeast"/>
              </w:trPr>
              <w:tc>
                <w:tcPr>
                  <w:tcW w:w="706" w:type="dxa"/>
                  <w:vAlign w:val="center"/>
                </w:tcPr>
                <w:p w14:paraId="3073F688">
                  <w:pPr>
                    <w:pStyle w:val="66"/>
                    <w:keepNext w:val="0"/>
                    <w:keepLines w:val="0"/>
                    <w:pageBreakBefore w:val="0"/>
                    <w:widowControl w:val="0"/>
                    <w:kinsoku/>
                    <w:wordWrap/>
                    <w:overflowPunct/>
                    <w:topLinePunct w:val="0"/>
                    <w:bidi w:val="0"/>
                    <w:spacing w:line="240" w:lineRule="auto"/>
                    <w:ind w:left="0" w:leftChars="0" w:firstLine="0" w:firstLineChars="0"/>
                    <w:jc w:val="center"/>
                    <w:textAlignment w:val="auto"/>
                    <w:rPr>
                      <w:rFonts w:hint="default" w:ascii="Times New Roman" w:hAnsi="Times New Roman" w:eastAsia="宋体" w:cs="Times New Roman"/>
                      <w:b w:val="0"/>
                      <w:bCs w:val="0"/>
                      <w:color w:val="000000" w:themeColor="text1"/>
                      <w:sz w:val="21"/>
                      <w:szCs w:val="21"/>
                      <w:shd w:val="clear"/>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shd w:val="clear"/>
                      <w:vertAlign w:val="baseline"/>
                      <w:lang w:val="en-US" w:eastAsia="zh-CN"/>
                      <w14:textFill>
                        <w14:solidFill>
                          <w14:schemeClr w14:val="tx1"/>
                        </w14:solidFill>
                      </w14:textFill>
                    </w:rPr>
                    <w:t>原辅料</w:t>
                  </w:r>
                </w:p>
              </w:tc>
              <w:tc>
                <w:tcPr>
                  <w:tcW w:w="2145" w:type="dxa"/>
                  <w:vAlign w:val="center"/>
                </w:tcPr>
                <w:p w14:paraId="5D58631E">
                  <w:pPr>
                    <w:pStyle w:val="66"/>
                    <w:keepNext w:val="0"/>
                    <w:keepLines w:val="0"/>
                    <w:pageBreakBefore w:val="0"/>
                    <w:widowControl w:val="0"/>
                    <w:kinsoku/>
                    <w:wordWrap/>
                    <w:overflowPunct/>
                    <w:topLinePunct w:val="0"/>
                    <w:bidi w:val="0"/>
                    <w:spacing w:line="240" w:lineRule="auto"/>
                    <w:ind w:left="0" w:leftChars="0" w:firstLine="0" w:firstLineChars="0"/>
                    <w:jc w:val="center"/>
                    <w:textAlignment w:val="auto"/>
                    <w:rPr>
                      <w:rFonts w:hint="eastAsia" w:ascii="Times New Roman" w:hAnsi="Times New Roman" w:eastAsia="宋体" w:cs="Times New Roman"/>
                      <w:b w:val="0"/>
                      <w:bCs w:val="0"/>
                      <w:color w:val="000000" w:themeColor="text1"/>
                      <w:sz w:val="21"/>
                      <w:szCs w:val="21"/>
                      <w:shd w:val="clear"/>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shd w:val="clear"/>
                      <w:vertAlign w:val="baseline"/>
                      <w:lang w:val="en-US" w:eastAsia="zh-CN"/>
                      <w14:textFill>
                        <w14:solidFill>
                          <w14:schemeClr w14:val="tx1"/>
                        </w14:solidFill>
                      </w14:textFill>
                    </w:rPr>
                    <w:t>磷酸铁锂、</w:t>
                  </w:r>
                  <w:r>
                    <w:rPr>
                      <w:rFonts w:hint="eastAsia" w:cs="Times New Roman"/>
                      <w:b w:val="0"/>
                      <w:bCs w:val="0"/>
                      <w:color w:val="000000" w:themeColor="text1"/>
                      <w:sz w:val="21"/>
                      <w:szCs w:val="21"/>
                      <w:shd w:val="clear"/>
                      <w:vertAlign w:val="baseline"/>
                      <w:lang w:val="en-US" w:eastAsia="zh-CN"/>
                      <w14:textFill>
                        <w14:solidFill>
                          <w14:schemeClr w14:val="tx1"/>
                        </w14:solidFill>
                      </w14:textFill>
                    </w:rPr>
                    <w:t>镍钴锰酸锂</w:t>
                  </w:r>
                  <w:r>
                    <w:rPr>
                      <w:rFonts w:hint="eastAsia" w:ascii="Times New Roman" w:hAnsi="Times New Roman" w:eastAsia="宋体" w:cs="Times New Roman"/>
                      <w:b w:val="0"/>
                      <w:bCs w:val="0"/>
                      <w:color w:val="000000" w:themeColor="text1"/>
                      <w:sz w:val="21"/>
                      <w:szCs w:val="21"/>
                      <w:shd w:val="clear"/>
                      <w:vertAlign w:val="baseline"/>
                      <w:lang w:val="en-US" w:eastAsia="zh-CN"/>
                      <w14:textFill>
                        <w14:solidFill>
                          <w14:schemeClr w14:val="tx1"/>
                        </w14:solidFill>
                      </w14:textFill>
                    </w:rPr>
                    <w:t>、CNT、聚偏氟乙烯PVDF、NMP、石墨、CNT、羧甲基纤维素钠、电解液（</w:t>
                  </w:r>
                  <w:r>
                    <w:rPr>
                      <w:rFonts w:hint="eastAsia" w:cs="Times New Roman"/>
                      <w:b w:val="0"/>
                      <w:bCs w:val="0"/>
                      <w:color w:val="000000" w:themeColor="text1"/>
                      <w:sz w:val="21"/>
                      <w:szCs w:val="21"/>
                      <w:shd w:val="clear"/>
                      <w:vertAlign w:val="baseline"/>
                      <w:lang w:val="en-US" w:eastAsia="zh-CN"/>
                      <w14:textFill>
                        <w14:solidFill>
                          <w14:schemeClr w14:val="tx1"/>
                        </w14:solidFill>
                      </w14:textFill>
                    </w:rPr>
                    <w:t>六氟磷酸锂、碳酸乙烯酯、碳酸二甲酯、碳酸甲乙酯、碳酸丙烯酯、碳酸二乙酯</w:t>
                  </w:r>
                  <w:r>
                    <w:rPr>
                      <w:rFonts w:hint="eastAsia" w:ascii="Times New Roman" w:hAnsi="Times New Roman" w:eastAsia="宋体" w:cs="Times New Roman"/>
                      <w:b w:val="0"/>
                      <w:bCs w:val="0"/>
                      <w:color w:val="000000" w:themeColor="text1"/>
                      <w:sz w:val="21"/>
                      <w:szCs w:val="21"/>
                      <w:shd w:val="clear"/>
                      <w:vertAlign w:val="baseline"/>
                      <w:lang w:val="en-US" w:eastAsia="zh-CN"/>
                      <w14:textFill>
                        <w14:solidFill>
                          <w14:schemeClr w14:val="tx1"/>
                        </w14:solidFill>
                      </w14:textFill>
                    </w:rPr>
                    <w:t>等成分组成）、铝塑膜等</w:t>
                  </w:r>
                </w:p>
              </w:tc>
              <w:tc>
                <w:tcPr>
                  <w:tcW w:w="2115" w:type="dxa"/>
                  <w:vAlign w:val="center"/>
                </w:tcPr>
                <w:p w14:paraId="54A0A351">
                  <w:pPr>
                    <w:pStyle w:val="66"/>
                    <w:keepNext w:val="0"/>
                    <w:keepLines w:val="0"/>
                    <w:pageBreakBefore w:val="0"/>
                    <w:widowControl w:val="0"/>
                    <w:kinsoku/>
                    <w:wordWrap/>
                    <w:overflowPunct/>
                    <w:topLinePunct w:val="0"/>
                    <w:bidi w:val="0"/>
                    <w:spacing w:line="240" w:lineRule="auto"/>
                    <w:ind w:left="0" w:leftChars="0" w:firstLine="0" w:firstLineChars="0"/>
                    <w:jc w:val="center"/>
                    <w:textAlignment w:val="auto"/>
                    <w:rPr>
                      <w:rFonts w:hint="default" w:ascii="Times New Roman" w:hAnsi="Times New Roman" w:eastAsia="宋体" w:cs="Times New Roman"/>
                      <w:b w:val="0"/>
                      <w:bCs w:val="0"/>
                      <w:color w:val="000000" w:themeColor="text1"/>
                      <w:sz w:val="21"/>
                      <w:szCs w:val="21"/>
                      <w:shd w:val="clear"/>
                      <w:vertAlign w:val="baseline"/>
                      <w:lang w:val="en-US" w:eastAsia="zh-CN"/>
                      <w14:textFill>
                        <w14:solidFill>
                          <w14:schemeClr w14:val="tx1"/>
                        </w14:solidFill>
                      </w14:textFill>
                    </w:rPr>
                  </w:pPr>
                  <w:r>
                    <w:rPr>
                      <w:rFonts w:hint="eastAsia" w:cs="Times New Roman"/>
                      <w:b w:val="0"/>
                      <w:bCs w:val="0"/>
                      <w:color w:val="000000" w:themeColor="text1"/>
                      <w:sz w:val="21"/>
                      <w:szCs w:val="21"/>
                      <w:shd w:val="clear"/>
                      <w:vertAlign w:val="baseline"/>
                      <w:lang w:val="en-US" w:eastAsia="zh-CN"/>
                      <w14:textFill>
                        <w14:solidFill>
                          <w14:schemeClr w14:val="tx1"/>
                        </w14:solidFill>
                      </w14:textFill>
                    </w:rPr>
                    <w:t>镍钴锰酸锂、PVDF、SBR、石墨、炭黑、NMP、CMC、电解液等</w:t>
                  </w:r>
                </w:p>
              </w:tc>
              <w:tc>
                <w:tcPr>
                  <w:tcW w:w="2115" w:type="dxa"/>
                  <w:vAlign w:val="center"/>
                </w:tcPr>
                <w:p w14:paraId="2125ED42">
                  <w:pPr>
                    <w:pStyle w:val="66"/>
                    <w:keepNext w:val="0"/>
                    <w:keepLines w:val="0"/>
                    <w:pageBreakBefore w:val="0"/>
                    <w:widowControl w:val="0"/>
                    <w:kinsoku/>
                    <w:wordWrap/>
                    <w:overflowPunct/>
                    <w:topLinePunct w:val="0"/>
                    <w:bidi w:val="0"/>
                    <w:spacing w:line="240" w:lineRule="auto"/>
                    <w:ind w:left="0" w:leftChars="0" w:firstLine="0" w:firstLineChars="0"/>
                    <w:jc w:val="center"/>
                    <w:textAlignment w:val="auto"/>
                    <w:rPr>
                      <w:rFonts w:hint="default" w:ascii="Times New Roman" w:hAnsi="Times New Roman" w:eastAsia="宋体" w:cs="Times New Roman"/>
                      <w:b w:val="0"/>
                      <w:bCs w:val="0"/>
                      <w:color w:val="000000" w:themeColor="text1"/>
                      <w:sz w:val="21"/>
                      <w:szCs w:val="21"/>
                      <w:shd w:val="clear"/>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shd w:val="clear"/>
                      <w:vertAlign w:val="baseline"/>
                      <w:lang w:val="en-US" w:eastAsia="zh-CN"/>
                      <w14:textFill>
                        <w14:solidFill>
                          <w14:schemeClr w14:val="tx1"/>
                        </w14:solidFill>
                      </w14:textFill>
                    </w:rPr>
                    <w:t>磷酸铁锂、镍钴锰酸锂、CNT、聚偏氟乙烯PVDF、NMP、石墨、CNT、羧甲基纤维素钠盐、电解液（碳酸二甲酯、碳酸二乙酯、碳酸甲乙酯、丙酸乙酯、丙酸丙酯、碳酸乙烯酯、碳酸丙烯酯、六氟磷酸锂成分组成）、铝塑膜等</w:t>
                  </w:r>
                </w:p>
              </w:tc>
              <w:tc>
                <w:tcPr>
                  <w:tcW w:w="836" w:type="dxa"/>
                  <w:vAlign w:val="center"/>
                </w:tcPr>
                <w:p w14:paraId="2DFEE3ED">
                  <w:pPr>
                    <w:pStyle w:val="66"/>
                    <w:keepNext w:val="0"/>
                    <w:keepLines w:val="0"/>
                    <w:pageBreakBefore w:val="0"/>
                    <w:widowControl w:val="0"/>
                    <w:kinsoku/>
                    <w:wordWrap/>
                    <w:overflowPunct/>
                    <w:topLinePunct w:val="0"/>
                    <w:bidi w:val="0"/>
                    <w:spacing w:line="240" w:lineRule="auto"/>
                    <w:ind w:left="0" w:leftChars="0" w:firstLine="0" w:firstLineChars="0"/>
                    <w:jc w:val="center"/>
                    <w:textAlignment w:val="auto"/>
                    <w:rPr>
                      <w:rFonts w:hint="default" w:ascii="Times New Roman" w:hAnsi="Times New Roman" w:eastAsia="宋体" w:cs="Times New Roman"/>
                      <w:b w:val="0"/>
                      <w:bCs w:val="0"/>
                      <w:color w:val="000000" w:themeColor="text1"/>
                      <w:sz w:val="21"/>
                      <w:szCs w:val="21"/>
                      <w:shd w:val="clear"/>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shd w:val="clear"/>
                      <w:vertAlign w:val="baseline"/>
                      <w:lang w:val="en-US" w:eastAsia="zh-CN"/>
                      <w14:textFill>
                        <w14:solidFill>
                          <w14:schemeClr w14:val="tx1"/>
                        </w14:solidFill>
                      </w14:textFill>
                    </w:rPr>
                    <w:t>基本一致</w:t>
                  </w:r>
                </w:p>
              </w:tc>
            </w:tr>
            <w:tr w14:paraId="205D937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71" w:hRule="atLeast"/>
              </w:trPr>
              <w:tc>
                <w:tcPr>
                  <w:tcW w:w="706" w:type="dxa"/>
                  <w:vAlign w:val="center"/>
                </w:tcPr>
                <w:p w14:paraId="68B94174">
                  <w:pPr>
                    <w:pStyle w:val="66"/>
                    <w:keepNext w:val="0"/>
                    <w:keepLines w:val="0"/>
                    <w:pageBreakBefore w:val="0"/>
                    <w:widowControl w:val="0"/>
                    <w:kinsoku/>
                    <w:wordWrap/>
                    <w:overflowPunct/>
                    <w:topLinePunct w:val="0"/>
                    <w:bidi w:val="0"/>
                    <w:spacing w:line="240" w:lineRule="auto"/>
                    <w:ind w:left="0" w:leftChars="0" w:firstLine="0" w:firstLineChars="0"/>
                    <w:jc w:val="center"/>
                    <w:textAlignment w:val="auto"/>
                    <w:rPr>
                      <w:rFonts w:hint="default" w:cs="Times New Roman"/>
                      <w:b w:val="0"/>
                      <w:bCs w:val="0"/>
                      <w:color w:val="000000" w:themeColor="text1"/>
                      <w:sz w:val="21"/>
                      <w:szCs w:val="21"/>
                      <w:shd w:val="clear"/>
                      <w:vertAlign w:val="baseline"/>
                      <w:lang w:val="en-US" w:eastAsia="zh-CN"/>
                      <w14:textFill>
                        <w14:solidFill>
                          <w14:schemeClr w14:val="tx1"/>
                        </w14:solidFill>
                      </w14:textFill>
                    </w:rPr>
                  </w:pPr>
                  <w:r>
                    <w:rPr>
                      <w:rFonts w:hint="eastAsia" w:cs="Times New Roman"/>
                      <w:b w:val="0"/>
                      <w:bCs w:val="0"/>
                      <w:color w:val="000000" w:themeColor="text1"/>
                      <w:sz w:val="21"/>
                      <w:szCs w:val="21"/>
                      <w:shd w:val="clear"/>
                      <w:vertAlign w:val="baseline"/>
                      <w:lang w:val="en-US" w:eastAsia="zh-CN"/>
                      <w14:textFill>
                        <w14:solidFill>
                          <w14:schemeClr w14:val="tx1"/>
                        </w14:solidFill>
                      </w14:textFill>
                    </w:rPr>
                    <w:t>工艺流程</w:t>
                  </w:r>
                </w:p>
              </w:tc>
              <w:tc>
                <w:tcPr>
                  <w:tcW w:w="2145" w:type="dxa"/>
                  <w:vAlign w:val="center"/>
                </w:tcPr>
                <w:p w14:paraId="51C4CF3E">
                  <w:pPr>
                    <w:pStyle w:val="66"/>
                    <w:keepNext w:val="0"/>
                    <w:keepLines w:val="0"/>
                    <w:pageBreakBefore w:val="0"/>
                    <w:widowControl w:val="0"/>
                    <w:kinsoku/>
                    <w:wordWrap/>
                    <w:overflowPunct/>
                    <w:topLinePunct w:val="0"/>
                    <w:bidi w:val="0"/>
                    <w:spacing w:line="240" w:lineRule="auto"/>
                    <w:ind w:left="0" w:leftChars="0" w:firstLine="0" w:firstLineChars="0"/>
                    <w:jc w:val="center"/>
                    <w:textAlignment w:val="auto"/>
                    <w:rPr>
                      <w:rFonts w:hint="default" w:cs="Times New Roman"/>
                      <w:b w:val="0"/>
                      <w:bCs w:val="0"/>
                      <w:color w:val="000000" w:themeColor="text1"/>
                      <w:sz w:val="21"/>
                      <w:szCs w:val="21"/>
                      <w:shd w:val="clear"/>
                      <w:vertAlign w:val="baseline"/>
                      <w:lang w:val="en-US" w:eastAsia="zh-CN"/>
                      <w14:textFill>
                        <w14:solidFill>
                          <w14:schemeClr w14:val="tx1"/>
                        </w14:solidFill>
                      </w14:textFill>
                    </w:rPr>
                  </w:pPr>
                  <w:r>
                    <w:rPr>
                      <w:rFonts w:hint="eastAsia" w:cs="Times New Roman"/>
                      <w:b w:val="0"/>
                      <w:bCs w:val="0"/>
                      <w:color w:val="000000" w:themeColor="text1"/>
                      <w:sz w:val="21"/>
                      <w:szCs w:val="21"/>
                      <w:shd w:val="clear"/>
                      <w:vertAlign w:val="baseline"/>
                      <w:lang w:val="en-US" w:eastAsia="zh-CN"/>
                      <w14:textFill>
                        <w14:solidFill>
                          <w14:schemeClr w14:val="tx1"/>
                        </w14:solidFill>
                      </w14:textFill>
                    </w:rPr>
                    <w:t>正负极极片制造-绕卷-JR预热-JR配对-超声波焊接-软链接焊接-包Mylar-入壳-顶盖焊接-氦检-真空-注液-高温静置-化成等</w:t>
                  </w:r>
                </w:p>
              </w:tc>
              <w:tc>
                <w:tcPr>
                  <w:tcW w:w="2115" w:type="dxa"/>
                  <w:vAlign w:val="center"/>
                </w:tcPr>
                <w:p w14:paraId="1BB6F050">
                  <w:pPr>
                    <w:pStyle w:val="66"/>
                    <w:keepNext w:val="0"/>
                    <w:keepLines w:val="0"/>
                    <w:pageBreakBefore w:val="0"/>
                    <w:widowControl w:val="0"/>
                    <w:kinsoku/>
                    <w:wordWrap/>
                    <w:overflowPunct/>
                    <w:topLinePunct w:val="0"/>
                    <w:bidi w:val="0"/>
                    <w:spacing w:line="240" w:lineRule="auto"/>
                    <w:ind w:left="0" w:leftChars="0" w:firstLine="0" w:firstLineChars="0"/>
                    <w:jc w:val="center"/>
                    <w:textAlignment w:val="auto"/>
                    <w:rPr>
                      <w:rFonts w:hint="default" w:cs="Times New Roman"/>
                      <w:b w:val="0"/>
                      <w:bCs w:val="0"/>
                      <w:color w:val="000000" w:themeColor="text1"/>
                      <w:sz w:val="21"/>
                      <w:szCs w:val="21"/>
                      <w:shd w:val="clear"/>
                      <w:vertAlign w:val="baseline"/>
                      <w:lang w:val="en-US" w:eastAsia="zh-CN"/>
                      <w14:textFill>
                        <w14:solidFill>
                          <w14:schemeClr w14:val="tx1"/>
                        </w14:solidFill>
                      </w14:textFill>
                    </w:rPr>
                  </w:pPr>
                  <w:r>
                    <w:rPr>
                      <w:rFonts w:hint="eastAsia" w:cs="Times New Roman"/>
                      <w:b w:val="0"/>
                      <w:bCs w:val="0"/>
                      <w:color w:val="000000" w:themeColor="text1"/>
                      <w:sz w:val="21"/>
                      <w:szCs w:val="21"/>
                      <w:shd w:val="clear"/>
                      <w:vertAlign w:val="baseline"/>
                      <w:lang w:val="en-US" w:eastAsia="zh-CN"/>
                      <w14:textFill>
                        <w14:solidFill>
                          <w14:schemeClr w14:val="tx1"/>
                        </w14:solidFill>
                      </w14:textFill>
                    </w:rPr>
                    <w:t>正负极极片制造-绕卷-预热-热压-电芯配对-超声波焊接-连接片激光焊接-热熔-入壳-真空烘烤-注液-化成-老化等</w:t>
                  </w:r>
                </w:p>
              </w:tc>
              <w:tc>
                <w:tcPr>
                  <w:tcW w:w="2115" w:type="dxa"/>
                  <w:vAlign w:val="center"/>
                </w:tcPr>
                <w:p w14:paraId="514ADA8A">
                  <w:pPr>
                    <w:pStyle w:val="66"/>
                    <w:keepNext w:val="0"/>
                    <w:keepLines w:val="0"/>
                    <w:pageBreakBefore w:val="0"/>
                    <w:widowControl w:val="0"/>
                    <w:kinsoku/>
                    <w:wordWrap/>
                    <w:overflowPunct/>
                    <w:topLinePunct w:val="0"/>
                    <w:bidi w:val="0"/>
                    <w:spacing w:line="240" w:lineRule="auto"/>
                    <w:ind w:left="0" w:leftChars="0" w:firstLine="0" w:firstLineChars="0"/>
                    <w:jc w:val="center"/>
                    <w:textAlignment w:val="auto"/>
                    <w:rPr>
                      <w:rFonts w:hint="default" w:cs="Times New Roman"/>
                      <w:b w:val="0"/>
                      <w:bCs w:val="0"/>
                      <w:color w:val="000000" w:themeColor="text1"/>
                      <w:sz w:val="21"/>
                      <w:szCs w:val="21"/>
                      <w:shd w:val="clear"/>
                      <w:vertAlign w:val="baseline"/>
                      <w:lang w:val="en-US" w:eastAsia="zh-CN"/>
                      <w14:textFill>
                        <w14:solidFill>
                          <w14:schemeClr w14:val="tx1"/>
                        </w14:solidFill>
                      </w14:textFill>
                    </w:rPr>
                  </w:pPr>
                  <w:r>
                    <w:rPr>
                      <w:rFonts w:hint="eastAsia" w:cs="Times New Roman"/>
                      <w:b w:val="0"/>
                      <w:bCs w:val="0"/>
                      <w:color w:val="000000" w:themeColor="text1"/>
                      <w:sz w:val="21"/>
                      <w:szCs w:val="21"/>
                      <w:shd w:val="clear"/>
                      <w:vertAlign w:val="baseline"/>
                      <w:lang w:val="en-US" w:eastAsia="zh-CN"/>
                      <w14:textFill>
                        <w14:solidFill>
                          <w14:schemeClr w14:val="tx1"/>
                        </w14:solidFill>
                      </w14:textFill>
                    </w:rPr>
                    <w:t>正负极极片制造-叠片-热压-极耳焊接-装配-电芯干燥-注液-静置-化成-二封线-分容-高温静置-常温静置-OCV测试</w:t>
                  </w:r>
                </w:p>
              </w:tc>
              <w:tc>
                <w:tcPr>
                  <w:tcW w:w="836" w:type="dxa"/>
                  <w:vAlign w:val="center"/>
                </w:tcPr>
                <w:p w14:paraId="308322A8">
                  <w:pPr>
                    <w:pStyle w:val="66"/>
                    <w:keepNext w:val="0"/>
                    <w:keepLines w:val="0"/>
                    <w:pageBreakBefore w:val="0"/>
                    <w:widowControl w:val="0"/>
                    <w:kinsoku/>
                    <w:wordWrap/>
                    <w:overflowPunct/>
                    <w:topLinePunct w:val="0"/>
                    <w:bidi w:val="0"/>
                    <w:spacing w:line="240" w:lineRule="auto"/>
                    <w:ind w:left="0" w:leftChars="0" w:firstLine="0" w:firstLineChars="0"/>
                    <w:jc w:val="center"/>
                    <w:textAlignment w:val="auto"/>
                    <w:rPr>
                      <w:rFonts w:hint="default" w:cs="Times New Roman"/>
                      <w:b w:val="0"/>
                      <w:bCs w:val="0"/>
                      <w:color w:val="000000" w:themeColor="text1"/>
                      <w:sz w:val="21"/>
                      <w:szCs w:val="21"/>
                      <w:shd w:val="clear"/>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shd w:val="clear"/>
                      <w:vertAlign w:val="baseline"/>
                      <w:lang w:val="en-US" w:eastAsia="zh-CN"/>
                      <w14:textFill>
                        <w14:solidFill>
                          <w14:schemeClr w14:val="tx1"/>
                        </w14:solidFill>
                      </w14:textFill>
                    </w:rPr>
                    <w:t>基本一致</w:t>
                  </w:r>
                </w:p>
              </w:tc>
            </w:tr>
          </w:tbl>
          <w:p w14:paraId="51DFB0D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b w:val="0"/>
                <w:bCs/>
                <w:color w:val="000000" w:themeColor="text1"/>
                <w:sz w:val="24"/>
                <w:szCs w:val="22"/>
                <w:lang w:val="en-US" w:eastAsia="zh-CN"/>
                <w14:textFill>
                  <w14:solidFill>
                    <w14:schemeClr w14:val="tx1"/>
                  </w14:solidFill>
                </w14:textFill>
              </w:rPr>
              <w:t>由上表可知，本项目与</w:t>
            </w:r>
            <w:r>
              <w:rPr>
                <w:rFonts w:hint="eastAsia" w:ascii="Times New Roman" w:hAnsi="Times New Roman" w:eastAsia="宋体" w:cs="Times New Roman"/>
                <w:b w:val="0"/>
                <w:bCs w:val="0"/>
                <w:color w:val="000000" w:themeColor="text1"/>
                <w:sz w:val="24"/>
                <w:szCs w:val="24"/>
                <w:shd w:val="clear"/>
                <w:lang w:val="en-US" w:eastAsia="zh-CN"/>
                <w14:textFill>
                  <w14:solidFill>
                    <w14:schemeClr w14:val="tx1"/>
                  </w14:solidFill>
                </w14:textFill>
              </w:rPr>
              <w:t>《</w:t>
            </w:r>
            <w:r>
              <w:rPr>
                <w:rFonts w:hint="eastAsia" w:cs="Times New Roman"/>
                <w:color w:val="000000" w:themeColor="text1"/>
                <w:sz w:val="24"/>
                <w:szCs w:val="24"/>
                <w:lang w:val="en-US" w:eastAsia="zh-CN"/>
                <w14:textFill>
                  <w14:solidFill>
                    <w14:schemeClr w14:val="tx1"/>
                  </w14:solidFill>
                </w14:textFill>
              </w:rPr>
              <w:t>新津时代锂离子电池生产二期项目环境影响报告表</w:t>
            </w:r>
            <w:r>
              <w:rPr>
                <w:rFonts w:hint="eastAsia" w:ascii="Times New Roman" w:hAnsi="Times New Roman" w:eastAsia="宋体" w:cs="Times New Roman"/>
                <w:b w:val="0"/>
                <w:bCs w:val="0"/>
                <w:color w:val="000000" w:themeColor="text1"/>
                <w:sz w:val="24"/>
                <w:szCs w:val="24"/>
                <w:shd w:val="clear"/>
                <w:lang w:val="en-US" w:eastAsia="zh-CN"/>
                <w14:textFill>
                  <w14:solidFill>
                    <w14:schemeClr w14:val="tx1"/>
                  </w14:solidFill>
                </w14:textFill>
              </w:rPr>
              <w:t>》</w:t>
            </w:r>
            <w:r>
              <w:rPr>
                <w:rFonts w:hint="eastAsia" w:cs="Times New Roman"/>
                <w:b w:val="0"/>
                <w:bCs w:val="0"/>
                <w:color w:val="000000" w:themeColor="text1"/>
                <w:sz w:val="24"/>
                <w:szCs w:val="24"/>
                <w:shd w:val="clear"/>
                <w:lang w:val="en-US" w:eastAsia="zh-CN"/>
                <w14:textFill>
                  <w14:solidFill>
                    <w14:schemeClr w14:val="tx1"/>
                  </w14:solidFill>
                </w14:textFill>
              </w:rPr>
              <w:t>、</w:t>
            </w:r>
            <w:r>
              <w:rPr>
                <w:rFonts w:hint="eastAsia" w:cs="Times New Roman"/>
                <w:color w:val="000000" w:themeColor="text1"/>
                <w:sz w:val="24"/>
                <w:szCs w:val="24"/>
                <w:lang w:val="en-US" w:eastAsia="zh-CN"/>
                <w14:textFill>
                  <w14:solidFill>
                    <w14:schemeClr w14:val="tx1"/>
                  </w14:solidFill>
                </w14:textFill>
              </w:rPr>
              <w:t>《南京市欣旺达欣能源有限公司“欣旺达动力电池项目”竣工环境保护验收监测报告》</w:t>
            </w:r>
            <w:r>
              <w:rPr>
                <w:rFonts w:hint="default" w:ascii="Times New Roman" w:hAnsi="Times New Roman" w:eastAsia="宋体" w:cs="Times New Roman"/>
                <w:b w:val="0"/>
                <w:bCs/>
                <w:color w:val="000000" w:themeColor="text1"/>
                <w:sz w:val="24"/>
                <w:szCs w:val="22"/>
                <w:lang w:val="en-US" w:eastAsia="zh-CN"/>
                <w14:textFill>
                  <w14:solidFill>
                    <w14:schemeClr w14:val="tx1"/>
                  </w14:solidFill>
                </w14:textFill>
              </w:rPr>
              <w:t>的</w:t>
            </w:r>
            <w:r>
              <w:rPr>
                <w:rFonts w:hint="eastAsia" w:ascii="Times New Roman" w:hAnsi="Times New Roman" w:eastAsia="宋体" w:cs="Times New Roman"/>
                <w:b w:val="0"/>
                <w:bCs/>
                <w:color w:val="000000" w:themeColor="text1"/>
                <w:sz w:val="24"/>
                <w:szCs w:val="22"/>
                <w:lang w:val="en-US" w:eastAsia="zh-CN"/>
                <w14:textFill>
                  <w14:solidFill>
                    <w14:schemeClr w14:val="tx1"/>
                  </w14:solidFill>
                </w14:textFill>
              </w:rPr>
              <w:t>产品、</w:t>
            </w:r>
            <w:r>
              <w:rPr>
                <w:rFonts w:hint="default" w:ascii="Times New Roman" w:hAnsi="Times New Roman" w:eastAsia="宋体" w:cs="Times New Roman"/>
                <w:b w:val="0"/>
                <w:bCs/>
                <w:color w:val="000000" w:themeColor="text1"/>
                <w:sz w:val="24"/>
                <w:szCs w:val="22"/>
                <w:lang w:val="en-US" w:eastAsia="zh-CN"/>
                <w14:textFill>
                  <w14:solidFill>
                    <w14:schemeClr w14:val="tx1"/>
                  </w14:solidFill>
                </w14:textFill>
              </w:rPr>
              <w:t>原辅料、</w:t>
            </w:r>
            <w:r>
              <w:rPr>
                <w:rFonts w:hint="eastAsia" w:ascii="Times New Roman" w:hAnsi="Times New Roman" w:eastAsia="宋体" w:cs="Times New Roman"/>
                <w:b w:val="0"/>
                <w:bCs/>
                <w:color w:val="000000" w:themeColor="text1"/>
                <w:sz w:val="24"/>
                <w:szCs w:val="22"/>
                <w:lang w:val="en-US" w:eastAsia="zh-CN"/>
                <w14:textFill>
                  <w14:solidFill>
                    <w14:schemeClr w14:val="tx1"/>
                  </w14:solidFill>
                </w14:textFill>
              </w:rPr>
              <w:t>工艺流程</w:t>
            </w:r>
            <w:r>
              <w:rPr>
                <w:rFonts w:hint="default" w:ascii="Times New Roman" w:hAnsi="Times New Roman" w:eastAsia="宋体" w:cs="Times New Roman"/>
                <w:b w:val="0"/>
                <w:bCs/>
                <w:color w:val="000000" w:themeColor="text1"/>
                <w:sz w:val="24"/>
                <w:szCs w:val="22"/>
                <w:lang w:val="en-US" w:eastAsia="zh-CN"/>
                <w14:textFill>
                  <w14:solidFill>
                    <w14:schemeClr w14:val="tx1"/>
                  </w14:solidFill>
                </w14:textFill>
              </w:rPr>
              <w:t>等基本一致</w:t>
            </w:r>
            <w:r>
              <w:rPr>
                <w:rFonts w:hint="eastAsia" w:ascii="Times New Roman" w:hAnsi="Times New Roman" w:eastAsia="宋体" w:cs="Times New Roman"/>
                <w:b w:val="0"/>
                <w:bCs/>
                <w:color w:val="000000" w:themeColor="text1"/>
                <w:sz w:val="24"/>
                <w:szCs w:val="22"/>
                <w:lang w:val="en-US" w:eastAsia="zh-CN"/>
                <w14:textFill>
                  <w14:solidFill>
                    <w14:schemeClr w14:val="tx1"/>
                  </w14:solidFill>
                </w14:textFill>
              </w:rPr>
              <w:t>，因此，本项目采用类比法</w:t>
            </w:r>
            <w:r>
              <w:rPr>
                <w:rFonts w:hint="eastAsia" w:cs="Times New Roman"/>
                <w:b w:val="0"/>
                <w:bCs/>
                <w:color w:val="000000" w:themeColor="text1"/>
                <w:sz w:val="24"/>
                <w:szCs w:val="22"/>
                <w:lang w:val="en-US" w:eastAsia="zh-CN"/>
                <w14:textFill>
                  <w14:solidFill>
                    <w14:schemeClr w14:val="tx1"/>
                  </w14:solidFill>
                </w14:textFill>
              </w:rPr>
              <w:t>类比设备清洗废水</w:t>
            </w:r>
            <w:r>
              <w:rPr>
                <w:rFonts w:hint="eastAsia" w:ascii="Times New Roman" w:hAnsi="Times New Roman" w:eastAsia="宋体" w:cs="Times New Roman"/>
                <w:b w:val="0"/>
                <w:bCs/>
                <w:color w:val="000000" w:themeColor="text1"/>
                <w:sz w:val="24"/>
                <w:szCs w:val="22"/>
                <w:lang w:val="en-US" w:eastAsia="zh-CN"/>
                <w14:textFill>
                  <w14:solidFill>
                    <w14:schemeClr w14:val="tx1"/>
                  </w14:solidFill>
                </w14:textFill>
              </w:rPr>
              <w:t>的产生源强可行。</w:t>
            </w:r>
          </w:p>
          <w:p w14:paraId="1F0424E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（2）</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废水治理措施</w:t>
            </w:r>
          </w:p>
          <w:p w14:paraId="5E8AF740">
            <w:pPr>
              <w:autoSpaceDE w:val="0"/>
              <w:autoSpaceDN w:val="0"/>
              <w:adjustRightInd w:val="0"/>
              <w:spacing w:line="360" w:lineRule="auto"/>
              <w:ind w:firstLine="480" w:firstLineChars="200"/>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本项目外排废水</w:t>
            </w:r>
            <w:r>
              <w:rPr>
                <w:rFonts w:hint="eastAsia" w:cs="Times New Roman"/>
                <w:color w:val="000000" w:themeColor="text1"/>
                <w:sz w:val="24"/>
                <w:highlight w:val="none"/>
                <w:lang w:val="en-US" w:eastAsia="zh-CN"/>
                <w14:textFill>
                  <w14:solidFill>
                    <w14:schemeClr w14:val="tx1"/>
                  </w14:solidFill>
                </w14:textFill>
              </w:rPr>
              <w:t>平均</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总量为</w:t>
            </w:r>
            <w:r>
              <w:rPr>
                <w:rFonts w:hint="eastAsia" w:cs="Times New Roman"/>
                <w:color w:val="000000" w:themeColor="text1"/>
                <w:sz w:val="24"/>
                <w:highlight w:val="none"/>
                <w:lang w:val="en-US" w:eastAsia="zh-CN"/>
                <w14:textFill>
                  <w14:solidFill>
                    <w14:schemeClr w14:val="tx1"/>
                  </w14:solidFill>
                </w14:textFill>
              </w:rPr>
              <w:t>11.936</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m</w:t>
            </w:r>
            <w:r>
              <w:rPr>
                <w:rFonts w:hint="eastAsia" w:ascii="Times New Roman" w:hAnsi="Times New Roman" w:eastAsia="宋体" w:cs="Times New Roman"/>
                <w:color w:val="000000" w:themeColor="text1"/>
                <w:sz w:val="24"/>
                <w:highlight w:val="none"/>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/d（</w:t>
            </w:r>
            <w:r>
              <w:rPr>
                <w:rFonts w:hint="eastAsia" w:cs="Times New Roman"/>
                <w:color w:val="000000" w:themeColor="text1"/>
                <w:sz w:val="24"/>
                <w:highlight w:val="none"/>
                <w:lang w:val="en-US" w:eastAsia="zh-CN"/>
                <w14:textFill>
                  <w14:solidFill>
                    <w14:schemeClr w14:val="tx1"/>
                  </w14:solidFill>
                </w14:textFill>
              </w:rPr>
              <w:t>3580.8</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m</w:t>
            </w:r>
            <w:r>
              <w:rPr>
                <w:rFonts w:hint="eastAsia" w:ascii="Times New Roman" w:hAnsi="Times New Roman" w:eastAsia="宋体" w:cs="Times New Roman"/>
                <w:color w:val="000000" w:themeColor="text1"/>
                <w:sz w:val="24"/>
                <w:highlight w:val="none"/>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/a），主要包括生产及生活两方面。其中生活污水产生量为7.68m</w:t>
            </w:r>
            <w:r>
              <w:rPr>
                <w:rFonts w:hint="eastAsia" w:ascii="Times New Roman" w:hAnsi="Times New Roman" w:eastAsia="宋体" w:cs="Times New Roman"/>
                <w:color w:val="000000" w:themeColor="text1"/>
                <w:sz w:val="24"/>
                <w:highlight w:val="none"/>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/d（2304m</w:t>
            </w:r>
            <w:r>
              <w:rPr>
                <w:rFonts w:hint="eastAsia" w:ascii="Times New Roman" w:hAnsi="Times New Roman" w:eastAsia="宋体" w:cs="Times New Roman"/>
                <w:color w:val="000000" w:themeColor="text1"/>
                <w:sz w:val="24"/>
                <w:highlight w:val="none"/>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/a），生产废水产生量为</w:t>
            </w:r>
            <w:r>
              <w:rPr>
                <w:rFonts w:hint="eastAsia" w:cs="Times New Roman"/>
                <w:color w:val="000000" w:themeColor="text1"/>
                <w:sz w:val="24"/>
                <w:highlight w:val="none"/>
                <w:lang w:val="en-US" w:eastAsia="zh-CN"/>
                <w14:textFill>
                  <w14:solidFill>
                    <w14:schemeClr w14:val="tx1"/>
                  </w14:solidFill>
                </w14:textFill>
              </w:rPr>
              <w:t>4.256</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m</w:t>
            </w:r>
            <w:r>
              <w:rPr>
                <w:rFonts w:hint="eastAsia" w:ascii="Times New Roman" w:hAnsi="Times New Roman" w:eastAsia="宋体" w:cs="Times New Roman"/>
                <w:color w:val="000000" w:themeColor="text1"/>
                <w:sz w:val="24"/>
                <w:highlight w:val="none"/>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/d（</w:t>
            </w:r>
            <w:r>
              <w:rPr>
                <w:rFonts w:hint="eastAsia" w:cs="Times New Roman"/>
                <w:color w:val="000000" w:themeColor="text1"/>
                <w:sz w:val="24"/>
                <w:highlight w:val="none"/>
                <w:lang w:val="en-US" w:eastAsia="zh-CN"/>
                <w14:textFill>
                  <w14:solidFill>
                    <w14:schemeClr w14:val="tx1"/>
                  </w14:solidFill>
                </w14:textFill>
              </w:rPr>
              <w:t>1276.8</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m</w:t>
            </w:r>
            <w:r>
              <w:rPr>
                <w:rFonts w:hint="eastAsia" w:ascii="Times New Roman" w:hAnsi="Times New Roman" w:eastAsia="宋体" w:cs="Times New Roman"/>
                <w:color w:val="000000" w:themeColor="text1"/>
                <w:sz w:val="24"/>
                <w:highlight w:val="none"/>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/a），包括设备清洗废水、纯水制备浓水</w:t>
            </w:r>
            <w:r>
              <w:rPr>
                <w:rFonts w:hint="eastAsia" w:cs="Times New Roman"/>
                <w:color w:val="000000" w:themeColor="text1"/>
                <w:sz w:val="24"/>
                <w:highlight w:val="none"/>
                <w:lang w:val="en-US" w:eastAsia="zh-CN"/>
                <w14:textFill>
                  <w14:solidFill>
                    <w14:schemeClr w14:val="tx1"/>
                  </w14:solidFill>
                </w14:textFill>
              </w:rPr>
              <w:t>、反冲洗水、空压冷凝水</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等。</w:t>
            </w:r>
          </w:p>
          <w:p w14:paraId="2DCD147F">
            <w:pPr>
              <w:autoSpaceDE w:val="0"/>
              <w:autoSpaceDN w:val="0"/>
              <w:adjustRightInd w:val="0"/>
              <w:spacing w:line="360" w:lineRule="auto"/>
              <w:ind w:firstLine="480" w:firstLineChars="200"/>
              <w:rPr>
                <w:rFonts w:hint="eastAsia" w:ascii="Times New Roman" w:hAnsi="Times New Roman" w:eastAsia="瀹嬩綋" w:cs="Times New Roman"/>
                <w:color w:val="000000" w:themeColor="text1"/>
                <w:spacing w:val="-6"/>
                <w:sz w:val="24"/>
                <w:lang w:eastAsia="zh-CN"/>
                <w14:textFill>
                  <w14:solidFill>
                    <w14:schemeClr w14:val="tx1"/>
                  </w14:solidFill>
                </w14:textFill>
              </w:rPr>
            </w:pPr>
            <w:r>
              <w:rPr>
                <w:rFonts w:hint="eastAsia" w:cs="Times New Roman"/>
                <w:color w:val="000000" w:themeColor="text1"/>
                <w:sz w:val="24"/>
                <w:lang w:val="en-US" w:eastAsia="zh-CN"/>
                <w14:textFill>
                  <w14:solidFill>
                    <w14:schemeClr w14:val="tx1"/>
                  </w14:solidFill>
                </w14:textFill>
              </w:rPr>
              <w:t>设备清洗废水</w:t>
            </w:r>
            <w:r>
              <w:rPr>
                <w:rFonts w:hint="default" w:ascii="Times New Roman" w:hAnsi="Times New Roman" w:eastAsia="宋体" w:cs="Times New Roman"/>
                <w:color w:val="000000" w:themeColor="text1"/>
                <w:sz w:val="24"/>
                <w14:textFill>
                  <w14:solidFill>
                    <w14:schemeClr w14:val="tx1"/>
                  </w14:solidFill>
                </w14:textFill>
              </w:rPr>
              <w:t>经</w:t>
            </w:r>
            <w:r>
              <w:rPr>
                <w:rFonts w:hint="default" w:ascii="Times New Roman" w:hAnsi="Times New Roman" w:eastAsia="瀹嬩綋" w:cs="Times New Roman"/>
                <w:color w:val="000000" w:themeColor="text1"/>
                <w:spacing w:val="-6"/>
                <w:sz w:val="24"/>
                <w:lang w:val="en-US" w:eastAsia="zh-CN"/>
                <w14:textFill>
                  <w14:solidFill>
                    <w14:schemeClr w14:val="tx1"/>
                  </w14:solidFill>
                </w14:textFill>
              </w:rPr>
              <w:t>厂区</w:t>
            </w:r>
            <w:r>
              <w:rPr>
                <w:rFonts w:hint="eastAsia" w:ascii="Times New Roman" w:hAnsi="Times New Roman" w:eastAsia="瀹嬩綋" w:cs="Times New Roman"/>
                <w:color w:val="000000" w:themeColor="text1"/>
                <w:spacing w:val="-6"/>
                <w:sz w:val="24"/>
                <w:lang w:val="en-US" w:eastAsia="zh-CN"/>
                <w14:textFill>
                  <w14:solidFill>
                    <w14:schemeClr w14:val="tx1"/>
                  </w14:solidFill>
                </w14:textFill>
              </w:rPr>
              <w:t>污</w:t>
            </w:r>
            <w:r>
              <w:rPr>
                <w:rFonts w:hint="default" w:ascii="Times New Roman" w:hAnsi="Times New Roman" w:eastAsia="瀹嬩綋" w:cs="Times New Roman"/>
                <w:color w:val="000000" w:themeColor="text1"/>
                <w:spacing w:val="-6"/>
                <w:sz w:val="24"/>
                <w:lang w:val="en-US" w:eastAsia="zh-CN"/>
                <w14:textFill>
                  <w14:solidFill>
                    <w14:schemeClr w14:val="tx1"/>
                  </w14:solidFill>
                </w14:textFill>
              </w:rPr>
              <w:t>水处理站处理</w:t>
            </w:r>
            <w:r>
              <w:rPr>
                <w:rFonts w:hint="eastAsia" w:eastAsia="瀹嬩綋" w:cs="Times New Roman"/>
                <w:color w:val="000000" w:themeColor="text1"/>
                <w:spacing w:val="-6"/>
                <w:sz w:val="24"/>
                <w:lang w:val="en-US" w:eastAsia="zh-CN"/>
                <w14:textFill>
                  <w14:solidFill>
                    <w14:schemeClr w14:val="tx1"/>
                  </w14:solidFill>
                </w14:textFill>
              </w:rPr>
              <w:t>后与生活污水、纯水制备浓水、反冲洗水、空压冷凝水一同</w:t>
            </w:r>
            <w:r>
              <w:rPr>
                <w:rFonts w:hint="default" w:ascii="Times New Roman" w:hAnsi="Times New Roman" w:eastAsia="瀹嬩綋" w:cs="Times New Roman"/>
                <w:color w:val="000000" w:themeColor="text1"/>
                <w:spacing w:val="-6"/>
                <w:sz w:val="24"/>
                <w:lang w:val="en-US" w:eastAsia="zh-CN"/>
                <w14:textFill>
                  <w14:solidFill>
                    <w14:schemeClr w14:val="tx1"/>
                  </w14:solidFill>
                </w14:textFill>
              </w:rPr>
              <w:t>经</w:t>
            </w:r>
            <w:r>
              <w:rPr>
                <w:rFonts w:hint="default" w:ascii="Times New Roman" w:hAnsi="Times New Roman" w:eastAsia="瀹嬩綋" w:cs="Times New Roman"/>
                <w:color w:val="000000" w:themeColor="text1"/>
                <w:spacing w:val="-6"/>
                <w:sz w:val="24"/>
                <w14:textFill>
                  <w14:solidFill>
                    <w14:schemeClr w14:val="tx1"/>
                  </w14:solidFill>
                </w14:textFill>
              </w:rPr>
              <w:t>厂区</w:t>
            </w:r>
            <w:r>
              <w:rPr>
                <w:rFonts w:hint="eastAsia" w:eastAsia="瀹嬩綋" w:cs="Times New Roman"/>
                <w:color w:val="000000" w:themeColor="text1"/>
                <w:spacing w:val="-6"/>
                <w:sz w:val="24"/>
                <w:lang w:val="en-US" w:eastAsia="zh-CN"/>
                <w14:textFill>
                  <w14:solidFill>
                    <w14:schemeClr w14:val="tx1"/>
                  </w14:solidFill>
                </w14:textFill>
              </w:rPr>
              <w:t>自建预处理池处理后由废水</w:t>
            </w:r>
            <w:r>
              <w:rPr>
                <w:rFonts w:hint="default" w:ascii="Times New Roman" w:hAnsi="Times New Roman" w:eastAsia="瀹嬩綋" w:cs="Times New Roman"/>
                <w:color w:val="000000" w:themeColor="text1"/>
                <w:spacing w:val="-6"/>
                <w:sz w:val="24"/>
                <w14:textFill>
                  <w14:solidFill>
                    <w14:schemeClr w14:val="tx1"/>
                  </w14:solidFill>
                </w14:textFill>
              </w:rPr>
              <w:t>总排放口排入园区市政污水管网，</w:t>
            </w:r>
            <w:r>
              <w:rPr>
                <w:rFonts w:hint="default" w:ascii="Times New Roman" w:hAnsi="Times New Roman" w:eastAsia="瀹嬩綋" w:cs="Times New Roman"/>
                <w:color w:val="000000" w:themeColor="text1"/>
                <w:spacing w:val="-6"/>
                <w:sz w:val="24"/>
                <w:lang w:eastAsia="zh-CN"/>
                <w14:textFill>
                  <w14:solidFill>
                    <w14:schemeClr w14:val="tx1"/>
                  </w14:solidFill>
                </w14:textFill>
              </w:rPr>
              <w:t>最终进入园区污水处理厂处理</w:t>
            </w:r>
            <w:r>
              <w:rPr>
                <w:rFonts w:hint="eastAsia" w:ascii="Times New Roman" w:hAnsi="Times New Roman" w:eastAsia="瀹嬩綋" w:cs="Times New Roman"/>
                <w:color w:val="000000" w:themeColor="text1"/>
                <w:spacing w:val="-6"/>
                <w:sz w:val="24"/>
                <w:lang w:eastAsia="zh-CN"/>
                <w14:textFill>
                  <w14:solidFill>
                    <w14:schemeClr w14:val="tx1"/>
                  </w14:solidFill>
                </w14:textFill>
              </w:rPr>
              <w:t>，</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COD、BOD</w:t>
            </w:r>
            <w:r>
              <w:rPr>
                <w:rFonts w:hint="eastAsia" w:ascii="Times New Roman" w:hAnsi="Times New Roman" w:eastAsia="宋体" w:cs="Times New Roman"/>
                <w:color w:val="000000" w:themeColor="text1"/>
                <w:sz w:val="24"/>
                <w:highlight w:val="none"/>
                <w:vertAlign w:val="subscript"/>
                <w:lang w:val="en-US" w:eastAsia="zh-CN"/>
                <w14:textFill>
                  <w14:solidFill>
                    <w14:schemeClr w14:val="tx1"/>
                  </w14:solidFill>
                </w14:textFill>
              </w:rPr>
              <w:t>5</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、NH</w:t>
            </w:r>
            <w:r>
              <w:rPr>
                <w:rFonts w:hint="eastAsia" w:ascii="Times New Roman" w:hAnsi="Times New Roman" w:eastAsia="宋体" w:cs="Times New Roman"/>
                <w:color w:val="000000" w:themeColor="text1"/>
                <w:sz w:val="24"/>
                <w:highlight w:val="none"/>
                <w:vertAlign w:val="subscript"/>
                <w:lang w:val="en-US" w:eastAsia="zh-CN"/>
                <w14:textFill>
                  <w14:solidFill>
                    <w14:schemeClr w14:val="tx1"/>
                  </w14:solidFill>
                </w14:textFill>
              </w:rPr>
              <w:t>3</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-N、TP经处理达到</w:t>
            </w:r>
            <w:r>
              <w:rPr>
                <w:rFonts w:hint="eastAsia" w:ascii="宋体" w:hAnsi="宋体" w:eastAsia="宋体"/>
                <w:color w:val="000000" w:themeColor="text1"/>
                <w:sz w:val="24"/>
                <w:szCs w:val="24"/>
                <w14:textFill>
                  <w14:solidFill>
                    <w14:schemeClr w14:val="tx1"/>
                  </w14:solidFill>
                </w14:textFill>
              </w:rPr>
              <w:t>《城镇生活污水处理厂污染物排放标准》（</w:t>
            </w:r>
            <w:r>
              <w:rPr>
                <w:rFonts w:hint="eastAsia" w:ascii="TimesNewRomanPSMT" w:hAnsi="TimesNewRomanPSMT" w:eastAsia="TimesNewRomanPSMT"/>
                <w:color w:val="000000" w:themeColor="text1"/>
                <w:sz w:val="24"/>
                <w:szCs w:val="24"/>
                <w14:textFill>
                  <w14:solidFill>
                    <w14:schemeClr w14:val="tx1"/>
                  </w14:solidFill>
                </w14:textFill>
              </w:rPr>
              <w:t>GB18918-2002</w:t>
            </w:r>
            <w:r>
              <w:rPr>
                <w:rFonts w:hint="default" w:ascii="Times New Roman" w:hAnsi="Times New Roman" w:eastAsia="宋体" w:cs="Times New Roman"/>
                <w:color w:val="000000" w:themeColor="text1"/>
                <w:sz w:val="24"/>
                <w:szCs w:val="24"/>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一级A</w:t>
            </w:r>
            <w:r>
              <w:rPr>
                <w:rFonts w:hint="default" w:ascii="Times New Roman" w:hAnsi="Times New Roman" w:eastAsia="宋体" w:cs="Times New Roman"/>
                <w:color w:val="000000" w:themeColor="text1"/>
                <w:sz w:val="24"/>
                <w:szCs w:val="24"/>
                <w14:textFill>
                  <w14:solidFill>
                    <w14:schemeClr w14:val="tx1"/>
                  </w14:solidFill>
                </w14:textFill>
              </w:rPr>
              <w:t>标</w:t>
            </w:r>
            <w:r>
              <w:rPr>
                <w:rFonts w:hint="default" w:ascii="Times New Roman" w:hAnsi="Times New Roman" w:eastAsia="瀹嬩綋" w:cs="Times New Roman"/>
                <w:color w:val="000000" w:themeColor="text1"/>
                <w:spacing w:val="-6"/>
                <w:sz w:val="24"/>
                <w:lang w:eastAsia="zh-CN"/>
                <w14:textFill>
                  <w14:solidFill>
                    <w14:schemeClr w14:val="tx1"/>
                  </w14:solidFill>
                </w14:textFill>
              </w:rPr>
              <w:t>后排入巴河</w:t>
            </w:r>
            <w:r>
              <w:rPr>
                <w:rFonts w:hint="eastAsia" w:ascii="Times New Roman" w:hAnsi="Times New Roman" w:eastAsia="瀹嬩綋" w:cs="Times New Roman"/>
                <w:color w:val="000000" w:themeColor="text1"/>
                <w:spacing w:val="-6"/>
                <w:sz w:val="24"/>
                <w:lang w:eastAsia="zh-CN"/>
                <w14:textFill>
                  <w14:solidFill>
                    <w14:schemeClr w14:val="tx1"/>
                  </w14:solidFill>
                </w14:textFill>
              </w:rPr>
              <w:t>。</w:t>
            </w:r>
          </w:p>
          <w:p w14:paraId="685AEDF1">
            <w:pPr>
              <w:autoSpaceDE w:val="0"/>
              <w:autoSpaceDN w:val="0"/>
              <w:adjustRightInd w:val="0"/>
              <w:spacing w:line="360" w:lineRule="auto"/>
              <w:ind w:firstLine="480" w:firstLineChars="200"/>
              <w:rPr>
                <w:rFonts w:hint="eastAsia" w:cs="Times New Roman"/>
                <w:color w:val="000000" w:themeColor="text1"/>
                <w:sz w:val="24"/>
                <w:highlight w:val="none"/>
                <w:lang w:val="en-US" w:eastAsia="zh-CN"/>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本项目废水产生及排放情况见下表。</w:t>
            </w:r>
          </w:p>
          <w:p w14:paraId="473514A4">
            <w:pPr>
              <w:autoSpaceDE w:val="0"/>
              <w:autoSpaceDN w:val="0"/>
              <w:adjustRightInd w:val="0"/>
              <w:spacing w:line="240" w:lineRule="auto"/>
              <w:ind w:firstLine="422" w:firstLineChars="200"/>
              <w:jc w:val="center"/>
              <w:rPr>
                <w:rFonts w:hint="default"/>
                <w:b/>
                <w:bCs/>
                <w:color w:val="000000" w:themeColor="text1"/>
                <w:szCs w:val="21"/>
                <w:highlight w:val="none"/>
                <w:lang w:val="en-US" w:eastAsia="zh-CN"/>
                <w14:textFill>
                  <w14:solidFill>
                    <w14:schemeClr w14:val="tx1"/>
                  </w14:solidFill>
                </w14:textFill>
              </w:rPr>
            </w:pPr>
            <w:r>
              <w:rPr>
                <w:b/>
                <w:bCs/>
                <w:color w:val="000000" w:themeColor="text1"/>
                <w:szCs w:val="21"/>
                <w:highlight w:val="none"/>
                <w14:textFill>
                  <w14:solidFill>
                    <w14:schemeClr w14:val="tx1"/>
                  </w14:solidFill>
                </w14:textFill>
              </w:rPr>
              <w:t>表4-</w:t>
            </w:r>
            <w:r>
              <w:rPr>
                <w:rFonts w:hint="eastAsia"/>
                <w:b/>
                <w:bCs/>
                <w:color w:val="000000" w:themeColor="text1"/>
                <w:szCs w:val="21"/>
                <w:highlight w:val="none"/>
                <w:lang w:val="en-US" w:eastAsia="zh-CN"/>
                <w14:textFill>
                  <w14:solidFill>
                    <w14:schemeClr w14:val="tx1"/>
                  </w14:solidFill>
                </w14:textFill>
              </w:rPr>
              <w:t>11</w:t>
            </w:r>
            <w:r>
              <w:rPr>
                <w:b/>
                <w:bCs/>
                <w:color w:val="000000" w:themeColor="text1"/>
                <w:szCs w:val="21"/>
                <w:highlight w:val="none"/>
                <w14:textFill>
                  <w14:solidFill>
                    <w14:schemeClr w14:val="tx1"/>
                  </w14:solidFill>
                </w14:textFill>
              </w:rPr>
              <w:t xml:space="preserve"> </w:t>
            </w:r>
            <w:r>
              <w:rPr>
                <w:rFonts w:hint="eastAsia"/>
                <w:b/>
                <w:bCs/>
                <w:color w:val="000000" w:themeColor="text1"/>
                <w:szCs w:val="21"/>
                <w:highlight w:val="none"/>
                <w:lang w:val="en-US" w:eastAsia="zh-CN"/>
                <w14:textFill>
                  <w14:solidFill>
                    <w14:schemeClr w14:val="tx1"/>
                  </w14:solidFill>
                </w14:textFill>
              </w:rPr>
              <w:t>本项目废水产排污情况一览表 （浓度：mg/L，产生量：t/a）</w:t>
            </w:r>
          </w:p>
          <w:tbl>
            <w:tblPr>
              <w:tblStyle w:val="42"/>
              <w:tblW w:w="8032"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55"/>
              <w:gridCol w:w="997"/>
              <w:gridCol w:w="740"/>
              <w:gridCol w:w="676"/>
              <w:gridCol w:w="752"/>
              <w:gridCol w:w="675"/>
              <w:gridCol w:w="570"/>
              <w:gridCol w:w="615"/>
              <w:gridCol w:w="615"/>
              <w:gridCol w:w="495"/>
              <w:gridCol w:w="480"/>
              <w:gridCol w:w="562"/>
            </w:tblGrid>
            <w:tr w14:paraId="0B37E1C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1852" w:type="dxa"/>
                  <w:gridSpan w:val="2"/>
                  <w:vAlign w:val="center"/>
                </w:tcPr>
                <w:p w14:paraId="0363B37A">
                  <w:pPr>
                    <w:jc w:val="center"/>
                    <w:rPr>
                      <w:rFonts w:hint="eastAsia"/>
                      <w:b/>
                      <w:bCs/>
                      <w:color w:val="000000" w:themeColor="text1"/>
                      <w:sz w:val="21"/>
                      <w:szCs w:val="21"/>
                      <w:highlight w:val="none"/>
                      <w:vertAlign w:val="baseline"/>
                      <w:lang w:val="en-US" w:eastAsia="zh-CN"/>
                      <w14:textFill>
                        <w14:solidFill>
                          <w14:schemeClr w14:val="tx1"/>
                        </w14:solidFill>
                      </w14:textFill>
                    </w:rPr>
                  </w:pPr>
                  <w:r>
                    <w:rPr>
                      <w:rFonts w:hint="eastAsia"/>
                      <w:b/>
                      <w:bCs/>
                      <w:color w:val="000000" w:themeColor="text1"/>
                      <w:sz w:val="21"/>
                      <w:szCs w:val="21"/>
                      <w:highlight w:val="none"/>
                      <w:vertAlign w:val="baseline"/>
                      <w:lang w:val="en-US" w:eastAsia="zh-CN"/>
                      <w14:textFill>
                        <w14:solidFill>
                          <w14:schemeClr w14:val="tx1"/>
                        </w14:solidFill>
                      </w14:textFill>
                    </w:rPr>
                    <w:t>废水性质</w:t>
                  </w:r>
                </w:p>
              </w:tc>
              <w:tc>
                <w:tcPr>
                  <w:tcW w:w="740" w:type="dxa"/>
                  <w:vAlign w:val="center"/>
                </w:tcPr>
                <w:p w14:paraId="7E2D2F41">
                  <w:pPr>
                    <w:jc w:val="center"/>
                    <w:rPr>
                      <w:rFonts w:hint="eastAsia"/>
                      <w:b/>
                      <w:bCs/>
                      <w:color w:val="000000" w:themeColor="text1"/>
                      <w:sz w:val="21"/>
                      <w:szCs w:val="21"/>
                      <w:highlight w:val="none"/>
                      <w:vertAlign w:val="baseline"/>
                      <w:lang w:val="en-US" w:eastAsia="zh-CN"/>
                      <w14:textFill>
                        <w14:solidFill>
                          <w14:schemeClr w14:val="tx1"/>
                        </w14:solidFill>
                      </w14:textFill>
                    </w:rPr>
                  </w:pPr>
                  <w:r>
                    <w:rPr>
                      <w:rFonts w:hint="eastAsia"/>
                      <w:b/>
                      <w:bCs/>
                      <w:color w:val="000000" w:themeColor="text1"/>
                      <w:sz w:val="21"/>
                      <w:szCs w:val="21"/>
                      <w:highlight w:val="none"/>
                      <w:vertAlign w:val="baseline"/>
                      <w:lang w:val="en-US" w:eastAsia="zh-CN"/>
                      <w14:textFill>
                        <w14:solidFill>
                          <w14:schemeClr w14:val="tx1"/>
                        </w14:solidFill>
                      </w14:textFill>
                    </w:rPr>
                    <w:t>产生量</w:t>
                  </w:r>
                </w:p>
              </w:tc>
              <w:tc>
                <w:tcPr>
                  <w:tcW w:w="676" w:type="dxa"/>
                  <w:vAlign w:val="center"/>
                </w:tcPr>
                <w:p w14:paraId="2FEB5C12">
                  <w:pPr>
                    <w:jc w:val="center"/>
                    <w:rPr>
                      <w:rFonts w:hint="eastAsia"/>
                      <w:b/>
                      <w:bCs/>
                      <w:color w:val="000000" w:themeColor="text1"/>
                      <w:sz w:val="21"/>
                      <w:szCs w:val="21"/>
                      <w:highlight w:val="none"/>
                      <w:vertAlign w:val="baseline"/>
                      <w:lang w:val="en-US" w:eastAsia="zh-CN"/>
                      <w14:textFill>
                        <w14:solidFill>
                          <w14:schemeClr w14:val="tx1"/>
                        </w14:solidFill>
                      </w14:textFill>
                    </w:rPr>
                  </w:pPr>
                  <w:r>
                    <w:rPr>
                      <w:rFonts w:hint="eastAsia"/>
                      <w:b/>
                      <w:bCs/>
                      <w:color w:val="000000" w:themeColor="text1"/>
                      <w:sz w:val="21"/>
                      <w:szCs w:val="21"/>
                      <w:highlight w:val="none"/>
                      <w:vertAlign w:val="baseline"/>
                      <w:lang w:val="en-US" w:eastAsia="zh-CN"/>
                      <w14:textFill>
                        <w14:solidFill>
                          <w14:schemeClr w14:val="tx1"/>
                        </w14:solidFill>
                      </w14:textFill>
                    </w:rPr>
                    <w:t>COD</w:t>
                  </w:r>
                </w:p>
              </w:tc>
              <w:tc>
                <w:tcPr>
                  <w:tcW w:w="752" w:type="dxa"/>
                  <w:vAlign w:val="center"/>
                </w:tcPr>
                <w:p w14:paraId="3FAC2695">
                  <w:pPr>
                    <w:jc w:val="center"/>
                    <w:rPr>
                      <w:rFonts w:hint="eastAsia"/>
                      <w:b/>
                      <w:bCs/>
                      <w:color w:val="000000" w:themeColor="text1"/>
                      <w:sz w:val="21"/>
                      <w:szCs w:val="21"/>
                      <w:highlight w:val="none"/>
                      <w:vertAlign w:val="baseline"/>
                      <w:lang w:val="en-US" w:eastAsia="zh-CN"/>
                      <w14:textFill>
                        <w14:solidFill>
                          <w14:schemeClr w14:val="tx1"/>
                        </w14:solidFill>
                      </w14:textFill>
                    </w:rPr>
                  </w:pPr>
                  <w:r>
                    <w:rPr>
                      <w:rFonts w:hint="eastAsia"/>
                      <w:b/>
                      <w:bCs/>
                      <w:color w:val="000000" w:themeColor="text1"/>
                      <w:sz w:val="21"/>
                      <w:szCs w:val="21"/>
                      <w:highlight w:val="none"/>
                      <w:vertAlign w:val="baseline"/>
                      <w:lang w:val="en-US" w:eastAsia="zh-CN"/>
                      <w14:textFill>
                        <w14:solidFill>
                          <w14:schemeClr w14:val="tx1"/>
                        </w14:solidFill>
                      </w14:textFill>
                    </w:rPr>
                    <w:t>BOD</w:t>
                  </w:r>
                  <w:r>
                    <w:rPr>
                      <w:rFonts w:hint="eastAsia"/>
                      <w:b/>
                      <w:bCs/>
                      <w:color w:val="000000" w:themeColor="text1"/>
                      <w:sz w:val="21"/>
                      <w:szCs w:val="21"/>
                      <w:highlight w:val="none"/>
                      <w:vertAlign w:val="subscript"/>
                      <w:lang w:val="en-US" w:eastAsia="zh-CN"/>
                      <w14:textFill>
                        <w14:solidFill>
                          <w14:schemeClr w14:val="tx1"/>
                        </w14:solidFill>
                      </w14:textFill>
                    </w:rPr>
                    <w:t>5</w:t>
                  </w:r>
                </w:p>
              </w:tc>
              <w:tc>
                <w:tcPr>
                  <w:tcW w:w="675" w:type="dxa"/>
                  <w:vAlign w:val="center"/>
                </w:tcPr>
                <w:p w14:paraId="1CBED308">
                  <w:pPr>
                    <w:jc w:val="center"/>
                    <w:rPr>
                      <w:rFonts w:hint="eastAsia"/>
                      <w:b/>
                      <w:bCs/>
                      <w:color w:val="000000" w:themeColor="text1"/>
                      <w:sz w:val="21"/>
                      <w:szCs w:val="21"/>
                      <w:highlight w:val="none"/>
                      <w:vertAlign w:val="baseline"/>
                      <w:lang w:val="en-US" w:eastAsia="zh-CN"/>
                      <w14:textFill>
                        <w14:solidFill>
                          <w14:schemeClr w14:val="tx1"/>
                        </w14:solidFill>
                      </w14:textFill>
                    </w:rPr>
                  </w:pPr>
                  <w:r>
                    <w:rPr>
                      <w:rFonts w:hint="eastAsia"/>
                      <w:b/>
                      <w:bCs/>
                      <w:color w:val="000000" w:themeColor="text1"/>
                      <w:sz w:val="21"/>
                      <w:szCs w:val="21"/>
                      <w:highlight w:val="none"/>
                      <w:vertAlign w:val="baseline"/>
                      <w:lang w:val="en-US" w:eastAsia="zh-CN"/>
                      <w14:textFill>
                        <w14:solidFill>
                          <w14:schemeClr w14:val="tx1"/>
                        </w14:solidFill>
                      </w14:textFill>
                    </w:rPr>
                    <w:t>氨氮</w:t>
                  </w:r>
                </w:p>
              </w:tc>
              <w:tc>
                <w:tcPr>
                  <w:tcW w:w="570" w:type="dxa"/>
                  <w:vAlign w:val="center"/>
                </w:tcPr>
                <w:p w14:paraId="17DBC6E3">
                  <w:pPr>
                    <w:jc w:val="center"/>
                    <w:rPr>
                      <w:rFonts w:hint="eastAsia"/>
                      <w:b/>
                      <w:bCs/>
                      <w:color w:val="000000" w:themeColor="text1"/>
                      <w:sz w:val="21"/>
                      <w:szCs w:val="21"/>
                      <w:highlight w:val="none"/>
                      <w:vertAlign w:val="baseline"/>
                      <w:lang w:val="en-US" w:eastAsia="zh-CN"/>
                      <w14:textFill>
                        <w14:solidFill>
                          <w14:schemeClr w14:val="tx1"/>
                        </w14:solidFill>
                      </w14:textFill>
                    </w:rPr>
                  </w:pPr>
                  <w:r>
                    <w:rPr>
                      <w:rFonts w:hint="eastAsia"/>
                      <w:b/>
                      <w:bCs/>
                      <w:color w:val="000000" w:themeColor="text1"/>
                      <w:sz w:val="21"/>
                      <w:szCs w:val="21"/>
                      <w:highlight w:val="none"/>
                      <w:vertAlign w:val="baseline"/>
                      <w:lang w:val="en-US" w:eastAsia="zh-CN"/>
                      <w14:textFill>
                        <w14:solidFill>
                          <w14:schemeClr w14:val="tx1"/>
                        </w14:solidFill>
                      </w14:textFill>
                    </w:rPr>
                    <w:t>SS</w:t>
                  </w:r>
                </w:p>
              </w:tc>
              <w:tc>
                <w:tcPr>
                  <w:tcW w:w="615" w:type="dxa"/>
                  <w:vAlign w:val="center"/>
                </w:tcPr>
                <w:p w14:paraId="3E1CF6DC">
                  <w:pPr>
                    <w:jc w:val="center"/>
                    <w:rPr>
                      <w:rFonts w:hint="eastAsia"/>
                      <w:b/>
                      <w:bCs/>
                      <w:color w:val="000000" w:themeColor="text1"/>
                      <w:sz w:val="21"/>
                      <w:szCs w:val="21"/>
                      <w:highlight w:val="none"/>
                      <w:vertAlign w:val="baseline"/>
                      <w:lang w:val="en-US" w:eastAsia="zh-CN"/>
                      <w14:textFill>
                        <w14:solidFill>
                          <w14:schemeClr w14:val="tx1"/>
                        </w14:solidFill>
                      </w14:textFill>
                    </w:rPr>
                  </w:pPr>
                  <w:r>
                    <w:rPr>
                      <w:rFonts w:hint="eastAsia"/>
                      <w:b/>
                      <w:bCs/>
                      <w:color w:val="000000" w:themeColor="text1"/>
                      <w:sz w:val="21"/>
                      <w:szCs w:val="21"/>
                      <w:highlight w:val="none"/>
                      <w:vertAlign w:val="baseline"/>
                      <w:lang w:val="en-US" w:eastAsia="zh-CN"/>
                      <w14:textFill>
                        <w14:solidFill>
                          <w14:schemeClr w14:val="tx1"/>
                        </w14:solidFill>
                      </w14:textFill>
                    </w:rPr>
                    <w:t>TP</w:t>
                  </w:r>
                </w:p>
              </w:tc>
              <w:tc>
                <w:tcPr>
                  <w:tcW w:w="615" w:type="dxa"/>
                  <w:vAlign w:val="center"/>
                </w:tcPr>
                <w:p w14:paraId="0262D9BC">
                  <w:pPr>
                    <w:jc w:val="center"/>
                    <w:rPr>
                      <w:rFonts w:hint="eastAsia"/>
                      <w:b/>
                      <w:bCs/>
                      <w:color w:val="000000" w:themeColor="text1"/>
                      <w:sz w:val="21"/>
                      <w:szCs w:val="21"/>
                      <w:highlight w:val="none"/>
                      <w:vertAlign w:val="baseline"/>
                      <w:lang w:val="en-US" w:eastAsia="zh-CN"/>
                      <w14:textFill>
                        <w14:solidFill>
                          <w14:schemeClr w14:val="tx1"/>
                        </w14:solidFill>
                      </w14:textFill>
                    </w:rPr>
                  </w:pPr>
                  <w:r>
                    <w:rPr>
                      <w:rFonts w:hint="eastAsia"/>
                      <w:b/>
                      <w:bCs/>
                      <w:color w:val="000000" w:themeColor="text1"/>
                      <w:sz w:val="21"/>
                      <w:szCs w:val="21"/>
                      <w:highlight w:val="none"/>
                      <w:vertAlign w:val="baseline"/>
                      <w:lang w:val="en-US" w:eastAsia="zh-CN"/>
                      <w14:textFill>
                        <w14:solidFill>
                          <w14:schemeClr w14:val="tx1"/>
                        </w14:solidFill>
                      </w14:textFill>
                    </w:rPr>
                    <w:t>TN</w:t>
                  </w:r>
                </w:p>
              </w:tc>
              <w:tc>
                <w:tcPr>
                  <w:tcW w:w="495" w:type="dxa"/>
                  <w:vAlign w:val="center"/>
                </w:tcPr>
                <w:p w14:paraId="007B21A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b/>
                      <w:bCs/>
                      <w:color w:val="000000" w:themeColor="text1"/>
                      <w:sz w:val="21"/>
                      <w:szCs w:val="21"/>
                      <w:highlight w:val="none"/>
                      <w:vertAlign w:val="baseline"/>
                      <w:lang w:val="en-US" w:eastAsia="zh-CN"/>
                      <w14:textFill>
                        <w14:solidFill>
                          <w14:schemeClr w14:val="tx1"/>
                        </w14:solidFill>
                      </w14:textFill>
                    </w:rPr>
                  </w:pPr>
                  <w:r>
                    <w:rPr>
                      <w:rFonts w:hint="eastAsia" w:cs="Times New Roman"/>
                      <w:b/>
                      <w:bCs/>
                      <w:color w:val="000000" w:themeColor="text1"/>
                      <w:kern w:val="0"/>
                      <w:sz w:val="21"/>
                      <w:szCs w:val="21"/>
                      <w:lang w:val="en-US" w:eastAsia="zh-CN"/>
                      <w14:textFill>
                        <w14:solidFill>
                          <w14:schemeClr w14:val="tx1"/>
                        </w14:solidFill>
                      </w14:textFill>
                    </w:rPr>
                    <w:t>Ni</w:t>
                  </w:r>
                </w:p>
              </w:tc>
              <w:tc>
                <w:tcPr>
                  <w:tcW w:w="480" w:type="dxa"/>
                  <w:vAlign w:val="center"/>
                </w:tcPr>
                <w:p w14:paraId="4C2A97A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b/>
                      <w:bCs/>
                      <w:color w:val="000000" w:themeColor="text1"/>
                      <w:sz w:val="21"/>
                      <w:szCs w:val="21"/>
                      <w:highlight w:val="none"/>
                      <w:vertAlign w:val="baseline"/>
                      <w:lang w:val="en-US" w:eastAsia="zh-CN"/>
                      <w14:textFill>
                        <w14:solidFill>
                          <w14:schemeClr w14:val="tx1"/>
                        </w14:solidFill>
                      </w14:textFill>
                    </w:rPr>
                  </w:pPr>
                  <w:r>
                    <w:rPr>
                      <w:rFonts w:hint="eastAsia" w:cs="Times New Roman"/>
                      <w:b/>
                      <w:bCs/>
                      <w:color w:val="000000" w:themeColor="text1"/>
                      <w:kern w:val="0"/>
                      <w:sz w:val="21"/>
                      <w:szCs w:val="21"/>
                      <w:lang w:val="en-US" w:eastAsia="zh-CN"/>
                      <w14:textFill>
                        <w14:solidFill>
                          <w14:schemeClr w14:val="tx1"/>
                        </w14:solidFill>
                      </w14:textFill>
                    </w:rPr>
                    <w:t>Co</w:t>
                  </w:r>
                </w:p>
              </w:tc>
              <w:tc>
                <w:tcPr>
                  <w:tcW w:w="562" w:type="dxa"/>
                  <w:vAlign w:val="center"/>
                </w:tcPr>
                <w:p w14:paraId="63B2C8D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b/>
                      <w:bCs/>
                      <w:color w:val="000000" w:themeColor="text1"/>
                      <w:sz w:val="21"/>
                      <w:szCs w:val="21"/>
                      <w:highlight w:val="none"/>
                      <w:vertAlign w:val="baseline"/>
                      <w:lang w:val="en-US" w:eastAsia="zh-CN"/>
                      <w14:textFill>
                        <w14:solidFill>
                          <w14:schemeClr w14:val="tx1"/>
                        </w14:solidFill>
                      </w14:textFill>
                    </w:rPr>
                  </w:pPr>
                  <w:r>
                    <w:rPr>
                      <w:rFonts w:hint="eastAsia" w:cs="Times New Roman"/>
                      <w:b/>
                      <w:bCs/>
                      <w:color w:val="000000" w:themeColor="text1"/>
                      <w:kern w:val="0"/>
                      <w:sz w:val="21"/>
                      <w:szCs w:val="21"/>
                      <w:lang w:val="en-US" w:eastAsia="zh-CN"/>
                      <w14:textFill>
                        <w14:solidFill>
                          <w14:schemeClr w14:val="tx1"/>
                        </w14:solidFill>
                      </w14:textFill>
                    </w:rPr>
                    <w:t>Mn</w:t>
                  </w:r>
                </w:p>
              </w:tc>
            </w:tr>
            <w:tr w14:paraId="75BCD21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855" w:type="dxa"/>
                  <w:vMerge w:val="restart"/>
                  <w:vAlign w:val="center"/>
                </w:tcPr>
                <w:p w14:paraId="03DB304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正极清洗废水</w:t>
                  </w:r>
                </w:p>
              </w:tc>
              <w:tc>
                <w:tcPr>
                  <w:tcW w:w="997" w:type="dxa"/>
                  <w:vAlign w:val="center"/>
                </w:tcPr>
                <w:p w14:paraId="7C0DB3B6">
                  <w:pPr>
                    <w:jc w:val="center"/>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浓度</w:t>
                  </w:r>
                </w:p>
              </w:tc>
              <w:tc>
                <w:tcPr>
                  <w:tcW w:w="740" w:type="dxa"/>
                  <w:vMerge w:val="restart"/>
                  <w:vAlign w:val="center"/>
                </w:tcPr>
                <w:p w14:paraId="28D60706">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38.4</w:t>
                  </w:r>
                </w:p>
              </w:tc>
              <w:tc>
                <w:tcPr>
                  <w:tcW w:w="676" w:type="dxa"/>
                  <w:vAlign w:val="center"/>
                </w:tcPr>
                <w:p w14:paraId="280D8284">
                  <w:pPr>
                    <w:jc w:val="center"/>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9850</w:t>
                  </w:r>
                </w:p>
              </w:tc>
              <w:tc>
                <w:tcPr>
                  <w:tcW w:w="752" w:type="dxa"/>
                  <w:vAlign w:val="center"/>
                </w:tcPr>
                <w:p w14:paraId="6B2B974F">
                  <w:pPr>
                    <w:jc w:val="center"/>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3576</w:t>
                  </w:r>
                </w:p>
              </w:tc>
              <w:tc>
                <w:tcPr>
                  <w:tcW w:w="675" w:type="dxa"/>
                  <w:vAlign w:val="center"/>
                </w:tcPr>
                <w:p w14:paraId="2B219E7E">
                  <w:pPr>
                    <w:jc w:val="center"/>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118</w:t>
                  </w:r>
                </w:p>
              </w:tc>
              <w:tc>
                <w:tcPr>
                  <w:tcW w:w="570" w:type="dxa"/>
                  <w:vAlign w:val="center"/>
                </w:tcPr>
                <w:p w14:paraId="3FA1EA1C">
                  <w:pPr>
                    <w:jc w:val="center"/>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560</w:t>
                  </w:r>
                </w:p>
              </w:tc>
              <w:tc>
                <w:tcPr>
                  <w:tcW w:w="615" w:type="dxa"/>
                  <w:vAlign w:val="center"/>
                </w:tcPr>
                <w:p w14:paraId="631B127B">
                  <w:pPr>
                    <w:jc w:val="center"/>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12.8</w:t>
                  </w:r>
                </w:p>
              </w:tc>
              <w:tc>
                <w:tcPr>
                  <w:tcW w:w="615" w:type="dxa"/>
                  <w:vAlign w:val="center"/>
                </w:tcPr>
                <w:p w14:paraId="3AADDB1E">
                  <w:pPr>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c>
                <w:tcPr>
                  <w:tcW w:w="495" w:type="dxa"/>
                  <w:vAlign w:val="center"/>
                </w:tcPr>
                <w:p w14:paraId="623B85C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5</w:t>
                  </w:r>
                </w:p>
              </w:tc>
              <w:tc>
                <w:tcPr>
                  <w:tcW w:w="480" w:type="dxa"/>
                  <w:vAlign w:val="center"/>
                </w:tcPr>
                <w:p w14:paraId="4A65176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1</w:t>
                  </w:r>
                </w:p>
              </w:tc>
              <w:tc>
                <w:tcPr>
                  <w:tcW w:w="562" w:type="dxa"/>
                  <w:vAlign w:val="center"/>
                </w:tcPr>
                <w:p w14:paraId="03E7FFD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3</w:t>
                  </w:r>
                </w:p>
              </w:tc>
            </w:tr>
            <w:tr w14:paraId="5F688E8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9" w:hRule="atLeast"/>
                <w:jc w:val="center"/>
              </w:trPr>
              <w:tc>
                <w:tcPr>
                  <w:tcW w:w="855" w:type="dxa"/>
                  <w:vMerge w:val="continue"/>
                  <w:vAlign w:val="center"/>
                </w:tcPr>
                <w:p w14:paraId="68C10DC9">
                  <w:pPr>
                    <w:autoSpaceDE w:val="0"/>
                    <w:autoSpaceDN w:val="0"/>
                    <w:adjustRightInd w:val="0"/>
                    <w:spacing w:line="240" w:lineRule="auto"/>
                    <w:jc w:val="center"/>
                    <w:rPr>
                      <w:rFonts w:hint="eastAsia"/>
                      <w:b w:val="0"/>
                      <w:bCs w:val="0"/>
                      <w:color w:val="000000" w:themeColor="text1"/>
                      <w:sz w:val="21"/>
                      <w:szCs w:val="21"/>
                      <w:highlight w:val="none"/>
                      <w:vertAlign w:val="baseline"/>
                      <w:lang w:val="en-US" w:eastAsia="zh-CN"/>
                      <w14:textFill>
                        <w14:solidFill>
                          <w14:schemeClr w14:val="tx1"/>
                        </w14:solidFill>
                      </w14:textFill>
                    </w:rPr>
                  </w:pPr>
                </w:p>
              </w:tc>
              <w:tc>
                <w:tcPr>
                  <w:tcW w:w="997" w:type="dxa"/>
                  <w:vAlign w:val="center"/>
                </w:tcPr>
                <w:p w14:paraId="1EE57187">
                  <w:pPr>
                    <w:jc w:val="center"/>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产生量</w:t>
                  </w:r>
                </w:p>
              </w:tc>
              <w:tc>
                <w:tcPr>
                  <w:tcW w:w="740" w:type="dxa"/>
                  <w:vMerge w:val="continue"/>
                  <w:vAlign w:val="center"/>
                </w:tcPr>
                <w:p w14:paraId="045142D9">
                  <w:pPr>
                    <w:autoSpaceDE w:val="0"/>
                    <w:autoSpaceDN w:val="0"/>
                    <w:adjustRightInd w:val="0"/>
                    <w:spacing w:line="240" w:lineRule="auto"/>
                    <w:jc w:val="center"/>
                    <w:rPr>
                      <w:rFonts w:hint="eastAsia"/>
                      <w:b w:val="0"/>
                      <w:bCs w:val="0"/>
                      <w:color w:val="000000" w:themeColor="text1"/>
                      <w:sz w:val="21"/>
                      <w:szCs w:val="21"/>
                      <w:highlight w:val="none"/>
                      <w:vertAlign w:val="baseline"/>
                      <w:lang w:val="en-US" w:eastAsia="zh-CN"/>
                      <w14:textFill>
                        <w14:solidFill>
                          <w14:schemeClr w14:val="tx1"/>
                        </w14:solidFill>
                      </w14:textFill>
                    </w:rPr>
                  </w:pPr>
                </w:p>
              </w:tc>
              <w:tc>
                <w:tcPr>
                  <w:tcW w:w="676" w:type="dxa"/>
                  <w:vAlign w:val="center"/>
                </w:tcPr>
                <w:p w14:paraId="1FAC3F01">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0.378</w:t>
                  </w:r>
                </w:p>
              </w:tc>
              <w:tc>
                <w:tcPr>
                  <w:tcW w:w="752" w:type="dxa"/>
                  <w:vAlign w:val="center"/>
                </w:tcPr>
                <w:p w14:paraId="6F0DAA26">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0.137</w:t>
                  </w:r>
                </w:p>
              </w:tc>
              <w:tc>
                <w:tcPr>
                  <w:tcW w:w="675" w:type="dxa"/>
                  <w:vAlign w:val="center"/>
                </w:tcPr>
                <w:p w14:paraId="64D21D68">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0.005</w:t>
                  </w:r>
                </w:p>
              </w:tc>
              <w:tc>
                <w:tcPr>
                  <w:tcW w:w="570" w:type="dxa"/>
                  <w:vAlign w:val="center"/>
                </w:tcPr>
                <w:p w14:paraId="2BDF168E">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0.022</w:t>
                  </w:r>
                </w:p>
              </w:tc>
              <w:tc>
                <w:tcPr>
                  <w:tcW w:w="615" w:type="dxa"/>
                  <w:vAlign w:val="center"/>
                </w:tcPr>
                <w:p w14:paraId="11343650">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0.0005</w:t>
                  </w:r>
                </w:p>
              </w:tc>
              <w:tc>
                <w:tcPr>
                  <w:tcW w:w="615" w:type="dxa"/>
                  <w:vAlign w:val="center"/>
                </w:tcPr>
                <w:p w14:paraId="039EA7DB">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c>
                <w:tcPr>
                  <w:tcW w:w="495" w:type="dxa"/>
                  <w:vAlign w:val="center"/>
                </w:tcPr>
                <w:p w14:paraId="427A2A6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0.0002</w:t>
                  </w:r>
                </w:p>
              </w:tc>
              <w:tc>
                <w:tcPr>
                  <w:tcW w:w="480" w:type="dxa"/>
                  <w:vAlign w:val="center"/>
                </w:tcPr>
                <w:p w14:paraId="1784840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0.00004</w:t>
                  </w:r>
                </w:p>
              </w:tc>
              <w:tc>
                <w:tcPr>
                  <w:tcW w:w="562" w:type="dxa"/>
                  <w:vAlign w:val="center"/>
                </w:tcPr>
                <w:p w14:paraId="09799C2C">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0.00012</w:t>
                  </w:r>
                </w:p>
              </w:tc>
            </w:tr>
            <w:tr w14:paraId="76B6FF9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9" w:hRule="atLeast"/>
                <w:jc w:val="center"/>
              </w:trPr>
              <w:tc>
                <w:tcPr>
                  <w:tcW w:w="855" w:type="dxa"/>
                  <w:vMerge w:val="restart"/>
                  <w:vAlign w:val="center"/>
                </w:tcPr>
                <w:p w14:paraId="35447E1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负极清洗废水</w:t>
                  </w:r>
                </w:p>
              </w:tc>
              <w:tc>
                <w:tcPr>
                  <w:tcW w:w="997" w:type="dxa"/>
                  <w:vAlign w:val="center"/>
                </w:tcPr>
                <w:p w14:paraId="1F282A49">
                  <w:pPr>
                    <w:jc w:val="center"/>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浓度</w:t>
                  </w:r>
                </w:p>
              </w:tc>
              <w:tc>
                <w:tcPr>
                  <w:tcW w:w="740" w:type="dxa"/>
                  <w:vMerge w:val="restart"/>
                  <w:vAlign w:val="center"/>
                </w:tcPr>
                <w:p w14:paraId="16849626">
                  <w:pPr>
                    <w:autoSpaceDE w:val="0"/>
                    <w:autoSpaceDN w:val="0"/>
                    <w:adjustRightInd w:val="0"/>
                    <w:spacing w:line="240" w:lineRule="auto"/>
                    <w:jc w:val="center"/>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38.4</w:t>
                  </w:r>
                </w:p>
              </w:tc>
              <w:tc>
                <w:tcPr>
                  <w:tcW w:w="676" w:type="dxa"/>
                  <w:vAlign w:val="center"/>
                </w:tcPr>
                <w:p w14:paraId="55E6D911">
                  <w:pPr>
                    <w:autoSpaceDE w:val="0"/>
                    <w:autoSpaceDN w:val="0"/>
                    <w:adjustRightInd w:val="0"/>
                    <w:spacing w:line="240" w:lineRule="auto"/>
                    <w:jc w:val="center"/>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758</w:t>
                  </w:r>
                </w:p>
              </w:tc>
              <w:tc>
                <w:tcPr>
                  <w:tcW w:w="752" w:type="dxa"/>
                  <w:vAlign w:val="center"/>
                </w:tcPr>
                <w:p w14:paraId="6D02FF31">
                  <w:pPr>
                    <w:autoSpaceDE w:val="0"/>
                    <w:autoSpaceDN w:val="0"/>
                    <w:adjustRightInd w:val="0"/>
                    <w:spacing w:line="240" w:lineRule="auto"/>
                    <w:jc w:val="center"/>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368</w:t>
                  </w:r>
                </w:p>
              </w:tc>
              <w:tc>
                <w:tcPr>
                  <w:tcW w:w="675" w:type="dxa"/>
                  <w:vAlign w:val="center"/>
                </w:tcPr>
                <w:p w14:paraId="75815918">
                  <w:pPr>
                    <w:autoSpaceDE w:val="0"/>
                    <w:autoSpaceDN w:val="0"/>
                    <w:adjustRightInd w:val="0"/>
                    <w:spacing w:line="240" w:lineRule="auto"/>
                    <w:jc w:val="center"/>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0.17</w:t>
                  </w:r>
                </w:p>
              </w:tc>
              <w:tc>
                <w:tcPr>
                  <w:tcW w:w="570" w:type="dxa"/>
                  <w:vAlign w:val="center"/>
                </w:tcPr>
                <w:p w14:paraId="53FE2914">
                  <w:pPr>
                    <w:autoSpaceDE w:val="0"/>
                    <w:autoSpaceDN w:val="0"/>
                    <w:adjustRightInd w:val="0"/>
                    <w:spacing w:line="240" w:lineRule="auto"/>
                    <w:jc w:val="center"/>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39</w:t>
                  </w:r>
                </w:p>
              </w:tc>
              <w:tc>
                <w:tcPr>
                  <w:tcW w:w="615" w:type="dxa"/>
                  <w:vAlign w:val="center"/>
                </w:tcPr>
                <w:p w14:paraId="6A661A08">
                  <w:pPr>
                    <w:autoSpaceDE w:val="0"/>
                    <w:autoSpaceDN w:val="0"/>
                    <w:adjustRightInd w:val="0"/>
                    <w:spacing w:line="240" w:lineRule="auto"/>
                    <w:jc w:val="center"/>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1.35</w:t>
                  </w:r>
                </w:p>
              </w:tc>
              <w:tc>
                <w:tcPr>
                  <w:tcW w:w="615" w:type="dxa"/>
                  <w:vAlign w:val="center"/>
                </w:tcPr>
                <w:p w14:paraId="184E92CE">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c>
                <w:tcPr>
                  <w:tcW w:w="495" w:type="dxa"/>
                  <w:vAlign w:val="center"/>
                </w:tcPr>
                <w:p w14:paraId="5AA8EB2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c>
                <w:tcPr>
                  <w:tcW w:w="480" w:type="dxa"/>
                  <w:vAlign w:val="center"/>
                </w:tcPr>
                <w:p w14:paraId="54E8B2E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c>
                <w:tcPr>
                  <w:tcW w:w="562" w:type="dxa"/>
                  <w:vAlign w:val="center"/>
                </w:tcPr>
                <w:p w14:paraId="5EF15030">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r>
            <w:tr w14:paraId="748E999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9" w:hRule="atLeast"/>
                <w:jc w:val="center"/>
              </w:trPr>
              <w:tc>
                <w:tcPr>
                  <w:tcW w:w="855" w:type="dxa"/>
                  <w:vMerge w:val="continue"/>
                  <w:vAlign w:val="center"/>
                </w:tcPr>
                <w:p w14:paraId="514D5E9D">
                  <w:pPr>
                    <w:autoSpaceDE w:val="0"/>
                    <w:autoSpaceDN w:val="0"/>
                    <w:adjustRightInd w:val="0"/>
                    <w:spacing w:line="240" w:lineRule="auto"/>
                    <w:jc w:val="center"/>
                    <w:rPr>
                      <w:rFonts w:hint="eastAsia"/>
                      <w:b w:val="0"/>
                      <w:bCs w:val="0"/>
                      <w:color w:val="000000" w:themeColor="text1"/>
                      <w:sz w:val="21"/>
                      <w:szCs w:val="21"/>
                      <w:highlight w:val="none"/>
                      <w:vertAlign w:val="baseline"/>
                      <w:lang w:val="en-US" w:eastAsia="zh-CN"/>
                      <w14:textFill>
                        <w14:solidFill>
                          <w14:schemeClr w14:val="tx1"/>
                        </w14:solidFill>
                      </w14:textFill>
                    </w:rPr>
                  </w:pPr>
                </w:p>
              </w:tc>
              <w:tc>
                <w:tcPr>
                  <w:tcW w:w="997" w:type="dxa"/>
                  <w:vAlign w:val="center"/>
                </w:tcPr>
                <w:p w14:paraId="51A40659">
                  <w:pPr>
                    <w:jc w:val="center"/>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产生量</w:t>
                  </w:r>
                </w:p>
              </w:tc>
              <w:tc>
                <w:tcPr>
                  <w:tcW w:w="740" w:type="dxa"/>
                  <w:vMerge w:val="continue"/>
                  <w:vAlign w:val="center"/>
                </w:tcPr>
                <w:p w14:paraId="310AC83B">
                  <w:pPr>
                    <w:autoSpaceDE w:val="0"/>
                    <w:autoSpaceDN w:val="0"/>
                    <w:adjustRightInd w:val="0"/>
                    <w:spacing w:line="240" w:lineRule="auto"/>
                    <w:jc w:val="center"/>
                    <w:rPr>
                      <w:rFonts w:hint="eastAsia"/>
                      <w:b w:val="0"/>
                      <w:bCs w:val="0"/>
                      <w:color w:val="000000" w:themeColor="text1"/>
                      <w:sz w:val="21"/>
                      <w:szCs w:val="21"/>
                      <w:highlight w:val="none"/>
                      <w:vertAlign w:val="baseline"/>
                      <w:lang w:val="en-US" w:eastAsia="zh-CN"/>
                      <w14:textFill>
                        <w14:solidFill>
                          <w14:schemeClr w14:val="tx1"/>
                        </w14:solidFill>
                      </w14:textFill>
                    </w:rPr>
                  </w:pPr>
                </w:p>
              </w:tc>
              <w:tc>
                <w:tcPr>
                  <w:tcW w:w="676" w:type="dxa"/>
                  <w:vAlign w:val="center"/>
                </w:tcPr>
                <w:p w14:paraId="5775FBCF">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0.03</w:t>
                  </w:r>
                </w:p>
              </w:tc>
              <w:tc>
                <w:tcPr>
                  <w:tcW w:w="752" w:type="dxa"/>
                  <w:vAlign w:val="center"/>
                </w:tcPr>
                <w:p w14:paraId="71FD239C">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0.014</w:t>
                  </w:r>
                </w:p>
              </w:tc>
              <w:tc>
                <w:tcPr>
                  <w:tcW w:w="675" w:type="dxa"/>
                  <w:vAlign w:val="center"/>
                </w:tcPr>
                <w:p w14:paraId="1EEC35B5">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0.000007</w:t>
                  </w:r>
                </w:p>
              </w:tc>
              <w:tc>
                <w:tcPr>
                  <w:tcW w:w="570" w:type="dxa"/>
                  <w:vAlign w:val="center"/>
                </w:tcPr>
                <w:p w14:paraId="503D71BE">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0.0015</w:t>
                  </w:r>
                </w:p>
              </w:tc>
              <w:tc>
                <w:tcPr>
                  <w:tcW w:w="615" w:type="dxa"/>
                  <w:vAlign w:val="center"/>
                </w:tcPr>
                <w:p w14:paraId="2FB3EF81">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0.00005</w:t>
                  </w:r>
                </w:p>
              </w:tc>
              <w:tc>
                <w:tcPr>
                  <w:tcW w:w="615" w:type="dxa"/>
                  <w:vAlign w:val="center"/>
                </w:tcPr>
                <w:p w14:paraId="596D5BD3">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c>
                <w:tcPr>
                  <w:tcW w:w="495" w:type="dxa"/>
                  <w:vAlign w:val="center"/>
                </w:tcPr>
                <w:p w14:paraId="583DA1F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c>
                <w:tcPr>
                  <w:tcW w:w="480" w:type="dxa"/>
                  <w:vAlign w:val="center"/>
                </w:tcPr>
                <w:p w14:paraId="212287B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c>
                <w:tcPr>
                  <w:tcW w:w="562" w:type="dxa"/>
                  <w:vAlign w:val="center"/>
                </w:tcPr>
                <w:p w14:paraId="373405B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r>
            <w:tr w14:paraId="6E7A8E0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2592" w:type="dxa"/>
                  <w:gridSpan w:val="3"/>
                  <w:vAlign w:val="center"/>
                </w:tcPr>
                <w:p w14:paraId="51951728">
                  <w:pPr>
                    <w:autoSpaceDE w:val="0"/>
                    <w:autoSpaceDN w:val="0"/>
                    <w:adjustRightInd w:val="0"/>
                    <w:spacing w:line="240" w:lineRule="auto"/>
                    <w:jc w:val="center"/>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污水处理站去除效率</w:t>
                  </w:r>
                </w:p>
              </w:tc>
              <w:tc>
                <w:tcPr>
                  <w:tcW w:w="676" w:type="dxa"/>
                  <w:vAlign w:val="center"/>
                </w:tcPr>
                <w:p w14:paraId="463205AE">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97.45%</w:t>
                  </w:r>
                </w:p>
              </w:tc>
              <w:tc>
                <w:tcPr>
                  <w:tcW w:w="752" w:type="dxa"/>
                  <w:vAlign w:val="center"/>
                </w:tcPr>
                <w:p w14:paraId="1F5E9FFB">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96.76%</w:t>
                  </w:r>
                </w:p>
              </w:tc>
              <w:tc>
                <w:tcPr>
                  <w:tcW w:w="675" w:type="dxa"/>
                  <w:vAlign w:val="center"/>
                </w:tcPr>
                <w:p w14:paraId="18B63F78">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89.55%</w:t>
                  </w:r>
                </w:p>
              </w:tc>
              <w:tc>
                <w:tcPr>
                  <w:tcW w:w="570" w:type="dxa"/>
                  <w:vAlign w:val="center"/>
                </w:tcPr>
                <w:p w14:paraId="65BC2BAF">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98.88%</w:t>
                  </w:r>
                </w:p>
              </w:tc>
              <w:tc>
                <w:tcPr>
                  <w:tcW w:w="615" w:type="dxa"/>
                  <w:vAlign w:val="center"/>
                </w:tcPr>
                <w:p w14:paraId="125A576F">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64.36%</w:t>
                  </w:r>
                </w:p>
              </w:tc>
              <w:tc>
                <w:tcPr>
                  <w:tcW w:w="615" w:type="dxa"/>
                  <w:vAlign w:val="center"/>
                </w:tcPr>
                <w:p w14:paraId="31411C3C">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c>
                <w:tcPr>
                  <w:tcW w:w="495" w:type="dxa"/>
                  <w:vAlign w:val="center"/>
                </w:tcPr>
                <w:p w14:paraId="0852EA0C">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95.8%</w:t>
                  </w:r>
                </w:p>
              </w:tc>
              <w:tc>
                <w:tcPr>
                  <w:tcW w:w="480" w:type="dxa"/>
                  <w:vAlign w:val="center"/>
                </w:tcPr>
                <w:p w14:paraId="30B1421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96%</w:t>
                  </w:r>
                </w:p>
              </w:tc>
              <w:tc>
                <w:tcPr>
                  <w:tcW w:w="562" w:type="dxa"/>
                  <w:vAlign w:val="center"/>
                </w:tcPr>
                <w:p w14:paraId="22794EF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95.67%</w:t>
                  </w:r>
                </w:p>
              </w:tc>
            </w:tr>
            <w:tr w14:paraId="424311D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855" w:type="dxa"/>
                  <w:vMerge w:val="restart"/>
                  <w:vAlign w:val="center"/>
                </w:tcPr>
                <w:p w14:paraId="57763C62">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污水处理站处理后的设备清洗废水</w:t>
                  </w:r>
                </w:p>
              </w:tc>
              <w:tc>
                <w:tcPr>
                  <w:tcW w:w="997" w:type="dxa"/>
                  <w:vAlign w:val="center"/>
                </w:tcPr>
                <w:p w14:paraId="33D8F975">
                  <w:pPr>
                    <w:jc w:val="center"/>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浓度</w:t>
                  </w:r>
                </w:p>
              </w:tc>
              <w:tc>
                <w:tcPr>
                  <w:tcW w:w="740" w:type="dxa"/>
                  <w:vMerge w:val="restart"/>
                  <w:vAlign w:val="center"/>
                </w:tcPr>
                <w:p w14:paraId="03223AA6">
                  <w:pPr>
                    <w:autoSpaceDE w:val="0"/>
                    <w:autoSpaceDN w:val="0"/>
                    <w:adjustRightInd w:val="0"/>
                    <w:spacing w:line="240" w:lineRule="auto"/>
                    <w:jc w:val="center"/>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76.8</w:t>
                  </w:r>
                </w:p>
              </w:tc>
              <w:tc>
                <w:tcPr>
                  <w:tcW w:w="676" w:type="dxa"/>
                  <w:vAlign w:val="center"/>
                </w:tcPr>
                <w:p w14:paraId="5FCA4B72">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i w:val="0"/>
                      <w:caps w:val="0"/>
                      <w:color w:val="000000" w:themeColor="text1"/>
                      <w:spacing w:val="0"/>
                      <w:sz w:val="21"/>
                      <w:szCs w:val="21"/>
                      <w:highlight w:val="none"/>
                      <w:shd w:val="clear" w:color="auto" w:fill="FFFFFF"/>
                      <w:vertAlign w:val="baseline"/>
                      <w:lang w:val="en-US" w:eastAsia="zh-CN"/>
                      <w14:textFill>
                        <w14:solidFill>
                          <w14:schemeClr w14:val="tx1"/>
                        </w14:solidFill>
                      </w14:textFill>
                    </w:rPr>
                    <w:t>131.1</w:t>
                  </w:r>
                </w:p>
              </w:tc>
              <w:tc>
                <w:tcPr>
                  <w:tcW w:w="752" w:type="dxa"/>
                  <w:vAlign w:val="center"/>
                </w:tcPr>
                <w:p w14:paraId="102AFF4D">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61.4</w:t>
                  </w:r>
                </w:p>
              </w:tc>
              <w:tc>
                <w:tcPr>
                  <w:tcW w:w="675" w:type="dxa"/>
                  <w:vAlign w:val="center"/>
                </w:tcPr>
                <w:p w14:paraId="2D0D0532">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6.21</w:t>
                  </w:r>
                </w:p>
              </w:tc>
              <w:tc>
                <w:tcPr>
                  <w:tcW w:w="570" w:type="dxa"/>
                  <w:vAlign w:val="center"/>
                </w:tcPr>
                <w:p w14:paraId="7FCC32D6">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i w:val="0"/>
                      <w:caps w:val="0"/>
                      <w:color w:val="000000" w:themeColor="text1"/>
                      <w:spacing w:val="0"/>
                      <w:sz w:val="21"/>
                      <w:szCs w:val="21"/>
                      <w:highlight w:val="none"/>
                      <w:shd w:val="clear" w:color="auto" w:fill="FFFFFF"/>
                      <w:vertAlign w:val="baseline"/>
                      <w:lang w:val="en-US" w:eastAsia="zh-CN"/>
                      <w14:textFill>
                        <w14:solidFill>
                          <w14:schemeClr w14:val="tx1"/>
                        </w14:solidFill>
                      </w14:textFill>
                    </w:rPr>
                    <w:t>3.14</w:t>
                  </w:r>
                </w:p>
              </w:tc>
              <w:tc>
                <w:tcPr>
                  <w:tcW w:w="615" w:type="dxa"/>
                  <w:vAlign w:val="center"/>
                </w:tcPr>
                <w:p w14:paraId="26B6849C">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1.44</w:t>
                  </w:r>
                </w:p>
              </w:tc>
              <w:tc>
                <w:tcPr>
                  <w:tcW w:w="615" w:type="dxa"/>
                  <w:vAlign w:val="center"/>
                </w:tcPr>
                <w:p w14:paraId="4E70F956">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c>
                <w:tcPr>
                  <w:tcW w:w="495" w:type="dxa"/>
                  <w:vAlign w:val="center"/>
                </w:tcPr>
                <w:p w14:paraId="2993D191">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i w:val="0"/>
                      <w:caps w:val="0"/>
                      <w:color w:val="000000" w:themeColor="text1"/>
                      <w:spacing w:val="0"/>
                      <w:sz w:val="21"/>
                      <w:szCs w:val="21"/>
                      <w:highlight w:val="none"/>
                      <w:shd w:val="clear" w:color="auto" w:fill="FFFFFF"/>
                      <w:vertAlign w:val="baseline"/>
                      <w:lang w:val="en-US" w:eastAsia="zh-CN"/>
                      <w14:textFill>
                        <w14:solidFill>
                          <w14:schemeClr w14:val="tx1"/>
                        </w14:solidFill>
                      </w14:textFill>
                    </w:rPr>
                    <w:t>0.21</w:t>
                  </w:r>
                </w:p>
              </w:tc>
              <w:tc>
                <w:tcPr>
                  <w:tcW w:w="480" w:type="dxa"/>
                  <w:vAlign w:val="center"/>
                </w:tcPr>
                <w:p w14:paraId="41F72F4F">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i w:val="0"/>
                      <w:caps w:val="0"/>
                      <w:color w:val="000000" w:themeColor="text1"/>
                      <w:spacing w:val="0"/>
                      <w:sz w:val="21"/>
                      <w:szCs w:val="21"/>
                      <w:highlight w:val="none"/>
                      <w:shd w:val="clear" w:color="auto" w:fill="FFFFFF"/>
                      <w:vertAlign w:val="baseline"/>
                      <w:lang w:val="en-US" w:eastAsia="zh-CN"/>
                      <w14:textFill>
                        <w14:solidFill>
                          <w14:schemeClr w14:val="tx1"/>
                        </w14:solidFill>
                      </w14:textFill>
                    </w:rPr>
                    <w:t>0.04</w:t>
                  </w:r>
                </w:p>
              </w:tc>
              <w:tc>
                <w:tcPr>
                  <w:tcW w:w="562" w:type="dxa"/>
                  <w:vAlign w:val="center"/>
                </w:tcPr>
                <w:p w14:paraId="66BE79BF">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i w:val="0"/>
                      <w:caps w:val="0"/>
                      <w:color w:val="000000" w:themeColor="text1"/>
                      <w:spacing w:val="0"/>
                      <w:sz w:val="21"/>
                      <w:szCs w:val="21"/>
                      <w:highlight w:val="none"/>
                      <w:shd w:val="clear" w:color="auto" w:fill="FFFFFF"/>
                      <w:vertAlign w:val="baseline"/>
                      <w:lang w:val="en-US" w:eastAsia="zh-CN"/>
                      <w14:textFill>
                        <w14:solidFill>
                          <w14:schemeClr w14:val="tx1"/>
                        </w14:solidFill>
                      </w14:textFill>
                    </w:rPr>
                    <w:t>0.13</w:t>
                  </w:r>
                </w:p>
              </w:tc>
            </w:tr>
            <w:tr w14:paraId="59E5ECC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55" w:type="dxa"/>
                  <w:vMerge w:val="continue"/>
                  <w:vAlign w:val="center"/>
                </w:tcPr>
                <w:p w14:paraId="64A3A751">
                  <w:pPr>
                    <w:autoSpaceDE w:val="0"/>
                    <w:autoSpaceDN w:val="0"/>
                    <w:adjustRightInd w:val="0"/>
                    <w:spacing w:line="240" w:lineRule="auto"/>
                    <w:jc w:val="center"/>
                    <w:rPr>
                      <w:rFonts w:hint="eastAsia"/>
                      <w:b w:val="0"/>
                      <w:bCs w:val="0"/>
                      <w:color w:val="000000" w:themeColor="text1"/>
                      <w:sz w:val="21"/>
                      <w:szCs w:val="21"/>
                      <w:highlight w:val="none"/>
                      <w:vertAlign w:val="baseline"/>
                      <w:lang w:val="en-US" w:eastAsia="zh-CN"/>
                      <w14:textFill>
                        <w14:solidFill>
                          <w14:schemeClr w14:val="tx1"/>
                        </w14:solidFill>
                      </w14:textFill>
                    </w:rPr>
                  </w:pPr>
                </w:p>
              </w:tc>
              <w:tc>
                <w:tcPr>
                  <w:tcW w:w="997" w:type="dxa"/>
                  <w:vAlign w:val="center"/>
                </w:tcPr>
                <w:p w14:paraId="0D974973">
                  <w:pPr>
                    <w:jc w:val="center"/>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产生量</w:t>
                  </w:r>
                </w:p>
              </w:tc>
              <w:tc>
                <w:tcPr>
                  <w:tcW w:w="740" w:type="dxa"/>
                  <w:vMerge w:val="continue"/>
                  <w:vAlign w:val="center"/>
                </w:tcPr>
                <w:p w14:paraId="5E89E48E">
                  <w:pPr>
                    <w:autoSpaceDE w:val="0"/>
                    <w:autoSpaceDN w:val="0"/>
                    <w:adjustRightInd w:val="0"/>
                    <w:spacing w:line="240" w:lineRule="auto"/>
                    <w:jc w:val="center"/>
                    <w:rPr>
                      <w:rFonts w:hint="eastAsia"/>
                      <w:b w:val="0"/>
                      <w:bCs w:val="0"/>
                      <w:color w:val="000000" w:themeColor="text1"/>
                      <w:sz w:val="21"/>
                      <w:szCs w:val="21"/>
                      <w:highlight w:val="none"/>
                      <w:vertAlign w:val="baseline"/>
                      <w:lang w:val="en-US" w:eastAsia="zh-CN"/>
                      <w14:textFill>
                        <w14:solidFill>
                          <w14:schemeClr w14:val="tx1"/>
                        </w14:solidFill>
                      </w14:textFill>
                    </w:rPr>
                  </w:pPr>
                </w:p>
              </w:tc>
              <w:tc>
                <w:tcPr>
                  <w:tcW w:w="676" w:type="dxa"/>
                  <w:vAlign w:val="center"/>
                </w:tcPr>
                <w:p w14:paraId="5CC90894">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0.01</w:t>
                  </w:r>
                </w:p>
              </w:tc>
              <w:tc>
                <w:tcPr>
                  <w:tcW w:w="752" w:type="dxa"/>
                  <w:vAlign w:val="center"/>
                </w:tcPr>
                <w:p w14:paraId="3E0A547E">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0.005</w:t>
                  </w:r>
                </w:p>
              </w:tc>
              <w:tc>
                <w:tcPr>
                  <w:tcW w:w="675" w:type="dxa"/>
                  <w:vAlign w:val="center"/>
                </w:tcPr>
                <w:p w14:paraId="39DC91A5">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0.0005</w:t>
                  </w:r>
                </w:p>
              </w:tc>
              <w:tc>
                <w:tcPr>
                  <w:tcW w:w="570" w:type="dxa"/>
                  <w:vAlign w:val="center"/>
                </w:tcPr>
                <w:p w14:paraId="7C34C980">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0.0002</w:t>
                  </w:r>
                </w:p>
              </w:tc>
              <w:tc>
                <w:tcPr>
                  <w:tcW w:w="615" w:type="dxa"/>
                  <w:vAlign w:val="center"/>
                </w:tcPr>
                <w:p w14:paraId="42373AC4">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0.00011</w:t>
                  </w:r>
                </w:p>
              </w:tc>
              <w:tc>
                <w:tcPr>
                  <w:tcW w:w="615" w:type="dxa"/>
                  <w:vAlign w:val="center"/>
                </w:tcPr>
                <w:p w14:paraId="4E8D61BC">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c>
                <w:tcPr>
                  <w:tcW w:w="495" w:type="dxa"/>
                  <w:vAlign w:val="center"/>
                </w:tcPr>
                <w:p w14:paraId="279C05B5">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0.00002</w:t>
                  </w:r>
                </w:p>
              </w:tc>
              <w:tc>
                <w:tcPr>
                  <w:tcW w:w="480" w:type="dxa"/>
                  <w:vAlign w:val="center"/>
                </w:tcPr>
                <w:p w14:paraId="68EE03AF">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0.000003</w:t>
                  </w:r>
                </w:p>
              </w:tc>
              <w:tc>
                <w:tcPr>
                  <w:tcW w:w="562" w:type="dxa"/>
                  <w:vAlign w:val="center"/>
                </w:tcPr>
                <w:p w14:paraId="23CC40B6">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0.00001</w:t>
                  </w:r>
                </w:p>
              </w:tc>
            </w:tr>
            <w:tr w14:paraId="4FEDE0B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855" w:type="dxa"/>
                  <w:vMerge w:val="restart"/>
                  <w:vAlign w:val="center"/>
                </w:tcPr>
                <w:p w14:paraId="6A57669C">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生活污水</w:t>
                  </w:r>
                </w:p>
              </w:tc>
              <w:tc>
                <w:tcPr>
                  <w:tcW w:w="997" w:type="dxa"/>
                  <w:vAlign w:val="center"/>
                </w:tcPr>
                <w:p w14:paraId="60B01C90">
                  <w:pPr>
                    <w:jc w:val="center"/>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浓度</w:t>
                  </w:r>
                </w:p>
              </w:tc>
              <w:tc>
                <w:tcPr>
                  <w:tcW w:w="740" w:type="dxa"/>
                  <w:vMerge w:val="restart"/>
                  <w:vAlign w:val="center"/>
                </w:tcPr>
                <w:p w14:paraId="0C0C4B1A">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2304</w:t>
                  </w:r>
                </w:p>
              </w:tc>
              <w:tc>
                <w:tcPr>
                  <w:tcW w:w="676" w:type="dxa"/>
                  <w:vAlign w:val="center"/>
                </w:tcPr>
                <w:p w14:paraId="09DEFA77">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325</w:t>
                  </w:r>
                </w:p>
              </w:tc>
              <w:tc>
                <w:tcPr>
                  <w:tcW w:w="752" w:type="dxa"/>
                  <w:vAlign w:val="center"/>
                </w:tcPr>
                <w:p w14:paraId="55304CD0">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230</w:t>
                  </w:r>
                </w:p>
              </w:tc>
              <w:tc>
                <w:tcPr>
                  <w:tcW w:w="675" w:type="dxa"/>
                  <w:vAlign w:val="center"/>
                </w:tcPr>
                <w:p w14:paraId="7B047F33">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37.7</w:t>
                  </w:r>
                </w:p>
              </w:tc>
              <w:tc>
                <w:tcPr>
                  <w:tcW w:w="570" w:type="dxa"/>
                  <w:vAlign w:val="center"/>
                </w:tcPr>
                <w:p w14:paraId="7B2D28D3">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250</w:t>
                  </w:r>
                </w:p>
              </w:tc>
              <w:tc>
                <w:tcPr>
                  <w:tcW w:w="615" w:type="dxa"/>
                  <w:vAlign w:val="center"/>
                </w:tcPr>
                <w:p w14:paraId="706A8AB4">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4.28</w:t>
                  </w:r>
                </w:p>
              </w:tc>
              <w:tc>
                <w:tcPr>
                  <w:tcW w:w="615" w:type="dxa"/>
                  <w:vAlign w:val="center"/>
                </w:tcPr>
                <w:p w14:paraId="05CC1A46">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49.8</w:t>
                  </w:r>
                </w:p>
              </w:tc>
              <w:tc>
                <w:tcPr>
                  <w:tcW w:w="495" w:type="dxa"/>
                  <w:vAlign w:val="center"/>
                </w:tcPr>
                <w:p w14:paraId="61F622C7">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c>
                <w:tcPr>
                  <w:tcW w:w="480" w:type="dxa"/>
                  <w:vAlign w:val="center"/>
                </w:tcPr>
                <w:p w14:paraId="749E21B5">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c>
                <w:tcPr>
                  <w:tcW w:w="562" w:type="dxa"/>
                  <w:vAlign w:val="center"/>
                </w:tcPr>
                <w:p w14:paraId="796AD96E">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r>
            <w:tr w14:paraId="1C277FD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855" w:type="dxa"/>
                  <w:vMerge w:val="continue"/>
                  <w:vAlign w:val="center"/>
                </w:tcPr>
                <w:p w14:paraId="2A0AC6D7">
                  <w:pPr>
                    <w:autoSpaceDE w:val="0"/>
                    <w:autoSpaceDN w:val="0"/>
                    <w:adjustRightInd w:val="0"/>
                    <w:spacing w:line="240" w:lineRule="auto"/>
                    <w:jc w:val="center"/>
                    <w:rPr>
                      <w:rFonts w:hint="eastAsia"/>
                      <w:b w:val="0"/>
                      <w:bCs w:val="0"/>
                      <w:color w:val="000000" w:themeColor="text1"/>
                      <w:sz w:val="21"/>
                      <w:szCs w:val="21"/>
                      <w:highlight w:val="none"/>
                      <w:vertAlign w:val="baseline"/>
                      <w:lang w:val="en-US" w:eastAsia="zh-CN"/>
                      <w14:textFill>
                        <w14:solidFill>
                          <w14:schemeClr w14:val="tx1"/>
                        </w14:solidFill>
                      </w14:textFill>
                    </w:rPr>
                  </w:pPr>
                </w:p>
              </w:tc>
              <w:tc>
                <w:tcPr>
                  <w:tcW w:w="997" w:type="dxa"/>
                  <w:vAlign w:val="center"/>
                </w:tcPr>
                <w:p w14:paraId="74FBDD18">
                  <w:pPr>
                    <w:jc w:val="center"/>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产生量</w:t>
                  </w:r>
                </w:p>
              </w:tc>
              <w:tc>
                <w:tcPr>
                  <w:tcW w:w="740" w:type="dxa"/>
                  <w:vMerge w:val="continue"/>
                  <w:vAlign w:val="center"/>
                </w:tcPr>
                <w:p w14:paraId="50BE976F">
                  <w:pPr>
                    <w:autoSpaceDE w:val="0"/>
                    <w:autoSpaceDN w:val="0"/>
                    <w:adjustRightInd w:val="0"/>
                    <w:spacing w:line="240" w:lineRule="auto"/>
                    <w:jc w:val="center"/>
                    <w:rPr>
                      <w:rFonts w:hint="eastAsia"/>
                      <w:b w:val="0"/>
                      <w:bCs w:val="0"/>
                      <w:color w:val="000000" w:themeColor="text1"/>
                      <w:sz w:val="21"/>
                      <w:szCs w:val="21"/>
                      <w:highlight w:val="none"/>
                      <w:vertAlign w:val="baseline"/>
                      <w:lang w:val="en-US" w:eastAsia="zh-CN"/>
                      <w14:textFill>
                        <w14:solidFill>
                          <w14:schemeClr w14:val="tx1"/>
                        </w14:solidFill>
                      </w14:textFill>
                    </w:rPr>
                  </w:pPr>
                </w:p>
              </w:tc>
              <w:tc>
                <w:tcPr>
                  <w:tcW w:w="676" w:type="dxa"/>
                  <w:vAlign w:val="center"/>
                </w:tcPr>
                <w:p w14:paraId="5171DEB0">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0.75</w:t>
                  </w:r>
                </w:p>
              </w:tc>
              <w:tc>
                <w:tcPr>
                  <w:tcW w:w="752" w:type="dxa"/>
                  <w:vAlign w:val="center"/>
                </w:tcPr>
                <w:p w14:paraId="290AEEFA">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0.53</w:t>
                  </w:r>
                </w:p>
              </w:tc>
              <w:tc>
                <w:tcPr>
                  <w:tcW w:w="675" w:type="dxa"/>
                  <w:vAlign w:val="center"/>
                </w:tcPr>
                <w:p w14:paraId="58D3AB53">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0.087</w:t>
                  </w:r>
                </w:p>
              </w:tc>
              <w:tc>
                <w:tcPr>
                  <w:tcW w:w="570" w:type="dxa"/>
                  <w:vAlign w:val="center"/>
                </w:tcPr>
                <w:p w14:paraId="5D2FCD0B">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0.58</w:t>
                  </w:r>
                </w:p>
              </w:tc>
              <w:tc>
                <w:tcPr>
                  <w:tcW w:w="615" w:type="dxa"/>
                  <w:vAlign w:val="center"/>
                </w:tcPr>
                <w:p w14:paraId="41FE3C7B">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0.01</w:t>
                  </w:r>
                </w:p>
              </w:tc>
              <w:tc>
                <w:tcPr>
                  <w:tcW w:w="615" w:type="dxa"/>
                  <w:vAlign w:val="center"/>
                </w:tcPr>
                <w:p w14:paraId="114F4CFA">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0.115</w:t>
                  </w:r>
                </w:p>
              </w:tc>
              <w:tc>
                <w:tcPr>
                  <w:tcW w:w="495" w:type="dxa"/>
                  <w:vAlign w:val="center"/>
                </w:tcPr>
                <w:p w14:paraId="7588480A">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c>
                <w:tcPr>
                  <w:tcW w:w="480" w:type="dxa"/>
                  <w:vAlign w:val="center"/>
                </w:tcPr>
                <w:p w14:paraId="46FB881A">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c>
                <w:tcPr>
                  <w:tcW w:w="562" w:type="dxa"/>
                  <w:vAlign w:val="center"/>
                </w:tcPr>
                <w:p w14:paraId="24B25638">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r>
            <w:tr w14:paraId="637E116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855" w:type="dxa"/>
                  <w:vMerge w:val="restart"/>
                  <w:vAlign w:val="center"/>
                </w:tcPr>
                <w:p w14:paraId="5B5AD5DF">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纯水制备浓水、反冲洗水</w:t>
                  </w:r>
                </w:p>
              </w:tc>
              <w:tc>
                <w:tcPr>
                  <w:tcW w:w="997" w:type="dxa"/>
                  <w:vAlign w:val="center"/>
                </w:tcPr>
                <w:p w14:paraId="5CCE178C">
                  <w:pPr>
                    <w:jc w:val="center"/>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浓度</w:t>
                  </w:r>
                </w:p>
              </w:tc>
              <w:tc>
                <w:tcPr>
                  <w:tcW w:w="740" w:type="dxa"/>
                  <w:vMerge w:val="restart"/>
                  <w:vAlign w:val="center"/>
                </w:tcPr>
                <w:p w14:paraId="4EAD815F">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1050</w:t>
                  </w:r>
                </w:p>
              </w:tc>
              <w:tc>
                <w:tcPr>
                  <w:tcW w:w="676" w:type="dxa"/>
                  <w:vAlign w:val="center"/>
                </w:tcPr>
                <w:p w14:paraId="20277ABD">
                  <w:pPr>
                    <w:autoSpaceDE w:val="0"/>
                    <w:autoSpaceDN w:val="0"/>
                    <w:adjustRightInd w:val="0"/>
                    <w:spacing w:line="240" w:lineRule="auto"/>
                    <w:jc w:val="center"/>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41</w:t>
                  </w:r>
                </w:p>
              </w:tc>
              <w:tc>
                <w:tcPr>
                  <w:tcW w:w="752" w:type="dxa"/>
                  <w:vAlign w:val="center"/>
                </w:tcPr>
                <w:p w14:paraId="59B9E217">
                  <w:pPr>
                    <w:autoSpaceDE w:val="0"/>
                    <w:autoSpaceDN w:val="0"/>
                    <w:adjustRightInd w:val="0"/>
                    <w:spacing w:line="240" w:lineRule="auto"/>
                    <w:jc w:val="center"/>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c>
                <w:tcPr>
                  <w:tcW w:w="675" w:type="dxa"/>
                  <w:vAlign w:val="center"/>
                </w:tcPr>
                <w:p w14:paraId="44829EE5">
                  <w:pPr>
                    <w:autoSpaceDE w:val="0"/>
                    <w:autoSpaceDN w:val="0"/>
                    <w:adjustRightInd w:val="0"/>
                    <w:spacing w:line="240" w:lineRule="auto"/>
                    <w:jc w:val="center"/>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c>
                <w:tcPr>
                  <w:tcW w:w="570" w:type="dxa"/>
                  <w:vAlign w:val="center"/>
                </w:tcPr>
                <w:p w14:paraId="796B4281">
                  <w:pPr>
                    <w:autoSpaceDE w:val="0"/>
                    <w:autoSpaceDN w:val="0"/>
                    <w:adjustRightInd w:val="0"/>
                    <w:spacing w:line="240" w:lineRule="auto"/>
                    <w:jc w:val="center"/>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160</w:t>
                  </w:r>
                </w:p>
              </w:tc>
              <w:tc>
                <w:tcPr>
                  <w:tcW w:w="615" w:type="dxa"/>
                  <w:vAlign w:val="center"/>
                </w:tcPr>
                <w:p w14:paraId="75FC8C3E">
                  <w:pPr>
                    <w:autoSpaceDE w:val="0"/>
                    <w:autoSpaceDN w:val="0"/>
                    <w:adjustRightInd w:val="0"/>
                    <w:spacing w:line="240" w:lineRule="auto"/>
                    <w:jc w:val="center"/>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c>
                <w:tcPr>
                  <w:tcW w:w="615" w:type="dxa"/>
                  <w:vAlign w:val="center"/>
                </w:tcPr>
                <w:p w14:paraId="06B18852">
                  <w:pPr>
                    <w:autoSpaceDE w:val="0"/>
                    <w:autoSpaceDN w:val="0"/>
                    <w:adjustRightInd w:val="0"/>
                    <w:spacing w:line="240" w:lineRule="auto"/>
                    <w:jc w:val="center"/>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c>
                <w:tcPr>
                  <w:tcW w:w="495" w:type="dxa"/>
                  <w:vAlign w:val="center"/>
                </w:tcPr>
                <w:p w14:paraId="29C6BE35">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c>
                <w:tcPr>
                  <w:tcW w:w="480" w:type="dxa"/>
                  <w:vAlign w:val="center"/>
                </w:tcPr>
                <w:p w14:paraId="1ECF09E8">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c>
                <w:tcPr>
                  <w:tcW w:w="562" w:type="dxa"/>
                  <w:vAlign w:val="center"/>
                </w:tcPr>
                <w:p w14:paraId="0CB23801">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r>
            <w:tr w14:paraId="354AB7F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855" w:type="dxa"/>
                  <w:vMerge w:val="continue"/>
                  <w:vAlign w:val="center"/>
                </w:tcPr>
                <w:p w14:paraId="707ED43E">
                  <w:pPr>
                    <w:autoSpaceDE w:val="0"/>
                    <w:autoSpaceDN w:val="0"/>
                    <w:adjustRightInd w:val="0"/>
                    <w:spacing w:line="240" w:lineRule="auto"/>
                    <w:jc w:val="center"/>
                    <w:rPr>
                      <w:rFonts w:hint="eastAsia"/>
                      <w:b w:val="0"/>
                      <w:bCs w:val="0"/>
                      <w:color w:val="000000" w:themeColor="text1"/>
                      <w:sz w:val="21"/>
                      <w:szCs w:val="21"/>
                      <w:highlight w:val="none"/>
                      <w:vertAlign w:val="baseline"/>
                      <w:lang w:val="en-US" w:eastAsia="zh-CN"/>
                      <w14:textFill>
                        <w14:solidFill>
                          <w14:schemeClr w14:val="tx1"/>
                        </w14:solidFill>
                      </w14:textFill>
                    </w:rPr>
                  </w:pPr>
                </w:p>
              </w:tc>
              <w:tc>
                <w:tcPr>
                  <w:tcW w:w="997" w:type="dxa"/>
                  <w:vAlign w:val="center"/>
                </w:tcPr>
                <w:p w14:paraId="5410CF88">
                  <w:pPr>
                    <w:jc w:val="center"/>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产生量</w:t>
                  </w:r>
                </w:p>
              </w:tc>
              <w:tc>
                <w:tcPr>
                  <w:tcW w:w="740" w:type="dxa"/>
                  <w:vMerge w:val="continue"/>
                  <w:vAlign w:val="center"/>
                </w:tcPr>
                <w:p w14:paraId="25008CF8">
                  <w:pPr>
                    <w:autoSpaceDE w:val="0"/>
                    <w:autoSpaceDN w:val="0"/>
                    <w:adjustRightInd w:val="0"/>
                    <w:spacing w:line="240" w:lineRule="auto"/>
                    <w:jc w:val="center"/>
                    <w:rPr>
                      <w:rFonts w:hint="eastAsia"/>
                      <w:b w:val="0"/>
                      <w:bCs w:val="0"/>
                      <w:color w:val="000000" w:themeColor="text1"/>
                      <w:sz w:val="21"/>
                      <w:szCs w:val="21"/>
                      <w:highlight w:val="none"/>
                      <w:vertAlign w:val="baseline"/>
                      <w:lang w:val="en-US" w:eastAsia="zh-CN"/>
                      <w14:textFill>
                        <w14:solidFill>
                          <w14:schemeClr w14:val="tx1"/>
                        </w14:solidFill>
                      </w14:textFill>
                    </w:rPr>
                  </w:pPr>
                </w:p>
              </w:tc>
              <w:tc>
                <w:tcPr>
                  <w:tcW w:w="676" w:type="dxa"/>
                  <w:vAlign w:val="center"/>
                </w:tcPr>
                <w:p w14:paraId="4156ECED">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0.043</w:t>
                  </w:r>
                </w:p>
              </w:tc>
              <w:tc>
                <w:tcPr>
                  <w:tcW w:w="752" w:type="dxa"/>
                  <w:vAlign w:val="center"/>
                </w:tcPr>
                <w:p w14:paraId="110D07D8">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c>
                <w:tcPr>
                  <w:tcW w:w="675" w:type="dxa"/>
                  <w:vAlign w:val="center"/>
                </w:tcPr>
                <w:p w14:paraId="0996CA5B">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c>
                <w:tcPr>
                  <w:tcW w:w="570" w:type="dxa"/>
                  <w:vAlign w:val="center"/>
                </w:tcPr>
                <w:p w14:paraId="273AEB7E">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0.168</w:t>
                  </w:r>
                </w:p>
              </w:tc>
              <w:tc>
                <w:tcPr>
                  <w:tcW w:w="615" w:type="dxa"/>
                  <w:vAlign w:val="center"/>
                </w:tcPr>
                <w:p w14:paraId="4F7A6A6D">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c>
                <w:tcPr>
                  <w:tcW w:w="615" w:type="dxa"/>
                  <w:vAlign w:val="center"/>
                </w:tcPr>
                <w:p w14:paraId="0EDB99FA">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c>
                <w:tcPr>
                  <w:tcW w:w="495" w:type="dxa"/>
                  <w:vAlign w:val="center"/>
                </w:tcPr>
                <w:p w14:paraId="3E430848">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c>
                <w:tcPr>
                  <w:tcW w:w="480" w:type="dxa"/>
                  <w:vAlign w:val="center"/>
                </w:tcPr>
                <w:p w14:paraId="3EAF4F0A">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c>
                <w:tcPr>
                  <w:tcW w:w="562" w:type="dxa"/>
                  <w:vAlign w:val="center"/>
                </w:tcPr>
                <w:p w14:paraId="1A5434F9">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r>
            <w:tr w14:paraId="4D4F7BA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855" w:type="dxa"/>
                  <w:vMerge w:val="restart"/>
                  <w:vAlign w:val="center"/>
                </w:tcPr>
                <w:p w14:paraId="18DA6D77">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空压冷凝水</w:t>
                  </w:r>
                </w:p>
              </w:tc>
              <w:tc>
                <w:tcPr>
                  <w:tcW w:w="997" w:type="dxa"/>
                  <w:vAlign w:val="center"/>
                </w:tcPr>
                <w:p w14:paraId="1B1B9174">
                  <w:pPr>
                    <w:jc w:val="center"/>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浓度</w:t>
                  </w:r>
                </w:p>
              </w:tc>
              <w:tc>
                <w:tcPr>
                  <w:tcW w:w="740" w:type="dxa"/>
                  <w:vMerge w:val="restart"/>
                  <w:vAlign w:val="center"/>
                </w:tcPr>
                <w:p w14:paraId="79BDB454">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150</w:t>
                  </w:r>
                </w:p>
              </w:tc>
              <w:tc>
                <w:tcPr>
                  <w:tcW w:w="676" w:type="dxa"/>
                  <w:vAlign w:val="center"/>
                </w:tcPr>
                <w:p w14:paraId="5EA494AF">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c>
                <w:tcPr>
                  <w:tcW w:w="752" w:type="dxa"/>
                  <w:vAlign w:val="center"/>
                </w:tcPr>
                <w:p w14:paraId="658CF655">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c>
                <w:tcPr>
                  <w:tcW w:w="675" w:type="dxa"/>
                  <w:vAlign w:val="center"/>
                </w:tcPr>
                <w:p w14:paraId="5E9C2458">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c>
                <w:tcPr>
                  <w:tcW w:w="570" w:type="dxa"/>
                  <w:vAlign w:val="center"/>
                </w:tcPr>
                <w:p w14:paraId="40A687B4">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50</w:t>
                  </w:r>
                </w:p>
              </w:tc>
              <w:tc>
                <w:tcPr>
                  <w:tcW w:w="615" w:type="dxa"/>
                  <w:vAlign w:val="center"/>
                </w:tcPr>
                <w:p w14:paraId="661ED869">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c>
                <w:tcPr>
                  <w:tcW w:w="615" w:type="dxa"/>
                  <w:vAlign w:val="center"/>
                </w:tcPr>
                <w:p w14:paraId="136D8F4E">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c>
                <w:tcPr>
                  <w:tcW w:w="495" w:type="dxa"/>
                  <w:vAlign w:val="center"/>
                </w:tcPr>
                <w:p w14:paraId="239976DB">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c>
                <w:tcPr>
                  <w:tcW w:w="480" w:type="dxa"/>
                  <w:vAlign w:val="center"/>
                </w:tcPr>
                <w:p w14:paraId="56141612">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c>
                <w:tcPr>
                  <w:tcW w:w="562" w:type="dxa"/>
                  <w:vAlign w:val="center"/>
                </w:tcPr>
                <w:p w14:paraId="7BDD3616">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r>
            <w:tr w14:paraId="5BE8CBB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855" w:type="dxa"/>
                  <w:vMerge w:val="continue"/>
                  <w:vAlign w:val="center"/>
                </w:tcPr>
                <w:p w14:paraId="6C4F23E1">
                  <w:pPr>
                    <w:autoSpaceDE w:val="0"/>
                    <w:autoSpaceDN w:val="0"/>
                    <w:adjustRightInd w:val="0"/>
                    <w:spacing w:line="240" w:lineRule="auto"/>
                    <w:jc w:val="center"/>
                    <w:rPr>
                      <w:rFonts w:hint="eastAsia"/>
                      <w:b w:val="0"/>
                      <w:bCs w:val="0"/>
                      <w:color w:val="000000" w:themeColor="text1"/>
                      <w:sz w:val="21"/>
                      <w:szCs w:val="21"/>
                      <w:highlight w:val="none"/>
                      <w:vertAlign w:val="baseline"/>
                      <w:lang w:val="en-US" w:eastAsia="zh-CN"/>
                      <w14:textFill>
                        <w14:solidFill>
                          <w14:schemeClr w14:val="tx1"/>
                        </w14:solidFill>
                      </w14:textFill>
                    </w:rPr>
                  </w:pPr>
                </w:p>
              </w:tc>
              <w:tc>
                <w:tcPr>
                  <w:tcW w:w="997" w:type="dxa"/>
                  <w:vAlign w:val="center"/>
                </w:tcPr>
                <w:p w14:paraId="554A5581">
                  <w:pPr>
                    <w:jc w:val="center"/>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产生量</w:t>
                  </w:r>
                </w:p>
              </w:tc>
              <w:tc>
                <w:tcPr>
                  <w:tcW w:w="740" w:type="dxa"/>
                  <w:vMerge w:val="continue"/>
                  <w:vAlign w:val="center"/>
                </w:tcPr>
                <w:p w14:paraId="7285921F">
                  <w:pPr>
                    <w:autoSpaceDE w:val="0"/>
                    <w:autoSpaceDN w:val="0"/>
                    <w:adjustRightInd w:val="0"/>
                    <w:spacing w:line="240" w:lineRule="auto"/>
                    <w:jc w:val="center"/>
                    <w:rPr>
                      <w:rFonts w:hint="eastAsia"/>
                      <w:b w:val="0"/>
                      <w:bCs w:val="0"/>
                      <w:color w:val="000000" w:themeColor="text1"/>
                      <w:sz w:val="21"/>
                      <w:szCs w:val="21"/>
                      <w:highlight w:val="none"/>
                      <w:vertAlign w:val="baseline"/>
                      <w:lang w:val="en-US" w:eastAsia="zh-CN"/>
                      <w14:textFill>
                        <w14:solidFill>
                          <w14:schemeClr w14:val="tx1"/>
                        </w14:solidFill>
                      </w14:textFill>
                    </w:rPr>
                  </w:pPr>
                </w:p>
              </w:tc>
              <w:tc>
                <w:tcPr>
                  <w:tcW w:w="676" w:type="dxa"/>
                  <w:vAlign w:val="center"/>
                </w:tcPr>
                <w:p w14:paraId="32E5CD9F">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c>
                <w:tcPr>
                  <w:tcW w:w="752" w:type="dxa"/>
                  <w:vAlign w:val="center"/>
                </w:tcPr>
                <w:p w14:paraId="15E8D96D">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c>
                <w:tcPr>
                  <w:tcW w:w="675" w:type="dxa"/>
                  <w:vAlign w:val="center"/>
                </w:tcPr>
                <w:p w14:paraId="29A66CCB">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c>
                <w:tcPr>
                  <w:tcW w:w="570" w:type="dxa"/>
                  <w:vAlign w:val="center"/>
                </w:tcPr>
                <w:p w14:paraId="2288DEA0">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0.008</w:t>
                  </w:r>
                </w:p>
              </w:tc>
              <w:tc>
                <w:tcPr>
                  <w:tcW w:w="615" w:type="dxa"/>
                  <w:vAlign w:val="center"/>
                </w:tcPr>
                <w:p w14:paraId="34AA2322">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c>
                <w:tcPr>
                  <w:tcW w:w="615" w:type="dxa"/>
                  <w:vAlign w:val="center"/>
                </w:tcPr>
                <w:p w14:paraId="05541C5F">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c>
                <w:tcPr>
                  <w:tcW w:w="495" w:type="dxa"/>
                  <w:vAlign w:val="center"/>
                </w:tcPr>
                <w:p w14:paraId="0ACE238B">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c>
                <w:tcPr>
                  <w:tcW w:w="480" w:type="dxa"/>
                  <w:vAlign w:val="center"/>
                </w:tcPr>
                <w:p w14:paraId="261A949E">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c>
                <w:tcPr>
                  <w:tcW w:w="562" w:type="dxa"/>
                  <w:vAlign w:val="center"/>
                </w:tcPr>
                <w:p w14:paraId="5F36F937">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r>
            <w:tr w14:paraId="74E5E2D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855" w:type="dxa"/>
                  <w:vMerge w:val="restart"/>
                  <w:vAlign w:val="center"/>
                </w:tcPr>
                <w:p w14:paraId="1EAF8079">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混合废水</w:t>
                  </w:r>
                </w:p>
              </w:tc>
              <w:tc>
                <w:tcPr>
                  <w:tcW w:w="997" w:type="dxa"/>
                  <w:vAlign w:val="center"/>
                </w:tcPr>
                <w:p w14:paraId="2E5C3AB6">
                  <w:pPr>
                    <w:jc w:val="center"/>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浓度</w:t>
                  </w:r>
                </w:p>
              </w:tc>
              <w:tc>
                <w:tcPr>
                  <w:tcW w:w="740" w:type="dxa"/>
                  <w:vMerge w:val="restart"/>
                  <w:vAlign w:val="center"/>
                </w:tcPr>
                <w:p w14:paraId="616180EC">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3580.8</w:t>
                  </w:r>
                </w:p>
              </w:tc>
              <w:tc>
                <w:tcPr>
                  <w:tcW w:w="676" w:type="dxa"/>
                  <w:vAlign w:val="center"/>
                </w:tcPr>
                <w:p w14:paraId="473840AB">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224</w:t>
                  </w:r>
                </w:p>
              </w:tc>
              <w:tc>
                <w:tcPr>
                  <w:tcW w:w="752" w:type="dxa"/>
                  <w:vAlign w:val="center"/>
                </w:tcPr>
                <w:p w14:paraId="76C615BB">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149.3</w:t>
                  </w:r>
                </w:p>
              </w:tc>
              <w:tc>
                <w:tcPr>
                  <w:tcW w:w="675" w:type="dxa"/>
                  <w:vAlign w:val="center"/>
                </w:tcPr>
                <w:p w14:paraId="19CF070E">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24.4</w:t>
                  </w:r>
                </w:p>
              </w:tc>
              <w:tc>
                <w:tcPr>
                  <w:tcW w:w="570" w:type="dxa"/>
                  <w:vAlign w:val="center"/>
                </w:tcPr>
                <w:p w14:paraId="2930D1EE">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210</w:t>
                  </w:r>
                </w:p>
              </w:tc>
              <w:tc>
                <w:tcPr>
                  <w:tcW w:w="615" w:type="dxa"/>
                  <w:vAlign w:val="center"/>
                </w:tcPr>
                <w:p w14:paraId="2ABC2D5B">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2.79</w:t>
                  </w:r>
                </w:p>
              </w:tc>
              <w:tc>
                <w:tcPr>
                  <w:tcW w:w="615" w:type="dxa"/>
                  <w:vAlign w:val="center"/>
                </w:tcPr>
                <w:p w14:paraId="61315695">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32.04</w:t>
                  </w:r>
                </w:p>
              </w:tc>
              <w:tc>
                <w:tcPr>
                  <w:tcW w:w="495" w:type="dxa"/>
                  <w:vAlign w:val="center"/>
                </w:tcPr>
                <w:p w14:paraId="21E3D94F">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0.005</w:t>
                  </w:r>
                </w:p>
              </w:tc>
              <w:tc>
                <w:tcPr>
                  <w:tcW w:w="480" w:type="dxa"/>
                  <w:vAlign w:val="center"/>
                </w:tcPr>
                <w:p w14:paraId="040A3BEF">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0.0009</w:t>
                  </w:r>
                </w:p>
              </w:tc>
              <w:tc>
                <w:tcPr>
                  <w:tcW w:w="562" w:type="dxa"/>
                  <w:vAlign w:val="center"/>
                </w:tcPr>
                <w:p w14:paraId="345ACE8D">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0.0028</w:t>
                  </w:r>
                </w:p>
              </w:tc>
            </w:tr>
            <w:tr w14:paraId="2E9AF74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855" w:type="dxa"/>
                  <w:vMerge w:val="continue"/>
                  <w:vAlign w:val="center"/>
                </w:tcPr>
                <w:p w14:paraId="57E65E12">
                  <w:pPr>
                    <w:autoSpaceDE w:val="0"/>
                    <w:autoSpaceDN w:val="0"/>
                    <w:adjustRightInd w:val="0"/>
                    <w:spacing w:line="240" w:lineRule="auto"/>
                    <w:jc w:val="center"/>
                    <w:rPr>
                      <w:rFonts w:hint="eastAsia"/>
                      <w:b w:val="0"/>
                      <w:bCs w:val="0"/>
                      <w:color w:val="000000" w:themeColor="text1"/>
                      <w:sz w:val="21"/>
                      <w:szCs w:val="21"/>
                      <w:highlight w:val="none"/>
                      <w:vertAlign w:val="baseline"/>
                      <w:lang w:val="en-US" w:eastAsia="zh-CN"/>
                      <w14:textFill>
                        <w14:solidFill>
                          <w14:schemeClr w14:val="tx1"/>
                        </w14:solidFill>
                      </w14:textFill>
                    </w:rPr>
                  </w:pPr>
                </w:p>
              </w:tc>
              <w:tc>
                <w:tcPr>
                  <w:tcW w:w="997" w:type="dxa"/>
                  <w:vAlign w:val="center"/>
                </w:tcPr>
                <w:p w14:paraId="3CF105F2">
                  <w:pPr>
                    <w:jc w:val="center"/>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产生量</w:t>
                  </w:r>
                </w:p>
              </w:tc>
              <w:tc>
                <w:tcPr>
                  <w:tcW w:w="740" w:type="dxa"/>
                  <w:vMerge w:val="continue"/>
                  <w:vAlign w:val="center"/>
                </w:tcPr>
                <w:p w14:paraId="23D24AA4">
                  <w:pPr>
                    <w:autoSpaceDE w:val="0"/>
                    <w:autoSpaceDN w:val="0"/>
                    <w:adjustRightInd w:val="0"/>
                    <w:spacing w:line="240" w:lineRule="auto"/>
                    <w:jc w:val="center"/>
                    <w:rPr>
                      <w:rFonts w:hint="eastAsia"/>
                      <w:b w:val="0"/>
                      <w:bCs w:val="0"/>
                      <w:color w:val="000000" w:themeColor="text1"/>
                      <w:sz w:val="21"/>
                      <w:szCs w:val="21"/>
                      <w:highlight w:val="none"/>
                      <w:vertAlign w:val="baseline"/>
                      <w:lang w:val="en-US" w:eastAsia="zh-CN"/>
                      <w14:textFill>
                        <w14:solidFill>
                          <w14:schemeClr w14:val="tx1"/>
                        </w14:solidFill>
                      </w14:textFill>
                    </w:rPr>
                  </w:pPr>
                </w:p>
              </w:tc>
              <w:tc>
                <w:tcPr>
                  <w:tcW w:w="676" w:type="dxa"/>
                  <w:vAlign w:val="center"/>
                </w:tcPr>
                <w:p w14:paraId="4A4D5B1D">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0.8</w:t>
                  </w:r>
                </w:p>
              </w:tc>
              <w:tc>
                <w:tcPr>
                  <w:tcW w:w="752" w:type="dxa"/>
                  <w:vAlign w:val="center"/>
                </w:tcPr>
                <w:p w14:paraId="617D12DC">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0.53</w:t>
                  </w:r>
                </w:p>
              </w:tc>
              <w:tc>
                <w:tcPr>
                  <w:tcW w:w="675" w:type="dxa"/>
                  <w:vAlign w:val="center"/>
                </w:tcPr>
                <w:p w14:paraId="473EC993">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0.09</w:t>
                  </w:r>
                </w:p>
              </w:tc>
              <w:tc>
                <w:tcPr>
                  <w:tcW w:w="570" w:type="dxa"/>
                  <w:vAlign w:val="center"/>
                </w:tcPr>
                <w:p w14:paraId="44B237A7">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0.75</w:t>
                  </w:r>
                </w:p>
              </w:tc>
              <w:tc>
                <w:tcPr>
                  <w:tcW w:w="615" w:type="dxa"/>
                  <w:vAlign w:val="center"/>
                </w:tcPr>
                <w:p w14:paraId="1B9EDDAC">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0.01</w:t>
                  </w:r>
                </w:p>
              </w:tc>
              <w:tc>
                <w:tcPr>
                  <w:tcW w:w="615" w:type="dxa"/>
                  <w:vAlign w:val="center"/>
                </w:tcPr>
                <w:p w14:paraId="53807EBE">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0.115</w:t>
                  </w:r>
                </w:p>
              </w:tc>
              <w:tc>
                <w:tcPr>
                  <w:tcW w:w="495" w:type="dxa"/>
                  <w:vAlign w:val="center"/>
                </w:tcPr>
                <w:p w14:paraId="5F36FDC7">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0.00002</w:t>
                  </w:r>
                </w:p>
              </w:tc>
              <w:tc>
                <w:tcPr>
                  <w:tcW w:w="480" w:type="dxa"/>
                  <w:vAlign w:val="center"/>
                </w:tcPr>
                <w:p w14:paraId="21D7527C">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0.000003</w:t>
                  </w:r>
                </w:p>
              </w:tc>
              <w:tc>
                <w:tcPr>
                  <w:tcW w:w="562" w:type="dxa"/>
                  <w:vAlign w:val="center"/>
                </w:tcPr>
                <w:p w14:paraId="4D64004A">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0.00001</w:t>
                  </w:r>
                </w:p>
              </w:tc>
            </w:tr>
            <w:tr w14:paraId="278CE5B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11" w:hRule="atLeast"/>
                <w:jc w:val="center"/>
              </w:trPr>
              <w:tc>
                <w:tcPr>
                  <w:tcW w:w="2592" w:type="dxa"/>
                  <w:gridSpan w:val="3"/>
                  <w:vAlign w:val="center"/>
                </w:tcPr>
                <w:p w14:paraId="4C775391">
                  <w:pPr>
                    <w:autoSpaceDE w:val="0"/>
                    <w:autoSpaceDN w:val="0"/>
                    <w:adjustRightInd w:val="0"/>
                    <w:spacing w:line="240" w:lineRule="auto"/>
                    <w:jc w:val="center"/>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r>
                    <w:rPr>
                      <w:rFonts w:hint="eastAsia"/>
                      <w:b w:val="0"/>
                      <w:bCs w:val="0"/>
                      <w:color w:val="000000" w:themeColor="text1"/>
                      <w:kern w:val="0"/>
                      <w:sz w:val="21"/>
                      <w:szCs w:val="21"/>
                      <w:highlight w:val="none"/>
                      <w:lang w:val="en-US" w:eastAsia="zh-CN"/>
                      <w14:textFill>
                        <w14:solidFill>
                          <w14:schemeClr w14:val="tx1"/>
                        </w14:solidFill>
                      </w14:textFill>
                    </w:rPr>
                    <w:t>我国农村化粪池污染物去除效果及影响因素分析</w:t>
                  </w:r>
                  <w:r>
                    <w:rPr>
                      <w:rFonts w:hint="eastAsia"/>
                      <w:b w:val="0"/>
                      <w:bCs w:val="0"/>
                      <w:color w:val="000000" w:themeColor="text1"/>
                      <w:sz w:val="21"/>
                      <w:szCs w:val="21"/>
                      <w:highlight w:val="none"/>
                      <w:vertAlign w:val="baseline"/>
                      <w:lang w:val="en-US" w:eastAsia="zh-CN"/>
                      <w14:textFill>
                        <w14:solidFill>
                          <w14:schemeClr w14:val="tx1"/>
                        </w14:solidFill>
                      </w14:textFill>
                    </w:rPr>
                    <w:t>》、</w:t>
                  </w:r>
                  <w:r>
                    <w:rPr>
                      <w:rFonts w:hint="eastAsia"/>
                      <w:b w:val="0"/>
                      <w:bCs w:val="0"/>
                      <w:color w:val="000000" w:themeColor="text1"/>
                      <w:kern w:val="0"/>
                      <w:sz w:val="21"/>
                      <w:szCs w:val="21"/>
                      <w:highlight w:val="none"/>
                      <w:lang w:val="en-US" w:eastAsia="zh-CN"/>
                      <w14:textFill>
                        <w14:solidFill>
                          <w14:schemeClr w14:val="tx1"/>
                        </w14:solidFill>
                      </w14:textFill>
                    </w:rPr>
                    <w:t>《村镇生活污染防治最佳可行技术指南》（HJ-BAT-9）</w:t>
                  </w:r>
                  <w:r>
                    <w:rPr>
                      <w:rFonts w:hint="eastAsia"/>
                      <w:b w:val="0"/>
                      <w:bCs w:val="0"/>
                      <w:color w:val="000000" w:themeColor="text1"/>
                      <w:sz w:val="21"/>
                      <w:szCs w:val="21"/>
                      <w:highlight w:val="none"/>
                      <w:vertAlign w:val="baseline"/>
                      <w:lang w:val="en-US" w:eastAsia="zh-CN"/>
                      <w14:textFill>
                        <w14:solidFill>
                          <w14:schemeClr w14:val="tx1"/>
                        </w14:solidFill>
                      </w14:textFill>
                    </w:rPr>
                    <w:t>中化粪池的去除效率</w:t>
                  </w:r>
                </w:p>
              </w:tc>
              <w:tc>
                <w:tcPr>
                  <w:tcW w:w="676" w:type="dxa"/>
                  <w:vAlign w:val="center"/>
                </w:tcPr>
                <w:p w14:paraId="5A40DEEB">
                  <w:pPr>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40%-50%</w:t>
                  </w:r>
                </w:p>
              </w:tc>
              <w:tc>
                <w:tcPr>
                  <w:tcW w:w="752" w:type="dxa"/>
                  <w:vAlign w:val="center"/>
                </w:tcPr>
                <w:p w14:paraId="0A45D5DE">
                  <w:pPr>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29%-72%</w:t>
                  </w:r>
                </w:p>
              </w:tc>
              <w:tc>
                <w:tcPr>
                  <w:tcW w:w="675" w:type="dxa"/>
                  <w:vAlign w:val="center"/>
                </w:tcPr>
                <w:p w14:paraId="1BC78A26">
                  <w:pPr>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c>
                <w:tcPr>
                  <w:tcW w:w="570" w:type="dxa"/>
                  <w:vAlign w:val="center"/>
                </w:tcPr>
                <w:p w14:paraId="3EB71B08">
                  <w:pPr>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60%-70%</w:t>
                  </w:r>
                </w:p>
              </w:tc>
              <w:tc>
                <w:tcPr>
                  <w:tcW w:w="615" w:type="dxa"/>
                  <w:vAlign w:val="center"/>
                </w:tcPr>
                <w:p w14:paraId="2F6CD412">
                  <w:pPr>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7%-21%</w:t>
                  </w:r>
                </w:p>
              </w:tc>
              <w:tc>
                <w:tcPr>
                  <w:tcW w:w="615" w:type="dxa"/>
                  <w:vAlign w:val="center"/>
                </w:tcPr>
                <w:p w14:paraId="0C86D0B4">
                  <w:pPr>
                    <w:jc w:val="center"/>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4%-12%</w:t>
                  </w:r>
                </w:p>
              </w:tc>
              <w:tc>
                <w:tcPr>
                  <w:tcW w:w="495" w:type="dxa"/>
                  <w:vAlign w:val="center"/>
                </w:tcPr>
                <w:p w14:paraId="4F881773">
                  <w:pPr>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c>
                <w:tcPr>
                  <w:tcW w:w="480" w:type="dxa"/>
                  <w:vAlign w:val="center"/>
                </w:tcPr>
                <w:p w14:paraId="53EA829F">
                  <w:pPr>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c>
                <w:tcPr>
                  <w:tcW w:w="562" w:type="dxa"/>
                  <w:vAlign w:val="center"/>
                </w:tcPr>
                <w:p w14:paraId="61A6C8E3">
                  <w:pPr>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r>
            <w:tr w14:paraId="18E94C8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2592" w:type="dxa"/>
                  <w:gridSpan w:val="3"/>
                  <w:shd w:val="clear" w:color="auto" w:fill="auto"/>
                  <w:vAlign w:val="center"/>
                </w:tcPr>
                <w:p w14:paraId="69DE89CA">
                  <w:pPr>
                    <w:jc w:val="center"/>
                    <w:rPr>
                      <w:rFonts w:hint="eastAsia"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本项目取值</w:t>
                  </w:r>
                </w:p>
              </w:tc>
              <w:tc>
                <w:tcPr>
                  <w:tcW w:w="676" w:type="dxa"/>
                  <w:shd w:val="clear" w:color="auto" w:fill="auto"/>
                  <w:vAlign w:val="center"/>
                </w:tcPr>
                <w:p w14:paraId="24835D12">
                  <w:pPr>
                    <w:jc w:val="center"/>
                    <w:rPr>
                      <w:rFonts w:hint="eastAsia"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40%</w:t>
                  </w:r>
                </w:p>
              </w:tc>
              <w:tc>
                <w:tcPr>
                  <w:tcW w:w="752" w:type="dxa"/>
                  <w:shd w:val="clear" w:color="auto" w:fill="auto"/>
                  <w:vAlign w:val="center"/>
                </w:tcPr>
                <w:p w14:paraId="36713142">
                  <w:pPr>
                    <w:jc w:val="center"/>
                    <w:rPr>
                      <w:rFonts w:hint="eastAsia"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29%</w:t>
                  </w:r>
                </w:p>
              </w:tc>
              <w:tc>
                <w:tcPr>
                  <w:tcW w:w="675" w:type="dxa"/>
                  <w:shd w:val="clear" w:color="auto" w:fill="auto"/>
                  <w:vAlign w:val="center"/>
                </w:tcPr>
                <w:p w14:paraId="52F67B0F">
                  <w:pPr>
                    <w:jc w:val="center"/>
                    <w:rPr>
                      <w:rFonts w:hint="eastAsia"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c>
                <w:tcPr>
                  <w:tcW w:w="570" w:type="dxa"/>
                  <w:shd w:val="clear" w:color="auto" w:fill="auto"/>
                  <w:vAlign w:val="center"/>
                </w:tcPr>
                <w:p w14:paraId="27F50C1F">
                  <w:pPr>
                    <w:jc w:val="center"/>
                    <w:rPr>
                      <w:rFonts w:hint="eastAsia"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60%</w:t>
                  </w:r>
                </w:p>
              </w:tc>
              <w:tc>
                <w:tcPr>
                  <w:tcW w:w="615" w:type="dxa"/>
                  <w:shd w:val="clear" w:color="auto" w:fill="auto"/>
                  <w:vAlign w:val="center"/>
                </w:tcPr>
                <w:p w14:paraId="6ACE2C51">
                  <w:pPr>
                    <w:jc w:val="center"/>
                    <w:rPr>
                      <w:rFonts w:hint="eastAsia"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7%</w:t>
                  </w:r>
                </w:p>
              </w:tc>
              <w:tc>
                <w:tcPr>
                  <w:tcW w:w="615" w:type="dxa"/>
                  <w:shd w:val="clear" w:color="auto" w:fill="auto"/>
                  <w:vAlign w:val="center"/>
                </w:tcPr>
                <w:p w14:paraId="7E995708">
                  <w:pPr>
                    <w:jc w:val="center"/>
                    <w:rPr>
                      <w:rFonts w:hint="eastAsia"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4%</w:t>
                  </w:r>
                </w:p>
              </w:tc>
              <w:tc>
                <w:tcPr>
                  <w:tcW w:w="495" w:type="dxa"/>
                  <w:shd w:val="clear" w:color="auto" w:fill="auto"/>
                  <w:vAlign w:val="center"/>
                </w:tcPr>
                <w:p w14:paraId="18ABC5ED">
                  <w:pPr>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c>
                <w:tcPr>
                  <w:tcW w:w="480" w:type="dxa"/>
                  <w:shd w:val="clear" w:color="auto" w:fill="auto"/>
                  <w:vAlign w:val="center"/>
                </w:tcPr>
                <w:p w14:paraId="5242CA1B">
                  <w:pPr>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c>
                <w:tcPr>
                  <w:tcW w:w="562" w:type="dxa"/>
                  <w:shd w:val="clear" w:color="auto" w:fill="auto"/>
                  <w:vAlign w:val="center"/>
                </w:tcPr>
                <w:p w14:paraId="24F993BC">
                  <w:pPr>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r>
            <w:tr w14:paraId="72E8962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59" w:hRule="atLeast"/>
                <w:jc w:val="center"/>
              </w:trPr>
              <w:tc>
                <w:tcPr>
                  <w:tcW w:w="855" w:type="dxa"/>
                  <w:vMerge w:val="restart"/>
                  <w:shd w:val="clear" w:color="auto" w:fill="auto"/>
                  <w:vAlign w:val="center"/>
                </w:tcPr>
                <w:p w14:paraId="4F318A23">
                  <w:pPr>
                    <w:autoSpaceDE w:val="0"/>
                    <w:autoSpaceDN w:val="0"/>
                    <w:adjustRightInd w:val="0"/>
                    <w:spacing w:line="240" w:lineRule="auto"/>
                    <w:jc w:val="center"/>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预处理池处理后（综合废水）</w:t>
                  </w:r>
                </w:p>
              </w:tc>
              <w:tc>
                <w:tcPr>
                  <w:tcW w:w="997" w:type="dxa"/>
                  <w:shd w:val="clear" w:color="auto" w:fill="auto"/>
                  <w:vAlign w:val="center"/>
                </w:tcPr>
                <w:p w14:paraId="39F06D96">
                  <w:pPr>
                    <w:jc w:val="center"/>
                    <w:rPr>
                      <w:rFonts w:hint="eastAsia"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浓度</w:t>
                  </w:r>
                </w:p>
              </w:tc>
              <w:tc>
                <w:tcPr>
                  <w:tcW w:w="740" w:type="dxa"/>
                  <w:vMerge w:val="restart"/>
                  <w:vAlign w:val="center"/>
                </w:tcPr>
                <w:p w14:paraId="29C12739">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3580.8</w:t>
                  </w:r>
                </w:p>
              </w:tc>
              <w:tc>
                <w:tcPr>
                  <w:tcW w:w="676" w:type="dxa"/>
                  <w:vAlign w:val="center"/>
                </w:tcPr>
                <w:p w14:paraId="78337236">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134.4</w:t>
                  </w:r>
                </w:p>
              </w:tc>
              <w:tc>
                <w:tcPr>
                  <w:tcW w:w="752" w:type="dxa"/>
                  <w:vAlign w:val="center"/>
                </w:tcPr>
                <w:p w14:paraId="51C73DEE">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106</w:t>
                  </w:r>
                </w:p>
              </w:tc>
              <w:tc>
                <w:tcPr>
                  <w:tcW w:w="675" w:type="dxa"/>
                  <w:vAlign w:val="center"/>
                </w:tcPr>
                <w:p w14:paraId="244F387E">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24.4</w:t>
                  </w:r>
                </w:p>
              </w:tc>
              <w:tc>
                <w:tcPr>
                  <w:tcW w:w="570" w:type="dxa"/>
                  <w:vAlign w:val="center"/>
                </w:tcPr>
                <w:p w14:paraId="7FFB3C3C">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84</w:t>
                  </w:r>
                </w:p>
              </w:tc>
              <w:tc>
                <w:tcPr>
                  <w:tcW w:w="615" w:type="dxa"/>
                  <w:vAlign w:val="center"/>
                </w:tcPr>
                <w:p w14:paraId="19D15335">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2.6</w:t>
                  </w:r>
                </w:p>
              </w:tc>
              <w:tc>
                <w:tcPr>
                  <w:tcW w:w="615" w:type="dxa"/>
                  <w:vAlign w:val="center"/>
                </w:tcPr>
                <w:p w14:paraId="2E020B3E">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30.8</w:t>
                  </w:r>
                </w:p>
              </w:tc>
              <w:tc>
                <w:tcPr>
                  <w:tcW w:w="495" w:type="dxa"/>
                  <w:vAlign w:val="center"/>
                </w:tcPr>
                <w:p w14:paraId="58645CAE">
                  <w:pPr>
                    <w:autoSpaceDE w:val="0"/>
                    <w:autoSpaceDN w:val="0"/>
                    <w:adjustRightInd w:val="0"/>
                    <w:spacing w:line="240" w:lineRule="auto"/>
                    <w:jc w:val="center"/>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0.005</w:t>
                  </w:r>
                </w:p>
              </w:tc>
              <w:tc>
                <w:tcPr>
                  <w:tcW w:w="480" w:type="dxa"/>
                  <w:vAlign w:val="center"/>
                </w:tcPr>
                <w:p w14:paraId="4C220EB9">
                  <w:pPr>
                    <w:autoSpaceDE w:val="0"/>
                    <w:autoSpaceDN w:val="0"/>
                    <w:adjustRightInd w:val="0"/>
                    <w:spacing w:line="240" w:lineRule="auto"/>
                    <w:jc w:val="center"/>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0.0009</w:t>
                  </w:r>
                </w:p>
              </w:tc>
              <w:tc>
                <w:tcPr>
                  <w:tcW w:w="562" w:type="dxa"/>
                  <w:vAlign w:val="center"/>
                </w:tcPr>
                <w:p w14:paraId="49D29DEF">
                  <w:pPr>
                    <w:autoSpaceDE w:val="0"/>
                    <w:autoSpaceDN w:val="0"/>
                    <w:adjustRightInd w:val="0"/>
                    <w:spacing w:line="240" w:lineRule="auto"/>
                    <w:jc w:val="center"/>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0.0028</w:t>
                  </w:r>
                </w:p>
              </w:tc>
            </w:tr>
            <w:tr w14:paraId="5027530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855" w:type="dxa"/>
                  <w:vMerge w:val="continue"/>
                  <w:vAlign w:val="center"/>
                </w:tcPr>
                <w:p w14:paraId="40EA10A2">
                  <w:pPr>
                    <w:autoSpaceDE w:val="0"/>
                    <w:autoSpaceDN w:val="0"/>
                    <w:adjustRightInd w:val="0"/>
                    <w:spacing w:line="240" w:lineRule="auto"/>
                    <w:jc w:val="center"/>
                    <w:rPr>
                      <w:rFonts w:hint="eastAsia"/>
                      <w:b w:val="0"/>
                      <w:bCs w:val="0"/>
                      <w:color w:val="000000" w:themeColor="text1"/>
                      <w:sz w:val="21"/>
                      <w:szCs w:val="21"/>
                      <w:highlight w:val="none"/>
                      <w:vertAlign w:val="baseline"/>
                      <w:lang w:val="en-US" w:eastAsia="zh-CN"/>
                      <w14:textFill>
                        <w14:solidFill>
                          <w14:schemeClr w14:val="tx1"/>
                        </w14:solidFill>
                      </w14:textFill>
                    </w:rPr>
                  </w:pPr>
                </w:p>
              </w:tc>
              <w:tc>
                <w:tcPr>
                  <w:tcW w:w="997" w:type="dxa"/>
                  <w:shd w:val="clear" w:color="auto" w:fill="auto"/>
                  <w:vAlign w:val="center"/>
                </w:tcPr>
                <w:p w14:paraId="2D32446F">
                  <w:pPr>
                    <w:jc w:val="center"/>
                    <w:rPr>
                      <w:rFonts w:hint="eastAsia"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产生量</w:t>
                  </w:r>
                </w:p>
              </w:tc>
              <w:tc>
                <w:tcPr>
                  <w:tcW w:w="740" w:type="dxa"/>
                  <w:vMerge w:val="continue"/>
                  <w:vAlign w:val="center"/>
                </w:tcPr>
                <w:p w14:paraId="1483B4D0">
                  <w:pPr>
                    <w:autoSpaceDE w:val="0"/>
                    <w:autoSpaceDN w:val="0"/>
                    <w:adjustRightInd w:val="0"/>
                    <w:spacing w:line="240" w:lineRule="auto"/>
                    <w:jc w:val="center"/>
                    <w:rPr>
                      <w:rFonts w:hint="eastAsia"/>
                      <w:b w:val="0"/>
                      <w:bCs w:val="0"/>
                      <w:color w:val="000000" w:themeColor="text1"/>
                      <w:sz w:val="21"/>
                      <w:szCs w:val="21"/>
                      <w:highlight w:val="none"/>
                      <w:vertAlign w:val="baseline"/>
                      <w:lang w:val="en-US" w:eastAsia="zh-CN"/>
                      <w14:textFill>
                        <w14:solidFill>
                          <w14:schemeClr w14:val="tx1"/>
                        </w14:solidFill>
                      </w14:textFill>
                    </w:rPr>
                  </w:pPr>
                </w:p>
              </w:tc>
              <w:tc>
                <w:tcPr>
                  <w:tcW w:w="676" w:type="dxa"/>
                  <w:vAlign w:val="center"/>
                </w:tcPr>
                <w:p w14:paraId="6D2C2A26">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0.48</w:t>
                  </w:r>
                </w:p>
              </w:tc>
              <w:tc>
                <w:tcPr>
                  <w:tcW w:w="752" w:type="dxa"/>
                  <w:vAlign w:val="center"/>
                </w:tcPr>
                <w:p w14:paraId="54ACF94D">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0.38</w:t>
                  </w:r>
                </w:p>
              </w:tc>
              <w:tc>
                <w:tcPr>
                  <w:tcW w:w="675" w:type="dxa"/>
                  <w:vAlign w:val="center"/>
                </w:tcPr>
                <w:p w14:paraId="1BE0286A">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0.09</w:t>
                  </w:r>
                </w:p>
              </w:tc>
              <w:tc>
                <w:tcPr>
                  <w:tcW w:w="570" w:type="dxa"/>
                  <w:vAlign w:val="center"/>
                </w:tcPr>
                <w:p w14:paraId="14FA37DF">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0.3</w:t>
                  </w:r>
                </w:p>
              </w:tc>
              <w:tc>
                <w:tcPr>
                  <w:tcW w:w="615" w:type="dxa"/>
                  <w:vAlign w:val="center"/>
                </w:tcPr>
                <w:p w14:paraId="0EA6E0DB">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0.0093</w:t>
                  </w:r>
                </w:p>
              </w:tc>
              <w:tc>
                <w:tcPr>
                  <w:tcW w:w="615" w:type="dxa"/>
                  <w:vAlign w:val="center"/>
                </w:tcPr>
                <w:p w14:paraId="77DA59C6">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0.11</w:t>
                  </w:r>
                </w:p>
              </w:tc>
              <w:tc>
                <w:tcPr>
                  <w:tcW w:w="495" w:type="dxa"/>
                  <w:vAlign w:val="center"/>
                </w:tcPr>
                <w:p w14:paraId="781F36BD">
                  <w:pPr>
                    <w:autoSpaceDE w:val="0"/>
                    <w:autoSpaceDN w:val="0"/>
                    <w:adjustRightInd w:val="0"/>
                    <w:spacing w:line="240" w:lineRule="auto"/>
                    <w:jc w:val="center"/>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0.00002</w:t>
                  </w:r>
                </w:p>
              </w:tc>
              <w:tc>
                <w:tcPr>
                  <w:tcW w:w="480" w:type="dxa"/>
                  <w:vAlign w:val="center"/>
                </w:tcPr>
                <w:p w14:paraId="5B7C8CE4">
                  <w:pPr>
                    <w:autoSpaceDE w:val="0"/>
                    <w:autoSpaceDN w:val="0"/>
                    <w:adjustRightInd w:val="0"/>
                    <w:spacing w:line="240" w:lineRule="auto"/>
                    <w:jc w:val="center"/>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0.000003</w:t>
                  </w:r>
                </w:p>
              </w:tc>
              <w:tc>
                <w:tcPr>
                  <w:tcW w:w="562" w:type="dxa"/>
                  <w:vAlign w:val="center"/>
                </w:tcPr>
                <w:p w14:paraId="47F7566B">
                  <w:pPr>
                    <w:autoSpaceDE w:val="0"/>
                    <w:autoSpaceDN w:val="0"/>
                    <w:adjustRightInd w:val="0"/>
                    <w:spacing w:line="240" w:lineRule="auto"/>
                    <w:jc w:val="center"/>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0.00001</w:t>
                  </w:r>
                </w:p>
              </w:tc>
            </w:tr>
            <w:tr w14:paraId="196D76C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855" w:type="dxa"/>
                  <w:vMerge w:val="restart"/>
                  <w:vAlign w:val="center"/>
                </w:tcPr>
                <w:p w14:paraId="6C11965F">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14:textFill>
                        <w14:solidFill>
                          <w14:schemeClr w14:val="tx1"/>
                        </w14:solidFill>
                      </w14:textFill>
                    </w:rPr>
                    <w:t>四川巴中经济开发区污水处理厂排口</w:t>
                  </w:r>
                </w:p>
              </w:tc>
              <w:tc>
                <w:tcPr>
                  <w:tcW w:w="997" w:type="dxa"/>
                  <w:vAlign w:val="center"/>
                </w:tcPr>
                <w:p w14:paraId="40516B1A">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14:textFill>
                        <w14:solidFill>
                          <w14:schemeClr w14:val="tx1"/>
                        </w14:solidFill>
                      </w14:textFill>
                    </w:rPr>
                    <w:t>浓度</w:t>
                  </w:r>
                </w:p>
              </w:tc>
              <w:tc>
                <w:tcPr>
                  <w:tcW w:w="740" w:type="dxa"/>
                  <w:vMerge w:val="restart"/>
                  <w:vAlign w:val="center"/>
                </w:tcPr>
                <w:p w14:paraId="045BC102">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3580.8</w:t>
                  </w:r>
                </w:p>
              </w:tc>
              <w:tc>
                <w:tcPr>
                  <w:tcW w:w="676" w:type="dxa"/>
                  <w:vAlign w:val="center"/>
                </w:tcPr>
                <w:p w14:paraId="21760E08">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50</w:t>
                  </w:r>
                </w:p>
              </w:tc>
              <w:tc>
                <w:tcPr>
                  <w:tcW w:w="752" w:type="dxa"/>
                  <w:vAlign w:val="center"/>
                </w:tcPr>
                <w:p w14:paraId="072CD5DE">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10</w:t>
                  </w:r>
                </w:p>
              </w:tc>
              <w:tc>
                <w:tcPr>
                  <w:tcW w:w="675" w:type="dxa"/>
                  <w:vAlign w:val="center"/>
                </w:tcPr>
                <w:p w14:paraId="48FD9D43">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5（8）</w:t>
                  </w:r>
                </w:p>
              </w:tc>
              <w:tc>
                <w:tcPr>
                  <w:tcW w:w="570" w:type="dxa"/>
                  <w:vAlign w:val="center"/>
                </w:tcPr>
                <w:p w14:paraId="0DBCD06A">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10</w:t>
                  </w:r>
                </w:p>
              </w:tc>
              <w:tc>
                <w:tcPr>
                  <w:tcW w:w="615" w:type="dxa"/>
                  <w:vAlign w:val="center"/>
                </w:tcPr>
                <w:p w14:paraId="41D0A9A1">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0.5</w:t>
                  </w:r>
                </w:p>
              </w:tc>
              <w:tc>
                <w:tcPr>
                  <w:tcW w:w="615" w:type="dxa"/>
                  <w:vAlign w:val="center"/>
                </w:tcPr>
                <w:p w14:paraId="5D5DF030">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15</w:t>
                  </w:r>
                </w:p>
              </w:tc>
              <w:tc>
                <w:tcPr>
                  <w:tcW w:w="495" w:type="dxa"/>
                  <w:vAlign w:val="center"/>
                </w:tcPr>
                <w:p w14:paraId="3194AC3A">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c>
                <w:tcPr>
                  <w:tcW w:w="480" w:type="dxa"/>
                  <w:vAlign w:val="center"/>
                </w:tcPr>
                <w:p w14:paraId="33CE5374">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c>
                <w:tcPr>
                  <w:tcW w:w="562" w:type="dxa"/>
                  <w:vAlign w:val="center"/>
                </w:tcPr>
                <w:p w14:paraId="23A076AF">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r>
            <w:tr w14:paraId="41BE802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85" w:hRule="atLeast"/>
                <w:jc w:val="center"/>
              </w:trPr>
              <w:tc>
                <w:tcPr>
                  <w:tcW w:w="855" w:type="dxa"/>
                  <w:vMerge w:val="continue"/>
                  <w:vAlign w:val="center"/>
                </w:tcPr>
                <w:p w14:paraId="07587AA4">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b w:val="0"/>
                      <w:bCs w:val="0"/>
                      <w:color w:val="000000" w:themeColor="text1"/>
                      <w:sz w:val="21"/>
                      <w:szCs w:val="21"/>
                      <w:highlight w:val="none"/>
                      <w:vertAlign w:val="baseline"/>
                      <w:lang w:val="en-US" w:eastAsia="zh-CN"/>
                      <w14:textFill>
                        <w14:solidFill>
                          <w14:schemeClr w14:val="tx1"/>
                        </w14:solidFill>
                      </w14:textFill>
                    </w:rPr>
                  </w:pPr>
                </w:p>
              </w:tc>
              <w:tc>
                <w:tcPr>
                  <w:tcW w:w="997" w:type="dxa"/>
                  <w:vAlign w:val="center"/>
                </w:tcPr>
                <w:p w14:paraId="6D0493E1">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排放</w:t>
                  </w:r>
                  <w:r>
                    <w:rPr>
                      <w:rFonts w:hint="default" w:ascii="Times New Roman" w:hAnsi="Times New Roman" w:cs="Times New Roman"/>
                      <w:b w:val="0"/>
                      <w:bCs w:val="0"/>
                      <w:color w:val="000000" w:themeColor="text1"/>
                      <w:sz w:val="21"/>
                      <w:szCs w:val="21"/>
                      <w14:textFill>
                        <w14:solidFill>
                          <w14:schemeClr w14:val="tx1"/>
                        </w14:solidFill>
                      </w14:textFill>
                    </w:rPr>
                    <w:t>量</w:t>
                  </w:r>
                </w:p>
              </w:tc>
              <w:tc>
                <w:tcPr>
                  <w:tcW w:w="740" w:type="dxa"/>
                  <w:vMerge w:val="continue"/>
                  <w:vAlign w:val="center"/>
                </w:tcPr>
                <w:p w14:paraId="33D26ADD">
                  <w:pPr>
                    <w:autoSpaceDE w:val="0"/>
                    <w:autoSpaceDN w:val="0"/>
                    <w:adjustRightInd w:val="0"/>
                    <w:spacing w:line="240" w:lineRule="auto"/>
                    <w:jc w:val="center"/>
                    <w:rPr>
                      <w:rFonts w:hint="eastAsia"/>
                      <w:b w:val="0"/>
                      <w:bCs w:val="0"/>
                      <w:color w:val="000000" w:themeColor="text1"/>
                      <w:sz w:val="21"/>
                      <w:szCs w:val="21"/>
                      <w:highlight w:val="none"/>
                      <w:vertAlign w:val="baseline"/>
                      <w:lang w:val="en-US" w:eastAsia="zh-CN"/>
                      <w14:textFill>
                        <w14:solidFill>
                          <w14:schemeClr w14:val="tx1"/>
                        </w14:solidFill>
                      </w14:textFill>
                    </w:rPr>
                  </w:pPr>
                </w:p>
              </w:tc>
              <w:tc>
                <w:tcPr>
                  <w:tcW w:w="676" w:type="dxa"/>
                  <w:vAlign w:val="center"/>
                </w:tcPr>
                <w:p w14:paraId="2CEA444B">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0.18</w:t>
                  </w:r>
                </w:p>
              </w:tc>
              <w:tc>
                <w:tcPr>
                  <w:tcW w:w="752" w:type="dxa"/>
                  <w:vAlign w:val="center"/>
                </w:tcPr>
                <w:p w14:paraId="0643C2B5">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0.036</w:t>
                  </w:r>
                </w:p>
              </w:tc>
              <w:tc>
                <w:tcPr>
                  <w:tcW w:w="675" w:type="dxa"/>
                  <w:vAlign w:val="center"/>
                </w:tcPr>
                <w:p w14:paraId="6A09BFFA">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0.018（0.029）</w:t>
                  </w:r>
                </w:p>
              </w:tc>
              <w:tc>
                <w:tcPr>
                  <w:tcW w:w="570" w:type="dxa"/>
                  <w:vAlign w:val="center"/>
                </w:tcPr>
                <w:p w14:paraId="153C2340">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0.036</w:t>
                  </w:r>
                </w:p>
              </w:tc>
              <w:tc>
                <w:tcPr>
                  <w:tcW w:w="615" w:type="dxa"/>
                  <w:vAlign w:val="center"/>
                </w:tcPr>
                <w:p w14:paraId="6AF7D2C8">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0.0018</w:t>
                  </w:r>
                </w:p>
              </w:tc>
              <w:tc>
                <w:tcPr>
                  <w:tcW w:w="615" w:type="dxa"/>
                  <w:vAlign w:val="center"/>
                </w:tcPr>
                <w:p w14:paraId="2E50FBD0">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0.054</w:t>
                  </w:r>
                </w:p>
              </w:tc>
              <w:tc>
                <w:tcPr>
                  <w:tcW w:w="495" w:type="dxa"/>
                  <w:vAlign w:val="center"/>
                </w:tcPr>
                <w:p w14:paraId="76D5C1A5">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c>
                <w:tcPr>
                  <w:tcW w:w="480" w:type="dxa"/>
                  <w:vAlign w:val="center"/>
                </w:tcPr>
                <w:p w14:paraId="20B5A203">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c>
                <w:tcPr>
                  <w:tcW w:w="562" w:type="dxa"/>
                  <w:vAlign w:val="center"/>
                </w:tcPr>
                <w:p w14:paraId="725CC380">
                  <w:pPr>
                    <w:autoSpaceDE w:val="0"/>
                    <w:autoSpaceDN w:val="0"/>
                    <w:adjustRightInd w:val="0"/>
                    <w:spacing w:line="240" w:lineRule="auto"/>
                    <w:jc w:val="center"/>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r>
            <w:tr w14:paraId="794B027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8032" w:type="dxa"/>
                  <w:gridSpan w:val="12"/>
                  <w:vAlign w:val="center"/>
                </w:tcPr>
                <w:p w14:paraId="4F9DA49F">
                  <w:pPr>
                    <w:ind w:firstLine="0" w:firstLineChars="0"/>
                    <w:rPr>
                      <w:b w:val="0"/>
                      <w:bCs w:val="0"/>
                      <w:color w:val="000000" w:themeColor="text1"/>
                      <w:sz w:val="21"/>
                      <w:szCs w:val="21"/>
                      <w:highlight w:val="none"/>
                      <w14:textFill>
                        <w14:solidFill>
                          <w14:schemeClr w14:val="tx1"/>
                        </w14:solidFill>
                      </w14:textFill>
                    </w:rPr>
                  </w:pPr>
                  <w:r>
                    <w:rPr>
                      <w:b w:val="0"/>
                      <w:bCs w:val="0"/>
                      <w:color w:val="000000" w:themeColor="text1"/>
                      <w:sz w:val="21"/>
                      <w:szCs w:val="21"/>
                      <w:highlight w:val="none"/>
                      <w14:textFill>
                        <w14:solidFill>
                          <w14:schemeClr w14:val="tx1"/>
                        </w14:solidFill>
                      </w14:textFill>
                    </w:rPr>
                    <w:t>备注</w:t>
                  </w:r>
                  <w:r>
                    <w:rPr>
                      <w:rFonts w:ascii="Times New Roman" w:hAnsi="Times New Roman" w:eastAsia="宋体" w:cs="Times New Roman"/>
                      <w:b w:val="0"/>
                      <w:bCs w:val="0"/>
                      <w:color w:val="000000" w:themeColor="text1"/>
                      <w:sz w:val="21"/>
                      <w:szCs w:val="21"/>
                      <w:highlight w:val="none"/>
                      <w14:textFill>
                        <w14:solidFill>
                          <w14:schemeClr w14:val="tx1"/>
                        </w14:solidFill>
                      </w14:textFill>
                    </w:rPr>
                    <w:t>：</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巴中经济开发区污水处理厂</w:t>
                  </w:r>
                  <w:r>
                    <w:rPr>
                      <w:rFonts w:ascii="Times New Roman" w:hAnsi="Times New Roman" w:eastAsia="宋体" w:cs="Times New Roman"/>
                      <w:b w:val="0"/>
                      <w:bCs w:val="0"/>
                      <w:color w:val="000000" w:themeColor="text1"/>
                      <w:sz w:val="21"/>
                      <w:szCs w:val="21"/>
                      <w:highlight w:val="none"/>
                      <w14:textFill>
                        <w14:solidFill>
                          <w14:schemeClr w14:val="tx1"/>
                        </w14:solidFill>
                      </w14:textFill>
                    </w:rPr>
                    <w:t>排</w:t>
                  </w:r>
                  <w:r>
                    <w:rPr>
                      <w:b w:val="0"/>
                      <w:bCs w:val="0"/>
                      <w:color w:val="000000" w:themeColor="text1"/>
                      <w:sz w:val="21"/>
                      <w:szCs w:val="21"/>
                      <w:highlight w:val="none"/>
                      <w14:textFill>
                        <w14:solidFill>
                          <w14:schemeClr w14:val="tx1"/>
                        </w14:solidFill>
                      </w14:textFill>
                    </w:rPr>
                    <w:t>口排放标准：执行《城镇污水处理厂污染物排放标准》（GB18918-2002）一级A标准。</w:t>
                  </w:r>
                </w:p>
              </w:tc>
            </w:tr>
          </w:tbl>
          <w:p w14:paraId="5E667AC0">
            <w:pPr>
              <w:keepNext w:val="0"/>
              <w:keepLines w:val="0"/>
              <w:pageBreakBefore w:val="0"/>
              <w:widowControl w:val="0"/>
              <w:kinsoku/>
              <w:wordWrap/>
              <w:overflowPunct/>
              <w:topLinePunct w:val="0"/>
              <w:bidi w:val="0"/>
              <w:spacing w:line="360" w:lineRule="auto"/>
              <w:ind w:firstLine="482" w:firstLineChars="200"/>
              <w:jc w:val="both"/>
              <w:textAlignment w:val="auto"/>
              <w:rPr>
                <w:rFonts w:hint="eastAsia" w:ascii="Times New Roman" w:hAnsi="Times New Roman" w:eastAsia="宋体" w:cs="Times New Roman"/>
                <w:b/>
                <w:bCs/>
                <w:color w:val="000000" w:themeColor="text1"/>
                <w:sz w:val="24"/>
                <w:lang w:val="en-US" w:eastAsia="zh-CN"/>
                <w14:textFill>
                  <w14:solidFill>
                    <w14:schemeClr w14:val="tx1"/>
                  </w14:solidFill>
                </w14:textFill>
              </w:rPr>
            </w:pPr>
            <w:r>
              <w:rPr>
                <w:rFonts w:hint="eastAsia" w:ascii="宋体" w:hAnsi="宋体" w:eastAsia="宋体"/>
                <w:b/>
                <w:bCs/>
                <w:color w:val="000000" w:themeColor="text1"/>
                <w:sz w:val="24"/>
                <w:szCs w:val="24"/>
                <w14:textFill>
                  <w14:solidFill>
                    <w14:schemeClr w14:val="tx1"/>
                  </w14:solidFill>
                </w14:textFill>
              </w:rPr>
              <w:t>单位产品基准排水量核算</w:t>
            </w:r>
            <w:r>
              <w:rPr>
                <w:rFonts w:hint="eastAsia" w:ascii="宋体" w:hAnsi="宋体" w:eastAsia="宋体"/>
                <w:b/>
                <w:bCs/>
                <w:color w:val="000000" w:themeColor="text1"/>
                <w:sz w:val="24"/>
                <w:szCs w:val="24"/>
                <w:lang w:eastAsia="zh-CN"/>
                <w14:textFill>
                  <w14:solidFill>
                    <w14:schemeClr w14:val="tx1"/>
                  </w14:solidFill>
                </w14:textFill>
              </w:rPr>
              <w:t>：</w:t>
            </w:r>
          </w:p>
          <w:p w14:paraId="59595993">
            <w:pPr>
              <w:keepNext w:val="0"/>
              <w:keepLines w:val="0"/>
              <w:pageBreakBefore w:val="0"/>
              <w:widowControl w:val="0"/>
              <w:kinsoku/>
              <w:wordWrap/>
              <w:overflowPunct/>
              <w:topLinePunct w:val="0"/>
              <w:bidi w:val="0"/>
              <w:spacing w:line="360" w:lineRule="auto"/>
              <w:ind w:firstLine="480" w:firstLineChars="200"/>
              <w:jc w:val="both"/>
              <w:textAlignment w:val="auto"/>
              <w:rPr>
                <w:rFonts w:hint="default" w:ascii="宋体" w:hAnsi="宋体" w:eastAsia="宋体"/>
                <w:color w:val="000000" w:themeColor="text1"/>
                <w:sz w:val="24"/>
                <w:szCs w:val="24"/>
                <w:lang w:val="en-US" w:eastAsia="zh-CN"/>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根据原环境保护部《关于执行电池工业污染物排放标准有关问题的复函》（环函〔</w:t>
            </w:r>
            <w:r>
              <w:rPr>
                <w:rFonts w:hint="eastAsia" w:ascii="TimesNewRomanPSMT" w:hAnsi="TimesNewRomanPSMT" w:eastAsia="TimesNewRomanPSMT"/>
                <w:color w:val="000000" w:themeColor="text1"/>
                <w:sz w:val="24"/>
                <w:szCs w:val="24"/>
                <w14:textFill>
                  <w14:solidFill>
                    <w14:schemeClr w14:val="tx1"/>
                  </w14:solidFill>
                </w14:textFill>
              </w:rPr>
              <w:t>2014</w:t>
            </w:r>
            <w:r>
              <w:rPr>
                <w:rFonts w:hint="eastAsia" w:ascii="宋体" w:hAnsi="宋体" w:eastAsia="宋体"/>
                <w:color w:val="000000" w:themeColor="text1"/>
                <w:sz w:val="24"/>
                <w:szCs w:val="24"/>
                <w14:textFill>
                  <w14:solidFill>
                    <w14:schemeClr w14:val="tx1"/>
                  </w14:solidFill>
                </w14:textFill>
              </w:rPr>
              <w:t>〕</w:t>
            </w:r>
            <w:r>
              <w:rPr>
                <w:rFonts w:hint="eastAsia" w:ascii="TimesNewRomanPSMT" w:hAnsi="TimesNewRomanPSMT" w:eastAsia="TimesNewRomanPSMT"/>
                <w:color w:val="000000" w:themeColor="text1"/>
                <w:sz w:val="24"/>
                <w:szCs w:val="24"/>
                <w14:textFill>
                  <w14:solidFill>
                    <w14:schemeClr w14:val="tx1"/>
                  </w14:solidFill>
                </w14:textFill>
              </w:rPr>
              <w:t>170</w:t>
            </w:r>
            <w:r>
              <w:rPr>
                <w:rFonts w:hint="eastAsia" w:ascii="宋体" w:hAnsi="宋体" w:eastAsia="宋体"/>
                <w:color w:val="000000" w:themeColor="text1"/>
                <w:sz w:val="24"/>
                <w:szCs w:val="24"/>
                <w14:textFill>
                  <w14:solidFill>
                    <w14:schemeClr w14:val="tx1"/>
                  </w14:solidFill>
                </w14:textFill>
              </w:rPr>
              <w:t>号）可知</w:t>
            </w:r>
            <w:r>
              <w:rPr>
                <w:rFonts w:hint="eastAsia" w:ascii="宋体" w:hAnsi="宋体" w:eastAsia="宋体"/>
                <w:color w:val="000000" w:themeColor="text1"/>
                <w:sz w:val="24"/>
                <w:szCs w:val="24"/>
                <w:lang w:eastAsia="zh-CN"/>
                <w14:textFill>
                  <w14:solidFill>
                    <w14:schemeClr w14:val="tx1"/>
                  </w14:solidFill>
                </w14:textFill>
              </w:rPr>
              <w:t>：“</w:t>
            </w:r>
            <w:r>
              <w:rPr>
                <w:rFonts w:hint="eastAsia" w:ascii="宋体" w:hAnsi="宋体" w:eastAsia="宋体"/>
                <w:color w:val="000000" w:themeColor="text1"/>
                <w:sz w:val="24"/>
                <w:szCs w:val="24"/>
                <w14:textFill>
                  <w14:solidFill>
                    <w14:schemeClr w14:val="tx1"/>
                  </w14:solidFill>
                </w14:textFill>
              </w:rPr>
              <w:t>随着电动汽车等领域的快速发展，大容量锂离子电池迅速应用，以每万只为单位规定的锂离子</w:t>
            </w:r>
            <w:r>
              <w:rPr>
                <w:rFonts w:hint="eastAsia" w:ascii="TimesNewRomanPSMT" w:hAnsi="TimesNewRomanPSMT" w:eastAsia="TimesNewRomanPSMT"/>
                <w:color w:val="000000" w:themeColor="text1"/>
                <w:sz w:val="24"/>
                <w:szCs w:val="24"/>
                <w14:textFill>
                  <w14:solidFill>
                    <w14:schemeClr w14:val="tx1"/>
                  </w14:solidFill>
                </w14:textFill>
              </w:rPr>
              <w:t>/</w:t>
            </w:r>
            <w:r>
              <w:rPr>
                <w:rFonts w:hint="eastAsia" w:ascii="宋体" w:hAnsi="宋体" w:eastAsia="宋体"/>
                <w:color w:val="000000" w:themeColor="text1"/>
                <w:sz w:val="24"/>
                <w:szCs w:val="24"/>
                <w14:textFill>
                  <w14:solidFill>
                    <w14:schemeClr w14:val="tx1"/>
                  </w14:solidFill>
                </w14:textFill>
              </w:rPr>
              <w:t>锂电池单位产品基准排水量与实际排放情况有一定的差别；现有水污染物排放限值、新建企业水污染物排放限值和特别排放限值的锂电池单位产品基准排水量分别按照</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1.0万m</w:t>
            </w:r>
            <w:r>
              <w:rPr>
                <w:rFonts w:hint="default" w:ascii="Times New Roman" w:hAnsi="Times New Roman" w:eastAsia="宋体" w:cs="Times New Roman"/>
                <w:color w:val="000000" w:themeColor="text1"/>
                <w:sz w:val="24"/>
                <w:szCs w:val="24"/>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/万Ah、0.8m</w:t>
            </w:r>
            <w:r>
              <w:rPr>
                <w:rFonts w:hint="default" w:ascii="Times New Roman" w:hAnsi="Times New Roman" w:eastAsia="宋体" w:cs="Times New Roman"/>
                <w:color w:val="000000" w:themeColor="text1"/>
                <w:sz w:val="24"/>
                <w:szCs w:val="24"/>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/万Ah、0.6m</w:t>
            </w:r>
            <w:r>
              <w:rPr>
                <w:rFonts w:hint="default" w:ascii="Times New Roman" w:hAnsi="Times New Roman" w:eastAsia="宋体" w:cs="Times New Roman"/>
                <w:color w:val="000000" w:themeColor="text1"/>
                <w:sz w:val="24"/>
                <w:szCs w:val="24"/>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/万Ah执行</w:t>
            </w:r>
            <w:r>
              <w:rPr>
                <w:rFonts w:hint="eastAsia" w:ascii="宋体" w:hAnsi="宋体" w:eastAsia="宋体"/>
                <w:color w:val="000000" w:themeColor="text1"/>
                <w:sz w:val="24"/>
                <w:szCs w:val="24"/>
                <w:lang w:eastAsia="zh-CN"/>
                <w14:textFill>
                  <w14:solidFill>
                    <w14:schemeClr w14:val="tx1"/>
                  </w14:solidFill>
                </w14:textFill>
              </w:rPr>
              <w:t>”。</w:t>
            </w:r>
            <w:r>
              <w:rPr>
                <w:rFonts w:hint="eastAsia" w:ascii="宋体" w:hAnsi="宋体" w:eastAsia="宋体"/>
                <w:color w:val="000000" w:themeColor="text1"/>
                <w:sz w:val="24"/>
                <w:szCs w:val="24"/>
                <w:lang w:val="en-US" w:eastAsia="zh-CN"/>
                <w14:textFill>
                  <w14:solidFill>
                    <w14:schemeClr w14:val="tx1"/>
                  </w14:solidFill>
                </w14:textFill>
              </w:rPr>
              <w:t>本项目不属于特别排放区域，参照新建企业水污染物排放限值，</w:t>
            </w:r>
            <w:r>
              <w:rPr>
                <w:rFonts w:hint="default" w:ascii="Times New Roman" w:hAnsi="Times New Roman" w:cs="Times New Roman"/>
                <w:bCs/>
                <w:color w:val="000000" w:themeColor="text1"/>
                <w:sz w:val="24"/>
                <w:lang w:val="en-US" w:eastAsia="zh-CN"/>
                <w14:textFill>
                  <w14:solidFill>
                    <w14:schemeClr w14:val="tx1"/>
                  </w14:solidFill>
                </w14:textFill>
              </w:rPr>
              <w:t>锂离子电池基准排水量为0.8</w:t>
            </w:r>
            <w:r>
              <w:rPr>
                <w:rFonts w:hint="eastAsia" w:cs="Times New Roman"/>
                <w:bCs/>
                <w:color w:val="000000" w:themeColor="text1"/>
                <w:sz w:val="24"/>
                <w:lang w:val="en-US" w:eastAsia="zh-CN"/>
                <w14:textFill>
                  <w14:solidFill>
                    <w14:schemeClr w14:val="tx1"/>
                  </w14:solidFill>
                </w14:textFill>
              </w:rPr>
              <w:t>m</w:t>
            </w:r>
            <w:r>
              <w:rPr>
                <w:rFonts w:hint="eastAsia" w:cs="Times New Roman"/>
                <w:bCs/>
                <w:color w:val="000000" w:themeColor="text1"/>
                <w:sz w:val="24"/>
                <w:vertAlign w:val="superscript"/>
                <w:lang w:val="en-US" w:eastAsia="zh-CN"/>
                <w14:textFill>
                  <w14:solidFill>
                    <w14:schemeClr w14:val="tx1"/>
                  </w14:solidFill>
                </w14:textFill>
              </w:rPr>
              <w:t>3</w:t>
            </w:r>
            <w:r>
              <w:rPr>
                <w:rFonts w:hint="default" w:ascii="Times New Roman" w:hAnsi="Times New Roman" w:cs="Times New Roman"/>
                <w:bCs/>
                <w:color w:val="000000" w:themeColor="text1"/>
                <w:sz w:val="24"/>
                <w:lang w:val="en-US" w:eastAsia="zh-CN"/>
                <w14:textFill>
                  <w14:solidFill>
                    <w14:schemeClr w14:val="tx1"/>
                  </w14:solidFill>
                </w14:textFill>
              </w:rPr>
              <w:t>/万Ah</w:t>
            </w:r>
            <w:r>
              <w:rPr>
                <w:rFonts w:hint="eastAsia" w:ascii="Times New Roman" w:hAnsi="Times New Roman" w:cs="Times New Roman"/>
                <w:bCs/>
                <w:color w:val="000000" w:themeColor="text1"/>
                <w:sz w:val="24"/>
                <w:lang w:val="en-US" w:eastAsia="zh-CN"/>
                <w14:textFill>
                  <w14:solidFill>
                    <w14:schemeClr w14:val="tx1"/>
                  </w14:solidFill>
                </w14:textFill>
              </w:rPr>
              <w:t>。</w:t>
            </w:r>
            <w:r>
              <w:rPr>
                <w:rFonts w:hint="eastAsia" w:ascii="宋体" w:hAnsi="宋体" w:eastAsia="宋体"/>
                <w:color w:val="000000" w:themeColor="text1"/>
                <w:sz w:val="24"/>
                <w:szCs w:val="24"/>
                <w:lang w:val="en-US" w:eastAsia="zh-CN"/>
                <w14:textFill>
                  <w14:solidFill>
                    <w14:schemeClr w14:val="tx1"/>
                  </w14:solidFill>
                </w14:textFill>
              </w:rPr>
              <w:t>同时根据</w:t>
            </w:r>
            <w:r>
              <w:rPr>
                <w:rFonts w:hint="eastAsia" w:ascii="宋体" w:hAnsi="宋体" w:eastAsia="宋体"/>
                <w:color w:val="000000" w:themeColor="text1"/>
                <w:sz w:val="24"/>
                <w:szCs w:val="24"/>
                <w14:textFill>
                  <w14:solidFill>
                    <w14:schemeClr w14:val="tx1"/>
                  </w14:solidFill>
                </w14:textFill>
              </w:rPr>
              <w:t>《电池工业污染物排放标准》（</w:t>
            </w:r>
            <w:r>
              <w:rPr>
                <w:rFonts w:hint="default" w:ascii="Times New Roman" w:hAnsi="Times New Roman" w:eastAsia="宋体" w:cs="Times New Roman"/>
                <w:color w:val="000000" w:themeColor="text1"/>
                <w:sz w:val="24"/>
                <w:szCs w:val="24"/>
                <w14:textFill>
                  <w14:solidFill>
                    <w14:schemeClr w14:val="tx1"/>
                  </w14:solidFill>
                </w14:textFill>
              </w:rPr>
              <w:t>GB30484-2013</w:t>
            </w:r>
            <w:r>
              <w:rPr>
                <w:rFonts w:hint="eastAsia" w:ascii="宋体" w:hAnsi="宋体" w:eastAsia="宋体"/>
                <w:color w:val="000000" w:themeColor="text1"/>
                <w:sz w:val="24"/>
                <w:szCs w:val="24"/>
                <w14:textFill>
                  <w14:solidFill>
                    <w14:schemeClr w14:val="tx1"/>
                  </w14:solidFill>
                </w14:textFill>
              </w:rPr>
              <w:t>）</w:t>
            </w:r>
            <w:r>
              <w:rPr>
                <w:rFonts w:hint="eastAsia" w:ascii="宋体" w:hAnsi="宋体" w:eastAsia="宋体"/>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 xml:space="preserve">3.18 排水量 </w:t>
            </w:r>
            <w:r>
              <w:rPr>
                <w:rFonts w:hint="default" w:ascii="Times New Roman" w:hAnsi="Times New Roman" w:eastAsia="宋体" w:cs="Times New Roman"/>
                <w:color w:val="000000" w:themeColor="text1"/>
                <w:sz w:val="24"/>
                <w:szCs w:val="24"/>
                <w14:textFill>
                  <w14:solidFill>
                    <w14:schemeClr w14:val="tx1"/>
                  </w14:solidFill>
                </w14:textFill>
              </w:rPr>
              <w:t>包</w:t>
            </w:r>
            <w:r>
              <w:rPr>
                <w:rFonts w:hint="eastAsia" w:ascii="宋体" w:hAnsi="宋体" w:eastAsia="宋体"/>
                <w:color w:val="000000" w:themeColor="text1"/>
                <w:sz w:val="24"/>
                <w:szCs w:val="24"/>
                <w14:textFill>
                  <w14:solidFill>
                    <w14:schemeClr w14:val="tx1"/>
                  </w14:solidFill>
                </w14:textFill>
              </w:rPr>
              <w:t>括与生产有直接或间接关系的各种外排废水（含厂区生活污水、厂区锅炉和电站排水等）</w:t>
            </w:r>
            <w:r>
              <w:rPr>
                <w:rFonts w:hint="eastAsia" w:ascii="宋体" w:hAnsi="宋体" w:eastAsia="宋体"/>
                <w:color w:val="000000" w:themeColor="text1"/>
                <w:sz w:val="24"/>
                <w:szCs w:val="24"/>
                <w:lang w:eastAsia="zh-CN"/>
                <w14:textFill>
                  <w14:solidFill>
                    <w14:schemeClr w14:val="tx1"/>
                  </w14:solidFill>
                </w14:textFill>
              </w:rPr>
              <w:t>”</w:t>
            </w:r>
            <w:r>
              <w:rPr>
                <w:rFonts w:hint="eastAsia" w:ascii="宋体" w:hAnsi="宋体" w:eastAsia="宋体"/>
                <w:color w:val="000000" w:themeColor="text1"/>
                <w:sz w:val="24"/>
                <w:szCs w:val="24"/>
                <w14:textFill>
                  <w14:solidFill>
                    <w14:schemeClr w14:val="tx1"/>
                  </w14:solidFill>
                </w14:textFill>
              </w:rPr>
              <w:t>。</w:t>
            </w:r>
          </w:p>
          <w:p w14:paraId="2783C4EC">
            <w:pPr>
              <w:keepNext w:val="0"/>
              <w:keepLines w:val="0"/>
              <w:pageBreakBefore w:val="0"/>
              <w:widowControl w:val="0"/>
              <w:kinsoku/>
              <w:wordWrap/>
              <w:overflowPunct/>
              <w:topLinePunct w:val="0"/>
              <w:bidi w:val="0"/>
              <w:spacing w:line="360" w:lineRule="auto"/>
              <w:ind w:firstLine="480" w:firstLineChars="200"/>
              <w:jc w:val="both"/>
              <w:textAlignment w:val="auto"/>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cs="Times New Roman"/>
                <w:color w:val="000000" w:themeColor="text1"/>
                <w:sz w:val="24"/>
                <w:lang w:val="en-US" w:eastAsia="zh-CN"/>
                <w14:textFill>
                  <w14:solidFill>
                    <w14:schemeClr w14:val="tx1"/>
                  </w14:solidFill>
                </w14:textFill>
              </w:rPr>
              <w:t>本项目</w:t>
            </w:r>
            <w:r>
              <w:rPr>
                <w:rFonts w:hint="eastAsia" w:cs="Times New Roman"/>
                <w:color w:val="000000" w:themeColor="text1"/>
                <w:sz w:val="24"/>
                <w:lang w:val="en-US" w:eastAsia="zh-CN"/>
                <w14:textFill>
                  <w14:solidFill>
                    <w14:schemeClr w14:val="tx1"/>
                  </w14:solidFill>
                </w14:textFill>
              </w:rPr>
              <w:t>外排废水</w:t>
            </w:r>
            <w:r>
              <w:rPr>
                <w:rFonts w:hint="default" w:ascii="Times New Roman" w:hAnsi="Times New Roman" w:cs="Times New Roman"/>
                <w:color w:val="000000" w:themeColor="text1"/>
                <w:sz w:val="24"/>
                <w:lang w:val="en-US" w:eastAsia="zh-CN"/>
                <w14:textFill>
                  <w14:solidFill>
                    <w14:schemeClr w14:val="tx1"/>
                  </w14:solidFill>
                </w14:textFill>
              </w:rPr>
              <w:t>量为</w:t>
            </w:r>
            <w:r>
              <w:rPr>
                <w:rFonts w:hint="eastAsia" w:cs="Times New Roman"/>
                <w:color w:val="000000" w:themeColor="text1"/>
                <w:sz w:val="24"/>
                <w:lang w:val="en-US" w:eastAsia="zh-CN"/>
                <w14:textFill>
                  <w14:solidFill>
                    <w14:schemeClr w14:val="tx1"/>
                  </w14:solidFill>
                </w14:textFill>
              </w:rPr>
              <w:t>3580.8</w:t>
            </w:r>
            <w:r>
              <w:rPr>
                <w:rFonts w:hint="eastAsia" w:cs="Times New Roman"/>
                <w:bCs/>
                <w:color w:val="000000" w:themeColor="text1"/>
                <w:sz w:val="24"/>
                <w:szCs w:val="24"/>
                <w:lang w:eastAsia="zh-CN"/>
                <w14:textFill>
                  <w14:solidFill>
                    <w14:schemeClr w14:val="tx1"/>
                  </w14:solidFill>
                </w14:textFill>
              </w:rPr>
              <w:t>m</w:t>
            </w:r>
            <w:r>
              <w:rPr>
                <w:rFonts w:hint="eastAsia" w:cs="Times New Roman"/>
                <w:bCs/>
                <w:color w:val="000000" w:themeColor="text1"/>
                <w:sz w:val="24"/>
                <w:szCs w:val="24"/>
                <w:vertAlign w:val="superscript"/>
                <w:lang w:eastAsia="zh-CN"/>
                <w14:textFill>
                  <w14:solidFill>
                    <w14:schemeClr w14:val="tx1"/>
                  </w14:solidFill>
                </w14:textFill>
              </w:rPr>
              <w:t>3</w:t>
            </w:r>
            <w:r>
              <w:rPr>
                <w:rFonts w:hint="default" w:ascii="Times New Roman" w:hAnsi="Times New Roman" w:cs="Times New Roman"/>
                <w:bCs/>
                <w:color w:val="000000" w:themeColor="text1"/>
                <w:sz w:val="24"/>
                <w:szCs w:val="24"/>
                <w14:textFill>
                  <w14:solidFill>
                    <w14:schemeClr w14:val="tx1"/>
                  </w14:solidFill>
                </w14:textFill>
              </w:rPr>
              <w:t>/</w:t>
            </w:r>
            <w:r>
              <w:rPr>
                <w:rFonts w:hint="default" w:ascii="Times New Roman" w:hAnsi="Times New Roman" w:cs="Times New Roman"/>
                <w:bCs/>
                <w:color w:val="000000" w:themeColor="text1"/>
                <w:sz w:val="24"/>
                <w:szCs w:val="24"/>
                <w:lang w:val="en-US" w:eastAsia="zh-CN"/>
                <w14:textFill>
                  <w14:solidFill>
                    <w14:schemeClr w14:val="tx1"/>
                  </w14:solidFill>
                </w14:textFill>
              </w:rPr>
              <w:t>a，</w:t>
            </w:r>
            <w:r>
              <w:rPr>
                <w:rFonts w:hint="eastAsia" w:cs="Times New Roman"/>
                <w:bCs/>
                <w:color w:val="000000" w:themeColor="text1"/>
                <w:sz w:val="24"/>
                <w:szCs w:val="24"/>
                <w:lang w:val="en-US" w:eastAsia="zh-CN"/>
                <w14:textFill>
                  <w14:solidFill>
                    <w14:schemeClr w14:val="tx1"/>
                  </w14:solidFill>
                </w14:textFill>
              </w:rPr>
              <w:t>根据建设单位提供资料</w:t>
            </w:r>
            <w:r>
              <w:rPr>
                <w:rFonts w:hint="default" w:ascii="Times New Roman" w:hAnsi="Times New Roman" w:cs="Times New Roman"/>
                <w:bCs/>
                <w:color w:val="000000" w:themeColor="text1"/>
                <w:sz w:val="24"/>
                <w:szCs w:val="24"/>
                <w:lang w:val="en-US" w:eastAsia="zh-CN"/>
                <w14:textFill>
                  <w14:solidFill>
                    <w14:schemeClr w14:val="tx1"/>
                  </w14:solidFill>
                </w14:textFill>
              </w:rPr>
              <w:t>，电池</w:t>
            </w:r>
            <w:r>
              <w:rPr>
                <w:rFonts w:hint="eastAsia" w:cs="Times New Roman"/>
                <w:bCs/>
                <w:color w:val="000000" w:themeColor="text1"/>
                <w:sz w:val="24"/>
                <w:szCs w:val="24"/>
                <w:lang w:val="en-US" w:eastAsia="zh-CN"/>
                <w14:textFill>
                  <w14:solidFill>
                    <w14:schemeClr w14:val="tx1"/>
                  </w14:solidFill>
                </w14:textFill>
              </w:rPr>
              <w:t>产能29400</w:t>
            </w:r>
            <w:r>
              <w:rPr>
                <w:rFonts w:hint="default" w:ascii="Times New Roman" w:hAnsi="Times New Roman" w:cs="Times New Roman"/>
                <w:bCs/>
                <w:color w:val="000000" w:themeColor="text1"/>
                <w:sz w:val="24"/>
                <w:szCs w:val="24"/>
                <w:highlight w:val="none"/>
                <w:lang w:val="en-US" w:eastAsia="zh-CN"/>
                <w14:textFill>
                  <w14:solidFill>
                    <w14:schemeClr w14:val="tx1"/>
                  </w14:solidFill>
                </w14:textFill>
              </w:rPr>
              <w:t>万Ah。</w:t>
            </w:r>
            <w:r>
              <w:rPr>
                <w:rFonts w:hint="default" w:ascii="Times New Roman" w:hAnsi="Times New Roman" w:cs="Times New Roman"/>
                <w:bCs/>
                <w:color w:val="000000" w:themeColor="text1"/>
                <w:sz w:val="24"/>
                <w:szCs w:val="24"/>
                <w:lang w:val="en-US" w:eastAsia="zh-CN"/>
                <w14:textFill>
                  <w14:solidFill>
                    <w14:schemeClr w14:val="tx1"/>
                  </w14:solidFill>
                </w14:textFill>
              </w:rPr>
              <w:t>则项目单位产品基准排水量约为</w:t>
            </w:r>
            <w:r>
              <w:rPr>
                <w:rFonts w:hint="eastAsia" w:cs="Times New Roman"/>
                <w:bCs/>
                <w:color w:val="000000" w:themeColor="text1"/>
                <w:sz w:val="24"/>
                <w:szCs w:val="24"/>
                <w:lang w:val="en-US" w:eastAsia="zh-CN"/>
                <w14:textFill>
                  <w14:solidFill>
                    <w14:schemeClr w14:val="tx1"/>
                  </w14:solidFill>
                </w14:textFill>
              </w:rPr>
              <w:t>0.122</w:t>
            </w:r>
            <w:r>
              <w:rPr>
                <w:rFonts w:hint="eastAsia" w:cs="Times New Roman"/>
                <w:bCs/>
                <w:color w:val="000000" w:themeColor="text1"/>
                <w:sz w:val="24"/>
                <w:szCs w:val="24"/>
                <w:lang w:eastAsia="zh-CN"/>
                <w14:textFill>
                  <w14:solidFill>
                    <w14:schemeClr w14:val="tx1"/>
                  </w14:solidFill>
                </w14:textFill>
              </w:rPr>
              <w:t>m</w:t>
            </w:r>
            <w:r>
              <w:rPr>
                <w:rFonts w:hint="eastAsia" w:cs="Times New Roman"/>
                <w:bCs/>
                <w:color w:val="000000" w:themeColor="text1"/>
                <w:sz w:val="24"/>
                <w:szCs w:val="24"/>
                <w:vertAlign w:val="superscript"/>
                <w:lang w:eastAsia="zh-CN"/>
                <w14:textFill>
                  <w14:solidFill>
                    <w14:schemeClr w14:val="tx1"/>
                  </w14:solidFill>
                </w14:textFill>
              </w:rPr>
              <w:t>3</w:t>
            </w:r>
            <w:r>
              <w:rPr>
                <w:rFonts w:hint="default" w:ascii="Times New Roman" w:hAnsi="Times New Roman" w:cs="Times New Roman"/>
                <w:bCs/>
                <w:color w:val="000000" w:themeColor="text1"/>
                <w:sz w:val="24"/>
                <w:szCs w:val="24"/>
                <w14:textFill>
                  <w14:solidFill>
                    <w14:schemeClr w14:val="tx1"/>
                  </w14:solidFill>
                </w14:textFill>
              </w:rPr>
              <w:t>/</w:t>
            </w:r>
            <w:r>
              <w:rPr>
                <w:rFonts w:hint="default" w:ascii="Times New Roman" w:hAnsi="Times New Roman" w:cs="Times New Roman"/>
                <w:bCs/>
                <w:color w:val="000000" w:themeColor="text1"/>
                <w:sz w:val="24"/>
                <w:szCs w:val="24"/>
                <w:lang w:val="en-US" w:eastAsia="zh-CN"/>
                <w14:textFill>
                  <w14:solidFill>
                    <w14:schemeClr w14:val="tx1"/>
                  </w14:solidFill>
                </w14:textFill>
              </w:rPr>
              <w:t>万Ah，满足</w:t>
            </w:r>
            <w:r>
              <w:rPr>
                <w:rFonts w:hint="default" w:ascii="Times New Roman" w:hAnsi="Times New Roman" w:cs="Times New Roman"/>
                <w:bCs/>
                <w:color w:val="000000" w:themeColor="text1"/>
                <w:sz w:val="24"/>
                <w:lang w:val="en-US" w:eastAsia="zh-CN"/>
                <w14:textFill>
                  <w14:solidFill>
                    <w14:schemeClr w14:val="tx1"/>
                  </w14:solidFill>
                </w14:textFill>
              </w:rPr>
              <w:t>基准排水量0.8</w:t>
            </w:r>
            <w:r>
              <w:rPr>
                <w:rFonts w:hint="eastAsia" w:cs="Times New Roman"/>
                <w:bCs/>
                <w:color w:val="000000" w:themeColor="text1"/>
                <w:sz w:val="24"/>
                <w:lang w:val="en-US" w:eastAsia="zh-CN"/>
                <w14:textFill>
                  <w14:solidFill>
                    <w14:schemeClr w14:val="tx1"/>
                  </w14:solidFill>
                </w14:textFill>
              </w:rPr>
              <w:t>m</w:t>
            </w:r>
            <w:r>
              <w:rPr>
                <w:rFonts w:hint="eastAsia" w:cs="Times New Roman"/>
                <w:bCs/>
                <w:color w:val="000000" w:themeColor="text1"/>
                <w:sz w:val="24"/>
                <w:vertAlign w:val="superscript"/>
                <w:lang w:val="en-US" w:eastAsia="zh-CN"/>
                <w14:textFill>
                  <w14:solidFill>
                    <w14:schemeClr w14:val="tx1"/>
                  </w14:solidFill>
                </w14:textFill>
              </w:rPr>
              <w:t>3</w:t>
            </w:r>
            <w:r>
              <w:rPr>
                <w:rFonts w:hint="default" w:ascii="Times New Roman" w:hAnsi="Times New Roman" w:cs="Times New Roman"/>
                <w:bCs/>
                <w:color w:val="000000" w:themeColor="text1"/>
                <w:sz w:val="24"/>
                <w:lang w:val="en-US" w:eastAsia="zh-CN"/>
                <w14:textFill>
                  <w14:solidFill>
                    <w14:schemeClr w14:val="tx1"/>
                  </w14:solidFill>
                </w14:textFill>
              </w:rPr>
              <w:t>/万Ah要求</w:t>
            </w:r>
            <w:r>
              <w:rPr>
                <w:rFonts w:hint="eastAsia" w:ascii="Times New Roman" w:hAnsi="Times New Roman" w:cs="Times New Roman"/>
                <w:bCs/>
                <w:color w:val="000000" w:themeColor="text1"/>
                <w:sz w:val="24"/>
                <w:lang w:val="en-US" w:eastAsia="zh-CN"/>
                <w14:textFill>
                  <w14:solidFill>
                    <w14:schemeClr w14:val="tx1"/>
                  </w14:solidFill>
                </w14:textFill>
              </w:rPr>
              <w:t>。</w:t>
            </w:r>
          </w:p>
          <w:p w14:paraId="3DD62715">
            <w:pPr>
              <w:ind w:firstLine="422" w:firstLineChars="200"/>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表4-</w:t>
            </w:r>
            <w:r>
              <w:rPr>
                <w:rFonts w:hint="eastAsia"/>
                <w:b/>
                <w:bCs/>
                <w:color w:val="000000" w:themeColor="text1"/>
                <w:szCs w:val="21"/>
                <w:highlight w:val="none"/>
                <w:lang w:val="en-US" w:eastAsia="zh-CN"/>
                <w14:textFill>
                  <w14:solidFill>
                    <w14:schemeClr w14:val="tx1"/>
                  </w14:solidFill>
                </w14:textFill>
              </w:rPr>
              <w:t>12</w:t>
            </w:r>
            <w:r>
              <w:rPr>
                <w:b/>
                <w:bCs/>
                <w:color w:val="000000" w:themeColor="text1"/>
                <w:szCs w:val="21"/>
                <w:highlight w:val="none"/>
                <w14:textFill>
                  <w14:solidFill>
                    <w14:schemeClr w14:val="tx1"/>
                  </w14:solidFill>
                </w14:textFill>
              </w:rPr>
              <w:t xml:space="preserve">  废水</w:t>
            </w:r>
            <w:r>
              <w:rPr>
                <w:rFonts w:hint="eastAsia"/>
                <w:b/>
                <w:bCs/>
                <w:color w:val="000000" w:themeColor="text1"/>
                <w:szCs w:val="21"/>
                <w:highlight w:val="none"/>
                <w:lang w:val="en-US" w:eastAsia="zh-CN"/>
                <w14:textFill>
                  <w14:solidFill>
                    <w14:schemeClr w14:val="tx1"/>
                  </w14:solidFill>
                </w14:textFill>
              </w:rPr>
              <w:t>治理设施信息</w:t>
            </w:r>
            <w:r>
              <w:rPr>
                <w:b/>
                <w:bCs/>
                <w:color w:val="000000" w:themeColor="text1"/>
                <w:szCs w:val="21"/>
                <w:highlight w:val="none"/>
                <w14:textFill>
                  <w14:solidFill>
                    <w14:schemeClr w14:val="tx1"/>
                  </w14:solidFill>
                </w14:textFill>
              </w:rPr>
              <w:t>表</w:t>
            </w:r>
          </w:p>
          <w:tbl>
            <w:tblPr>
              <w:tblStyle w:val="42"/>
              <w:tblW w:w="8069"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98"/>
              <w:gridCol w:w="1042"/>
              <w:gridCol w:w="687"/>
              <w:gridCol w:w="842"/>
              <w:gridCol w:w="637"/>
              <w:gridCol w:w="725"/>
              <w:gridCol w:w="513"/>
              <w:gridCol w:w="525"/>
              <w:gridCol w:w="708"/>
              <w:gridCol w:w="588"/>
              <w:gridCol w:w="575"/>
              <w:gridCol w:w="629"/>
            </w:tblGrid>
            <w:tr w14:paraId="4FEEC75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598" w:type="dxa"/>
                  <w:vMerge w:val="restart"/>
                  <w:noWrap w:val="0"/>
                  <w:vAlign w:val="center"/>
                </w:tcPr>
                <w:p w14:paraId="4E86DE8A">
                  <w:pPr>
                    <w:jc w:val="center"/>
                    <w:rPr>
                      <w:rFonts w:hint="default"/>
                      <w:b/>
                      <w:bCs/>
                      <w:color w:val="000000" w:themeColor="text1"/>
                      <w:szCs w:val="21"/>
                      <w:highlight w:val="none"/>
                      <w:vertAlign w:val="baseline"/>
                      <w:lang w:val="en-US" w:eastAsia="zh-CN"/>
                      <w14:textFill>
                        <w14:solidFill>
                          <w14:schemeClr w14:val="tx1"/>
                        </w14:solidFill>
                      </w14:textFill>
                    </w:rPr>
                  </w:pPr>
                  <w:r>
                    <w:rPr>
                      <w:rFonts w:hint="eastAsia"/>
                      <w:b/>
                      <w:bCs/>
                      <w:color w:val="000000" w:themeColor="text1"/>
                      <w:szCs w:val="21"/>
                      <w:highlight w:val="none"/>
                      <w:vertAlign w:val="baseline"/>
                      <w:lang w:val="en-US" w:eastAsia="zh-CN"/>
                      <w14:textFill>
                        <w14:solidFill>
                          <w14:schemeClr w14:val="tx1"/>
                        </w14:solidFill>
                      </w14:textFill>
                    </w:rPr>
                    <w:t>废水类别</w:t>
                  </w:r>
                </w:p>
              </w:tc>
              <w:tc>
                <w:tcPr>
                  <w:tcW w:w="1042" w:type="dxa"/>
                  <w:vMerge w:val="restart"/>
                  <w:noWrap w:val="0"/>
                  <w:vAlign w:val="center"/>
                </w:tcPr>
                <w:p w14:paraId="51FBCE61">
                  <w:pPr>
                    <w:jc w:val="center"/>
                    <w:rPr>
                      <w:rFonts w:hint="default"/>
                      <w:b/>
                      <w:bCs/>
                      <w:color w:val="000000" w:themeColor="text1"/>
                      <w:szCs w:val="21"/>
                      <w:highlight w:val="none"/>
                      <w:vertAlign w:val="baseline"/>
                      <w:lang w:val="en-US" w:eastAsia="zh-CN"/>
                      <w14:textFill>
                        <w14:solidFill>
                          <w14:schemeClr w14:val="tx1"/>
                        </w14:solidFill>
                      </w14:textFill>
                    </w:rPr>
                  </w:pPr>
                  <w:r>
                    <w:rPr>
                      <w:rFonts w:hint="eastAsia"/>
                      <w:b/>
                      <w:bCs/>
                      <w:color w:val="000000" w:themeColor="text1"/>
                      <w:szCs w:val="21"/>
                      <w:highlight w:val="none"/>
                      <w:vertAlign w:val="baseline"/>
                      <w:lang w:val="en-US" w:eastAsia="zh-CN"/>
                      <w14:textFill>
                        <w14:solidFill>
                          <w14:schemeClr w14:val="tx1"/>
                        </w14:solidFill>
                      </w14:textFill>
                    </w:rPr>
                    <w:t>污染物种类</w:t>
                  </w:r>
                </w:p>
              </w:tc>
              <w:tc>
                <w:tcPr>
                  <w:tcW w:w="2891" w:type="dxa"/>
                  <w:gridSpan w:val="4"/>
                  <w:noWrap w:val="0"/>
                  <w:vAlign w:val="center"/>
                </w:tcPr>
                <w:p w14:paraId="0C0CE2A1">
                  <w:pPr>
                    <w:jc w:val="center"/>
                    <w:rPr>
                      <w:rFonts w:hint="default"/>
                      <w:b/>
                      <w:bCs/>
                      <w:color w:val="000000" w:themeColor="text1"/>
                      <w:szCs w:val="21"/>
                      <w:highlight w:val="none"/>
                      <w:vertAlign w:val="baseline"/>
                      <w:lang w:val="en-US" w:eastAsia="zh-CN"/>
                      <w14:textFill>
                        <w14:solidFill>
                          <w14:schemeClr w14:val="tx1"/>
                        </w14:solidFill>
                      </w14:textFill>
                    </w:rPr>
                  </w:pPr>
                  <w:r>
                    <w:rPr>
                      <w:rFonts w:hint="eastAsia"/>
                      <w:b/>
                      <w:bCs/>
                      <w:color w:val="000000" w:themeColor="text1"/>
                      <w:szCs w:val="21"/>
                      <w:highlight w:val="none"/>
                      <w:vertAlign w:val="baseline"/>
                      <w:lang w:val="en-US" w:eastAsia="zh-CN"/>
                      <w14:textFill>
                        <w14:solidFill>
                          <w14:schemeClr w14:val="tx1"/>
                        </w14:solidFill>
                      </w14:textFill>
                    </w:rPr>
                    <w:t>污染防治措施</w:t>
                  </w:r>
                </w:p>
              </w:tc>
              <w:tc>
                <w:tcPr>
                  <w:tcW w:w="513" w:type="dxa"/>
                  <w:vMerge w:val="restart"/>
                  <w:noWrap w:val="0"/>
                  <w:vAlign w:val="center"/>
                </w:tcPr>
                <w:p w14:paraId="3B1B531F">
                  <w:pPr>
                    <w:jc w:val="center"/>
                    <w:rPr>
                      <w:rFonts w:hint="default"/>
                      <w:b/>
                      <w:bCs/>
                      <w:color w:val="000000" w:themeColor="text1"/>
                      <w:szCs w:val="21"/>
                      <w:highlight w:val="none"/>
                      <w:vertAlign w:val="baseline"/>
                      <w:lang w:val="en-US" w:eastAsia="zh-CN"/>
                      <w14:textFill>
                        <w14:solidFill>
                          <w14:schemeClr w14:val="tx1"/>
                        </w14:solidFill>
                      </w14:textFill>
                    </w:rPr>
                  </w:pPr>
                  <w:r>
                    <w:rPr>
                      <w:rFonts w:hint="eastAsia"/>
                      <w:b/>
                      <w:bCs/>
                      <w:color w:val="000000" w:themeColor="text1"/>
                      <w:szCs w:val="21"/>
                      <w:highlight w:val="none"/>
                      <w:vertAlign w:val="baseline"/>
                      <w:lang w:val="en-US" w:eastAsia="zh-CN"/>
                      <w14:textFill>
                        <w14:solidFill>
                          <w14:schemeClr w14:val="tx1"/>
                        </w14:solidFill>
                      </w14:textFill>
                    </w:rPr>
                    <w:t>排放去向</w:t>
                  </w:r>
                </w:p>
              </w:tc>
              <w:tc>
                <w:tcPr>
                  <w:tcW w:w="525" w:type="dxa"/>
                  <w:vMerge w:val="restart"/>
                  <w:noWrap w:val="0"/>
                  <w:vAlign w:val="center"/>
                </w:tcPr>
                <w:p w14:paraId="1630BBE6">
                  <w:pPr>
                    <w:jc w:val="center"/>
                    <w:rPr>
                      <w:rFonts w:hint="default"/>
                      <w:b/>
                      <w:bCs/>
                      <w:color w:val="000000" w:themeColor="text1"/>
                      <w:szCs w:val="21"/>
                      <w:highlight w:val="none"/>
                      <w:vertAlign w:val="baseline"/>
                      <w:lang w:val="en-US" w:eastAsia="zh-CN"/>
                      <w14:textFill>
                        <w14:solidFill>
                          <w14:schemeClr w14:val="tx1"/>
                        </w14:solidFill>
                      </w14:textFill>
                    </w:rPr>
                  </w:pPr>
                  <w:r>
                    <w:rPr>
                      <w:rFonts w:hint="eastAsia"/>
                      <w:b/>
                      <w:bCs/>
                      <w:color w:val="000000" w:themeColor="text1"/>
                      <w:szCs w:val="21"/>
                      <w:highlight w:val="none"/>
                      <w:vertAlign w:val="baseline"/>
                      <w:lang w:val="en-US" w:eastAsia="zh-CN"/>
                      <w14:textFill>
                        <w14:solidFill>
                          <w14:schemeClr w14:val="tx1"/>
                        </w14:solidFill>
                      </w14:textFill>
                    </w:rPr>
                    <w:t>排放方式</w:t>
                  </w:r>
                </w:p>
              </w:tc>
              <w:tc>
                <w:tcPr>
                  <w:tcW w:w="708" w:type="dxa"/>
                  <w:vMerge w:val="restart"/>
                  <w:noWrap w:val="0"/>
                  <w:vAlign w:val="center"/>
                </w:tcPr>
                <w:p w14:paraId="7DC886F6">
                  <w:pPr>
                    <w:jc w:val="center"/>
                    <w:rPr>
                      <w:rFonts w:hint="default"/>
                      <w:b/>
                      <w:bCs/>
                      <w:color w:val="000000" w:themeColor="text1"/>
                      <w:szCs w:val="21"/>
                      <w:highlight w:val="none"/>
                      <w:vertAlign w:val="baseline"/>
                      <w:lang w:val="en-US" w:eastAsia="zh-CN"/>
                      <w14:textFill>
                        <w14:solidFill>
                          <w14:schemeClr w14:val="tx1"/>
                        </w14:solidFill>
                      </w14:textFill>
                    </w:rPr>
                  </w:pPr>
                  <w:r>
                    <w:rPr>
                      <w:rFonts w:hint="eastAsia"/>
                      <w:b/>
                      <w:bCs/>
                      <w:color w:val="000000" w:themeColor="text1"/>
                      <w:szCs w:val="21"/>
                      <w:highlight w:val="none"/>
                      <w:vertAlign w:val="baseline"/>
                      <w:lang w:val="en-US" w:eastAsia="zh-CN"/>
                      <w14:textFill>
                        <w14:solidFill>
                          <w14:schemeClr w14:val="tx1"/>
                        </w14:solidFill>
                      </w14:textFill>
                    </w:rPr>
                    <w:t>排放规律</w:t>
                  </w:r>
                </w:p>
              </w:tc>
              <w:tc>
                <w:tcPr>
                  <w:tcW w:w="1792" w:type="dxa"/>
                  <w:gridSpan w:val="3"/>
                  <w:noWrap w:val="0"/>
                  <w:vAlign w:val="center"/>
                </w:tcPr>
                <w:p w14:paraId="2A1C2564">
                  <w:pPr>
                    <w:jc w:val="center"/>
                    <w:rPr>
                      <w:rFonts w:hint="default"/>
                      <w:b/>
                      <w:bCs/>
                      <w:color w:val="000000" w:themeColor="text1"/>
                      <w:szCs w:val="21"/>
                      <w:highlight w:val="none"/>
                      <w:vertAlign w:val="baseline"/>
                      <w:lang w:val="en-US" w:eastAsia="zh-CN"/>
                      <w14:textFill>
                        <w14:solidFill>
                          <w14:schemeClr w14:val="tx1"/>
                        </w14:solidFill>
                      </w14:textFill>
                    </w:rPr>
                  </w:pPr>
                  <w:r>
                    <w:rPr>
                      <w:rFonts w:hint="eastAsia"/>
                      <w:b/>
                      <w:bCs/>
                      <w:color w:val="000000" w:themeColor="text1"/>
                      <w:szCs w:val="21"/>
                      <w:highlight w:val="none"/>
                      <w:vertAlign w:val="baseline"/>
                      <w:lang w:val="en-US" w:eastAsia="zh-CN"/>
                      <w14:textFill>
                        <w14:solidFill>
                          <w14:schemeClr w14:val="tx1"/>
                        </w14:solidFill>
                      </w14:textFill>
                    </w:rPr>
                    <w:t>排放口情况表</w:t>
                  </w:r>
                </w:p>
              </w:tc>
            </w:tr>
            <w:tr w14:paraId="6CB5F48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81" w:hRule="atLeast"/>
                <w:jc w:val="center"/>
              </w:trPr>
              <w:tc>
                <w:tcPr>
                  <w:tcW w:w="598" w:type="dxa"/>
                  <w:vMerge w:val="continue"/>
                  <w:noWrap w:val="0"/>
                  <w:vAlign w:val="center"/>
                </w:tcPr>
                <w:p w14:paraId="1D0D3E0D">
                  <w:pPr>
                    <w:jc w:val="center"/>
                    <w:rPr>
                      <w:rFonts w:hint="eastAsia"/>
                      <w:b/>
                      <w:bCs/>
                      <w:color w:val="000000" w:themeColor="text1"/>
                      <w:szCs w:val="21"/>
                      <w:highlight w:val="none"/>
                      <w:vertAlign w:val="baseline"/>
                      <w:lang w:val="en-US" w:eastAsia="zh-CN"/>
                      <w14:textFill>
                        <w14:solidFill>
                          <w14:schemeClr w14:val="tx1"/>
                        </w14:solidFill>
                      </w14:textFill>
                    </w:rPr>
                  </w:pPr>
                </w:p>
              </w:tc>
              <w:tc>
                <w:tcPr>
                  <w:tcW w:w="1042" w:type="dxa"/>
                  <w:vMerge w:val="continue"/>
                  <w:noWrap w:val="0"/>
                  <w:vAlign w:val="center"/>
                </w:tcPr>
                <w:p w14:paraId="223359CD">
                  <w:pPr>
                    <w:jc w:val="center"/>
                    <w:rPr>
                      <w:rFonts w:hint="eastAsia"/>
                      <w:b/>
                      <w:bCs/>
                      <w:color w:val="000000" w:themeColor="text1"/>
                      <w:szCs w:val="21"/>
                      <w:highlight w:val="none"/>
                      <w:vertAlign w:val="baseline"/>
                      <w:lang w:val="en-US" w:eastAsia="zh-CN"/>
                      <w14:textFill>
                        <w14:solidFill>
                          <w14:schemeClr w14:val="tx1"/>
                        </w14:solidFill>
                      </w14:textFill>
                    </w:rPr>
                  </w:pPr>
                </w:p>
              </w:tc>
              <w:tc>
                <w:tcPr>
                  <w:tcW w:w="687" w:type="dxa"/>
                  <w:noWrap w:val="0"/>
                  <w:vAlign w:val="center"/>
                </w:tcPr>
                <w:p w14:paraId="5165233A">
                  <w:pPr>
                    <w:jc w:val="center"/>
                    <w:rPr>
                      <w:rFonts w:hint="default"/>
                      <w:b/>
                      <w:bCs/>
                      <w:color w:val="000000" w:themeColor="text1"/>
                      <w:szCs w:val="21"/>
                      <w:highlight w:val="none"/>
                      <w:vertAlign w:val="baseline"/>
                      <w:lang w:val="en-US" w:eastAsia="zh-CN"/>
                      <w14:textFill>
                        <w14:solidFill>
                          <w14:schemeClr w14:val="tx1"/>
                        </w14:solidFill>
                      </w14:textFill>
                    </w:rPr>
                  </w:pPr>
                  <w:r>
                    <w:rPr>
                      <w:rFonts w:hint="eastAsia"/>
                      <w:b/>
                      <w:bCs/>
                      <w:color w:val="000000" w:themeColor="text1"/>
                      <w:szCs w:val="21"/>
                      <w:highlight w:val="none"/>
                      <w:vertAlign w:val="baseline"/>
                      <w:lang w:val="en-US" w:eastAsia="zh-CN"/>
                      <w14:textFill>
                        <w14:solidFill>
                          <w14:schemeClr w14:val="tx1"/>
                        </w14:solidFill>
                      </w14:textFill>
                    </w:rPr>
                    <w:t>设施名称</w:t>
                  </w:r>
                </w:p>
              </w:tc>
              <w:tc>
                <w:tcPr>
                  <w:tcW w:w="842" w:type="dxa"/>
                  <w:noWrap w:val="0"/>
                  <w:vAlign w:val="center"/>
                </w:tcPr>
                <w:p w14:paraId="6EC411A9">
                  <w:pPr>
                    <w:jc w:val="center"/>
                    <w:rPr>
                      <w:rFonts w:hint="default"/>
                      <w:b/>
                      <w:bCs/>
                      <w:color w:val="000000" w:themeColor="text1"/>
                      <w:szCs w:val="21"/>
                      <w:highlight w:val="none"/>
                      <w:vertAlign w:val="baseline"/>
                      <w:lang w:val="en-US" w:eastAsia="zh-CN"/>
                      <w14:textFill>
                        <w14:solidFill>
                          <w14:schemeClr w14:val="tx1"/>
                        </w14:solidFill>
                      </w14:textFill>
                    </w:rPr>
                  </w:pPr>
                  <w:r>
                    <w:rPr>
                      <w:rFonts w:hint="eastAsia"/>
                      <w:b/>
                      <w:bCs/>
                      <w:color w:val="000000" w:themeColor="text1"/>
                      <w:szCs w:val="21"/>
                      <w:highlight w:val="none"/>
                      <w:vertAlign w:val="baseline"/>
                      <w:lang w:val="en-US" w:eastAsia="zh-CN"/>
                      <w14:textFill>
                        <w14:solidFill>
                          <w14:schemeClr w14:val="tx1"/>
                        </w14:solidFill>
                      </w14:textFill>
                    </w:rPr>
                    <w:t>处理能力</w:t>
                  </w:r>
                </w:p>
              </w:tc>
              <w:tc>
                <w:tcPr>
                  <w:tcW w:w="637" w:type="dxa"/>
                  <w:noWrap w:val="0"/>
                  <w:vAlign w:val="center"/>
                </w:tcPr>
                <w:p w14:paraId="6421C6CD">
                  <w:pPr>
                    <w:jc w:val="center"/>
                    <w:rPr>
                      <w:rFonts w:hint="default"/>
                      <w:b/>
                      <w:bCs/>
                      <w:color w:val="000000" w:themeColor="text1"/>
                      <w:szCs w:val="21"/>
                      <w:highlight w:val="none"/>
                      <w:vertAlign w:val="baseline"/>
                      <w:lang w:val="en-US" w:eastAsia="zh-CN"/>
                      <w14:textFill>
                        <w14:solidFill>
                          <w14:schemeClr w14:val="tx1"/>
                        </w14:solidFill>
                      </w14:textFill>
                    </w:rPr>
                  </w:pPr>
                  <w:r>
                    <w:rPr>
                      <w:rFonts w:hint="eastAsia"/>
                      <w:b/>
                      <w:bCs/>
                      <w:color w:val="000000" w:themeColor="text1"/>
                      <w:szCs w:val="21"/>
                      <w:highlight w:val="none"/>
                      <w:vertAlign w:val="baseline"/>
                      <w:lang w:val="en-US" w:eastAsia="zh-CN"/>
                      <w14:textFill>
                        <w14:solidFill>
                          <w14:schemeClr w14:val="tx1"/>
                        </w14:solidFill>
                      </w14:textFill>
                    </w:rPr>
                    <w:t>处理工艺</w:t>
                  </w:r>
                </w:p>
              </w:tc>
              <w:tc>
                <w:tcPr>
                  <w:tcW w:w="725" w:type="dxa"/>
                  <w:noWrap w:val="0"/>
                  <w:vAlign w:val="center"/>
                </w:tcPr>
                <w:p w14:paraId="4E242306">
                  <w:pPr>
                    <w:jc w:val="center"/>
                    <w:rPr>
                      <w:rFonts w:hint="default"/>
                      <w:b/>
                      <w:bCs/>
                      <w:color w:val="000000" w:themeColor="text1"/>
                      <w:szCs w:val="21"/>
                      <w:highlight w:val="none"/>
                      <w:vertAlign w:val="baseline"/>
                      <w:lang w:val="en-US" w:eastAsia="zh-CN"/>
                      <w14:textFill>
                        <w14:solidFill>
                          <w14:schemeClr w14:val="tx1"/>
                        </w14:solidFill>
                      </w14:textFill>
                    </w:rPr>
                  </w:pPr>
                  <w:r>
                    <w:rPr>
                      <w:rFonts w:hint="eastAsia"/>
                      <w:b/>
                      <w:bCs/>
                      <w:color w:val="000000" w:themeColor="text1"/>
                      <w:szCs w:val="21"/>
                      <w:highlight w:val="none"/>
                      <w:vertAlign w:val="baseline"/>
                      <w:lang w:val="en-US" w:eastAsia="zh-CN"/>
                      <w14:textFill>
                        <w14:solidFill>
                          <w14:schemeClr w14:val="tx1"/>
                        </w14:solidFill>
                      </w14:textFill>
                    </w:rPr>
                    <w:t>是否为可行技术</w:t>
                  </w:r>
                </w:p>
              </w:tc>
              <w:tc>
                <w:tcPr>
                  <w:tcW w:w="513" w:type="dxa"/>
                  <w:vMerge w:val="continue"/>
                  <w:noWrap w:val="0"/>
                  <w:vAlign w:val="center"/>
                </w:tcPr>
                <w:p w14:paraId="60F379E0">
                  <w:pPr>
                    <w:jc w:val="center"/>
                    <w:rPr>
                      <w:rFonts w:hint="default"/>
                      <w:b/>
                      <w:bCs/>
                      <w:color w:val="000000" w:themeColor="text1"/>
                      <w:szCs w:val="21"/>
                      <w:highlight w:val="none"/>
                      <w:vertAlign w:val="baseline"/>
                      <w:lang w:val="en-US" w:eastAsia="zh-CN"/>
                      <w14:textFill>
                        <w14:solidFill>
                          <w14:schemeClr w14:val="tx1"/>
                        </w14:solidFill>
                      </w14:textFill>
                    </w:rPr>
                  </w:pPr>
                </w:p>
              </w:tc>
              <w:tc>
                <w:tcPr>
                  <w:tcW w:w="525" w:type="dxa"/>
                  <w:vMerge w:val="continue"/>
                  <w:noWrap w:val="0"/>
                  <w:vAlign w:val="center"/>
                </w:tcPr>
                <w:p w14:paraId="39D38CC4">
                  <w:pPr>
                    <w:jc w:val="center"/>
                    <w:rPr>
                      <w:rFonts w:hint="default"/>
                      <w:b/>
                      <w:bCs/>
                      <w:color w:val="000000" w:themeColor="text1"/>
                      <w:szCs w:val="21"/>
                      <w:highlight w:val="none"/>
                      <w:vertAlign w:val="baseline"/>
                      <w:lang w:val="en-US" w:eastAsia="zh-CN"/>
                      <w14:textFill>
                        <w14:solidFill>
                          <w14:schemeClr w14:val="tx1"/>
                        </w14:solidFill>
                      </w14:textFill>
                    </w:rPr>
                  </w:pPr>
                </w:p>
              </w:tc>
              <w:tc>
                <w:tcPr>
                  <w:tcW w:w="708" w:type="dxa"/>
                  <w:vMerge w:val="continue"/>
                  <w:noWrap w:val="0"/>
                  <w:vAlign w:val="center"/>
                </w:tcPr>
                <w:p w14:paraId="6FD292B9">
                  <w:pPr>
                    <w:jc w:val="center"/>
                    <w:rPr>
                      <w:rFonts w:hint="default"/>
                      <w:b/>
                      <w:bCs/>
                      <w:color w:val="000000" w:themeColor="text1"/>
                      <w:szCs w:val="21"/>
                      <w:highlight w:val="none"/>
                      <w:vertAlign w:val="baseline"/>
                      <w:lang w:val="en-US" w:eastAsia="zh-CN"/>
                      <w14:textFill>
                        <w14:solidFill>
                          <w14:schemeClr w14:val="tx1"/>
                        </w14:solidFill>
                      </w14:textFill>
                    </w:rPr>
                  </w:pPr>
                </w:p>
              </w:tc>
              <w:tc>
                <w:tcPr>
                  <w:tcW w:w="588" w:type="dxa"/>
                  <w:noWrap w:val="0"/>
                  <w:vAlign w:val="center"/>
                </w:tcPr>
                <w:p w14:paraId="11D0060A">
                  <w:pPr>
                    <w:jc w:val="center"/>
                    <w:rPr>
                      <w:rFonts w:hint="default"/>
                      <w:b/>
                      <w:bCs/>
                      <w:color w:val="000000" w:themeColor="text1"/>
                      <w:szCs w:val="21"/>
                      <w:highlight w:val="none"/>
                      <w:vertAlign w:val="baseline"/>
                      <w:lang w:val="en-US" w:eastAsia="zh-CN"/>
                      <w14:textFill>
                        <w14:solidFill>
                          <w14:schemeClr w14:val="tx1"/>
                        </w14:solidFill>
                      </w14:textFill>
                    </w:rPr>
                  </w:pPr>
                  <w:r>
                    <w:rPr>
                      <w:rFonts w:hint="eastAsia"/>
                      <w:b/>
                      <w:bCs/>
                      <w:color w:val="000000" w:themeColor="text1"/>
                      <w:szCs w:val="21"/>
                      <w:highlight w:val="none"/>
                      <w:vertAlign w:val="baseline"/>
                      <w:lang w:val="en-US" w:eastAsia="zh-CN"/>
                      <w14:textFill>
                        <w14:solidFill>
                          <w14:schemeClr w14:val="tx1"/>
                        </w14:solidFill>
                      </w14:textFill>
                    </w:rPr>
                    <w:t>排放口编号</w:t>
                  </w:r>
                </w:p>
              </w:tc>
              <w:tc>
                <w:tcPr>
                  <w:tcW w:w="575" w:type="dxa"/>
                  <w:noWrap w:val="0"/>
                  <w:vAlign w:val="center"/>
                </w:tcPr>
                <w:p w14:paraId="3F9F9226">
                  <w:pPr>
                    <w:jc w:val="center"/>
                    <w:rPr>
                      <w:rFonts w:hint="default"/>
                      <w:b/>
                      <w:bCs/>
                      <w:color w:val="000000" w:themeColor="text1"/>
                      <w:szCs w:val="21"/>
                      <w:highlight w:val="none"/>
                      <w:vertAlign w:val="baseline"/>
                      <w:lang w:val="en-US" w:eastAsia="zh-CN"/>
                      <w14:textFill>
                        <w14:solidFill>
                          <w14:schemeClr w14:val="tx1"/>
                        </w14:solidFill>
                      </w14:textFill>
                    </w:rPr>
                  </w:pPr>
                  <w:r>
                    <w:rPr>
                      <w:rFonts w:hint="eastAsia"/>
                      <w:b/>
                      <w:bCs/>
                      <w:color w:val="000000" w:themeColor="text1"/>
                      <w:szCs w:val="21"/>
                      <w:highlight w:val="none"/>
                      <w:vertAlign w:val="baseline"/>
                      <w:lang w:val="en-US" w:eastAsia="zh-CN"/>
                      <w14:textFill>
                        <w14:solidFill>
                          <w14:schemeClr w14:val="tx1"/>
                        </w14:solidFill>
                      </w14:textFill>
                    </w:rPr>
                    <w:t>排放口名称</w:t>
                  </w:r>
                </w:p>
              </w:tc>
              <w:tc>
                <w:tcPr>
                  <w:tcW w:w="629" w:type="dxa"/>
                  <w:noWrap w:val="0"/>
                  <w:vAlign w:val="center"/>
                </w:tcPr>
                <w:p w14:paraId="7A7B127E">
                  <w:pPr>
                    <w:jc w:val="center"/>
                    <w:rPr>
                      <w:rFonts w:hint="default"/>
                      <w:b/>
                      <w:bCs/>
                      <w:color w:val="000000" w:themeColor="text1"/>
                      <w:szCs w:val="21"/>
                      <w:highlight w:val="none"/>
                      <w:vertAlign w:val="baseline"/>
                      <w:lang w:val="en-US" w:eastAsia="zh-CN"/>
                      <w14:textFill>
                        <w14:solidFill>
                          <w14:schemeClr w14:val="tx1"/>
                        </w14:solidFill>
                      </w14:textFill>
                    </w:rPr>
                  </w:pPr>
                  <w:r>
                    <w:rPr>
                      <w:rFonts w:hint="eastAsia"/>
                      <w:b/>
                      <w:bCs/>
                      <w:color w:val="000000" w:themeColor="text1"/>
                      <w:szCs w:val="21"/>
                      <w:highlight w:val="none"/>
                      <w:vertAlign w:val="baseline"/>
                      <w:lang w:val="en-US" w:eastAsia="zh-CN"/>
                      <w14:textFill>
                        <w14:solidFill>
                          <w14:schemeClr w14:val="tx1"/>
                        </w14:solidFill>
                      </w14:textFill>
                    </w:rPr>
                    <w:t>排放口类型</w:t>
                  </w:r>
                </w:p>
              </w:tc>
            </w:tr>
            <w:tr w14:paraId="0A53AB0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39" w:hRule="atLeast"/>
                <w:jc w:val="center"/>
              </w:trPr>
              <w:tc>
                <w:tcPr>
                  <w:tcW w:w="598" w:type="dxa"/>
                  <w:noWrap w:val="0"/>
                  <w:vAlign w:val="center"/>
                </w:tcPr>
                <w:p w14:paraId="5F123A36">
                  <w:pPr>
                    <w:jc w:val="center"/>
                    <w:rPr>
                      <w:rFonts w:hint="default"/>
                      <w:b w:val="0"/>
                      <w:bCs w:val="0"/>
                      <w:color w:val="000000" w:themeColor="text1"/>
                      <w:szCs w:val="21"/>
                      <w:highlight w:val="none"/>
                      <w:vertAlign w:val="baseline"/>
                      <w:lang w:val="en-US" w:eastAsia="zh-CN"/>
                      <w14:textFill>
                        <w14:solidFill>
                          <w14:schemeClr w14:val="tx1"/>
                        </w14:solidFill>
                      </w14:textFill>
                    </w:rPr>
                  </w:pPr>
                  <w:r>
                    <w:rPr>
                      <w:rFonts w:hint="eastAsia"/>
                      <w:b w:val="0"/>
                      <w:bCs w:val="0"/>
                      <w:color w:val="000000" w:themeColor="text1"/>
                      <w:szCs w:val="21"/>
                      <w:highlight w:val="none"/>
                      <w:vertAlign w:val="baseline"/>
                      <w:lang w:val="en-US" w:eastAsia="zh-CN"/>
                      <w14:textFill>
                        <w14:solidFill>
                          <w14:schemeClr w14:val="tx1"/>
                        </w14:solidFill>
                      </w14:textFill>
                    </w:rPr>
                    <w:t>综合废水</w:t>
                  </w:r>
                </w:p>
              </w:tc>
              <w:tc>
                <w:tcPr>
                  <w:tcW w:w="1042" w:type="dxa"/>
                  <w:noWrap w:val="0"/>
                  <w:vAlign w:val="center"/>
                </w:tcPr>
                <w:p w14:paraId="783F814B">
                  <w:pPr>
                    <w:jc w:val="center"/>
                    <w:rPr>
                      <w:rFonts w:hint="default"/>
                      <w:b w:val="0"/>
                      <w:bCs w:val="0"/>
                      <w:color w:val="000000" w:themeColor="text1"/>
                      <w:szCs w:val="21"/>
                      <w:highlight w:val="none"/>
                      <w:vertAlign w:val="baseline"/>
                      <w:lang w:val="en-US" w:eastAsia="zh-CN"/>
                      <w14:textFill>
                        <w14:solidFill>
                          <w14:schemeClr w14:val="tx1"/>
                        </w14:solidFill>
                      </w14:textFill>
                    </w:rPr>
                  </w:pPr>
                  <w:r>
                    <w:rPr>
                      <w:rFonts w:hint="eastAsia"/>
                      <w:b w:val="0"/>
                      <w:bCs w:val="0"/>
                      <w:color w:val="000000" w:themeColor="text1"/>
                      <w:szCs w:val="21"/>
                      <w:highlight w:val="none"/>
                      <w:vertAlign w:val="baseline"/>
                      <w:lang w:val="en-US" w:eastAsia="zh-CN"/>
                      <w14:textFill>
                        <w14:solidFill>
                          <w14:schemeClr w14:val="tx1"/>
                        </w14:solidFill>
                      </w14:textFill>
                    </w:rPr>
                    <w:t>COD、BOD</w:t>
                  </w:r>
                  <w:r>
                    <w:rPr>
                      <w:rFonts w:hint="eastAsia"/>
                      <w:b w:val="0"/>
                      <w:bCs w:val="0"/>
                      <w:color w:val="000000" w:themeColor="text1"/>
                      <w:szCs w:val="21"/>
                      <w:highlight w:val="none"/>
                      <w:vertAlign w:val="subscript"/>
                      <w:lang w:val="en-US" w:eastAsia="zh-CN"/>
                      <w14:textFill>
                        <w14:solidFill>
                          <w14:schemeClr w14:val="tx1"/>
                        </w14:solidFill>
                      </w14:textFill>
                    </w:rPr>
                    <w:t>5</w:t>
                  </w:r>
                  <w:r>
                    <w:rPr>
                      <w:rFonts w:hint="eastAsia"/>
                      <w:b w:val="0"/>
                      <w:bCs w:val="0"/>
                      <w:color w:val="000000" w:themeColor="text1"/>
                      <w:szCs w:val="21"/>
                      <w:highlight w:val="none"/>
                      <w:vertAlign w:val="baseline"/>
                      <w:lang w:val="en-US" w:eastAsia="zh-CN"/>
                      <w14:textFill>
                        <w14:solidFill>
                          <w14:schemeClr w14:val="tx1"/>
                        </w14:solidFill>
                      </w14:textFill>
                    </w:rPr>
                    <w:t>、TP、氨氮、SS、TN</w:t>
                  </w:r>
                </w:p>
              </w:tc>
              <w:tc>
                <w:tcPr>
                  <w:tcW w:w="687" w:type="dxa"/>
                  <w:shd w:val="clear" w:color="auto" w:fill="auto"/>
                  <w:noWrap w:val="0"/>
                  <w:vAlign w:val="center"/>
                </w:tcPr>
                <w:p w14:paraId="15B760AB">
                  <w:pPr>
                    <w:jc w:val="center"/>
                    <w:rPr>
                      <w:rFonts w:hint="default"/>
                      <w:b w:val="0"/>
                      <w:bCs w:val="0"/>
                      <w:color w:val="000000" w:themeColor="text1"/>
                      <w:szCs w:val="21"/>
                      <w:highlight w:val="none"/>
                      <w:vertAlign w:val="baseline"/>
                      <w:lang w:val="en-US" w:eastAsia="zh-CN"/>
                      <w14:textFill>
                        <w14:solidFill>
                          <w14:schemeClr w14:val="tx1"/>
                        </w14:solidFill>
                      </w14:textFill>
                    </w:rPr>
                  </w:pPr>
                  <w:r>
                    <w:rPr>
                      <w:rFonts w:hint="eastAsia"/>
                      <w:b w:val="0"/>
                      <w:bCs w:val="0"/>
                      <w:color w:val="000000" w:themeColor="text1"/>
                      <w:szCs w:val="21"/>
                      <w:highlight w:val="none"/>
                      <w:vertAlign w:val="baseline"/>
                      <w:lang w:val="en-US" w:eastAsia="zh-CN"/>
                      <w14:textFill>
                        <w14:solidFill>
                          <w14:schemeClr w14:val="tx1"/>
                        </w14:solidFill>
                      </w14:textFill>
                    </w:rPr>
                    <w:t>预处理池</w:t>
                  </w:r>
                </w:p>
              </w:tc>
              <w:tc>
                <w:tcPr>
                  <w:tcW w:w="842" w:type="dxa"/>
                  <w:shd w:val="clear" w:color="auto" w:fill="auto"/>
                  <w:noWrap w:val="0"/>
                  <w:vAlign w:val="center"/>
                </w:tcPr>
                <w:p w14:paraId="1CE80E3D">
                  <w:pPr>
                    <w:jc w:val="center"/>
                    <w:rPr>
                      <w:rFonts w:hint="default"/>
                      <w:b w:val="0"/>
                      <w:bCs w:val="0"/>
                      <w:color w:val="000000" w:themeColor="text1"/>
                      <w:szCs w:val="21"/>
                      <w:highlight w:val="none"/>
                      <w:vertAlign w:val="baseline"/>
                      <w:lang w:val="en-US" w:eastAsia="zh-CN"/>
                      <w14:textFill>
                        <w14:solidFill>
                          <w14:schemeClr w14:val="tx1"/>
                        </w14:solidFill>
                      </w14:textFill>
                    </w:rPr>
                  </w:pPr>
                  <w:r>
                    <w:rPr>
                      <w:rFonts w:hint="eastAsia"/>
                      <w:b w:val="0"/>
                      <w:bCs w:val="0"/>
                      <w:color w:val="000000" w:themeColor="text1"/>
                      <w:szCs w:val="21"/>
                      <w:highlight w:val="none"/>
                      <w:shd w:val="clear"/>
                      <w:vertAlign w:val="baseline"/>
                      <w:lang w:val="en-US" w:eastAsia="zh-CN"/>
                      <w14:textFill>
                        <w14:solidFill>
                          <w14:schemeClr w14:val="tx1"/>
                        </w14:solidFill>
                      </w14:textFill>
                    </w:rPr>
                    <w:t>50m</w:t>
                  </w:r>
                  <w:r>
                    <w:rPr>
                      <w:rFonts w:hint="eastAsia"/>
                      <w:b w:val="0"/>
                      <w:bCs w:val="0"/>
                      <w:color w:val="000000" w:themeColor="text1"/>
                      <w:szCs w:val="21"/>
                      <w:highlight w:val="none"/>
                      <w:shd w:val="clear"/>
                      <w:vertAlign w:val="superscript"/>
                      <w:lang w:val="en-US" w:eastAsia="zh-CN"/>
                      <w14:textFill>
                        <w14:solidFill>
                          <w14:schemeClr w14:val="tx1"/>
                        </w14:solidFill>
                      </w14:textFill>
                    </w:rPr>
                    <w:t>3</w:t>
                  </w:r>
                </w:p>
              </w:tc>
              <w:tc>
                <w:tcPr>
                  <w:tcW w:w="637" w:type="dxa"/>
                  <w:noWrap w:val="0"/>
                  <w:vAlign w:val="center"/>
                </w:tcPr>
                <w:p w14:paraId="6FE6738C">
                  <w:pPr>
                    <w:jc w:val="center"/>
                    <w:rPr>
                      <w:rFonts w:hint="default"/>
                      <w:b w:val="0"/>
                      <w:bCs w:val="0"/>
                      <w:color w:val="000000" w:themeColor="text1"/>
                      <w:szCs w:val="21"/>
                      <w:highlight w:val="none"/>
                      <w:vertAlign w:val="baseline"/>
                      <w:lang w:val="en-US" w:eastAsia="zh-CN"/>
                      <w14:textFill>
                        <w14:solidFill>
                          <w14:schemeClr w14:val="tx1"/>
                        </w14:solidFill>
                      </w14:textFill>
                    </w:rPr>
                  </w:pPr>
                  <w:r>
                    <w:rPr>
                      <w:rFonts w:hint="eastAsia"/>
                      <w:b w:val="0"/>
                      <w:bCs w:val="0"/>
                      <w:color w:val="000000" w:themeColor="text1"/>
                      <w:szCs w:val="21"/>
                      <w:highlight w:val="none"/>
                      <w:vertAlign w:val="baseline"/>
                      <w:lang w:val="en-US" w:eastAsia="zh-CN"/>
                      <w14:textFill>
                        <w14:solidFill>
                          <w14:schemeClr w14:val="tx1"/>
                        </w14:solidFill>
                      </w14:textFill>
                    </w:rPr>
                    <w:t>沉淀</w:t>
                  </w:r>
                </w:p>
              </w:tc>
              <w:tc>
                <w:tcPr>
                  <w:tcW w:w="725" w:type="dxa"/>
                  <w:noWrap w:val="0"/>
                  <w:vAlign w:val="center"/>
                </w:tcPr>
                <w:p w14:paraId="725C0A4D">
                  <w:pPr>
                    <w:jc w:val="center"/>
                    <w:rPr>
                      <w:rFonts w:hint="default"/>
                      <w:b w:val="0"/>
                      <w:bCs w:val="0"/>
                      <w:color w:val="000000" w:themeColor="text1"/>
                      <w:szCs w:val="21"/>
                      <w:highlight w:val="none"/>
                      <w:vertAlign w:val="baseline"/>
                      <w:lang w:val="en-US" w:eastAsia="zh-CN"/>
                      <w14:textFill>
                        <w14:solidFill>
                          <w14:schemeClr w14:val="tx1"/>
                        </w14:solidFill>
                      </w14:textFill>
                    </w:rPr>
                  </w:pPr>
                  <w:r>
                    <w:rPr>
                      <w:rFonts w:hint="eastAsia"/>
                      <w:b w:val="0"/>
                      <w:bCs w:val="0"/>
                      <w:color w:val="000000" w:themeColor="text1"/>
                      <w:szCs w:val="21"/>
                      <w:highlight w:val="none"/>
                      <w:vertAlign w:val="baseline"/>
                      <w:lang w:val="en-US" w:eastAsia="zh-CN"/>
                      <w14:textFill>
                        <w14:solidFill>
                          <w14:schemeClr w14:val="tx1"/>
                        </w14:solidFill>
                      </w14:textFill>
                    </w:rPr>
                    <w:t>是</w:t>
                  </w:r>
                </w:p>
              </w:tc>
              <w:tc>
                <w:tcPr>
                  <w:tcW w:w="513" w:type="dxa"/>
                  <w:vMerge w:val="restart"/>
                  <w:noWrap w:val="0"/>
                  <w:vAlign w:val="center"/>
                </w:tcPr>
                <w:p w14:paraId="5E0190D7">
                  <w:pPr>
                    <w:jc w:val="center"/>
                    <w:rPr>
                      <w:rFonts w:hint="default" w:eastAsia="宋体"/>
                      <w:b w:val="0"/>
                      <w:bCs w:val="0"/>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shd w:val="clear"/>
                      <w14:textFill>
                        <w14:solidFill>
                          <w14:schemeClr w14:val="tx1"/>
                        </w14:solidFill>
                      </w14:textFill>
                    </w:rPr>
                    <w:t>巴中经济开发区污水处理厂</w:t>
                  </w:r>
                </w:p>
              </w:tc>
              <w:tc>
                <w:tcPr>
                  <w:tcW w:w="525" w:type="dxa"/>
                  <w:vMerge w:val="restart"/>
                  <w:noWrap w:val="0"/>
                  <w:vAlign w:val="center"/>
                </w:tcPr>
                <w:p w14:paraId="61BB01B2">
                  <w:pPr>
                    <w:jc w:val="center"/>
                    <w:rPr>
                      <w:rFonts w:hint="default"/>
                      <w:b w:val="0"/>
                      <w:bCs w:val="0"/>
                      <w:color w:val="000000" w:themeColor="text1"/>
                      <w:szCs w:val="21"/>
                      <w:highlight w:val="none"/>
                      <w:vertAlign w:val="baseline"/>
                      <w:lang w:val="en-US" w:eastAsia="zh-CN"/>
                      <w14:textFill>
                        <w14:solidFill>
                          <w14:schemeClr w14:val="tx1"/>
                        </w14:solidFill>
                      </w14:textFill>
                    </w:rPr>
                  </w:pPr>
                  <w:r>
                    <w:rPr>
                      <w:rFonts w:hint="eastAsia"/>
                      <w:b w:val="0"/>
                      <w:bCs w:val="0"/>
                      <w:color w:val="000000" w:themeColor="text1"/>
                      <w:szCs w:val="21"/>
                      <w:highlight w:val="none"/>
                      <w:vertAlign w:val="baseline"/>
                      <w:lang w:val="en-US" w:eastAsia="zh-CN"/>
                      <w14:textFill>
                        <w14:solidFill>
                          <w14:schemeClr w14:val="tx1"/>
                        </w14:solidFill>
                      </w14:textFill>
                    </w:rPr>
                    <w:t>间接排放</w:t>
                  </w:r>
                </w:p>
              </w:tc>
              <w:tc>
                <w:tcPr>
                  <w:tcW w:w="708" w:type="dxa"/>
                  <w:vMerge w:val="restart"/>
                  <w:noWrap w:val="0"/>
                  <w:vAlign w:val="center"/>
                </w:tcPr>
                <w:p w14:paraId="7F45CCE2">
                  <w:pPr>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间断排放</w:t>
                  </w:r>
                </w:p>
              </w:tc>
              <w:tc>
                <w:tcPr>
                  <w:tcW w:w="588" w:type="dxa"/>
                  <w:vMerge w:val="restart"/>
                  <w:noWrap w:val="0"/>
                  <w:vAlign w:val="center"/>
                </w:tcPr>
                <w:p w14:paraId="0106608D">
                  <w:pPr>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DW001</w:t>
                  </w:r>
                </w:p>
              </w:tc>
              <w:tc>
                <w:tcPr>
                  <w:tcW w:w="575" w:type="dxa"/>
                  <w:vMerge w:val="restart"/>
                  <w:noWrap w:val="0"/>
                  <w:vAlign w:val="center"/>
                </w:tcPr>
                <w:p w14:paraId="686184B7">
                  <w:pPr>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废水总排口</w:t>
                  </w:r>
                </w:p>
              </w:tc>
              <w:tc>
                <w:tcPr>
                  <w:tcW w:w="629" w:type="dxa"/>
                  <w:vMerge w:val="restart"/>
                  <w:noWrap w:val="0"/>
                  <w:vAlign w:val="center"/>
                </w:tcPr>
                <w:p w14:paraId="34AC1EE5">
                  <w:pPr>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一般排放口</w:t>
                  </w:r>
                </w:p>
              </w:tc>
            </w:tr>
            <w:tr w14:paraId="518AD4F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67" w:hRule="atLeast"/>
                <w:jc w:val="center"/>
              </w:trPr>
              <w:tc>
                <w:tcPr>
                  <w:tcW w:w="598" w:type="dxa"/>
                  <w:noWrap w:val="0"/>
                  <w:vAlign w:val="center"/>
                </w:tcPr>
                <w:p w14:paraId="78CEC22E">
                  <w:pPr>
                    <w:jc w:val="center"/>
                    <w:rPr>
                      <w:rFonts w:hint="default"/>
                      <w:b w:val="0"/>
                      <w:bCs w:val="0"/>
                      <w:color w:val="000000" w:themeColor="text1"/>
                      <w:szCs w:val="21"/>
                      <w:highlight w:val="none"/>
                      <w:vertAlign w:val="baseline"/>
                      <w:lang w:val="en-US" w:eastAsia="zh-CN"/>
                      <w14:textFill>
                        <w14:solidFill>
                          <w14:schemeClr w14:val="tx1"/>
                        </w14:solidFill>
                      </w14:textFill>
                    </w:rPr>
                  </w:pPr>
                  <w:r>
                    <w:rPr>
                      <w:rFonts w:hint="eastAsia"/>
                      <w:b w:val="0"/>
                      <w:bCs w:val="0"/>
                      <w:color w:val="000000" w:themeColor="text1"/>
                      <w:szCs w:val="21"/>
                      <w:highlight w:val="none"/>
                      <w:vertAlign w:val="baseline"/>
                      <w:lang w:val="en-US" w:eastAsia="zh-CN"/>
                      <w14:textFill>
                        <w14:solidFill>
                          <w14:schemeClr w14:val="tx1"/>
                        </w14:solidFill>
                      </w14:textFill>
                    </w:rPr>
                    <w:t>设备清洗废水</w:t>
                  </w:r>
                </w:p>
              </w:tc>
              <w:tc>
                <w:tcPr>
                  <w:tcW w:w="1042" w:type="dxa"/>
                  <w:noWrap w:val="0"/>
                  <w:vAlign w:val="center"/>
                </w:tcPr>
                <w:p w14:paraId="5CCBDB42">
                  <w:pPr>
                    <w:jc w:val="center"/>
                    <w:rPr>
                      <w:rFonts w:hint="default"/>
                      <w:b w:val="0"/>
                      <w:bCs w:val="0"/>
                      <w:color w:val="000000" w:themeColor="text1"/>
                      <w:szCs w:val="21"/>
                      <w:highlight w:val="none"/>
                      <w:vertAlign w:val="baseline"/>
                      <w:lang w:val="en-US" w:eastAsia="zh-CN"/>
                      <w14:textFill>
                        <w14:solidFill>
                          <w14:schemeClr w14:val="tx1"/>
                        </w14:solidFill>
                      </w14:textFill>
                    </w:rPr>
                  </w:pPr>
                  <w:r>
                    <w:rPr>
                      <w:rFonts w:hint="eastAsia"/>
                      <w:b w:val="0"/>
                      <w:bCs w:val="0"/>
                      <w:color w:val="000000" w:themeColor="text1"/>
                      <w:szCs w:val="21"/>
                      <w:highlight w:val="none"/>
                      <w:vertAlign w:val="baseline"/>
                      <w:lang w:val="en-US" w:eastAsia="zh-CN"/>
                      <w14:textFill>
                        <w14:solidFill>
                          <w14:schemeClr w14:val="tx1"/>
                        </w14:solidFill>
                      </w14:textFill>
                    </w:rPr>
                    <w:t>COD、BOD</w:t>
                  </w:r>
                  <w:r>
                    <w:rPr>
                      <w:rFonts w:hint="eastAsia"/>
                      <w:b w:val="0"/>
                      <w:bCs w:val="0"/>
                      <w:color w:val="000000" w:themeColor="text1"/>
                      <w:szCs w:val="21"/>
                      <w:highlight w:val="none"/>
                      <w:vertAlign w:val="subscript"/>
                      <w:lang w:val="en-US" w:eastAsia="zh-CN"/>
                      <w14:textFill>
                        <w14:solidFill>
                          <w14:schemeClr w14:val="tx1"/>
                        </w14:solidFill>
                      </w14:textFill>
                    </w:rPr>
                    <w:t>5</w:t>
                  </w:r>
                  <w:r>
                    <w:rPr>
                      <w:rFonts w:hint="eastAsia"/>
                      <w:b w:val="0"/>
                      <w:bCs w:val="0"/>
                      <w:color w:val="000000" w:themeColor="text1"/>
                      <w:szCs w:val="21"/>
                      <w:highlight w:val="none"/>
                      <w:vertAlign w:val="baseline"/>
                      <w:lang w:val="en-US" w:eastAsia="zh-CN"/>
                      <w14:textFill>
                        <w14:solidFill>
                          <w14:schemeClr w14:val="tx1"/>
                        </w14:solidFill>
                      </w14:textFill>
                    </w:rPr>
                    <w:t>、TP、氨氮、SS、TN、Ni、Co、Mn</w:t>
                  </w:r>
                </w:p>
              </w:tc>
              <w:tc>
                <w:tcPr>
                  <w:tcW w:w="687" w:type="dxa"/>
                  <w:noWrap w:val="0"/>
                  <w:vAlign w:val="center"/>
                </w:tcPr>
                <w:p w14:paraId="69D1F626">
                  <w:pPr>
                    <w:jc w:val="center"/>
                    <w:rPr>
                      <w:rFonts w:hint="default"/>
                      <w:b w:val="0"/>
                      <w:bCs w:val="0"/>
                      <w:color w:val="000000" w:themeColor="text1"/>
                      <w:szCs w:val="21"/>
                      <w:highlight w:val="none"/>
                      <w:vertAlign w:val="baseline"/>
                      <w:lang w:val="en-US" w:eastAsia="zh-CN"/>
                      <w14:textFill>
                        <w14:solidFill>
                          <w14:schemeClr w14:val="tx1"/>
                        </w14:solidFill>
                      </w14:textFill>
                    </w:rPr>
                  </w:pPr>
                  <w:r>
                    <w:rPr>
                      <w:rFonts w:hint="eastAsia"/>
                      <w:b w:val="0"/>
                      <w:bCs w:val="0"/>
                      <w:color w:val="000000" w:themeColor="text1"/>
                      <w:szCs w:val="21"/>
                      <w:highlight w:val="none"/>
                      <w:vertAlign w:val="baseline"/>
                      <w:lang w:val="en-US" w:eastAsia="zh-CN"/>
                      <w14:textFill>
                        <w14:solidFill>
                          <w14:schemeClr w14:val="tx1"/>
                        </w14:solidFill>
                      </w14:textFill>
                    </w:rPr>
                    <w:t>污水处理站</w:t>
                  </w:r>
                </w:p>
              </w:tc>
              <w:tc>
                <w:tcPr>
                  <w:tcW w:w="842" w:type="dxa"/>
                  <w:shd w:val="clear" w:color="auto" w:fill="auto"/>
                  <w:noWrap w:val="0"/>
                  <w:vAlign w:val="center"/>
                </w:tcPr>
                <w:p w14:paraId="3070C4E6">
                  <w:pPr>
                    <w:jc w:val="center"/>
                    <w:rPr>
                      <w:rFonts w:hint="default"/>
                      <w:b w:val="0"/>
                      <w:bCs w:val="0"/>
                      <w:color w:val="000000" w:themeColor="text1"/>
                      <w:szCs w:val="21"/>
                      <w:highlight w:val="none"/>
                      <w:vertAlign w:val="baseline"/>
                      <w:lang w:val="en-US" w:eastAsia="zh-CN"/>
                      <w14:textFill>
                        <w14:solidFill>
                          <w14:schemeClr w14:val="tx1"/>
                        </w14:solidFill>
                      </w14:textFill>
                    </w:rPr>
                  </w:pPr>
                  <w:r>
                    <w:rPr>
                      <w:rFonts w:hint="eastAsia"/>
                      <w:b w:val="0"/>
                      <w:bCs w:val="0"/>
                      <w:color w:val="000000" w:themeColor="text1"/>
                      <w:szCs w:val="21"/>
                      <w:highlight w:val="none"/>
                      <w:vertAlign w:val="baseline"/>
                      <w:lang w:val="en-US" w:eastAsia="zh-CN"/>
                      <w14:textFill>
                        <w14:solidFill>
                          <w14:schemeClr w14:val="tx1"/>
                        </w14:solidFill>
                      </w14:textFill>
                    </w:rPr>
                    <w:t>6m</w:t>
                  </w:r>
                  <w:r>
                    <w:rPr>
                      <w:rFonts w:hint="eastAsia"/>
                      <w:b w:val="0"/>
                      <w:bCs w:val="0"/>
                      <w:color w:val="000000" w:themeColor="text1"/>
                      <w:szCs w:val="21"/>
                      <w:highlight w:val="none"/>
                      <w:vertAlign w:val="superscript"/>
                      <w:lang w:val="en-US" w:eastAsia="zh-CN"/>
                      <w14:textFill>
                        <w14:solidFill>
                          <w14:schemeClr w14:val="tx1"/>
                        </w14:solidFill>
                      </w14:textFill>
                    </w:rPr>
                    <w:t>3</w:t>
                  </w:r>
                  <w:r>
                    <w:rPr>
                      <w:rFonts w:hint="eastAsia"/>
                      <w:b w:val="0"/>
                      <w:bCs w:val="0"/>
                      <w:color w:val="000000" w:themeColor="text1"/>
                      <w:szCs w:val="21"/>
                      <w:highlight w:val="none"/>
                      <w:vertAlign w:val="baseline"/>
                      <w:lang w:val="en-US" w:eastAsia="zh-CN"/>
                      <w14:textFill>
                        <w14:solidFill>
                          <w14:schemeClr w14:val="tx1"/>
                        </w14:solidFill>
                      </w14:textFill>
                    </w:rPr>
                    <w:t>/d</w:t>
                  </w:r>
                </w:p>
              </w:tc>
              <w:tc>
                <w:tcPr>
                  <w:tcW w:w="637" w:type="dxa"/>
                  <w:shd w:val="clear" w:color="auto" w:fill="auto"/>
                  <w:noWrap w:val="0"/>
                  <w:vAlign w:val="center"/>
                </w:tcPr>
                <w:p w14:paraId="38A7BFCF">
                  <w:pPr>
                    <w:jc w:val="center"/>
                    <w:rPr>
                      <w:rFonts w:hint="eastAsia"/>
                      <w:b w:val="0"/>
                      <w:bCs w:val="0"/>
                      <w:color w:val="000000" w:themeColor="text1"/>
                      <w:szCs w:val="21"/>
                      <w:highlight w:val="none"/>
                      <w:shd w:val="clear"/>
                      <w:vertAlign w:val="baseline"/>
                      <w:lang w:val="en-US" w:eastAsia="zh-CN"/>
                      <w14:textFill>
                        <w14:solidFill>
                          <w14:schemeClr w14:val="tx1"/>
                        </w14:solidFill>
                      </w14:textFill>
                    </w:rPr>
                  </w:pPr>
                  <w:r>
                    <w:rPr>
                      <w:rFonts w:hint="eastAsia"/>
                      <w:b w:val="0"/>
                      <w:bCs w:val="0"/>
                      <w:color w:val="000000" w:themeColor="text1"/>
                      <w:szCs w:val="21"/>
                      <w:highlight w:val="none"/>
                      <w:shd w:val="clear"/>
                      <w:vertAlign w:val="baseline"/>
                      <w:lang w:val="en-US" w:eastAsia="zh-CN"/>
                      <w14:textFill>
                        <w14:solidFill>
                          <w14:schemeClr w14:val="tx1"/>
                        </w14:solidFill>
                      </w14:textFill>
                    </w:rPr>
                    <w:t>正极：除氟+除重+沉淀；</w:t>
                  </w:r>
                </w:p>
                <w:p w14:paraId="0BE870B8">
                  <w:pPr>
                    <w:pStyle w:val="34"/>
                    <w:ind w:left="0" w:leftChars="0" w:firstLine="0" w:firstLineChars="0"/>
                    <w:rPr>
                      <w:rFonts w:hint="default"/>
                      <w:color w:val="000000" w:themeColor="text1"/>
                      <w:lang w:val="en-US" w:eastAsia="zh-CN"/>
                      <w14:textFill>
                        <w14:solidFill>
                          <w14:schemeClr w14:val="tx1"/>
                        </w14:solidFill>
                      </w14:textFill>
                    </w:rPr>
                  </w:pPr>
                  <w:r>
                    <w:rPr>
                      <w:rFonts w:hint="eastAsia"/>
                      <w:b w:val="0"/>
                      <w:bCs w:val="0"/>
                      <w:color w:val="000000" w:themeColor="text1"/>
                      <w:szCs w:val="21"/>
                      <w:highlight w:val="none"/>
                      <w:shd w:val="clear"/>
                      <w:vertAlign w:val="baseline"/>
                      <w:lang w:val="en-US" w:eastAsia="zh-CN"/>
                      <w14:textFill>
                        <w14:solidFill>
                          <w14:schemeClr w14:val="tx1"/>
                        </w14:solidFill>
                      </w14:textFill>
                    </w:rPr>
                    <w:t>负极：芬顿氧化+沉淀</w:t>
                  </w:r>
                </w:p>
              </w:tc>
              <w:tc>
                <w:tcPr>
                  <w:tcW w:w="725" w:type="dxa"/>
                  <w:noWrap w:val="0"/>
                  <w:vAlign w:val="center"/>
                </w:tcPr>
                <w:p w14:paraId="07933E70">
                  <w:pPr>
                    <w:jc w:val="center"/>
                    <w:rPr>
                      <w:rFonts w:hint="default"/>
                      <w:b w:val="0"/>
                      <w:bCs w:val="0"/>
                      <w:color w:val="000000" w:themeColor="text1"/>
                      <w:szCs w:val="21"/>
                      <w:highlight w:val="none"/>
                      <w:vertAlign w:val="baseline"/>
                      <w:lang w:val="en-US" w:eastAsia="zh-CN"/>
                      <w14:textFill>
                        <w14:solidFill>
                          <w14:schemeClr w14:val="tx1"/>
                        </w14:solidFill>
                      </w14:textFill>
                    </w:rPr>
                  </w:pPr>
                  <w:r>
                    <w:rPr>
                      <w:rFonts w:hint="eastAsia"/>
                      <w:b w:val="0"/>
                      <w:bCs w:val="0"/>
                      <w:color w:val="000000" w:themeColor="text1"/>
                      <w:szCs w:val="21"/>
                      <w:highlight w:val="none"/>
                      <w:vertAlign w:val="baseline"/>
                      <w:lang w:val="en-US" w:eastAsia="zh-CN"/>
                      <w14:textFill>
                        <w14:solidFill>
                          <w14:schemeClr w14:val="tx1"/>
                        </w14:solidFill>
                      </w14:textFill>
                    </w:rPr>
                    <w:t>是</w:t>
                  </w:r>
                </w:p>
              </w:tc>
              <w:tc>
                <w:tcPr>
                  <w:tcW w:w="513" w:type="dxa"/>
                  <w:vMerge w:val="continue"/>
                  <w:noWrap w:val="0"/>
                  <w:vAlign w:val="center"/>
                </w:tcPr>
                <w:p w14:paraId="65501109">
                  <w:pPr>
                    <w:jc w:val="center"/>
                    <w:rPr>
                      <w:rFonts w:hint="eastAsia" w:eastAsia="宋体"/>
                      <w:b w:val="0"/>
                      <w:bCs w:val="0"/>
                      <w:color w:val="000000" w:themeColor="text1"/>
                      <w:kern w:val="2"/>
                      <w:sz w:val="21"/>
                      <w:szCs w:val="21"/>
                      <w:highlight w:val="none"/>
                      <w:vertAlign w:val="baseline"/>
                      <w:lang w:val="en-US" w:eastAsia="zh-CN" w:bidi="ar-SA"/>
                      <w14:textFill>
                        <w14:solidFill>
                          <w14:schemeClr w14:val="tx1"/>
                        </w14:solidFill>
                      </w14:textFill>
                    </w:rPr>
                  </w:pPr>
                </w:p>
              </w:tc>
              <w:tc>
                <w:tcPr>
                  <w:tcW w:w="525" w:type="dxa"/>
                  <w:vMerge w:val="continue"/>
                  <w:noWrap w:val="0"/>
                  <w:vAlign w:val="center"/>
                </w:tcPr>
                <w:p w14:paraId="302F393F">
                  <w:pPr>
                    <w:jc w:val="center"/>
                    <w:rPr>
                      <w:rFonts w:hint="eastAsia"/>
                      <w:b w:val="0"/>
                      <w:bCs w:val="0"/>
                      <w:color w:val="000000" w:themeColor="text1"/>
                      <w:szCs w:val="21"/>
                      <w:highlight w:val="none"/>
                      <w:vertAlign w:val="baseline"/>
                      <w:lang w:val="en-US" w:eastAsia="zh-CN"/>
                      <w14:textFill>
                        <w14:solidFill>
                          <w14:schemeClr w14:val="tx1"/>
                        </w14:solidFill>
                      </w14:textFill>
                    </w:rPr>
                  </w:pPr>
                </w:p>
              </w:tc>
              <w:tc>
                <w:tcPr>
                  <w:tcW w:w="708" w:type="dxa"/>
                  <w:vMerge w:val="continue"/>
                  <w:noWrap w:val="0"/>
                  <w:vAlign w:val="center"/>
                </w:tcPr>
                <w:p w14:paraId="1789E0B3">
                  <w:pPr>
                    <w:jc w:val="center"/>
                    <w:rPr>
                      <w:rFonts w:hint="eastAsia"/>
                      <w:color w:val="000000" w:themeColor="text1"/>
                      <w:sz w:val="21"/>
                      <w:szCs w:val="21"/>
                      <w:highlight w:val="none"/>
                      <w:lang w:val="en-US" w:eastAsia="zh-CN"/>
                      <w14:textFill>
                        <w14:solidFill>
                          <w14:schemeClr w14:val="tx1"/>
                        </w14:solidFill>
                      </w14:textFill>
                    </w:rPr>
                  </w:pPr>
                </w:p>
              </w:tc>
              <w:tc>
                <w:tcPr>
                  <w:tcW w:w="588" w:type="dxa"/>
                  <w:vMerge w:val="continue"/>
                  <w:noWrap w:val="0"/>
                  <w:vAlign w:val="center"/>
                </w:tcPr>
                <w:p w14:paraId="4D43B521">
                  <w:pPr>
                    <w:jc w:val="center"/>
                    <w:rPr>
                      <w:rFonts w:hint="default"/>
                      <w:color w:val="000000" w:themeColor="text1"/>
                      <w:sz w:val="21"/>
                      <w:szCs w:val="21"/>
                      <w:highlight w:val="none"/>
                      <w:lang w:val="en-US" w:eastAsia="zh-CN"/>
                      <w14:textFill>
                        <w14:solidFill>
                          <w14:schemeClr w14:val="tx1"/>
                        </w14:solidFill>
                      </w14:textFill>
                    </w:rPr>
                  </w:pPr>
                </w:p>
              </w:tc>
              <w:tc>
                <w:tcPr>
                  <w:tcW w:w="575" w:type="dxa"/>
                  <w:vMerge w:val="continue"/>
                  <w:noWrap w:val="0"/>
                  <w:vAlign w:val="center"/>
                </w:tcPr>
                <w:p w14:paraId="11B16D9E">
                  <w:pPr>
                    <w:jc w:val="center"/>
                    <w:rPr>
                      <w:rFonts w:hint="default"/>
                      <w:color w:val="000000" w:themeColor="text1"/>
                      <w:sz w:val="21"/>
                      <w:szCs w:val="21"/>
                      <w:highlight w:val="none"/>
                      <w:lang w:val="en-US" w:eastAsia="zh-CN"/>
                      <w14:textFill>
                        <w14:solidFill>
                          <w14:schemeClr w14:val="tx1"/>
                        </w14:solidFill>
                      </w14:textFill>
                    </w:rPr>
                  </w:pPr>
                </w:p>
              </w:tc>
              <w:tc>
                <w:tcPr>
                  <w:tcW w:w="629" w:type="dxa"/>
                  <w:vMerge w:val="continue"/>
                  <w:noWrap w:val="0"/>
                  <w:vAlign w:val="center"/>
                </w:tcPr>
                <w:p w14:paraId="1A664C74">
                  <w:pPr>
                    <w:jc w:val="center"/>
                    <w:rPr>
                      <w:rFonts w:hint="eastAsia"/>
                      <w:color w:val="000000" w:themeColor="text1"/>
                      <w:sz w:val="21"/>
                      <w:szCs w:val="21"/>
                      <w:highlight w:val="none"/>
                      <w:lang w:val="en-US" w:eastAsia="zh-CN"/>
                      <w14:textFill>
                        <w14:solidFill>
                          <w14:schemeClr w14:val="tx1"/>
                        </w14:solidFill>
                      </w14:textFill>
                    </w:rPr>
                  </w:pPr>
                </w:p>
              </w:tc>
            </w:tr>
          </w:tbl>
          <w:p w14:paraId="755FEDB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eastAsia" w:cs="Times New Roman"/>
                <w:color w:val="000000" w:themeColor="text1"/>
                <w:sz w:val="24"/>
                <w:lang w:val="en-US" w:eastAsia="zh-CN"/>
                <w14:textFill>
                  <w14:solidFill>
                    <w14:schemeClr w14:val="tx1"/>
                  </w14:solidFill>
                </w14:textFill>
              </w:rPr>
              <w:t>（3）废水污染治理措施可行性分析</w:t>
            </w:r>
          </w:p>
          <w:p w14:paraId="64065C9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eastAsia="宋体" w:cs="Times New Roman"/>
                <w:color w:val="000000" w:themeColor="text1"/>
                <w:sz w:val="24"/>
                <w:lang w:val="en-US" w:eastAsia="zh-CN"/>
                <w14:textFill>
                  <w14:solidFill>
                    <w14:schemeClr w14:val="tx1"/>
                  </w14:solidFill>
                </w14:textFill>
              </w:rPr>
            </w:pPr>
            <w:r>
              <w:rPr>
                <w:rFonts w:hint="eastAsia" w:ascii="Times New Roman" w:hAnsi="Times New Roman" w:eastAsia="宋体" w:cs="Times New Roman"/>
                <w:color w:val="000000" w:themeColor="text1"/>
                <w:sz w:val="24"/>
                <w:lang w:val="en-US" w:eastAsia="zh-CN"/>
                <w14:textFill>
                  <w14:solidFill>
                    <w14:schemeClr w14:val="tx1"/>
                  </w14:solidFill>
                </w14:textFill>
              </w:rPr>
              <w:t>1）预处理池可行性分析</w:t>
            </w:r>
          </w:p>
          <w:p w14:paraId="41D5B23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本项目</w:t>
            </w:r>
            <w:r>
              <w:rPr>
                <w:rFonts w:hint="eastAsia" w:cs="Times New Roman"/>
                <w:color w:val="000000" w:themeColor="text1"/>
                <w:sz w:val="24"/>
                <w:szCs w:val="24"/>
                <w:lang w:val="en-US" w:eastAsia="zh-CN"/>
                <w14:textFill>
                  <w14:solidFill>
                    <w14:schemeClr w14:val="tx1"/>
                  </w14:solidFill>
                </w14:textFill>
              </w:rPr>
              <w:t>外排废水</w:t>
            </w:r>
            <w:r>
              <w:rPr>
                <w:rFonts w:hint="default" w:ascii="Times New Roman" w:hAnsi="Times New Roman" w:eastAsia="宋体" w:cs="Times New Roman"/>
                <w:color w:val="000000" w:themeColor="text1"/>
                <w:sz w:val="24"/>
                <w:szCs w:val="24"/>
                <w14:textFill>
                  <w14:solidFill>
                    <w14:schemeClr w14:val="tx1"/>
                  </w14:solidFill>
                </w14:textFill>
              </w:rPr>
              <w:t>最大日产生量为</w:t>
            </w:r>
            <w:r>
              <w:rPr>
                <w:rFonts w:hint="eastAsia" w:cs="Times New Roman"/>
                <w:color w:val="000000" w:themeColor="text1"/>
                <w:sz w:val="24"/>
                <w:szCs w:val="24"/>
                <w:lang w:val="en-US" w:eastAsia="zh-CN"/>
                <w14:textFill>
                  <w14:solidFill>
                    <w14:schemeClr w14:val="tx1"/>
                  </w14:solidFill>
                </w14:textFill>
              </w:rPr>
              <w:t>14.88</w:t>
            </w:r>
            <w:r>
              <w:rPr>
                <w:rFonts w:hint="default" w:ascii="Times New Roman" w:hAnsi="Times New Roman" w:eastAsia="宋体" w:cs="Times New Roman"/>
                <w:color w:val="000000" w:themeColor="text1"/>
                <w:sz w:val="24"/>
                <w:szCs w:val="24"/>
                <w14:textFill>
                  <w14:solidFill>
                    <w14:schemeClr w14:val="tx1"/>
                  </w14:solidFill>
                </w14:textFill>
              </w:rPr>
              <w:t>m³/d。项目新建1座有效容积50m³的废水预处理池，按24h水力停留时间核算，其设计处理能力为50m³/d</w:t>
            </w:r>
            <w:r>
              <w:rPr>
                <w:rFonts w:hint="default"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且</w:t>
            </w:r>
            <w:r>
              <w:rPr>
                <w:rFonts w:hint="default" w:ascii="Times New Roman" w:hAnsi="Times New Roman" w:eastAsia="宋体" w:cs="Times New Roman"/>
                <w:color w:val="000000" w:themeColor="text1"/>
                <w:sz w:val="24"/>
                <w:szCs w:val="24"/>
                <w14:textFill>
                  <w14:solidFill>
                    <w14:schemeClr w14:val="tx1"/>
                  </w14:solidFill>
                </w14:textFill>
              </w:rPr>
              <w:t>最大综合废水量</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小于预处理池的设计处理能力。因此，预处理池能够接纳处理项目产生的</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废水</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p>
          <w:p w14:paraId="6AD0DD5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2）本项目生产废水处理设施可行性分析</w:t>
            </w:r>
          </w:p>
          <w:p w14:paraId="67BF7C03">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cs="Times New Roman"/>
                <w:b w:val="0"/>
                <w:bCs w:val="0"/>
                <w:color w:val="000000" w:themeColor="text1"/>
                <w:sz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厂区拟新建1座污水处理站，处理能力为</w:t>
            </w:r>
            <w:r>
              <w:rPr>
                <w:rFonts w:hint="eastAsia" w:cs="Times New Roman"/>
                <w:color w:val="000000" w:themeColor="text1"/>
                <w:sz w:val="24"/>
                <w:szCs w:val="24"/>
                <w:highlight w:val="none"/>
                <w:lang w:val="en-US" w:eastAsia="zh-CN"/>
                <w14:textFill>
                  <w14:solidFill>
                    <w14:schemeClr w14:val="tx1"/>
                  </w14:solidFill>
                </w14:textFill>
              </w:rPr>
              <w:t>6</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m</w:t>
            </w:r>
            <w:r>
              <w:rPr>
                <w:rFonts w:hint="eastAsia" w:ascii="Times New Roman" w:hAnsi="Times New Roman" w:eastAsia="宋体" w:cs="Times New Roman"/>
                <w:color w:val="000000" w:themeColor="text1"/>
                <w:sz w:val="24"/>
                <w:szCs w:val="24"/>
                <w:highlight w:val="none"/>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/d，</w:t>
            </w:r>
            <w:r>
              <w:rPr>
                <w:rFonts w:hint="eastAsia" w:cs="Times New Roman"/>
                <w:b w:val="0"/>
                <w:bCs w:val="0"/>
                <w:color w:val="000000" w:themeColor="text1"/>
                <w:sz w:val="24"/>
                <w:highlight w:val="none"/>
                <w:lang w:val="en-US" w:eastAsia="zh-CN"/>
                <w14:textFill>
                  <w14:solidFill>
                    <w14:schemeClr w14:val="tx1"/>
                  </w14:solidFill>
                </w14:textFill>
              </w:rPr>
              <w:t>污水处理工艺见下图。</w:t>
            </w:r>
          </w:p>
          <w:p w14:paraId="66A360DE">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cs="Times New Roman"/>
                <w:b w:val="0"/>
                <w:bCs w:val="0"/>
                <w:color w:val="000000" w:themeColor="text1"/>
                <w:sz w:val="24"/>
                <w:highlight w:val="none"/>
                <w:lang w:val="en-US" w:eastAsia="zh-CN"/>
                <w14:textFill>
                  <w14:solidFill>
                    <w14:schemeClr w14:val="tx1"/>
                  </w14:solidFill>
                </w14:textFill>
              </w:rPr>
            </w:pPr>
          </w:p>
          <w:p w14:paraId="71642958">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cs="Times New Roman"/>
                <w:b w:val="0"/>
                <w:bCs w:val="0"/>
                <w:color w:val="000000" w:themeColor="text1"/>
                <w:sz w:val="24"/>
                <w:highlight w:val="none"/>
                <w:lang w:val="en-US" w:eastAsia="zh-CN"/>
                <w14:textFill>
                  <w14:solidFill>
                    <w14:schemeClr w14:val="tx1"/>
                  </w14:solidFill>
                </w14:textFill>
              </w:rPr>
            </w:pPr>
          </w:p>
          <w:p w14:paraId="585C91AD">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cs="Times New Roman"/>
                <w:b w:val="0"/>
                <w:bCs w:val="0"/>
                <w:color w:val="000000" w:themeColor="text1"/>
                <w:sz w:val="24"/>
                <w:highlight w:val="none"/>
                <w:lang w:val="en-US" w:eastAsia="zh-CN"/>
                <w14:textFill>
                  <w14:solidFill>
                    <w14:schemeClr w14:val="tx1"/>
                  </w14:solidFill>
                </w14:textFill>
              </w:rPr>
            </w:pPr>
          </w:p>
          <w:p w14:paraId="44A376DE">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cs="Times New Roman"/>
                <w:b w:val="0"/>
                <w:bCs w:val="0"/>
                <w:color w:val="000000" w:themeColor="text1"/>
                <w:sz w:val="24"/>
                <w:highlight w:val="none"/>
                <w:lang w:val="en-US" w:eastAsia="zh-CN"/>
                <w14:textFill>
                  <w14:solidFill>
                    <w14:schemeClr w14:val="tx1"/>
                  </w14:solidFill>
                </w14:textFill>
              </w:rPr>
            </w:pPr>
          </w:p>
          <w:p w14:paraId="52374DAB">
            <w:pPr>
              <w:pStyle w:val="37"/>
              <w:widowControl/>
              <w:shd w:val="clear" w:color="auto" w:fill="FFFFFF"/>
              <w:spacing w:before="0" w:beforeAutospacing="0" w:after="0" w:afterAutospacing="0" w:line="48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mc:AlternateContent>
                <mc:Choice Requires="wps">
                  <w:drawing>
                    <wp:anchor distT="0" distB="0" distL="114300" distR="114300" simplePos="0" relativeHeight="251732992" behindDoc="0" locked="0" layoutInCell="1" allowOverlap="1">
                      <wp:simplePos x="0" y="0"/>
                      <wp:positionH relativeFrom="column">
                        <wp:posOffset>3689985</wp:posOffset>
                      </wp:positionH>
                      <wp:positionV relativeFrom="paragraph">
                        <wp:posOffset>29210</wp:posOffset>
                      </wp:positionV>
                      <wp:extent cx="1271270" cy="292735"/>
                      <wp:effectExtent l="5080" t="4445" r="19050" b="7620"/>
                      <wp:wrapNone/>
                      <wp:docPr id="208" name="文本框 208"/>
                      <wp:cNvGraphicFramePr/>
                      <a:graphic xmlns:a="http://schemas.openxmlformats.org/drawingml/2006/main">
                        <a:graphicData uri="http://schemas.microsoft.com/office/word/2010/wordprocessingShape">
                          <wps:wsp>
                            <wps:cNvSpPr txBox="1"/>
                            <wps:spPr>
                              <a:xfrm>
                                <a:off x="0" y="0"/>
                                <a:ext cx="1271270" cy="29273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BA1AB84">
                                  <w:pPr>
                                    <w:rPr>
                                      <w:rFonts w:hint="default" w:eastAsia="宋体"/>
                                      <w:sz w:val="21"/>
                                      <w:szCs w:val="21"/>
                                      <w:lang w:val="en-US" w:eastAsia="zh-CN"/>
                                    </w:rPr>
                                  </w:pPr>
                                  <w:r>
                                    <w:rPr>
                                      <w:rFonts w:hint="eastAsia"/>
                                      <w:sz w:val="21"/>
                                      <w:szCs w:val="21"/>
                                      <w:lang w:val="en-US" w:eastAsia="zh-CN"/>
                                    </w:rPr>
                                    <w:t>负极设备清洗废水</w:t>
                                  </w:r>
                                </w:p>
                              </w:txbxContent>
                            </wps:txbx>
                            <wps:bodyPr upright="1"/>
                          </wps:wsp>
                        </a:graphicData>
                      </a:graphic>
                    </wp:anchor>
                  </w:drawing>
                </mc:Choice>
                <mc:Fallback>
                  <w:pict>
                    <v:shape id="_x0000_s1026" o:spid="_x0000_s1026" o:spt="202" type="#_x0000_t202" style="position:absolute;left:0pt;margin-left:290.55pt;margin-top:2.3pt;height:23.05pt;width:100.1pt;z-index:251732992;mso-width-relative:page;mso-height-relative:page;" fillcolor="#FFFFFF" filled="t" stroked="t" coordsize="21600,21600" o:gfxdata="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QWx2h9cAAAAIAQAADwAAAAAAAAABACAAAAAi&#10;AAAAZHJzL2Rvd25yZXYueG1sUEsBAhQAFAAAAAgAh07iQDH5CLwLAgAAOgQAAA4AAAAAAAAAAQAg&#10;AAAAJgEAAGRycy9lMm9Eb2MueG1sUEsFBgAAAAAGAAYAWQEAAKMFAAAAAA==&#10;">
                      <v:fill on="t" focussize="0,0"/>
                      <v:stroke color="#000000" joinstyle="miter"/>
                      <v:imagedata o:title=""/>
                      <o:lock v:ext="edit" aspectratio="f"/>
                      <v:textbox>
                        <w:txbxContent>
                          <w:p w14:paraId="1BA1AB84">
                            <w:pPr>
                              <w:rPr>
                                <w:rFonts w:hint="default" w:eastAsia="宋体"/>
                                <w:sz w:val="21"/>
                                <w:szCs w:val="21"/>
                                <w:lang w:val="en-US" w:eastAsia="zh-CN"/>
                              </w:rPr>
                            </w:pPr>
                            <w:r>
                              <w:rPr>
                                <w:rFonts w:hint="eastAsia"/>
                                <w:sz w:val="21"/>
                                <w:szCs w:val="21"/>
                                <w:lang w:val="en-US" w:eastAsia="zh-CN"/>
                              </w:rPr>
                              <w:t>负极设备清洗废水</w:t>
                            </w:r>
                          </w:p>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680768" behindDoc="0" locked="0" layoutInCell="1" allowOverlap="1">
                      <wp:simplePos x="0" y="0"/>
                      <wp:positionH relativeFrom="column">
                        <wp:posOffset>762635</wp:posOffset>
                      </wp:positionH>
                      <wp:positionV relativeFrom="paragraph">
                        <wp:posOffset>55880</wp:posOffset>
                      </wp:positionV>
                      <wp:extent cx="1302385" cy="287020"/>
                      <wp:effectExtent l="5080" t="4445" r="6985" b="13335"/>
                      <wp:wrapNone/>
                      <wp:docPr id="184" name="文本框 184"/>
                      <wp:cNvGraphicFramePr/>
                      <a:graphic xmlns:a="http://schemas.openxmlformats.org/drawingml/2006/main">
                        <a:graphicData uri="http://schemas.microsoft.com/office/word/2010/wordprocessingShape">
                          <wps:wsp>
                            <wps:cNvSpPr txBox="1"/>
                            <wps:spPr>
                              <a:xfrm>
                                <a:off x="0" y="0"/>
                                <a:ext cx="1302385" cy="28702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042C494">
                                  <w:pPr>
                                    <w:jc w:val="center"/>
                                    <w:rPr>
                                      <w:rFonts w:hint="default" w:eastAsia="宋体"/>
                                      <w:sz w:val="21"/>
                                      <w:szCs w:val="21"/>
                                      <w:lang w:val="en-US" w:eastAsia="zh-CN"/>
                                    </w:rPr>
                                  </w:pPr>
                                  <w:r>
                                    <w:rPr>
                                      <w:rFonts w:hint="eastAsia" w:eastAsia="宋体"/>
                                      <w:sz w:val="21"/>
                                      <w:szCs w:val="21"/>
                                      <w:lang w:val="en-US" w:eastAsia="zh-CN"/>
                                    </w:rPr>
                                    <w:t>正极设备清洗废水</w:t>
                                  </w:r>
                                </w:p>
                              </w:txbxContent>
                            </wps:txbx>
                            <wps:bodyPr upright="1"/>
                          </wps:wsp>
                        </a:graphicData>
                      </a:graphic>
                    </wp:anchor>
                  </w:drawing>
                </mc:Choice>
                <mc:Fallback>
                  <w:pict>
                    <v:shape id="_x0000_s1026" o:spid="_x0000_s1026" o:spt="202" type="#_x0000_t202" style="position:absolute;left:0pt;margin-left:60.05pt;margin-top:4.4pt;height:22.6pt;width:102.55pt;z-index:251680768;mso-width-relative:page;mso-height-relative:page;" fillcolor="#FFFFFF" filled="t" stroked="t" coordsize="21600,21600" o:gfxdata="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rvL/99cAAAAIAQAADwAAAAAAAAABACAA&#10;AAAiAAAAZHJzL2Rvd25yZXYueG1sUEsBAhQAFAAAAAgAh07iQOqulKMOAgAAOgQAAA4AAAAAAAAA&#10;AQAgAAAAJgEAAGRycy9lMm9Eb2MueG1sUEsFBgAAAAAGAAYAWQEAAKYFAAAAAA==&#10;">
                      <v:fill on="t" focussize="0,0"/>
                      <v:stroke color="#000000" joinstyle="miter"/>
                      <v:imagedata o:title=""/>
                      <o:lock v:ext="edit" aspectratio="f"/>
                      <v:textbox>
                        <w:txbxContent>
                          <w:p w14:paraId="2042C494">
                            <w:pPr>
                              <w:jc w:val="center"/>
                              <w:rPr>
                                <w:rFonts w:hint="default" w:eastAsia="宋体"/>
                                <w:sz w:val="21"/>
                                <w:szCs w:val="21"/>
                                <w:lang w:val="en-US" w:eastAsia="zh-CN"/>
                              </w:rPr>
                            </w:pPr>
                            <w:r>
                              <w:rPr>
                                <w:rFonts w:hint="eastAsia" w:eastAsia="宋体"/>
                                <w:sz w:val="21"/>
                                <w:szCs w:val="21"/>
                                <w:lang w:val="en-US" w:eastAsia="zh-CN"/>
                              </w:rPr>
                              <w:t>正极设备清洗废水</w:t>
                            </w:r>
                          </w:p>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679744" behindDoc="0" locked="0" layoutInCell="1" allowOverlap="1">
                      <wp:simplePos x="0" y="0"/>
                      <wp:positionH relativeFrom="column">
                        <wp:posOffset>1282065</wp:posOffset>
                      </wp:positionH>
                      <wp:positionV relativeFrom="paragraph">
                        <wp:posOffset>349250</wp:posOffset>
                      </wp:positionV>
                      <wp:extent cx="178435" cy="184150"/>
                      <wp:effectExtent l="19685" t="4445" r="30480" b="20955"/>
                      <wp:wrapNone/>
                      <wp:docPr id="206" name="下箭头 206"/>
                      <wp:cNvGraphicFramePr/>
                      <a:graphic xmlns:a="http://schemas.openxmlformats.org/drawingml/2006/main">
                        <a:graphicData uri="http://schemas.microsoft.com/office/word/2010/wordprocessingShape">
                          <wps:wsp>
                            <wps:cNvSpPr/>
                            <wps:spPr>
                              <a:xfrm>
                                <a:off x="0" y="0"/>
                                <a:ext cx="178435" cy="184150"/>
                              </a:xfrm>
                              <a:prstGeom prst="downArrow">
                                <a:avLst>
                                  <a:gd name="adj1" fmla="val 50000"/>
                                  <a:gd name="adj2" fmla="val 25800"/>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shape id="_x0000_s1026" o:spid="_x0000_s1026" o:spt="67" type="#_x0000_t67" style="position:absolute;left:0pt;margin-left:100.95pt;margin-top:27.5pt;height:14.5pt;width:14.05pt;z-index:251679744;mso-width-relative:page;mso-height-relative:page;" fillcolor="#FFFFFF" filled="t" stroked="t" coordsize="21600,21600" o:gfxdata="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AeqvV9oAAAAJAQAADwAAAAAAAAABACAAAAAiAAAAZHJzL2Rvd25yZXYueG1sUEsBAhQA&#10;FAAAAAgAh07iQFWWCSkpAgAAegQAAA4AAAAAAAAAAQAgAAAAKQEAAGRycy9lMm9Eb2MueG1sUEsF&#10;BgAAAAAGAAYAWQEAAMQFAAAAAA==&#10;" adj="16201,5400">
                      <v:fill on="t" focussize="0,0"/>
                      <v:stroke color="#000000" joinstyle="miter"/>
                      <v:imagedata o:title=""/>
                      <o:lock v:ext="edit" aspectratio="f"/>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731968" behindDoc="0" locked="0" layoutInCell="1" allowOverlap="1">
                      <wp:simplePos x="0" y="0"/>
                      <wp:positionH relativeFrom="column">
                        <wp:posOffset>4255135</wp:posOffset>
                      </wp:positionH>
                      <wp:positionV relativeFrom="paragraph">
                        <wp:posOffset>343535</wp:posOffset>
                      </wp:positionV>
                      <wp:extent cx="178435" cy="184150"/>
                      <wp:effectExtent l="19685" t="4445" r="30480" b="20955"/>
                      <wp:wrapNone/>
                      <wp:docPr id="191" name="下箭头 191"/>
                      <wp:cNvGraphicFramePr/>
                      <a:graphic xmlns:a="http://schemas.openxmlformats.org/drawingml/2006/main">
                        <a:graphicData uri="http://schemas.microsoft.com/office/word/2010/wordprocessingShape">
                          <wps:wsp>
                            <wps:cNvSpPr/>
                            <wps:spPr>
                              <a:xfrm>
                                <a:off x="0" y="0"/>
                                <a:ext cx="178435" cy="184150"/>
                              </a:xfrm>
                              <a:prstGeom prst="downArrow">
                                <a:avLst>
                                  <a:gd name="adj1" fmla="val 50000"/>
                                  <a:gd name="adj2" fmla="val 25800"/>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shape id="_x0000_s1026" o:spid="_x0000_s1026" o:spt="67" type="#_x0000_t67" style="position:absolute;left:0pt;margin-left:335.05pt;margin-top:27.05pt;height:14.5pt;width:14.05pt;z-index:251731968;mso-width-relative:page;mso-height-relative:page;" fillcolor="#FFFFFF" filled="t" stroked="t" coordsize="21600,21600" o:gfxdata="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kChQztsAAAAJAQAADwAAAAAAAAABACAAAAAiAAAAZHJzL2Rvd25yZXYueG1sUEsBAhQA&#10;FAAAAAgAh07iQKS7SCsoAgAAegQAAA4AAAAAAAAAAQAgAAAAKgEAAGRycy9lMm9Eb2MueG1sUEsF&#10;BgAAAAAGAAYAWQEAAMQFAAAAAA==&#10;" adj="16201,5400">
                      <v:fill on="t" focussize="0,0"/>
                      <v:stroke color="#000000" joinstyle="miter"/>
                      <v:imagedata o:title=""/>
                      <o:lock v:ext="edit" aspectratio="f"/>
                    </v:shape>
                  </w:pict>
                </mc:Fallback>
              </mc:AlternateContent>
            </w:r>
          </w:p>
          <w:p w14:paraId="40B449EF">
            <w:pPr>
              <w:bidi w:val="0"/>
              <w:rPr>
                <w:rFonts w:hint="eastAsia"/>
                <w:color w:val="000000" w:themeColor="text1"/>
                <w:lang w:val="en-US" w:eastAsia="zh-CN"/>
                <w14:textFill>
                  <w14:solidFill>
                    <w14:schemeClr w14:val="tx1"/>
                  </w14:solidFill>
                </w14:textFill>
              </w:rPr>
            </w:pPr>
            <w:r>
              <w:rPr>
                <w:color w:val="000000" w:themeColor="text1"/>
                <w:sz w:val="24"/>
                <w14:textFill>
                  <w14:solidFill>
                    <w14:schemeClr w14:val="tx1"/>
                  </w14:solidFill>
                </w14:textFill>
              </w:rPr>
              <mc:AlternateContent>
                <mc:Choice Requires="wps">
                  <w:drawing>
                    <wp:anchor distT="0" distB="0" distL="114300" distR="114300" simplePos="0" relativeHeight="251774976" behindDoc="0" locked="0" layoutInCell="1" allowOverlap="1">
                      <wp:simplePos x="0" y="0"/>
                      <wp:positionH relativeFrom="column">
                        <wp:posOffset>3756025</wp:posOffset>
                      </wp:positionH>
                      <wp:positionV relativeFrom="paragraph">
                        <wp:posOffset>144145</wp:posOffset>
                      </wp:positionV>
                      <wp:extent cx="1171575" cy="328930"/>
                      <wp:effectExtent l="5080" t="5080" r="4445" b="8890"/>
                      <wp:wrapNone/>
                      <wp:docPr id="209" name="文本框 209"/>
                      <wp:cNvGraphicFramePr/>
                      <a:graphic xmlns:a="http://schemas.openxmlformats.org/drawingml/2006/main">
                        <a:graphicData uri="http://schemas.microsoft.com/office/word/2010/wordprocessingShape">
                          <wps:wsp>
                            <wps:cNvSpPr txBox="1"/>
                            <wps:spPr>
                              <a:xfrm>
                                <a:off x="0" y="0"/>
                                <a:ext cx="1171575" cy="32893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ADF3AD1">
                                  <w:pPr>
                                    <w:jc w:val="center"/>
                                    <w:rPr>
                                      <w:rFonts w:hint="default" w:eastAsia="宋体"/>
                                      <w:sz w:val="21"/>
                                      <w:szCs w:val="21"/>
                                      <w:lang w:val="en-US" w:eastAsia="zh-CN"/>
                                    </w:rPr>
                                  </w:pPr>
                                  <w:r>
                                    <w:rPr>
                                      <w:rFonts w:hint="eastAsia"/>
                                      <w:sz w:val="21"/>
                                      <w:szCs w:val="21"/>
                                      <w:lang w:val="en-US" w:eastAsia="zh-CN"/>
                                    </w:rPr>
                                    <w:t>车间三级沉淀池</w:t>
                                  </w:r>
                                </w:p>
                              </w:txbxContent>
                            </wps:txbx>
                            <wps:bodyPr upright="1"/>
                          </wps:wsp>
                        </a:graphicData>
                      </a:graphic>
                    </wp:anchor>
                  </w:drawing>
                </mc:Choice>
                <mc:Fallback>
                  <w:pict>
                    <v:shape id="_x0000_s1026" o:spid="_x0000_s1026" o:spt="202" type="#_x0000_t202" style="position:absolute;left:0pt;margin-left:295.75pt;margin-top:11.35pt;height:25.9pt;width:92.25pt;z-index:251774976;mso-width-relative:page;mso-height-relative:page;" fillcolor="#FFFFFF" filled="t" stroked="t" coordsize="21600,21600" o:gfxdata="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0NiHNtkAAAAJAQAADwAAAAAAAAAB&#10;ACAAAAAiAAAAZHJzL2Rvd25yZXYueG1sUEsBAhQAFAAAAAgAh07iQN4F3pcPAgAAOgQAAA4AAAAA&#10;AAAAAQAgAAAAKAEAAGRycy9lMm9Eb2MueG1sUEsFBgAAAAAGAAYAWQEAAKkFAAAAAA==&#10;">
                      <v:fill on="t" focussize="0,0"/>
                      <v:stroke color="#000000" joinstyle="miter"/>
                      <v:imagedata o:title=""/>
                      <o:lock v:ext="edit" aspectratio="f"/>
                      <v:textbox>
                        <w:txbxContent>
                          <w:p w14:paraId="5ADF3AD1">
                            <w:pPr>
                              <w:jc w:val="center"/>
                              <w:rPr>
                                <w:rFonts w:hint="default" w:eastAsia="宋体"/>
                                <w:sz w:val="21"/>
                                <w:szCs w:val="21"/>
                                <w:lang w:val="en-US" w:eastAsia="zh-CN"/>
                              </w:rPr>
                            </w:pPr>
                            <w:r>
                              <w:rPr>
                                <w:rFonts w:hint="eastAsia"/>
                                <w:sz w:val="21"/>
                                <w:szCs w:val="21"/>
                                <w:lang w:val="en-US" w:eastAsia="zh-CN"/>
                              </w:rPr>
                              <w:t>车间三级沉淀池</w:t>
                            </w:r>
                          </w:p>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678720" behindDoc="0" locked="0" layoutInCell="1" allowOverlap="1">
                      <wp:simplePos x="0" y="0"/>
                      <wp:positionH relativeFrom="column">
                        <wp:posOffset>821055</wp:posOffset>
                      </wp:positionH>
                      <wp:positionV relativeFrom="paragraph">
                        <wp:posOffset>145415</wp:posOffset>
                      </wp:positionV>
                      <wp:extent cx="1219200" cy="318135"/>
                      <wp:effectExtent l="4445" t="5080" r="14605" b="19685"/>
                      <wp:wrapSquare wrapText="bothSides"/>
                      <wp:docPr id="210" name="文本框 210"/>
                      <wp:cNvGraphicFramePr/>
                      <a:graphic xmlns:a="http://schemas.openxmlformats.org/drawingml/2006/main">
                        <a:graphicData uri="http://schemas.microsoft.com/office/word/2010/wordprocessingShape">
                          <wps:wsp>
                            <wps:cNvSpPr txBox="1"/>
                            <wps:spPr>
                              <a:xfrm>
                                <a:off x="0" y="0"/>
                                <a:ext cx="1219200" cy="31813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33E1935">
                                  <w:pPr>
                                    <w:jc w:val="center"/>
                                    <w:rPr>
                                      <w:rFonts w:hint="default" w:eastAsia="宋体"/>
                                      <w:sz w:val="21"/>
                                      <w:szCs w:val="21"/>
                                      <w:lang w:val="en-US" w:eastAsia="zh-CN"/>
                                    </w:rPr>
                                  </w:pPr>
                                  <w:r>
                                    <w:rPr>
                                      <w:rFonts w:hint="eastAsia"/>
                                      <w:sz w:val="21"/>
                                      <w:szCs w:val="21"/>
                                      <w:lang w:val="en-US" w:eastAsia="zh-CN"/>
                                    </w:rPr>
                                    <w:t>车间三级沉淀池</w:t>
                                  </w:r>
                                </w:p>
                              </w:txbxContent>
                            </wps:txbx>
                            <wps:bodyPr upright="1"/>
                          </wps:wsp>
                        </a:graphicData>
                      </a:graphic>
                    </wp:anchor>
                  </w:drawing>
                </mc:Choice>
                <mc:Fallback>
                  <w:pict>
                    <v:shape id="_x0000_s1026" o:spid="_x0000_s1026" o:spt="202" type="#_x0000_t202" style="position:absolute;left:0pt;margin-left:64.65pt;margin-top:11.45pt;height:25.05pt;width:96pt;mso-wrap-distance-bottom:0pt;mso-wrap-distance-left:9pt;mso-wrap-distance-right:9pt;mso-wrap-distance-top:0pt;z-index:251678720;mso-width-relative:page;mso-height-relative:page;" fillcolor="#FFFFFF" filled="t" stroked="t" coordsize="21600,21600" o:gfxdata="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8spdNcAAAAJAQAADwAAAAAAAAABACAAAAAi&#10;AAAAZHJzL2Rvd25yZXYueG1sUEsBAhQAFAAAAAgAh07iQBuwf/8LAgAAOgQAAA4AAAAAAAAAAQAg&#10;AAAAJgEAAGRycy9lMm9Eb2MueG1sUEsFBgAAAAAGAAYAWQEAAKMFAAAAAA==&#10;">
                      <v:fill on="t" focussize="0,0"/>
                      <v:stroke color="#000000" joinstyle="miter"/>
                      <v:imagedata o:title=""/>
                      <o:lock v:ext="edit" aspectratio="f"/>
                      <v:textbox>
                        <w:txbxContent>
                          <w:p w14:paraId="533E1935">
                            <w:pPr>
                              <w:jc w:val="center"/>
                              <w:rPr>
                                <w:rFonts w:hint="default" w:eastAsia="宋体"/>
                                <w:sz w:val="21"/>
                                <w:szCs w:val="21"/>
                                <w:lang w:val="en-US" w:eastAsia="zh-CN"/>
                              </w:rPr>
                            </w:pPr>
                            <w:r>
                              <w:rPr>
                                <w:rFonts w:hint="eastAsia"/>
                                <w:sz w:val="21"/>
                                <w:szCs w:val="21"/>
                                <w:lang w:val="en-US" w:eastAsia="zh-CN"/>
                              </w:rPr>
                              <w:t>车间三级沉淀池</w:t>
                            </w:r>
                          </w:p>
                        </w:txbxContent>
                      </v:textbox>
                      <w10:wrap type="square"/>
                    </v:shape>
                  </w:pict>
                </mc:Fallback>
              </mc:AlternateContent>
            </w:r>
          </w:p>
          <w:p w14:paraId="4AD76671">
            <w:pPr>
              <w:bidi w:val="0"/>
              <w:rPr>
                <w:rFonts w:hint="eastAsia"/>
                <w:color w:val="000000" w:themeColor="text1"/>
                <w:lang w:val="en-US" w:eastAsia="zh-CN"/>
                <w14:textFill>
                  <w14:solidFill>
                    <w14:schemeClr w14:val="tx1"/>
                  </w14:solidFill>
                </w14:textFill>
              </w:rPr>
            </w:pPr>
          </w:p>
          <w:p w14:paraId="7B9E2F37">
            <w:pPr>
              <w:bidi w:val="0"/>
              <w:rPr>
                <w:rFonts w:hint="eastAsia"/>
                <w:color w:val="000000" w:themeColor="text1"/>
                <w:lang w:val="en-US" w:eastAsia="zh-CN"/>
                <w14:textFill>
                  <w14:solidFill>
                    <w14:schemeClr w14:val="tx1"/>
                  </w14:solidFill>
                </w14:textFill>
              </w:rPr>
            </w:pPr>
          </w:p>
          <w:p w14:paraId="4574B693">
            <w:pPr>
              <w:bidi w:val="0"/>
              <w:rPr>
                <w:rFonts w:hint="eastAsia"/>
                <w:color w:val="000000" w:themeColor="text1"/>
                <w:lang w:val="en-US" w:eastAsia="zh-CN"/>
                <w14:textFill>
                  <w14:solidFill>
                    <w14:schemeClr w14:val="tx1"/>
                  </w14:solidFill>
                </w14:textFill>
              </w:rPr>
            </w:pPr>
            <w:r>
              <w:rPr>
                <w:color w:val="000000" w:themeColor="text1"/>
                <w:sz w:val="24"/>
                <w14:textFill>
                  <w14:solidFill>
                    <w14:schemeClr w14:val="tx1"/>
                  </w14:solidFill>
                </w14:textFill>
              </w:rPr>
              <mc:AlternateContent>
                <mc:Choice Requires="wps">
                  <w:drawing>
                    <wp:anchor distT="0" distB="0" distL="114300" distR="114300" simplePos="0" relativeHeight="251734016" behindDoc="0" locked="0" layoutInCell="1" allowOverlap="1">
                      <wp:simplePos x="0" y="0"/>
                      <wp:positionH relativeFrom="column">
                        <wp:posOffset>4249420</wp:posOffset>
                      </wp:positionH>
                      <wp:positionV relativeFrom="paragraph">
                        <wp:posOffset>16510</wp:posOffset>
                      </wp:positionV>
                      <wp:extent cx="178435" cy="184150"/>
                      <wp:effectExtent l="19685" t="4445" r="30480" b="20955"/>
                      <wp:wrapNone/>
                      <wp:docPr id="187" name="下箭头 187"/>
                      <wp:cNvGraphicFramePr/>
                      <a:graphic xmlns:a="http://schemas.openxmlformats.org/drawingml/2006/main">
                        <a:graphicData uri="http://schemas.microsoft.com/office/word/2010/wordprocessingShape">
                          <wps:wsp>
                            <wps:cNvSpPr/>
                            <wps:spPr>
                              <a:xfrm>
                                <a:off x="0" y="0"/>
                                <a:ext cx="178435" cy="184150"/>
                              </a:xfrm>
                              <a:prstGeom prst="downArrow">
                                <a:avLst>
                                  <a:gd name="adj1" fmla="val 50000"/>
                                  <a:gd name="adj2" fmla="val 25800"/>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shape id="_x0000_s1026" o:spid="_x0000_s1026" o:spt="67" type="#_x0000_t67" style="position:absolute;left:0pt;margin-left:334.6pt;margin-top:1.3pt;height:14.5pt;width:14.05pt;z-index:251734016;mso-width-relative:page;mso-height-relative:page;" fillcolor="#FFFFFF" filled="t" stroked="t" coordsize="21600,21600" o:gfxdata="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6b0yOtoAAAAIAQAADwAAAAAAAAABACAAAAAiAAAAZHJzL2Rvd25yZXYueG1sUEsBAhQA&#10;FAAAAAgAh07iQBaVI6IpAgAAegQAAA4AAAAAAAAAAQAgAAAAKQEAAGRycy9lMm9Eb2MueG1sUEsF&#10;BgAAAAAGAAYAWQEAAMQFAAAAAA==&#10;" adj="16201,5400">
                      <v:fill on="t" focussize="0,0"/>
                      <v:stroke color="#000000" joinstyle="miter"/>
                      <v:imagedata o:title=""/>
                      <o:lock v:ext="edit" aspectratio="f"/>
                    </v:shape>
                  </w:pict>
                </mc:Fallback>
              </mc:AlternateContent>
            </w:r>
            <w:r>
              <w:rPr>
                <w:color w:val="000000" w:themeColor="text1"/>
                <w14:textFill>
                  <w14:solidFill>
                    <w14:schemeClr w14:val="tx1"/>
                  </w14:solidFill>
                </w14:textFill>
              </w:rPr>
              <mc:AlternateContent>
                <mc:Choice Requires="wps">
                  <w:drawing>
                    <wp:anchor distT="0" distB="0" distL="114300" distR="114300" simplePos="0" relativeHeight="251693056" behindDoc="0" locked="0" layoutInCell="1" allowOverlap="1">
                      <wp:simplePos x="0" y="0"/>
                      <wp:positionH relativeFrom="column">
                        <wp:posOffset>1499870</wp:posOffset>
                      </wp:positionH>
                      <wp:positionV relativeFrom="paragraph">
                        <wp:posOffset>26670</wp:posOffset>
                      </wp:positionV>
                      <wp:extent cx="158750" cy="152400"/>
                      <wp:effectExtent l="0" t="0" r="0" b="0"/>
                      <wp:wrapSquare wrapText="bothSides"/>
                      <wp:docPr id="199" name="文本框 199"/>
                      <wp:cNvGraphicFramePr/>
                      <a:graphic xmlns:a="http://schemas.openxmlformats.org/drawingml/2006/main">
                        <a:graphicData uri="http://schemas.microsoft.com/office/word/2010/wordprocessingShape">
                          <wps:wsp>
                            <wps:cNvSpPr txBox="1"/>
                            <wps:spPr>
                              <a:xfrm flipH="1" flipV="1">
                                <a:off x="0" y="0"/>
                                <a:ext cx="158750" cy="152400"/>
                              </a:xfrm>
                              <a:prstGeom prst="rect">
                                <a:avLst/>
                              </a:prstGeom>
                              <a:noFill/>
                              <a:ln>
                                <a:noFill/>
                              </a:ln>
                            </wps:spPr>
                            <wps:txbx>
                              <w:txbxContent>
                                <w:p w14:paraId="089E54A1">
                                  <w:pPr>
                                    <w:pStyle w:val="16"/>
                                    <w:spacing w:before="20" w:line="222" w:lineRule="auto"/>
                                    <w:ind w:right="1"/>
                                    <w:jc w:val="right"/>
                                    <w:rPr>
                                      <w:rFonts w:hint="default" w:eastAsia="宋体"/>
                                      <w:b w:val="0"/>
                                      <w:bCs w:val="0"/>
                                      <w:sz w:val="13"/>
                                      <w:szCs w:val="13"/>
                                      <w:lang w:val="en-US" w:eastAsia="zh-CN"/>
                                    </w:rPr>
                                  </w:pPr>
                                  <w:r>
                                    <w:rPr>
                                      <w:rFonts w:hint="eastAsia"/>
                                      <w:b w:val="0"/>
                                      <w:bCs w:val="0"/>
                                      <w:sz w:val="21"/>
                                      <w:szCs w:val="21"/>
                                      <w:lang w:val="en-US" w:eastAsia="zh-CN"/>
                                    </w:rPr>
                                    <w:t>泵</w:t>
                                  </w:r>
                                </w:p>
                              </w:txbxContent>
                            </wps:txbx>
                            <wps:bodyPr lIns="0" tIns="0" rIns="0" bIns="0" upright="1"/>
                          </wps:wsp>
                        </a:graphicData>
                      </a:graphic>
                    </wp:anchor>
                  </w:drawing>
                </mc:Choice>
                <mc:Fallback>
                  <w:pict>
                    <v:shape id="_x0000_s1026" o:spid="_x0000_s1026" o:spt="202" type="#_x0000_t202" style="position:absolute;left:0pt;flip:x y;margin-left:118.1pt;margin-top:2.1pt;height:12pt;width:12.5pt;mso-wrap-distance-bottom:0pt;mso-wrap-distance-left:9pt;mso-wrap-distance-right:9pt;mso-wrap-distance-top:0pt;z-index:251693056;mso-width-relative:page;mso-height-relative:page;" filled="f" stroked="f" coordsize="21600,21600" o:gfxdata="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hfG+rWAAAACAEAAA8AAAAAAAAAAQAgAAAAIgAAAGRycy9kb3ducmV2&#10;LnhtbFBLAQIUABQAAAAIAIdO4kCKFEvFxQEAAIkDAAAOAAAAAAAAAAEAIAAAACUBAABkcnMvZTJv&#10;RG9jLnhtbFBLBQYAAAAABgAGAFkBAABcBQAAAAA=&#10;">
                      <v:fill on="f" focussize="0,0"/>
                      <v:stroke on="f"/>
                      <v:imagedata o:title=""/>
                      <o:lock v:ext="edit" aspectratio="f"/>
                      <v:textbox inset="0mm,0mm,0mm,0mm">
                        <w:txbxContent>
                          <w:p w14:paraId="089E54A1">
                            <w:pPr>
                              <w:pStyle w:val="16"/>
                              <w:spacing w:before="20" w:line="222" w:lineRule="auto"/>
                              <w:ind w:right="1"/>
                              <w:jc w:val="right"/>
                              <w:rPr>
                                <w:rFonts w:hint="default" w:eastAsia="宋体"/>
                                <w:b w:val="0"/>
                                <w:bCs w:val="0"/>
                                <w:sz w:val="13"/>
                                <w:szCs w:val="13"/>
                                <w:lang w:val="en-US" w:eastAsia="zh-CN"/>
                              </w:rPr>
                            </w:pPr>
                            <w:r>
                              <w:rPr>
                                <w:rFonts w:hint="eastAsia"/>
                                <w:b w:val="0"/>
                                <w:bCs w:val="0"/>
                                <w:sz w:val="21"/>
                                <w:szCs w:val="21"/>
                                <w:lang w:val="en-US" w:eastAsia="zh-CN"/>
                              </w:rPr>
                              <w:t>泵</w:t>
                            </w:r>
                          </w:p>
                        </w:txbxContent>
                      </v:textbox>
                      <w10:wrap type="square"/>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681792" behindDoc="0" locked="0" layoutInCell="1" allowOverlap="1">
                      <wp:simplePos x="0" y="0"/>
                      <wp:positionH relativeFrom="column">
                        <wp:posOffset>1297305</wp:posOffset>
                      </wp:positionH>
                      <wp:positionV relativeFrom="paragraph">
                        <wp:posOffset>33020</wp:posOffset>
                      </wp:positionV>
                      <wp:extent cx="178435" cy="184150"/>
                      <wp:effectExtent l="19685" t="4445" r="30480" b="20955"/>
                      <wp:wrapSquare wrapText="bothSides"/>
                      <wp:docPr id="205" name="下箭头 205"/>
                      <wp:cNvGraphicFramePr/>
                      <a:graphic xmlns:a="http://schemas.openxmlformats.org/drawingml/2006/main">
                        <a:graphicData uri="http://schemas.microsoft.com/office/word/2010/wordprocessingShape">
                          <wps:wsp>
                            <wps:cNvSpPr/>
                            <wps:spPr>
                              <a:xfrm>
                                <a:off x="0" y="0"/>
                                <a:ext cx="178435" cy="184150"/>
                              </a:xfrm>
                              <a:prstGeom prst="downArrow">
                                <a:avLst>
                                  <a:gd name="adj1" fmla="val 50000"/>
                                  <a:gd name="adj2" fmla="val 25800"/>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shape id="_x0000_s1026" o:spid="_x0000_s1026" o:spt="67" type="#_x0000_t67" style="position:absolute;left:0pt;margin-left:102.15pt;margin-top:2.6pt;height:14.5pt;width:14.05pt;mso-wrap-distance-bottom:0pt;mso-wrap-distance-left:9pt;mso-wrap-distance-right:9pt;mso-wrap-distance-top:0pt;z-index:251681792;mso-width-relative:page;mso-height-relative:page;" fillcolor="#FFFFFF" filled="t" stroked="t" coordsize="21600,21600" o:gfxdata="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B6aP6zZAAAACAEAAA8AAAAAAAAAAQAgAAAAIgAAAGRycy9kb3ducmV2LnhtbFBLAQIUABQA&#10;AAAIAIdO4kAKZRHwKAIAAHoEAAAOAAAAAAAAAAEAIAAAACgBAABkcnMvZTJvRG9jLnhtbFBLBQYA&#10;AAAABgAGAFkBAADCBQAAAAA=&#10;" adj="16201,5400">
                      <v:fill on="t" focussize="0,0"/>
                      <v:stroke color="#000000" joinstyle="miter"/>
                      <v:imagedata o:title=""/>
                      <o:lock v:ext="edit" aspectratio="f"/>
                      <w10:wrap type="square"/>
                    </v:shape>
                  </w:pict>
                </mc:Fallback>
              </mc:AlternateContent>
            </w:r>
          </w:p>
          <w:p w14:paraId="2D1C5E00">
            <w:pPr>
              <w:bidi w:val="0"/>
              <w:rPr>
                <w:rFonts w:hint="eastAsia"/>
                <w:color w:val="000000" w:themeColor="text1"/>
                <w:lang w:val="en-US" w:eastAsia="zh-CN"/>
                <w14:textFill>
                  <w14:solidFill>
                    <w14:schemeClr w14:val="tx1"/>
                  </w14:solidFill>
                </w14:textFill>
              </w:rPr>
            </w:pPr>
            <w:r>
              <w:rPr>
                <w:color w:val="000000" w:themeColor="text1"/>
                <w14:textFill>
                  <w14:solidFill>
                    <w14:schemeClr w14:val="tx1"/>
                  </w14:solidFill>
                </w14:textFill>
              </w:rPr>
              <mc:AlternateContent>
                <mc:Choice Requires="wps">
                  <w:drawing>
                    <wp:anchor distT="0" distB="0" distL="114300" distR="114300" simplePos="0" relativeHeight="251739136" behindDoc="0" locked="0" layoutInCell="1" allowOverlap="1">
                      <wp:simplePos x="0" y="0"/>
                      <wp:positionH relativeFrom="column">
                        <wp:posOffset>3028950</wp:posOffset>
                      </wp:positionH>
                      <wp:positionV relativeFrom="paragraph">
                        <wp:posOffset>111125</wp:posOffset>
                      </wp:positionV>
                      <wp:extent cx="586105" cy="204470"/>
                      <wp:effectExtent l="0" t="0" r="0" b="0"/>
                      <wp:wrapNone/>
                      <wp:docPr id="192" name="文本框 192"/>
                      <wp:cNvGraphicFramePr/>
                      <a:graphic xmlns:a="http://schemas.openxmlformats.org/drawingml/2006/main">
                        <a:graphicData uri="http://schemas.microsoft.com/office/word/2010/wordprocessingShape">
                          <wps:wsp>
                            <wps:cNvSpPr txBox="1"/>
                            <wps:spPr>
                              <a:xfrm>
                                <a:off x="0" y="0"/>
                                <a:ext cx="586105" cy="204470"/>
                              </a:xfrm>
                              <a:prstGeom prst="rect">
                                <a:avLst/>
                              </a:prstGeom>
                              <a:noFill/>
                              <a:ln>
                                <a:noFill/>
                              </a:ln>
                            </wps:spPr>
                            <wps:txbx>
                              <w:txbxContent>
                                <w:p w14:paraId="765A4011">
                                  <w:pPr>
                                    <w:pStyle w:val="16"/>
                                    <w:spacing w:before="20" w:line="222" w:lineRule="auto"/>
                                    <w:ind w:right="1"/>
                                    <w:jc w:val="right"/>
                                    <w:rPr>
                                      <w:rFonts w:hint="default" w:eastAsia="宋体"/>
                                      <w:b w:val="0"/>
                                      <w:bCs w:val="0"/>
                                      <w:sz w:val="21"/>
                                      <w:szCs w:val="21"/>
                                      <w:lang w:val="en-US" w:eastAsia="zh-CN"/>
                                    </w:rPr>
                                  </w:pPr>
                                  <w:r>
                                    <w:rPr>
                                      <w:rFonts w:hint="eastAsia"/>
                                      <w:b w:val="0"/>
                                      <w:bCs w:val="0"/>
                                      <w:spacing w:val="-11"/>
                                      <w:w w:val="95"/>
                                      <w:sz w:val="21"/>
                                      <w:szCs w:val="21"/>
                                      <w:lang w:val="en-US" w:eastAsia="zh-CN"/>
                                    </w:rPr>
                                    <w:t>机械搅拌</w:t>
                                  </w:r>
                                </w:p>
                              </w:txbxContent>
                            </wps:txbx>
                            <wps:bodyPr lIns="0" tIns="0" rIns="0" bIns="0" upright="1"/>
                          </wps:wsp>
                        </a:graphicData>
                      </a:graphic>
                    </wp:anchor>
                  </w:drawing>
                </mc:Choice>
                <mc:Fallback>
                  <w:pict>
                    <v:shape id="_x0000_s1026" o:spid="_x0000_s1026" o:spt="202" type="#_x0000_t202" style="position:absolute;left:0pt;margin-left:238.5pt;margin-top:8.75pt;height:16.1pt;width:46.15pt;z-index:251739136;mso-width-relative:page;mso-height-relative:page;" filled="f" stroked="f" coordsize="21600,21600" o:gfxdata="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EJxAgHYAAAACQEAAA8AAAAAAAAAAQAgAAAAIgAAAGRycy9kb3ducmV2LnhtbFBL&#10;AQIUABQAAAAIAIdO4kBBgQJhvQEAAHUDAAAOAAAAAAAAAAEAIAAAACcBAABkcnMvZTJvRG9jLnht&#10;bFBLBQYAAAAABgAGAFkBAABWBQAAAAA=&#10;">
                      <v:fill on="f" focussize="0,0"/>
                      <v:stroke on="f"/>
                      <v:imagedata o:title=""/>
                      <o:lock v:ext="edit" aspectratio="f"/>
                      <v:textbox inset="0mm,0mm,0mm,0mm">
                        <w:txbxContent>
                          <w:p w14:paraId="765A4011">
                            <w:pPr>
                              <w:pStyle w:val="16"/>
                              <w:spacing w:before="20" w:line="222" w:lineRule="auto"/>
                              <w:ind w:right="1"/>
                              <w:jc w:val="right"/>
                              <w:rPr>
                                <w:rFonts w:hint="default" w:eastAsia="宋体"/>
                                <w:b w:val="0"/>
                                <w:bCs w:val="0"/>
                                <w:sz w:val="21"/>
                                <w:szCs w:val="21"/>
                                <w:lang w:val="en-US" w:eastAsia="zh-CN"/>
                              </w:rPr>
                            </w:pPr>
                            <w:r>
                              <w:rPr>
                                <w:rFonts w:hint="eastAsia"/>
                                <w:b w:val="0"/>
                                <w:bCs w:val="0"/>
                                <w:spacing w:val="-11"/>
                                <w:w w:val="95"/>
                                <w:sz w:val="21"/>
                                <w:szCs w:val="21"/>
                                <w:lang w:val="en-US" w:eastAsia="zh-CN"/>
                              </w:rPr>
                              <w:t>机械搅拌</w:t>
                            </w:r>
                          </w:p>
                        </w:txbxContent>
                      </v:textbox>
                    </v:shape>
                  </w:pict>
                </mc:Fallback>
              </mc:AlternateContent>
            </w:r>
            <w:r>
              <w:rPr>
                <w:color w:val="000000" w:themeColor="text1"/>
                <w14:textFill>
                  <w14:solidFill>
                    <w14:schemeClr w14:val="tx1"/>
                  </w14:solidFill>
                </w14:textFill>
              </w:rPr>
              <mc:AlternateContent>
                <mc:Choice Requires="wps">
                  <w:drawing>
                    <wp:anchor distT="0" distB="0" distL="114300" distR="114300" simplePos="0" relativeHeight="251689984" behindDoc="0" locked="0" layoutInCell="1" allowOverlap="1">
                      <wp:simplePos x="0" y="0"/>
                      <wp:positionH relativeFrom="column">
                        <wp:posOffset>99060</wp:posOffset>
                      </wp:positionH>
                      <wp:positionV relativeFrom="paragraph">
                        <wp:posOffset>112395</wp:posOffset>
                      </wp:positionV>
                      <wp:extent cx="570230" cy="209550"/>
                      <wp:effectExtent l="0" t="0" r="0" b="0"/>
                      <wp:wrapNone/>
                      <wp:docPr id="195" name="文本框 195"/>
                      <wp:cNvGraphicFramePr/>
                      <a:graphic xmlns:a="http://schemas.openxmlformats.org/drawingml/2006/main">
                        <a:graphicData uri="http://schemas.microsoft.com/office/word/2010/wordprocessingShape">
                          <wps:wsp>
                            <wps:cNvSpPr txBox="1"/>
                            <wps:spPr>
                              <a:xfrm>
                                <a:off x="0" y="0"/>
                                <a:ext cx="570230" cy="209550"/>
                              </a:xfrm>
                              <a:prstGeom prst="rect">
                                <a:avLst/>
                              </a:prstGeom>
                              <a:noFill/>
                              <a:ln>
                                <a:noFill/>
                              </a:ln>
                            </wps:spPr>
                            <wps:txbx>
                              <w:txbxContent>
                                <w:p w14:paraId="67BFBA3B">
                                  <w:pPr>
                                    <w:pStyle w:val="16"/>
                                    <w:spacing w:before="20" w:line="222" w:lineRule="auto"/>
                                    <w:ind w:right="1"/>
                                    <w:jc w:val="right"/>
                                    <w:rPr>
                                      <w:rFonts w:hint="default" w:eastAsia="宋体"/>
                                      <w:b w:val="0"/>
                                      <w:bCs w:val="0"/>
                                      <w:sz w:val="13"/>
                                      <w:szCs w:val="13"/>
                                      <w:lang w:val="en-US" w:eastAsia="zh-CN"/>
                                    </w:rPr>
                                  </w:pPr>
                                  <w:r>
                                    <w:rPr>
                                      <w:rFonts w:hint="eastAsia"/>
                                      <w:b w:val="0"/>
                                      <w:bCs w:val="0"/>
                                      <w:spacing w:val="-11"/>
                                      <w:w w:val="95"/>
                                      <w:sz w:val="21"/>
                                      <w:szCs w:val="21"/>
                                      <w:lang w:val="en-US" w:eastAsia="zh-CN"/>
                                    </w:rPr>
                                    <w:t>机械搅拌</w:t>
                                  </w:r>
                                </w:p>
                              </w:txbxContent>
                            </wps:txbx>
                            <wps:bodyPr lIns="0" tIns="0" rIns="0" bIns="0" upright="1"/>
                          </wps:wsp>
                        </a:graphicData>
                      </a:graphic>
                    </wp:anchor>
                  </w:drawing>
                </mc:Choice>
                <mc:Fallback>
                  <w:pict>
                    <v:shape id="_x0000_s1026" o:spid="_x0000_s1026" o:spt="202" type="#_x0000_t202" style="position:absolute;left:0pt;margin-left:7.8pt;margin-top:8.85pt;height:16.5pt;width:44.9pt;z-index:251689984;mso-width-relative:page;mso-height-relative:page;" filled="f" stroked="f" coordsize="21600,21600" o:gfxdata="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LaJvnXXAAAACAEAAA8AAAAAAAAAAQAgAAAAIgAAAGRycy9kb3ducmV2LnhtbFBLAQIU&#10;ABQAAAAIAIdO4kDhhTu+uwEAAHUDAAAOAAAAAAAAAAEAIAAAACYBAABkcnMvZTJvRG9jLnhtbFBL&#10;BQYAAAAABgAGAFkBAABTBQAAAAA=&#10;">
                      <v:fill on="f" focussize="0,0"/>
                      <v:stroke on="f"/>
                      <v:imagedata o:title=""/>
                      <o:lock v:ext="edit" aspectratio="f"/>
                      <v:textbox inset="0mm,0mm,0mm,0mm">
                        <w:txbxContent>
                          <w:p w14:paraId="67BFBA3B">
                            <w:pPr>
                              <w:pStyle w:val="16"/>
                              <w:spacing w:before="20" w:line="222" w:lineRule="auto"/>
                              <w:ind w:right="1"/>
                              <w:jc w:val="right"/>
                              <w:rPr>
                                <w:rFonts w:hint="default" w:eastAsia="宋体"/>
                                <w:b w:val="0"/>
                                <w:bCs w:val="0"/>
                                <w:sz w:val="13"/>
                                <w:szCs w:val="13"/>
                                <w:lang w:val="en-US" w:eastAsia="zh-CN"/>
                              </w:rPr>
                            </w:pPr>
                            <w:r>
                              <w:rPr>
                                <w:rFonts w:hint="eastAsia"/>
                                <w:b w:val="0"/>
                                <w:bCs w:val="0"/>
                                <w:spacing w:val="-11"/>
                                <w:w w:val="95"/>
                                <w:sz w:val="21"/>
                                <w:szCs w:val="21"/>
                                <w:lang w:val="en-US" w:eastAsia="zh-CN"/>
                              </w:rPr>
                              <w:t>机械搅拌</w:t>
                            </w:r>
                          </w:p>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735040" behindDoc="0" locked="0" layoutInCell="1" allowOverlap="1">
                      <wp:simplePos x="0" y="0"/>
                      <wp:positionH relativeFrom="column">
                        <wp:posOffset>3750945</wp:posOffset>
                      </wp:positionH>
                      <wp:positionV relativeFrom="paragraph">
                        <wp:posOffset>40640</wp:posOffset>
                      </wp:positionV>
                      <wp:extent cx="1172210" cy="318770"/>
                      <wp:effectExtent l="4445" t="4445" r="23495" b="19685"/>
                      <wp:wrapNone/>
                      <wp:docPr id="185" name="文本框 185"/>
                      <wp:cNvGraphicFramePr/>
                      <a:graphic xmlns:a="http://schemas.openxmlformats.org/drawingml/2006/main">
                        <a:graphicData uri="http://schemas.microsoft.com/office/word/2010/wordprocessingShape">
                          <wps:wsp>
                            <wps:cNvSpPr txBox="1"/>
                            <wps:spPr>
                              <a:xfrm>
                                <a:off x="0" y="0"/>
                                <a:ext cx="1172210" cy="31877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A5F0B9A">
                                  <w:pPr>
                                    <w:jc w:val="center"/>
                                    <w:rPr>
                                      <w:rFonts w:hint="default" w:eastAsia="宋体"/>
                                      <w:sz w:val="21"/>
                                      <w:szCs w:val="21"/>
                                      <w:lang w:val="en-US" w:eastAsia="zh-CN"/>
                                    </w:rPr>
                                  </w:pPr>
                                  <w:r>
                                    <w:rPr>
                                      <w:rFonts w:hint="eastAsia"/>
                                      <w:sz w:val="21"/>
                                      <w:szCs w:val="21"/>
                                      <w:lang w:val="en-US" w:eastAsia="zh-CN"/>
                                    </w:rPr>
                                    <w:t>负极废水收集池</w:t>
                                  </w:r>
                                </w:p>
                              </w:txbxContent>
                            </wps:txbx>
                            <wps:bodyPr upright="1"/>
                          </wps:wsp>
                        </a:graphicData>
                      </a:graphic>
                    </wp:anchor>
                  </w:drawing>
                </mc:Choice>
                <mc:Fallback>
                  <w:pict>
                    <v:shape id="_x0000_s1026" o:spid="_x0000_s1026" o:spt="202" type="#_x0000_t202" style="position:absolute;left:0pt;margin-left:295.35pt;margin-top:3.2pt;height:25.1pt;width:92.3pt;z-index:251735040;mso-width-relative:page;mso-height-relative:page;" fillcolor="#FFFFFF" filled="t" stroked="t" coordsize="21600,21600" o:gfxdata="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xu58ZdgAAAAIAQAADwAAAAAAAAABACAA&#10;AAAiAAAAZHJzL2Rvd25yZXYueG1sUEsBAhQAFAAAAAgAh07iQERrUbYNAgAAOgQAAA4AAAAAAAAA&#10;AQAgAAAAJwEAAGRycy9lMm9Eb2MueG1sUEsFBgAAAAAGAAYAWQEAAKYFAAAAAA==&#10;">
                      <v:fill on="t" focussize="0,0"/>
                      <v:stroke color="#000000" joinstyle="miter"/>
                      <v:imagedata o:title=""/>
                      <o:lock v:ext="edit" aspectratio="f"/>
                      <v:textbox>
                        <w:txbxContent>
                          <w:p w14:paraId="2A5F0B9A">
                            <w:pPr>
                              <w:jc w:val="center"/>
                              <w:rPr>
                                <w:rFonts w:hint="default" w:eastAsia="宋体"/>
                                <w:sz w:val="21"/>
                                <w:szCs w:val="21"/>
                                <w:lang w:val="en-US" w:eastAsia="zh-CN"/>
                              </w:rPr>
                            </w:pPr>
                            <w:r>
                              <w:rPr>
                                <w:rFonts w:hint="eastAsia"/>
                                <w:sz w:val="21"/>
                                <w:szCs w:val="21"/>
                                <w:lang w:val="en-US" w:eastAsia="zh-CN"/>
                              </w:rPr>
                              <w:t>负极废水收集池</w:t>
                            </w:r>
                          </w:p>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682816" behindDoc="0" locked="0" layoutInCell="1" allowOverlap="1">
                      <wp:simplePos x="0" y="0"/>
                      <wp:positionH relativeFrom="column">
                        <wp:posOffset>831850</wp:posOffset>
                      </wp:positionH>
                      <wp:positionV relativeFrom="paragraph">
                        <wp:posOffset>60960</wp:posOffset>
                      </wp:positionV>
                      <wp:extent cx="1203960" cy="304800"/>
                      <wp:effectExtent l="4445" t="5080" r="10795" b="13970"/>
                      <wp:wrapSquare wrapText="bothSides"/>
                      <wp:docPr id="198" name="文本框 198"/>
                      <wp:cNvGraphicFramePr/>
                      <a:graphic xmlns:a="http://schemas.openxmlformats.org/drawingml/2006/main">
                        <a:graphicData uri="http://schemas.microsoft.com/office/word/2010/wordprocessingShape">
                          <wps:wsp>
                            <wps:cNvSpPr txBox="1"/>
                            <wps:spPr>
                              <a:xfrm>
                                <a:off x="0" y="0"/>
                                <a:ext cx="1203960" cy="3048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2423ED9">
                                  <w:pPr>
                                    <w:jc w:val="center"/>
                                    <w:rPr>
                                      <w:rFonts w:hint="default" w:eastAsia="宋体"/>
                                      <w:sz w:val="21"/>
                                      <w:szCs w:val="21"/>
                                      <w:lang w:val="en-US" w:eastAsia="zh-CN"/>
                                    </w:rPr>
                                  </w:pPr>
                                  <w:r>
                                    <w:rPr>
                                      <w:rFonts w:hint="eastAsia"/>
                                      <w:sz w:val="21"/>
                                      <w:szCs w:val="21"/>
                                      <w:lang w:val="en-US" w:eastAsia="zh-CN"/>
                                    </w:rPr>
                                    <w:t>正极废水收集池</w:t>
                                  </w:r>
                                </w:p>
                              </w:txbxContent>
                            </wps:txbx>
                            <wps:bodyPr upright="1"/>
                          </wps:wsp>
                        </a:graphicData>
                      </a:graphic>
                    </wp:anchor>
                  </w:drawing>
                </mc:Choice>
                <mc:Fallback>
                  <w:pict>
                    <v:shape id="_x0000_s1026" o:spid="_x0000_s1026" o:spt="202" type="#_x0000_t202" style="position:absolute;left:0pt;margin-left:65.5pt;margin-top:4.8pt;height:24pt;width:94.8pt;mso-wrap-distance-bottom:0pt;mso-wrap-distance-left:9pt;mso-wrap-distance-right:9pt;mso-wrap-distance-top:0pt;z-index:251682816;mso-width-relative:page;mso-height-relative:page;" fillcolor="#FFFFFF" filled="t" stroked="t" coordsize="21600,21600" o:gfxdata="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BDYZRU1wAAAAgBAAAPAAAAAAAAAAEAIAAA&#10;ACIAAABkcnMvZG93bnJldi54bWxQSwECFAAUAAAACACHTuJAWkv2Jg0CAAA6BAAADgAAAAAAAAAB&#10;ACAAAAAmAQAAZHJzL2Uyb0RvYy54bWxQSwUGAAAAAAYABgBZAQAApQUAAAAA&#10;">
                      <v:fill on="t" focussize="0,0"/>
                      <v:stroke color="#000000" joinstyle="miter"/>
                      <v:imagedata o:title=""/>
                      <o:lock v:ext="edit" aspectratio="f"/>
                      <v:textbox>
                        <w:txbxContent>
                          <w:p w14:paraId="72423ED9">
                            <w:pPr>
                              <w:jc w:val="center"/>
                              <w:rPr>
                                <w:rFonts w:hint="default" w:eastAsia="宋体"/>
                                <w:sz w:val="21"/>
                                <w:szCs w:val="21"/>
                                <w:lang w:val="en-US" w:eastAsia="zh-CN"/>
                              </w:rPr>
                            </w:pPr>
                            <w:r>
                              <w:rPr>
                                <w:rFonts w:hint="eastAsia"/>
                                <w:sz w:val="21"/>
                                <w:szCs w:val="21"/>
                                <w:lang w:val="en-US" w:eastAsia="zh-CN"/>
                              </w:rPr>
                              <w:t>正极废水收集池</w:t>
                            </w:r>
                          </w:p>
                        </w:txbxContent>
                      </v:textbox>
                      <w10:wrap type="square"/>
                    </v:shape>
                  </w:pict>
                </mc:Fallback>
              </mc:AlternateContent>
            </w:r>
          </w:p>
          <w:p w14:paraId="5005B44A">
            <w:pPr>
              <w:bidi w:val="0"/>
              <w:rPr>
                <w:rFonts w:hint="eastAsia"/>
                <w:color w:val="000000" w:themeColor="text1"/>
                <w:lang w:val="en-US" w:eastAsia="zh-CN"/>
                <w14:textFill>
                  <w14:solidFill>
                    <w14:schemeClr w14:val="tx1"/>
                  </w14:solidFill>
                </w14:textFill>
              </w:rPr>
            </w:pPr>
            <w:r>
              <w:rPr>
                <w:color w:val="000000" w:themeColor="text1"/>
                <w:sz w:val="24"/>
                <w14:textFill>
                  <w14:solidFill>
                    <w14:schemeClr w14:val="tx1"/>
                  </w14:solidFill>
                </w14:textFill>
              </w:rPr>
              <mc:AlternateContent>
                <mc:Choice Requires="wps">
                  <w:drawing>
                    <wp:anchor distT="0" distB="0" distL="114300" distR="114300" simplePos="0" relativeHeight="251738112" behindDoc="0" locked="0" layoutInCell="1" allowOverlap="1">
                      <wp:simplePos x="0" y="0"/>
                      <wp:positionH relativeFrom="column">
                        <wp:posOffset>3613150</wp:posOffset>
                      </wp:positionH>
                      <wp:positionV relativeFrom="paragraph">
                        <wp:posOffset>9525</wp:posOffset>
                      </wp:positionV>
                      <wp:extent cx="130810" cy="76200"/>
                      <wp:effectExtent l="4445" t="12700" r="17145" b="25400"/>
                      <wp:wrapNone/>
                      <wp:docPr id="194" name="右箭头 194"/>
                      <wp:cNvGraphicFramePr/>
                      <a:graphic xmlns:a="http://schemas.openxmlformats.org/drawingml/2006/main">
                        <a:graphicData uri="http://schemas.microsoft.com/office/word/2010/wordprocessingShape">
                          <wps:wsp>
                            <wps:cNvSpPr/>
                            <wps:spPr>
                              <a:xfrm>
                                <a:off x="0" y="0"/>
                                <a:ext cx="130810" cy="76200"/>
                              </a:xfrm>
                              <a:prstGeom prst="rightArrow">
                                <a:avLst>
                                  <a:gd name="adj1" fmla="val 50000"/>
                                  <a:gd name="adj2" fmla="val 42916"/>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shape id="_x0000_s1026" o:spid="_x0000_s1026" o:spt="13" type="#_x0000_t13" style="position:absolute;left:0pt;margin-left:284.5pt;margin-top:0.75pt;height:6pt;width:10.3pt;z-index:251738112;mso-width-relative:page;mso-height-relative:page;" fillcolor="#FFFFFF" filled="t" stroked="t" coordsize="21600,21600" o:gfxdata="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DvygHB2QAAAAgBAAAPAAAAAAAAAAEAIAAAACIAAABkcnMvZG93bnJldi54bWxQSwECFAAUAAAA&#10;CACHTuJAYz7u/SYCAAB6BAAADgAAAAAAAAABACAAAAAoAQAAZHJzL2Uyb0RvYy54bWxQSwUGAAAA&#10;AAYABgBZAQAAwAUAAAAA&#10;" adj="16201,5400">
                      <v:fill on="t" focussize="0,0"/>
                      <v:stroke color="#000000" joinstyle="miter"/>
                      <v:imagedata o:title=""/>
                      <o:lock v:ext="edit" aspectratio="f"/>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688960" behindDoc="0" locked="0" layoutInCell="1" allowOverlap="1">
                      <wp:simplePos x="0" y="0"/>
                      <wp:positionH relativeFrom="column">
                        <wp:posOffset>666750</wp:posOffset>
                      </wp:positionH>
                      <wp:positionV relativeFrom="paragraph">
                        <wp:posOffset>24765</wp:posOffset>
                      </wp:positionV>
                      <wp:extent cx="130810" cy="76200"/>
                      <wp:effectExtent l="4445" t="12700" r="17145" b="25400"/>
                      <wp:wrapNone/>
                      <wp:docPr id="186" name="右箭头 186"/>
                      <wp:cNvGraphicFramePr/>
                      <a:graphic xmlns:a="http://schemas.openxmlformats.org/drawingml/2006/main">
                        <a:graphicData uri="http://schemas.microsoft.com/office/word/2010/wordprocessingShape">
                          <wps:wsp>
                            <wps:cNvSpPr/>
                            <wps:spPr>
                              <a:xfrm>
                                <a:off x="0" y="0"/>
                                <a:ext cx="130810" cy="76200"/>
                              </a:xfrm>
                              <a:prstGeom prst="rightArrow">
                                <a:avLst>
                                  <a:gd name="adj1" fmla="val 50000"/>
                                  <a:gd name="adj2" fmla="val 42916"/>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shape id="_x0000_s1026" o:spid="_x0000_s1026" o:spt="13" type="#_x0000_t13" style="position:absolute;left:0pt;margin-left:52.5pt;margin-top:1.95pt;height:6pt;width:10.3pt;z-index:251688960;mso-width-relative:page;mso-height-relative:page;" fillcolor="#FFFFFF" filled="t" stroked="t" coordsize="21600,21600" o:gfxdata="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Az0PPc2QAAAAgBAAAPAAAAAAAAAAEAIAAAACIAAABkcnMvZG93bnJldi54bWxQSwECFAAUAAAA&#10;CACHTuJAe1D6OiYCAAB6BAAADgAAAAAAAAABACAAAAAoAQAAZHJzL2Uyb0RvYy54bWxQSwUGAAAA&#10;AAYABgBZAQAAwAUAAAAA&#10;" adj="16201,5400">
                      <v:fill on="t" focussize="0,0"/>
                      <v:stroke color="#000000" joinstyle="miter"/>
                      <v:imagedata o:title=""/>
                      <o:lock v:ext="edit" aspectratio="f"/>
                    </v:shape>
                  </w:pict>
                </mc:Fallback>
              </mc:AlternateContent>
            </w:r>
          </w:p>
          <w:p w14:paraId="181376D9">
            <w:pPr>
              <w:bidi w:val="0"/>
              <w:rPr>
                <w:rFonts w:hint="eastAsia"/>
                <w:color w:val="000000" w:themeColor="text1"/>
                <w:lang w:val="en-US" w:eastAsia="zh-CN"/>
                <w14:textFill>
                  <w14:solidFill>
                    <w14:schemeClr w14:val="tx1"/>
                  </w14:solidFill>
                </w14:textFill>
              </w:rPr>
            </w:pPr>
            <w:r>
              <w:rPr>
                <w:color w:val="000000" w:themeColor="text1"/>
                <w14:textFill>
                  <w14:solidFill>
                    <w14:schemeClr w14:val="tx1"/>
                  </w14:solidFill>
                </w14:textFill>
              </w:rPr>
              <mc:AlternateContent>
                <mc:Choice Requires="wps">
                  <w:drawing>
                    <wp:anchor distT="0" distB="0" distL="114300" distR="114300" simplePos="0" relativeHeight="251794432" behindDoc="0" locked="0" layoutInCell="1" allowOverlap="1">
                      <wp:simplePos x="0" y="0"/>
                      <wp:positionH relativeFrom="column">
                        <wp:posOffset>4430395</wp:posOffset>
                      </wp:positionH>
                      <wp:positionV relativeFrom="paragraph">
                        <wp:posOffset>78740</wp:posOffset>
                      </wp:positionV>
                      <wp:extent cx="158750" cy="152400"/>
                      <wp:effectExtent l="0" t="0" r="0" b="0"/>
                      <wp:wrapNone/>
                      <wp:docPr id="292" name="文本框 292"/>
                      <wp:cNvGraphicFramePr/>
                      <a:graphic xmlns:a="http://schemas.openxmlformats.org/drawingml/2006/main">
                        <a:graphicData uri="http://schemas.microsoft.com/office/word/2010/wordprocessingShape">
                          <wps:wsp>
                            <wps:cNvSpPr txBox="1"/>
                            <wps:spPr>
                              <a:xfrm flipH="1" flipV="1">
                                <a:off x="0" y="0"/>
                                <a:ext cx="158750" cy="152400"/>
                              </a:xfrm>
                              <a:prstGeom prst="rect">
                                <a:avLst/>
                              </a:prstGeom>
                              <a:noFill/>
                              <a:ln>
                                <a:noFill/>
                              </a:ln>
                            </wps:spPr>
                            <wps:txbx>
                              <w:txbxContent>
                                <w:p w14:paraId="5F0B90FB">
                                  <w:pPr>
                                    <w:pStyle w:val="16"/>
                                    <w:spacing w:before="20" w:line="222" w:lineRule="auto"/>
                                    <w:ind w:right="1"/>
                                    <w:jc w:val="right"/>
                                    <w:rPr>
                                      <w:rFonts w:hint="default" w:eastAsia="宋体"/>
                                      <w:b w:val="0"/>
                                      <w:bCs w:val="0"/>
                                      <w:sz w:val="13"/>
                                      <w:szCs w:val="13"/>
                                      <w:lang w:val="en-US" w:eastAsia="zh-CN"/>
                                    </w:rPr>
                                  </w:pPr>
                                  <w:r>
                                    <w:rPr>
                                      <w:rFonts w:hint="eastAsia"/>
                                      <w:b w:val="0"/>
                                      <w:bCs w:val="0"/>
                                      <w:sz w:val="21"/>
                                      <w:szCs w:val="21"/>
                                      <w:lang w:val="en-US" w:eastAsia="zh-CN"/>
                                    </w:rPr>
                                    <w:t>泵</w:t>
                                  </w:r>
                                </w:p>
                              </w:txbxContent>
                            </wps:txbx>
                            <wps:bodyPr lIns="0" tIns="0" rIns="0" bIns="0" upright="1"/>
                          </wps:wsp>
                        </a:graphicData>
                      </a:graphic>
                    </wp:anchor>
                  </w:drawing>
                </mc:Choice>
                <mc:Fallback>
                  <w:pict>
                    <v:shape id="_x0000_s1026" o:spid="_x0000_s1026" o:spt="202" type="#_x0000_t202" style="position:absolute;left:0pt;flip:x y;margin-left:348.85pt;margin-top:6.2pt;height:12pt;width:12.5pt;z-index:251794432;mso-width-relative:page;mso-height-relative:page;" filled="f" stroked="f" coordsize="21600,21600" o:gfxdata="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O0a7NvXAAAACQEAAA8AAAAAAAAAAQAgAAAAIgAAAGRycy9kb3du&#10;cmV2LnhtbFBLAQIUABQAAAAIAIdO4kC1Ki/hxwEAAIkDAAAOAAAAAAAAAAEAIAAAACYBAABkcnMv&#10;ZTJvRG9jLnhtbFBLBQYAAAAABgAGAFkBAABfBQAAAAA=&#10;">
                      <v:fill on="f" focussize="0,0"/>
                      <v:stroke on="f"/>
                      <v:imagedata o:title=""/>
                      <o:lock v:ext="edit" aspectratio="f"/>
                      <v:textbox inset="0mm,0mm,0mm,0mm">
                        <w:txbxContent>
                          <w:p w14:paraId="5F0B90FB">
                            <w:pPr>
                              <w:pStyle w:val="16"/>
                              <w:spacing w:before="20" w:line="222" w:lineRule="auto"/>
                              <w:ind w:right="1"/>
                              <w:jc w:val="right"/>
                              <w:rPr>
                                <w:rFonts w:hint="default" w:eastAsia="宋体"/>
                                <w:b w:val="0"/>
                                <w:bCs w:val="0"/>
                                <w:sz w:val="13"/>
                                <w:szCs w:val="13"/>
                                <w:lang w:val="en-US" w:eastAsia="zh-CN"/>
                              </w:rPr>
                            </w:pPr>
                            <w:r>
                              <w:rPr>
                                <w:rFonts w:hint="eastAsia"/>
                                <w:b w:val="0"/>
                                <w:bCs w:val="0"/>
                                <w:sz w:val="21"/>
                                <w:szCs w:val="21"/>
                                <w:lang w:val="en-US" w:eastAsia="zh-CN"/>
                              </w:rPr>
                              <w:t>泵</w:t>
                            </w:r>
                          </w:p>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736064" behindDoc="0" locked="0" layoutInCell="1" allowOverlap="1">
                      <wp:simplePos x="0" y="0"/>
                      <wp:positionH relativeFrom="column">
                        <wp:posOffset>4258945</wp:posOffset>
                      </wp:positionH>
                      <wp:positionV relativeFrom="paragraph">
                        <wp:posOffset>67310</wp:posOffset>
                      </wp:positionV>
                      <wp:extent cx="178435" cy="184150"/>
                      <wp:effectExtent l="19685" t="4445" r="30480" b="20955"/>
                      <wp:wrapNone/>
                      <wp:docPr id="197" name="下箭头 197"/>
                      <wp:cNvGraphicFramePr/>
                      <a:graphic xmlns:a="http://schemas.openxmlformats.org/drawingml/2006/main">
                        <a:graphicData uri="http://schemas.microsoft.com/office/word/2010/wordprocessingShape">
                          <wps:wsp>
                            <wps:cNvSpPr/>
                            <wps:spPr>
                              <a:xfrm>
                                <a:off x="0" y="0"/>
                                <a:ext cx="178435" cy="184150"/>
                              </a:xfrm>
                              <a:prstGeom prst="downArrow">
                                <a:avLst>
                                  <a:gd name="adj1" fmla="val 50000"/>
                                  <a:gd name="adj2" fmla="val 25800"/>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shape id="_x0000_s1026" o:spid="_x0000_s1026" o:spt="67" type="#_x0000_t67" style="position:absolute;left:0pt;margin-left:335.35pt;margin-top:5.3pt;height:14.5pt;width:14.05pt;z-index:251736064;mso-width-relative:page;mso-height-relative:page;" fillcolor="#FFFFFF" filled="t" stroked="t" coordsize="21600,21600" o:gfxdata="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pca4H2QAAAAkBAAAPAAAAAAAAAAEAIAAAACIAAABkcnMvZG93bnJldi54bWxQSwECFAAU&#10;AAAACACHTuJAW1sIQikCAAB6BAAADgAAAAAAAAABACAAAAAoAQAAZHJzL2Uyb0RvYy54bWxQSwUG&#10;AAAAAAYABgBZAQAAwwUAAAAA&#10;" adj="16201,5400">
                      <v:fill on="t" focussize="0,0"/>
                      <v:stroke color="#000000" joinstyle="miter"/>
                      <v:imagedata o:title=""/>
                      <o:lock v:ext="edit" aspectratio="f"/>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683840" behindDoc="0" locked="0" layoutInCell="1" allowOverlap="1">
                      <wp:simplePos x="0" y="0"/>
                      <wp:positionH relativeFrom="column">
                        <wp:posOffset>1322705</wp:posOffset>
                      </wp:positionH>
                      <wp:positionV relativeFrom="paragraph">
                        <wp:posOffset>69215</wp:posOffset>
                      </wp:positionV>
                      <wp:extent cx="178435" cy="184150"/>
                      <wp:effectExtent l="19685" t="4445" r="30480" b="20955"/>
                      <wp:wrapSquare wrapText="bothSides"/>
                      <wp:docPr id="204" name="下箭头 204"/>
                      <wp:cNvGraphicFramePr/>
                      <a:graphic xmlns:a="http://schemas.openxmlformats.org/drawingml/2006/main">
                        <a:graphicData uri="http://schemas.microsoft.com/office/word/2010/wordprocessingShape">
                          <wps:wsp>
                            <wps:cNvSpPr/>
                            <wps:spPr>
                              <a:xfrm>
                                <a:off x="0" y="0"/>
                                <a:ext cx="178435" cy="184150"/>
                              </a:xfrm>
                              <a:prstGeom prst="downArrow">
                                <a:avLst>
                                  <a:gd name="adj1" fmla="val 50000"/>
                                  <a:gd name="adj2" fmla="val 25800"/>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shape id="_x0000_s1026" o:spid="_x0000_s1026" o:spt="67" type="#_x0000_t67" style="position:absolute;left:0pt;margin-left:104.15pt;margin-top:5.45pt;height:14.5pt;width:14.05pt;mso-wrap-distance-bottom:0pt;mso-wrap-distance-left:9pt;mso-wrap-distance-right:9pt;mso-wrap-distance-top:0pt;z-index:251683840;mso-width-relative:page;mso-height-relative:page;" fillcolor="#FFFFFF" filled="t" stroked="t" coordsize="21600,21600" o:gfxdata="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wYp/NNsAAAAJAQAADwAAAAAAAAABACAAAAAiAAAAZHJzL2Rvd25yZXYueG1sUEsBAhQA&#10;FAAAAAgAh07iQAA2Ng4oAgAAegQAAA4AAAAAAAAAAQAgAAAAKgEAAGRycy9lMm9Eb2MueG1sUEsF&#10;BgAAAAAGAAYAWQEAAMQFAAAAAA==&#10;" adj="16201,5400">
                      <v:fill on="t" focussize="0,0"/>
                      <v:stroke color="#000000" joinstyle="miter"/>
                      <v:imagedata o:title=""/>
                      <o:lock v:ext="edit" aspectratio="f"/>
                      <w10:wrap type="square"/>
                    </v:shape>
                  </w:pict>
                </mc:Fallback>
              </mc:AlternateContent>
            </w:r>
          </w:p>
          <w:p w14:paraId="391E358D">
            <w:pPr>
              <w:bidi w:val="0"/>
              <w:rPr>
                <w:rFonts w:hint="eastAsia"/>
                <w:color w:val="000000" w:themeColor="text1"/>
                <w:lang w:val="en-US" w:eastAsia="zh-CN"/>
                <w14:textFill>
                  <w14:solidFill>
                    <w14:schemeClr w14:val="tx1"/>
                  </w14:solidFill>
                </w14:textFill>
              </w:rPr>
            </w:pPr>
            <w:r>
              <w:rPr>
                <w:color w:val="000000" w:themeColor="text1"/>
                <w14:textFill>
                  <w14:solidFill>
                    <w14:schemeClr w14:val="tx1"/>
                  </w14:solidFill>
                </w14:textFill>
              </w:rPr>
              <mc:AlternateContent>
                <mc:Choice Requires="wps">
                  <w:drawing>
                    <wp:anchor distT="0" distB="0" distL="114300" distR="114300" simplePos="0" relativeHeight="251692032" behindDoc="0" locked="0" layoutInCell="1" allowOverlap="1">
                      <wp:simplePos x="0" y="0"/>
                      <wp:positionH relativeFrom="column">
                        <wp:posOffset>394970</wp:posOffset>
                      </wp:positionH>
                      <wp:positionV relativeFrom="paragraph">
                        <wp:posOffset>139700</wp:posOffset>
                      </wp:positionV>
                      <wp:extent cx="280670" cy="199390"/>
                      <wp:effectExtent l="0" t="0" r="0" b="0"/>
                      <wp:wrapNone/>
                      <wp:docPr id="201" name="文本框 201"/>
                      <wp:cNvGraphicFramePr/>
                      <a:graphic xmlns:a="http://schemas.openxmlformats.org/drawingml/2006/main">
                        <a:graphicData uri="http://schemas.microsoft.com/office/word/2010/wordprocessingShape">
                          <wps:wsp>
                            <wps:cNvSpPr txBox="1"/>
                            <wps:spPr>
                              <a:xfrm>
                                <a:off x="0" y="0"/>
                                <a:ext cx="280670" cy="199390"/>
                              </a:xfrm>
                              <a:prstGeom prst="rect">
                                <a:avLst/>
                              </a:prstGeom>
                              <a:noFill/>
                              <a:ln>
                                <a:noFill/>
                              </a:ln>
                            </wps:spPr>
                            <wps:txbx>
                              <w:txbxContent>
                                <w:p w14:paraId="0A92C983">
                                  <w:pPr>
                                    <w:pStyle w:val="16"/>
                                    <w:spacing w:before="20" w:line="222" w:lineRule="auto"/>
                                    <w:ind w:right="1"/>
                                    <w:jc w:val="right"/>
                                    <w:rPr>
                                      <w:rFonts w:hint="default" w:eastAsia="宋体"/>
                                      <w:b w:val="0"/>
                                      <w:bCs w:val="0"/>
                                      <w:sz w:val="21"/>
                                      <w:szCs w:val="21"/>
                                      <w:lang w:val="en-US" w:eastAsia="zh-CN"/>
                                    </w:rPr>
                                  </w:pPr>
                                  <w:r>
                                    <w:rPr>
                                      <w:rFonts w:hint="eastAsia"/>
                                      <w:b w:val="0"/>
                                      <w:bCs w:val="0"/>
                                      <w:spacing w:val="-11"/>
                                      <w:w w:val="95"/>
                                      <w:sz w:val="21"/>
                                      <w:szCs w:val="21"/>
                                      <w:lang w:val="en-US" w:eastAsia="zh-CN"/>
                                    </w:rPr>
                                    <w:t>Cacl</w:t>
                                  </w:r>
                                  <w:r>
                                    <w:rPr>
                                      <w:rFonts w:hint="eastAsia"/>
                                      <w:b w:val="0"/>
                                      <w:bCs w:val="0"/>
                                      <w:spacing w:val="-11"/>
                                      <w:w w:val="95"/>
                                      <w:sz w:val="21"/>
                                      <w:szCs w:val="21"/>
                                      <w:vertAlign w:val="subscript"/>
                                      <w:lang w:val="en-US" w:eastAsia="zh-CN"/>
                                    </w:rPr>
                                    <w:t>2</w:t>
                                  </w:r>
                                </w:p>
                              </w:txbxContent>
                            </wps:txbx>
                            <wps:bodyPr lIns="0" tIns="0" rIns="0" bIns="0" upright="1"/>
                          </wps:wsp>
                        </a:graphicData>
                      </a:graphic>
                    </wp:anchor>
                  </w:drawing>
                </mc:Choice>
                <mc:Fallback>
                  <w:pict>
                    <v:shape id="_x0000_s1026" o:spid="_x0000_s1026" o:spt="202" type="#_x0000_t202" style="position:absolute;left:0pt;margin-left:31.1pt;margin-top:11pt;height:15.7pt;width:22.1pt;z-index:251692032;mso-width-relative:page;mso-height-relative:page;" filled="f" stroked="f" coordsize="21600,21600" o:gfxdata="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ArXyVTWAAAACAEAAA8AAAAAAAAAAQAgAAAAIgAAAGRycy9kb3ducmV2LnhtbFBLAQIU&#10;ABQAAAAIAIdO4kCxWXrFvAEAAHUDAAAOAAAAAAAAAAEAIAAAACUBAABkcnMvZTJvRG9jLnhtbFBL&#10;BQYAAAAABgAGAFkBAABTBQAAAAA=&#10;">
                      <v:fill on="f" focussize="0,0"/>
                      <v:stroke on="f"/>
                      <v:imagedata o:title=""/>
                      <o:lock v:ext="edit" aspectratio="f"/>
                      <v:textbox inset="0mm,0mm,0mm,0mm">
                        <w:txbxContent>
                          <w:p w14:paraId="0A92C983">
                            <w:pPr>
                              <w:pStyle w:val="16"/>
                              <w:spacing w:before="20" w:line="222" w:lineRule="auto"/>
                              <w:ind w:right="1"/>
                              <w:jc w:val="right"/>
                              <w:rPr>
                                <w:rFonts w:hint="default" w:eastAsia="宋体"/>
                                <w:b w:val="0"/>
                                <w:bCs w:val="0"/>
                                <w:sz w:val="21"/>
                                <w:szCs w:val="21"/>
                                <w:lang w:val="en-US" w:eastAsia="zh-CN"/>
                              </w:rPr>
                            </w:pPr>
                            <w:r>
                              <w:rPr>
                                <w:rFonts w:hint="eastAsia"/>
                                <w:b w:val="0"/>
                                <w:bCs w:val="0"/>
                                <w:spacing w:val="-11"/>
                                <w:w w:val="95"/>
                                <w:sz w:val="21"/>
                                <w:szCs w:val="21"/>
                                <w:lang w:val="en-US" w:eastAsia="zh-CN"/>
                              </w:rPr>
                              <w:t>Cacl</w:t>
                            </w:r>
                            <w:r>
                              <w:rPr>
                                <w:rFonts w:hint="eastAsia"/>
                                <w:b w:val="0"/>
                                <w:bCs w:val="0"/>
                                <w:spacing w:val="-11"/>
                                <w:w w:val="95"/>
                                <w:sz w:val="21"/>
                                <w:szCs w:val="21"/>
                                <w:vertAlign w:val="subscript"/>
                                <w:lang w:val="en-US" w:eastAsia="zh-CN"/>
                              </w:rPr>
                              <w:t>2</w:t>
                            </w:r>
                          </w:p>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737088" behindDoc="0" locked="0" layoutInCell="1" allowOverlap="1">
                      <wp:simplePos x="0" y="0"/>
                      <wp:positionH relativeFrom="column">
                        <wp:posOffset>3883025</wp:posOffset>
                      </wp:positionH>
                      <wp:positionV relativeFrom="paragraph">
                        <wp:posOffset>104775</wp:posOffset>
                      </wp:positionV>
                      <wp:extent cx="911860" cy="281305"/>
                      <wp:effectExtent l="5080" t="5080" r="16510" b="18415"/>
                      <wp:wrapNone/>
                      <wp:docPr id="200" name="文本框 200"/>
                      <wp:cNvGraphicFramePr/>
                      <a:graphic xmlns:a="http://schemas.openxmlformats.org/drawingml/2006/main">
                        <a:graphicData uri="http://schemas.microsoft.com/office/word/2010/wordprocessingShape">
                          <wps:wsp>
                            <wps:cNvSpPr txBox="1"/>
                            <wps:spPr>
                              <a:xfrm>
                                <a:off x="0" y="0"/>
                                <a:ext cx="911860" cy="28130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10C01EF">
                                  <w:pPr>
                                    <w:jc w:val="center"/>
                                    <w:rPr>
                                      <w:rFonts w:hint="default" w:eastAsia="宋体"/>
                                      <w:sz w:val="21"/>
                                      <w:szCs w:val="21"/>
                                      <w:lang w:val="en-US" w:eastAsia="zh-CN"/>
                                    </w:rPr>
                                  </w:pPr>
                                  <w:r>
                                    <w:rPr>
                                      <w:rFonts w:hint="eastAsia"/>
                                      <w:sz w:val="21"/>
                                      <w:szCs w:val="21"/>
                                      <w:lang w:val="en-US" w:eastAsia="zh-CN"/>
                                    </w:rPr>
                                    <w:t>袋式过滤器</w:t>
                                  </w:r>
                                </w:p>
                              </w:txbxContent>
                            </wps:txbx>
                            <wps:bodyPr upright="1"/>
                          </wps:wsp>
                        </a:graphicData>
                      </a:graphic>
                    </wp:anchor>
                  </w:drawing>
                </mc:Choice>
                <mc:Fallback>
                  <w:pict>
                    <v:shape id="_x0000_s1026" o:spid="_x0000_s1026" o:spt="202" type="#_x0000_t202" style="position:absolute;left:0pt;margin-left:305.75pt;margin-top:8.25pt;height:22.15pt;width:71.8pt;z-index:251737088;mso-width-relative:page;mso-height-relative:page;" fillcolor="#FFFFFF" filled="t" stroked="t" coordsize="21600,21600" o:gfxdata="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AAushb1wAAAAkBAAAPAAAAAAAAAAEAIAAAACIA&#10;AABkcnMvZG93bnJldi54bWxQSwECFAAUAAAACACHTuJABfnFCwoCAAA5BAAADgAAAAAAAAABACAA&#10;AAAmAQAAZHJzL2Uyb0RvYy54bWxQSwUGAAAAAAYABgBZAQAAogUAAAAA&#10;">
                      <v:fill on="t" focussize="0,0"/>
                      <v:stroke color="#000000" joinstyle="miter"/>
                      <v:imagedata o:title=""/>
                      <o:lock v:ext="edit" aspectratio="f"/>
                      <v:textbox>
                        <w:txbxContent>
                          <w:p w14:paraId="310C01EF">
                            <w:pPr>
                              <w:jc w:val="center"/>
                              <w:rPr>
                                <w:rFonts w:hint="default" w:eastAsia="宋体"/>
                                <w:sz w:val="21"/>
                                <w:szCs w:val="21"/>
                                <w:lang w:val="en-US" w:eastAsia="zh-CN"/>
                              </w:rPr>
                            </w:pPr>
                            <w:r>
                              <w:rPr>
                                <w:rFonts w:hint="eastAsia"/>
                                <w:sz w:val="21"/>
                                <w:szCs w:val="21"/>
                                <w:lang w:val="en-US" w:eastAsia="zh-CN"/>
                              </w:rPr>
                              <w:t>袋式过滤器</w:t>
                            </w:r>
                          </w:p>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684864" behindDoc="0" locked="0" layoutInCell="1" allowOverlap="1">
                      <wp:simplePos x="0" y="0"/>
                      <wp:positionH relativeFrom="column">
                        <wp:posOffset>833755</wp:posOffset>
                      </wp:positionH>
                      <wp:positionV relativeFrom="paragraph">
                        <wp:posOffset>95250</wp:posOffset>
                      </wp:positionV>
                      <wp:extent cx="1219200" cy="292100"/>
                      <wp:effectExtent l="4445" t="4445" r="14605" b="8255"/>
                      <wp:wrapSquare wrapText="bothSides"/>
                      <wp:docPr id="190" name="文本框 190"/>
                      <wp:cNvGraphicFramePr/>
                      <a:graphic xmlns:a="http://schemas.openxmlformats.org/drawingml/2006/main">
                        <a:graphicData uri="http://schemas.microsoft.com/office/word/2010/wordprocessingShape">
                          <wps:wsp>
                            <wps:cNvSpPr txBox="1"/>
                            <wps:spPr>
                              <a:xfrm>
                                <a:off x="0" y="0"/>
                                <a:ext cx="1219200" cy="2921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18C09C9">
                                  <w:pPr>
                                    <w:jc w:val="center"/>
                                    <w:rPr>
                                      <w:rFonts w:hint="default" w:eastAsia="宋体"/>
                                      <w:sz w:val="21"/>
                                      <w:szCs w:val="21"/>
                                      <w:lang w:val="en-US" w:eastAsia="zh-CN"/>
                                    </w:rPr>
                                  </w:pPr>
                                  <w:r>
                                    <w:rPr>
                                      <w:rFonts w:hint="eastAsia"/>
                                      <w:sz w:val="21"/>
                                      <w:szCs w:val="21"/>
                                      <w:lang w:val="en-US" w:eastAsia="zh-CN"/>
                                    </w:rPr>
                                    <w:t>一级除氟反应池</w:t>
                                  </w:r>
                                </w:p>
                              </w:txbxContent>
                            </wps:txbx>
                            <wps:bodyPr upright="1"/>
                          </wps:wsp>
                        </a:graphicData>
                      </a:graphic>
                    </wp:anchor>
                  </w:drawing>
                </mc:Choice>
                <mc:Fallback>
                  <w:pict>
                    <v:shape id="_x0000_s1026" o:spid="_x0000_s1026" o:spt="202" type="#_x0000_t202" style="position:absolute;left:0pt;margin-left:65.65pt;margin-top:7.5pt;height:23pt;width:96pt;mso-wrap-distance-bottom:0pt;mso-wrap-distance-left:9pt;mso-wrap-distance-right:9pt;mso-wrap-distance-top:0pt;z-index:251684864;mso-width-relative:page;mso-height-relative:page;" fillcolor="#FFFFFF" filled="t" stroked="t" coordsize="21600,21600" o:gfxdata="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gAnPd1wAAAAkBAAAPAAAAAAAAAAEAIAAAACIA&#10;AABkcnMvZG93bnJldi54bWxQSwECFAAUAAAACACHTuJA5ls0uAoCAAA6BAAADgAAAAAAAAABACAA&#10;AAAmAQAAZHJzL2Uyb0RvYy54bWxQSwUGAAAAAAYABgBZAQAAogUAAAAA&#10;">
                      <v:fill on="t" focussize="0,0"/>
                      <v:stroke color="#000000" joinstyle="miter"/>
                      <v:imagedata o:title=""/>
                      <o:lock v:ext="edit" aspectratio="f"/>
                      <v:textbox>
                        <w:txbxContent>
                          <w:p w14:paraId="518C09C9">
                            <w:pPr>
                              <w:jc w:val="center"/>
                              <w:rPr>
                                <w:rFonts w:hint="default" w:eastAsia="宋体"/>
                                <w:sz w:val="21"/>
                                <w:szCs w:val="21"/>
                                <w:lang w:val="en-US" w:eastAsia="zh-CN"/>
                              </w:rPr>
                            </w:pPr>
                            <w:r>
                              <w:rPr>
                                <w:rFonts w:hint="eastAsia"/>
                                <w:sz w:val="21"/>
                                <w:szCs w:val="21"/>
                                <w:lang w:val="en-US" w:eastAsia="zh-CN"/>
                              </w:rPr>
                              <w:t>一级除氟反应池</w:t>
                            </w:r>
                          </w:p>
                        </w:txbxContent>
                      </v:textbox>
                      <w10:wrap type="square"/>
                    </v:shape>
                  </w:pict>
                </mc:Fallback>
              </mc:AlternateContent>
            </w:r>
          </w:p>
          <w:p w14:paraId="1A298D20">
            <w:pPr>
              <w:bidi w:val="0"/>
              <w:rPr>
                <w:rFonts w:hint="eastAsia"/>
                <w:color w:val="000000" w:themeColor="text1"/>
                <w:lang w:val="en-US" w:eastAsia="zh-CN"/>
                <w14:textFill>
                  <w14:solidFill>
                    <w14:schemeClr w14:val="tx1"/>
                  </w14:solidFill>
                </w14:textFill>
              </w:rPr>
            </w:pPr>
            <w:r>
              <w:rPr>
                <w:color w:val="000000" w:themeColor="text1"/>
                <w:sz w:val="24"/>
                <w14:textFill>
                  <w14:solidFill>
                    <w14:schemeClr w14:val="tx1"/>
                  </w14:solidFill>
                </w14:textFill>
              </w:rPr>
              <mc:AlternateContent>
                <mc:Choice Requires="wps">
                  <w:drawing>
                    <wp:anchor distT="0" distB="0" distL="114300" distR="114300" simplePos="0" relativeHeight="251691008" behindDoc="0" locked="0" layoutInCell="1" allowOverlap="1">
                      <wp:simplePos x="0" y="0"/>
                      <wp:positionH relativeFrom="column">
                        <wp:posOffset>687705</wp:posOffset>
                      </wp:positionH>
                      <wp:positionV relativeFrom="paragraph">
                        <wp:posOffset>41910</wp:posOffset>
                      </wp:positionV>
                      <wp:extent cx="130810" cy="76200"/>
                      <wp:effectExtent l="4445" t="12700" r="17145" b="25400"/>
                      <wp:wrapNone/>
                      <wp:docPr id="202" name="右箭头 202"/>
                      <wp:cNvGraphicFramePr/>
                      <a:graphic xmlns:a="http://schemas.openxmlformats.org/drawingml/2006/main">
                        <a:graphicData uri="http://schemas.microsoft.com/office/word/2010/wordprocessingShape">
                          <wps:wsp>
                            <wps:cNvSpPr/>
                            <wps:spPr>
                              <a:xfrm>
                                <a:off x="0" y="0"/>
                                <a:ext cx="130810" cy="76200"/>
                              </a:xfrm>
                              <a:prstGeom prst="rightArrow">
                                <a:avLst>
                                  <a:gd name="adj1" fmla="val 50000"/>
                                  <a:gd name="adj2" fmla="val 42916"/>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shape id="_x0000_s1026" o:spid="_x0000_s1026" o:spt="13" type="#_x0000_t13" style="position:absolute;left:0pt;margin-left:54.15pt;margin-top:3.3pt;height:6pt;width:10.3pt;z-index:251691008;mso-width-relative:page;mso-height-relative:page;" fillcolor="#FFFFFF" filled="t" stroked="t" coordsize="21600,21600" o:gfxdata="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IzlmDDYAAAACAEAAA8AAAAAAAAAAQAgAAAAIgAAAGRycy9kb3ducmV2LnhtbFBLAQIUABQAAAAI&#10;AIdO4kCYQIgBJgIAAHoEAAAOAAAAAAAAAAEAIAAAACcBAABkcnMvZTJvRG9jLnhtbFBLBQYAAAAA&#10;BgAGAFkBAAC/BQAAAAA=&#10;" adj="16201,5400">
                      <v:fill on="t" focussize="0,0"/>
                      <v:stroke color="#000000" joinstyle="miter"/>
                      <v:imagedata o:title=""/>
                      <o:lock v:ext="edit" aspectratio="f"/>
                    </v:shape>
                  </w:pict>
                </mc:Fallback>
              </mc:AlternateContent>
            </w:r>
          </w:p>
          <w:p w14:paraId="1CE1D103">
            <w:pPr>
              <w:bidi w:val="0"/>
              <w:rPr>
                <w:rFonts w:hint="eastAsia"/>
                <w:color w:val="000000" w:themeColor="text1"/>
                <w:lang w:val="en-US" w:eastAsia="zh-CN"/>
                <w14:textFill>
                  <w14:solidFill>
                    <w14:schemeClr w14:val="tx1"/>
                  </w14:solidFill>
                </w14:textFill>
              </w:rPr>
            </w:pPr>
            <w:r>
              <w:rPr>
                <w:color w:val="000000" w:themeColor="text1"/>
                <w:sz w:val="24"/>
                <w14:textFill>
                  <w14:solidFill>
                    <w14:schemeClr w14:val="tx1"/>
                  </w14:solidFill>
                </w14:textFill>
              </w:rPr>
              <mc:AlternateContent>
                <mc:Choice Requires="wps">
                  <w:drawing>
                    <wp:anchor distT="0" distB="0" distL="114300" distR="114300" simplePos="0" relativeHeight="251746304" behindDoc="0" locked="0" layoutInCell="1" allowOverlap="1">
                      <wp:simplePos x="0" y="0"/>
                      <wp:positionH relativeFrom="column">
                        <wp:posOffset>4248785</wp:posOffset>
                      </wp:positionH>
                      <wp:positionV relativeFrom="paragraph">
                        <wp:posOffset>85725</wp:posOffset>
                      </wp:positionV>
                      <wp:extent cx="178435" cy="184150"/>
                      <wp:effectExtent l="19685" t="4445" r="30480" b="20955"/>
                      <wp:wrapNone/>
                      <wp:docPr id="252" name="下箭头 252"/>
                      <wp:cNvGraphicFramePr/>
                      <a:graphic xmlns:a="http://schemas.openxmlformats.org/drawingml/2006/main">
                        <a:graphicData uri="http://schemas.microsoft.com/office/word/2010/wordprocessingShape">
                          <wps:wsp>
                            <wps:cNvSpPr/>
                            <wps:spPr>
                              <a:xfrm>
                                <a:off x="0" y="0"/>
                                <a:ext cx="178435" cy="184150"/>
                              </a:xfrm>
                              <a:prstGeom prst="downArrow">
                                <a:avLst>
                                  <a:gd name="adj1" fmla="val 50000"/>
                                  <a:gd name="adj2" fmla="val 25800"/>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shape id="_x0000_s1026" o:spid="_x0000_s1026" o:spt="67" type="#_x0000_t67" style="position:absolute;left:0pt;margin-left:334.55pt;margin-top:6.75pt;height:14.5pt;width:14.05pt;z-index:251746304;mso-width-relative:page;mso-height-relative:page;" fillcolor="#FFFFFF" filled="t" stroked="t" coordsize="21600,21600" o:gfxdata="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DkmmevbAAAACQEAAA8AAAAAAAAAAQAgAAAAIgAAAGRycy9kb3ducmV2LnhtbFBLAQIU&#10;ABQAAAAIAIdO4kAELRCxKQIAAHoEAAAOAAAAAAAAAAEAIAAAACoBAABkcnMvZTJvRG9jLnhtbFBL&#10;BQYAAAAABgAGAFkBAADFBQAAAAA=&#10;" adj="16201,5400">
                      <v:fill on="t" focussize="0,0"/>
                      <v:stroke color="#000000" joinstyle="miter"/>
                      <v:imagedata o:title=""/>
                      <o:lock v:ext="edit" aspectratio="f"/>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685888" behindDoc="0" locked="0" layoutInCell="1" allowOverlap="1">
                      <wp:simplePos x="0" y="0"/>
                      <wp:positionH relativeFrom="column">
                        <wp:posOffset>1335405</wp:posOffset>
                      </wp:positionH>
                      <wp:positionV relativeFrom="paragraph">
                        <wp:posOffset>86360</wp:posOffset>
                      </wp:positionV>
                      <wp:extent cx="178435" cy="184150"/>
                      <wp:effectExtent l="19685" t="4445" r="30480" b="20955"/>
                      <wp:wrapNone/>
                      <wp:docPr id="207" name="下箭头 207"/>
                      <wp:cNvGraphicFramePr/>
                      <a:graphic xmlns:a="http://schemas.openxmlformats.org/drawingml/2006/main">
                        <a:graphicData uri="http://schemas.microsoft.com/office/word/2010/wordprocessingShape">
                          <wps:wsp>
                            <wps:cNvSpPr/>
                            <wps:spPr>
                              <a:xfrm>
                                <a:off x="0" y="0"/>
                                <a:ext cx="178435" cy="184150"/>
                              </a:xfrm>
                              <a:prstGeom prst="downArrow">
                                <a:avLst>
                                  <a:gd name="adj1" fmla="val 50000"/>
                                  <a:gd name="adj2" fmla="val 25800"/>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shape id="_x0000_s1026" o:spid="_x0000_s1026" o:spt="67" type="#_x0000_t67" style="position:absolute;left:0pt;margin-left:105.15pt;margin-top:6.8pt;height:14.5pt;width:14.05pt;z-index:251685888;mso-width-relative:page;mso-height-relative:page;" fillcolor="#FFFFFF" filled="t" stroked="t" coordsize="21600,21600" o:gfxdata="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moA4MdoAAAAJAQAADwAAAAAAAAABACAAAAAiAAAAZHJzL2Rvd25yZXYueG1sUEsBAhQA&#10;FAAAAAgAh07iQF/FLtcpAgAAegQAAA4AAAAAAAAAAQAgAAAAKQEAAGRycy9lMm9Eb2MueG1sUEsF&#10;BgAAAAAGAAYAWQEAAMQFAAAAAA==&#10;" adj="16201,5400">
                      <v:fill on="t" focussize="0,0"/>
                      <v:stroke color="#000000" joinstyle="miter"/>
                      <v:imagedata o:title=""/>
                      <o:lock v:ext="edit" aspectratio="f"/>
                    </v:shape>
                  </w:pict>
                </mc:Fallback>
              </mc:AlternateContent>
            </w:r>
          </w:p>
          <w:p w14:paraId="5A3C7159">
            <w:pPr>
              <w:tabs>
                <w:tab w:val="left" w:pos="1050"/>
                <w:tab w:val="left" w:pos="5166"/>
              </w:tabs>
              <w:bidi w:val="0"/>
              <w:jc w:val="left"/>
              <w:rPr>
                <w:rFonts w:hint="default"/>
                <w:color w:val="000000" w:themeColor="text1"/>
                <w:lang w:val="en-US" w:eastAsia="zh-CN"/>
                <w14:textFill>
                  <w14:solidFill>
                    <w14:schemeClr w14:val="tx1"/>
                  </w14:solidFill>
                </w14:textFill>
              </w:rPr>
            </w:pPr>
            <w:r>
              <w:rPr>
                <w:color w:val="000000" w:themeColor="text1"/>
                <w14:textFill>
                  <w14:solidFill>
                    <w14:schemeClr w14:val="tx1"/>
                  </w14:solidFill>
                </w14:textFill>
              </w:rPr>
              <mc:AlternateContent>
                <mc:Choice Requires="wps">
                  <w:drawing>
                    <wp:anchor distT="0" distB="0" distL="114300" distR="114300" simplePos="0" relativeHeight="251743232" behindDoc="0" locked="0" layoutInCell="1" allowOverlap="1">
                      <wp:simplePos x="0" y="0"/>
                      <wp:positionH relativeFrom="column">
                        <wp:posOffset>2573020</wp:posOffset>
                      </wp:positionH>
                      <wp:positionV relativeFrom="paragraph">
                        <wp:posOffset>145415</wp:posOffset>
                      </wp:positionV>
                      <wp:extent cx="1047115" cy="199390"/>
                      <wp:effectExtent l="0" t="0" r="0" b="0"/>
                      <wp:wrapNone/>
                      <wp:docPr id="230" name="文本框 230"/>
                      <wp:cNvGraphicFramePr/>
                      <a:graphic xmlns:a="http://schemas.openxmlformats.org/drawingml/2006/main">
                        <a:graphicData uri="http://schemas.microsoft.com/office/word/2010/wordprocessingShape">
                          <wps:wsp>
                            <wps:cNvSpPr txBox="1"/>
                            <wps:spPr>
                              <a:xfrm>
                                <a:off x="0" y="0"/>
                                <a:ext cx="1047115" cy="199390"/>
                              </a:xfrm>
                              <a:prstGeom prst="rect">
                                <a:avLst/>
                              </a:prstGeom>
                              <a:noFill/>
                              <a:ln>
                                <a:noFill/>
                              </a:ln>
                            </wps:spPr>
                            <wps:txbx>
                              <w:txbxContent>
                                <w:p w14:paraId="17F6CE8D">
                                  <w:pPr>
                                    <w:pStyle w:val="16"/>
                                    <w:spacing w:before="20" w:line="222" w:lineRule="auto"/>
                                    <w:ind w:right="1"/>
                                    <w:jc w:val="right"/>
                                    <w:rPr>
                                      <w:rFonts w:hint="default" w:eastAsia="宋体"/>
                                      <w:b w:val="0"/>
                                      <w:bCs w:val="0"/>
                                      <w:sz w:val="13"/>
                                      <w:szCs w:val="13"/>
                                      <w:lang w:val="en-US" w:eastAsia="zh-CN"/>
                                    </w:rPr>
                                  </w:pPr>
                                  <w:r>
                                    <w:rPr>
                                      <w:rFonts w:hint="eastAsia"/>
                                      <w:b w:val="0"/>
                                      <w:bCs w:val="0"/>
                                      <w:spacing w:val="-11"/>
                                      <w:w w:val="95"/>
                                      <w:sz w:val="21"/>
                                      <w:szCs w:val="21"/>
                                      <w:lang w:val="en-US" w:eastAsia="zh-CN"/>
                                    </w:rPr>
                                    <w:t>硫酸，调节pH</w:t>
                                  </w:r>
                                </w:p>
                              </w:txbxContent>
                            </wps:txbx>
                            <wps:bodyPr lIns="0" tIns="0" rIns="0" bIns="0" upright="1"/>
                          </wps:wsp>
                        </a:graphicData>
                      </a:graphic>
                    </wp:anchor>
                  </w:drawing>
                </mc:Choice>
                <mc:Fallback>
                  <w:pict>
                    <v:shape id="_x0000_s1026" o:spid="_x0000_s1026" o:spt="202" type="#_x0000_t202" style="position:absolute;left:0pt;margin-left:202.6pt;margin-top:11.45pt;height:15.7pt;width:82.45pt;z-index:251743232;mso-width-relative:page;mso-height-relative:page;" filled="f" stroked="f" coordsize="21600,21600" o:gfxdata="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BtJX/TZAAAACQEAAA8AAAAAAAAAAQAgAAAAIgAAAGRycy9kb3ducmV2LnhtbFBL&#10;AQIUABQAAAAIAIdO4kCEIndavAEAAHYDAAAOAAAAAAAAAAEAIAAAACgBAABkcnMvZTJvRG9jLnht&#10;bFBLBQYAAAAABgAGAFkBAABWBQAAAAA=&#10;">
                      <v:fill on="f" focussize="0,0"/>
                      <v:stroke on="f"/>
                      <v:imagedata o:title=""/>
                      <o:lock v:ext="edit" aspectratio="f"/>
                      <v:textbox inset="0mm,0mm,0mm,0mm">
                        <w:txbxContent>
                          <w:p w14:paraId="17F6CE8D">
                            <w:pPr>
                              <w:pStyle w:val="16"/>
                              <w:spacing w:before="20" w:line="222" w:lineRule="auto"/>
                              <w:ind w:right="1"/>
                              <w:jc w:val="right"/>
                              <w:rPr>
                                <w:rFonts w:hint="default" w:eastAsia="宋体"/>
                                <w:b w:val="0"/>
                                <w:bCs w:val="0"/>
                                <w:sz w:val="13"/>
                                <w:szCs w:val="13"/>
                                <w:lang w:val="en-US" w:eastAsia="zh-CN"/>
                              </w:rPr>
                            </w:pPr>
                            <w:r>
                              <w:rPr>
                                <w:rFonts w:hint="eastAsia"/>
                                <w:b w:val="0"/>
                                <w:bCs w:val="0"/>
                                <w:spacing w:val="-11"/>
                                <w:w w:val="95"/>
                                <w:sz w:val="21"/>
                                <w:szCs w:val="21"/>
                                <w:lang w:val="en-US" w:eastAsia="zh-CN"/>
                              </w:rPr>
                              <w:t>硫酸，调节pH</w:t>
                            </w:r>
                          </w:p>
                        </w:txbxContent>
                      </v:textbox>
                    </v:shape>
                  </w:pict>
                </mc:Fallback>
              </mc:AlternateContent>
            </w:r>
            <w:r>
              <w:rPr>
                <w:color w:val="000000" w:themeColor="text1"/>
                <w14:textFill>
                  <w14:solidFill>
                    <w14:schemeClr w14:val="tx1"/>
                  </w14:solidFill>
                </w14:textFill>
              </w:rPr>
              <mc:AlternateContent>
                <mc:Choice Requires="wps">
                  <w:drawing>
                    <wp:anchor distT="0" distB="0" distL="114300" distR="114300" simplePos="0" relativeHeight="251784192" behindDoc="0" locked="0" layoutInCell="1" allowOverlap="1">
                      <wp:simplePos x="0" y="0"/>
                      <wp:positionH relativeFrom="column">
                        <wp:posOffset>-2540</wp:posOffset>
                      </wp:positionH>
                      <wp:positionV relativeFrom="paragraph">
                        <wp:posOffset>64135</wp:posOffset>
                      </wp:positionV>
                      <wp:extent cx="745490" cy="473710"/>
                      <wp:effectExtent l="0" t="0" r="0" b="0"/>
                      <wp:wrapNone/>
                      <wp:docPr id="280" name="文本框 280"/>
                      <wp:cNvGraphicFramePr/>
                      <a:graphic xmlns:a="http://schemas.openxmlformats.org/drawingml/2006/main">
                        <a:graphicData uri="http://schemas.microsoft.com/office/word/2010/wordprocessingShape">
                          <wps:wsp>
                            <wps:cNvSpPr txBox="1"/>
                            <wps:spPr>
                              <a:xfrm>
                                <a:off x="0" y="0"/>
                                <a:ext cx="745490" cy="473710"/>
                              </a:xfrm>
                              <a:prstGeom prst="rect">
                                <a:avLst/>
                              </a:prstGeom>
                              <a:noFill/>
                              <a:ln>
                                <a:noFill/>
                              </a:ln>
                            </wps:spPr>
                            <wps:txbx>
                              <w:txbxContent>
                                <w:p w14:paraId="3D8BB4DC">
                                  <w:pPr>
                                    <w:pStyle w:val="16"/>
                                    <w:spacing w:before="20" w:line="222" w:lineRule="auto"/>
                                    <w:ind w:right="1"/>
                                    <w:jc w:val="both"/>
                                    <w:rPr>
                                      <w:rFonts w:hint="default" w:eastAsia="宋体"/>
                                      <w:b w:val="0"/>
                                      <w:bCs w:val="0"/>
                                      <w:sz w:val="13"/>
                                      <w:szCs w:val="13"/>
                                      <w:lang w:val="en-US" w:eastAsia="zh-CN"/>
                                    </w:rPr>
                                  </w:pPr>
                                  <w:r>
                                    <w:rPr>
                                      <w:rFonts w:hint="eastAsia"/>
                                      <w:b w:val="0"/>
                                      <w:bCs w:val="0"/>
                                      <w:spacing w:val="-11"/>
                                      <w:w w:val="95"/>
                                      <w:sz w:val="21"/>
                                      <w:szCs w:val="21"/>
                                      <w:lang w:val="en-US" w:eastAsia="zh-CN"/>
                                    </w:rPr>
                                    <w:t>NaOH、PAC、PAM、重金属捕捉剂</w:t>
                                  </w:r>
                                </w:p>
                              </w:txbxContent>
                            </wps:txbx>
                            <wps:bodyPr lIns="0" tIns="0" rIns="0" bIns="0" upright="1"/>
                          </wps:wsp>
                        </a:graphicData>
                      </a:graphic>
                    </wp:anchor>
                  </w:drawing>
                </mc:Choice>
                <mc:Fallback>
                  <w:pict>
                    <v:shape id="_x0000_s1026" o:spid="_x0000_s1026" o:spt="202" type="#_x0000_t202" style="position:absolute;left:0pt;margin-left:-0.2pt;margin-top:5.05pt;height:37.3pt;width:58.7pt;z-index:251784192;mso-width-relative:page;mso-height-relative:page;" filled="f" stroked="f" coordsize="21600,21600" o:gfxdata="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H299/zWAAAABwEAAA8AAAAAAAAAAQAgAAAAIgAAAGRycy9kb3ducmV2LnhtbFBLAQIU&#10;ABQAAAAIAIdO4kClMWIRvAEAAHUDAAAOAAAAAAAAAAEAIAAAACUBAABkcnMvZTJvRG9jLnhtbFBL&#10;BQYAAAAABgAGAFkBAABTBQAAAAA=&#10;">
                      <v:fill on="f" focussize="0,0"/>
                      <v:stroke on="f"/>
                      <v:imagedata o:title=""/>
                      <o:lock v:ext="edit" aspectratio="f"/>
                      <v:textbox inset="0mm,0mm,0mm,0mm">
                        <w:txbxContent>
                          <w:p w14:paraId="3D8BB4DC">
                            <w:pPr>
                              <w:pStyle w:val="16"/>
                              <w:spacing w:before="20" w:line="222" w:lineRule="auto"/>
                              <w:ind w:right="1"/>
                              <w:jc w:val="both"/>
                              <w:rPr>
                                <w:rFonts w:hint="default" w:eastAsia="宋体"/>
                                <w:b w:val="0"/>
                                <w:bCs w:val="0"/>
                                <w:sz w:val="13"/>
                                <w:szCs w:val="13"/>
                                <w:lang w:val="en-US" w:eastAsia="zh-CN"/>
                              </w:rPr>
                            </w:pPr>
                            <w:r>
                              <w:rPr>
                                <w:rFonts w:hint="eastAsia"/>
                                <w:b w:val="0"/>
                                <w:bCs w:val="0"/>
                                <w:spacing w:val="-11"/>
                                <w:w w:val="95"/>
                                <w:sz w:val="21"/>
                                <w:szCs w:val="21"/>
                                <w:lang w:val="en-US" w:eastAsia="zh-CN"/>
                              </w:rPr>
                              <w:t>NaOH、PAC、PAM、重金属捕捉剂</w:t>
                            </w:r>
                          </w:p>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741184" behindDoc="0" locked="0" layoutInCell="1" allowOverlap="1">
                      <wp:simplePos x="0" y="0"/>
                      <wp:positionH relativeFrom="column">
                        <wp:posOffset>3811270</wp:posOffset>
                      </wp:positionH>
                      <wp:positionV relativeFrom="paragraph">
                        <wp:posOffset>123825</wp:posOffset>
                      </wp:positionV>
                      <wp:extent cx="1071245" cy="313055"/>
                      <wp:effectExtent l="4445" t="5080" r="10160" b="5715"/>
                      <wp:wrapNone/>
                      <wp:docPr id="239" name="文本框 239"/>
                      <wp:cNvGraphicFramePr/>
                      <a:graphic xmlns:a="http://schemas.openxmlformats.org/drawingml/2006/main">
                        <a:graphicData uri="http://schemas.microsoft.com/office/word/2010/wordprocessingShape">
                          <wps:wsp>
                            <wps:cNvSpPr txBox="1"/>
                            <wps:spPr>
                              <a:xfrm>
                                <a:off x="0" y="0"/>
                                <a:ext cx="1071245" cy="31305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57B261F">
                                  <w:pPr>
                                    <w:jc w:val="center"/>
                                    <w:rPr>
                                      <w:rFonts w:hint="default" w:eastAsia="宋体"/>
                                      <w:sz w:val="21"/>
                                      <w:szCs w:val="21"/>
                                      <w:lang w:val="en-US" w:eastAsia="zh-CN"/>
                                    </w:rPr>
                                  </w:pPr>
                                  <w:r>
                                    <w:rPr>
                                      <w:rFonts w:hint="eastAsia"/>
                                      <w:sz w:val="21"/>
                                      <w:szCs w:val="21"/>
                                      <w:lang w:val="en-US" w:eastAsia="zh-CN"/>
                                    </w:rPr>
                                    <w:t>芬顿高级氧化</w:t>
                                  </w:r>
                                </w:p>
                              </w:txbxContent>
                            </wps:txbx>
                            <wps:bodyPr upright="1"/>
                          </wps:wsp>
                        </a:graphicData>
                      </a:graphic>
                    </wp:anchor>
                  </w:drawing>
                </mc:Choice>
                <mc:Fallback>
                  <w:pict>
                    <v:shape id="_x0000_s1026" o:spid="_x0000_s1026" o:spt="202" type="#_x0000_t202" style="position:absolute;left:0pt;margin-left:300.1pt;margin-top:9.75pt;height:24.65pt;width:84.35pt;z-index:251741184;mso-width-relative:page;mso-height-relative:page;" fillcolor="#FFFFFF" filled="t" stroked="t" coordsize="21600,21600" o:gfxdata="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IXuR0nXAAAACQEAAA8AAAAAAAAAAQAgAAAA&#10;IgAAAGRycy9kb3ducmV2LnhtbFBLAQIUABQAAAAIAIdO4kBeBq7ADAIAADoEAAAOAAAAAAAAAAEA&#10;IAAAACYBAABkcnMvZTJvRG9jLnhtbFBLBQYAAAAABgAGAFkBAACkBQAAAAA=&#10;">
                      <v:fill on="t" focussize="0,0"/>
                      <v:stroke color="#000000" joinstyle="miter"/>
                      <v:imagedata o:title=""/>
                      <o:lock v:ext="edit" aspectratio="f"/>
                      <v:textbox>
                        <w:txbxContent>
                          <w:p w14:paraId="457B261F">
                            <w:pPr>
                              <w:jc w:val="center"/>
                              <w:rPr>
                                <w:rFonts w:hint="default" w:eastAsia="宋体"/>
                                <w:sz w:val="21"/>
                                <w:szCs w:val="21"/>
                                <w:lang w:val="en-US" w:eastAsia="zh-CN"/>
                              </w:rPr>
                            </w:pPr>
                            <w:r>
                              <w:rPr>
                                <w:rFonts w:hint="eastAsia"/>
                                <w:sz w:val="21"/>
                                <w:szCs w:val="21"/>
                                <w:lang w:val="en-US" w:eastAsia="zh-CN"/>
                              </w:rPr>
                              <w:t>芬顿高级氧化</w:t>
                            </w:r>
                          </w:p>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686912" behindDoc="0" locked="0" layoutInCell="1" allowOverlap="1">
                      <wp:simplePos x="0" y="0"/>
                      <wp:positionH relativeFrom="column">
                        <wp:posOffset>848360</wp:posOffset>
                      </wp:positionH>
                      <wp:positionV relativeFrom="paragraph">
                        <wp:posOffset>114935</wp:posOffset>
                      </wp:positionV>
                      <wp:extent cx="1210310" cy="287020"/>
                      <wp:effectExtent l="5080" t="4445" r="22860" b="13335"/>
                      <wp:wrapNone/>
                      <wp:docPr id="193" name="文本框 193"/>
                      <wp:cNvGraphicFramePr/>
                      <a:graphic xmlns:a="http://schemas.openxmlformats.org/drawingml/2006/main">
                        <a:graphicData uri="http://schemas.microsoft.com/office/word/2010/wordprocessingShape">
                          <wps:wsp>
                            <wps:cNvSpPr txBox="1"/>
                            <wps:spPr>
                              <a:xfrm>
                                <a:off x="0" y="0"/>
                                <a:ext cx="1210310" cy="28702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336BEF7">
                                  <w:pPr>
                                    <w:jc w:val="center"/>
                                    <w:rPr>
                                      <w:rFonts w:hint="default" w:eastAsia="宋体"/>
                                      <w:sz w:val="21"/>
                                      <w:szCs w:val="21"/>
                                      <w:lang w:val="en-US" w:eastAsia="zh-CN"/>
                                    </w:rPr>
                                  </w:pPr>
                                  <w:r>
                                    <w:rPr>
                                      <w:rFonts w:hint="eastAsia"/>
                                      <w:sz w:val="21"/>
                                      <w:szCs w:val="21"/>
                                      <w:lang w:val="en-US" w:eastAsia="zh-CN"/>
                                    </w:rPr>
                                    <w:t>二级除重反应池</w:t>
                                  </w:r>
                                </w:p>
                              </w:txbxContent>
                            </wps:txbx>
                            <wps:bodyPr upright="1"/>
                          </wps:wsp>
                        </a:graphicData>
                      </a:graphic>
                    </wp:anchor>
                  </w:drawing>
                </mc:Choice>
                <mc:Fallback>
                  <w:pict>
                    <v:shape id="_x0000_s1026" o:spid="_x0000_s1026" o:spt="202" type="#_x0000_t202" style="position:absolute;left:0pt;margin-left:66.8pt;margin-top:9.05pt;height:22.6pt;width:95.3pt;z-index:251686912;mso-width-relative:page;mso-height-relative:page;" fillcolor="#FFFFFF" filled="t" stroked="t" coordsize="21600,21600" o:gfxdata="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K+tzmfYAAAACQEAAA8AAAAAAAAAAQAg&#10;AAAAIgAAAGRycy9kb3ducmV2LnhtbFBLAQIUABQAAAAIAIdO4kBulaayDgIAADoEAAAOAAAAAAAA&#10;AAEAIAAAACcBAABkcnMvZTJvRG9jLnhtbFBLBQYAAAAABgAGAFkBAACnBQAAAAA=&#10;">
                      <v:fill on="t" focussize="0,0"/>
                      <v:stroke color="#000000" joinstyle="miter"/>
                      <v:imagedata o:title=""/>
                      <o:lock v:ext="edit" aspectratio="f"/>
                      <v:textbox>
                        <w:txbxContent>
                          <w:p w14:paraId="1336BEF7">
                            <w:pPr>
                              <w:jc w:val="center"/>
                              <w:rPr>
                                <w:rFonts w:hint="default" w:eastAsia="宋体"/>
                                <w:sz w:val="21"/>
                                <w:szCs w:val="21"/>
                                <w:lang w:val="en-US" w:eastAsia="zh-CN"/>
                              </w:rPr>
                            </w:pPr>
                            <w:r>
                              <w:rPr>
                                <w:rFonts w:hint="eastAsia"/>
                                <w:sz w:val="21"/>
                                <w:szCs w:val="21"/>
                                <w:lang w:val="en-US" w:eastAsia="zh-CN"/>
                              </w:rPr>
                              <w:t>二级除重反应池</w:t>
                            </w:r>
                          </w:p>
                        </w:txbxContent>
                      </v:textbox>
                    </v:shape>
                  </w:pict>
                </mc:Fallback>
              </mc:AlternateContent>
            </w:r>
            <w:r>
              <w:rPr>
                <w:color w:val="000000" w:themeColor="text1"/>
                <w14:textFill>
                  <w14:solidFill>
                    <w14:schemeClr w14:val="tx1"/>
                  </w14:solidFill>
                </w14:textFill>
              </w:rPr>
              <mc:AlternateContent>
                <mc:Choice Requires="wps">
                  <w:drawing>
                    <wp:anchor distT="0" distB="0" distL="114300" distR="114300" simplePos="0" relativeHeight="251677696" behindDoc="1" locked="0" layoutInCell="1" allowOverlap="1">
                      <wp:simplePos x="0" y="0"/>
                      <wp:positionH relativeFrom="column">
                        <wp:posOffset>-73660</wp:posOffset>
                      </wp:positionH>
                      <wp:positionV relativeFrom="paragraph">
                        <wp:posOffset>4128770</wp:posOffset>
                      </wp:positionV>
                      <wp:extent cx="522605" cy="178435"/>
                      <wp:effectExtent l="0" t="0" r="0" b="0"/>
                      <wp:wrapNone/>
                      <wp:docPr id="177" name="文本框 177"/>
                      <wp:cNvGraphicFramePr/>
                      <a:graphic xmlns:a="http://schemas.openxmlformats.org/drawingml/2006/main">
                        <a:graphicData uri="http://schemas.microsoft.com/office/word/2010/wordprocessingShape">
                          <wps:wsp>
                            <wps:cNvSpPr txBox="1"/>
                            <wps:spPr>
                              <a:xfrm>
                                <a:off x="0" y="0"/>
                                <a:ext cx="522605" cy="178435"/>
                              </a:xfrm>
                              <a:prstGeom prst="rect">
                                <a:avLst/>
                              </a:prstGeom>
                              <a:noFill/>
                              <a:ln>
                                <a:noFill/>
                              </a:ln>
                            </wps:spPr>
                            <wps:txbx>
                              <w:txbxContent>
                                <w:p w14:paraId="29BCEB2E">
                                  <w:pPr>
                                    <w:pStyle w:val="16"/>
                                    <w:spacing w:before="20" w:line="222" w:lineRule="auto"/>
                                    <w:ind w:right="1"/>
                                    <w:jc w:val="right"/>
                                    <w:rPr>
                                      <w:rFonts w:hint="default" w:eastAsia="宋体"/>
                                      <w:b w:val="0"/>
                                      <w:bCs w:val="0"/>
                                      <w:sz w:val="13"/>
                                      <w:szCs w:val="13"/>
                                      <w:lang w:val="en-US" w:eastAsia="zh-CN"/>
                                    </w:rPr>
                                  </w:pPr>
                                  <w:r>
                                    <w:rPr>
                                      <w:rFonts w:hint="eastAsia"/>
                                      <w:b w:val="0"/>
                                      <w:bCs w:val="0"/>
                                      <w:sz w:val="13"/>
                                      <w:szCs w:val="13"/>
                                      <w:lang w:val="en-US" w:eastAsia="zh-CN"/>
                                    </w:rPr>
                                    <w:t>酸、次氯酸钠</w:t>
                                  </w:r>
                                </w:p>
                              </w:txbxContent>
                            </wps:txbx>
                            <wps:bodyPr lIns="0" tIns="0" rIns="0" bIns="0" upright="1"/>
                          </wps:wsp>
                        </a:graphicData>
                      </a:graphic>
                    </wp:anchor>
                  </w:drawing>
                </mc:Choice>
                <mc:Fallback>
                  <w:pict>
                    <v:shape id="_x0000_s1026" o:spid="_x0000_s1026" o:spt="202" type="#_x0000_t202" style="position:absolute;left:0pt;margin-left:-5.8pt;margin-top:325.1pt;height:14.05pt;width:41.15pt;z-index:-251638784;mso-width-relative:page;mso-height-relative:page;" filled="f" stroked="f" coordsize="21600,21600" o:gfxdata="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JwKvMXZAAAACgEAAA8AAAAAAAAAAQAgAAAAIgAAAGRycy9kb3ducmV2LnhtbFBL&#10;AQIUABQAAAAIAIdO4kAA4jRQvAEAAHUDAAAOAAAAAAAAAAEAIAAAACgBAABkcnMvZTJvRG9jLnht&#10;bFBLBQYAAAAABgAGAFkBAABWBQAAAAA=&#10;">
                      <v:fill on="f" focussize="0,0"/>
                      <v:stroke on="f"/>
                      <v:imagedata o:title=""/>
                      <o:lock v:ext="edit" aspectratio="f"/>
                      <v:textbox inset="0mm,0mm,0mm,0mm">
                        <w:txbxContent>
                          <w:p w14:paraId="29BCEB2E">
                            <w:pPr>
                              <w:pStyle w:val="16"/>
                              <w:spacing w:before="20" w:line="222" w:lineRule="auto"/>
                              <w:ind w:right="1"/>
                              <w:jc w:val="right"/>
                              <w:rPr>
                                <w:rFonts w:hint="default" w:eastAsia="宋体"/>
                                <w:b w:val="0"/>
                                <w:bCs w:val="0"/>
                                <w:sz w:val="13"/>
                                <w:szCs w:val="13"/>
                                <w:lang w:val="en-US" w:eastAsia="zh-CN"/>
                              </w:rPr>
                            </w:pPr>
                            <w:r>
                              <w:rPr>
                                <w:rFonts w:hint="eastAsia"/>
                                <w:b w:val="0"/>
                                <w:bCs w:val="0"/>
                                <w:sz w:val="13"/>
                                <w:szCs w:val="13"/>
                                <w:lang w:val="en-US" w:eastAsia="zh-CN"/>
                              </w:rPr>
                              <w:t>酸、次氯酸钠</w:t>
                            </w:r>
                          </w:p>
                        </w:txbxContent>
                      </v:textbox>
                    </v:shape>
                  </w:pict>
                </mc:Fallback>
              </mc:AlternateContent>
            </w:r>
            <w:r>
              <w:rPr>
                <w:color w:val="000000" w:themeColor="text1"/>
                <w14:textFill>
                  <w14:solidFill>
                    <w14:schemeClr w14:val="tx1"/>
                  </w14:solidFill>
                </w14:textFill>
              </w:rPr>
              <mc:AlternateContent>
                <mc:Choice Requires="wps">
                  <w:drawing>
                    <wp:anchor distT="0" distB="0" distL="114300" distR="114300" simplePos="0" relativeHeight="251674624" behindDoc="1" locked="0" layoutInCell="1" allowOverlap="1">
                      <wp:simplePos x="0" y="0"/>
                      <wp:positionH relativeFrom="column">
                        <wp:posOffset>64770</wp:posOffset>
                      </wp:positionH>
                      <wp:positionV relativeFrom="paragraph">
                        <wp:posOffset>3256280</wp:posOffset>
                      </wp:positionV>
                      <wp:extent cx="412115" cy="178435"/>
                      <wp:effectExtent l="0" t="0" r="0" b="0"/>
                      <wp:wrapNone/>
                      <wp:docPr id="180" name="文本框 180"/>
                      <wp:cNvGraphicFramePr/>
                      <a:graphic xmlns:a="http://schemas.openxmlformats.org/drawingml/2006/main">
                        <a:graphicData uri="http://schemas.microsoft.com/office/word/2010/wordprocessingShape">
                          <wps:wsp>
                            <wps:cNvSpPr txBox="1"/>
                            <wps:spPr>
                              <a:xfrm>
                                <a:off x="0" y="0"/>
                                <a:ext cx="412115" cy="178435"/>
                              </a:xfrm>
                              <a:prstGeom prst="rect">
                                <a:avLst/>
                              </a:prstGeom>
                              <a:noFill/>
                              <a:ln>
                                <a:noFill/>
                              </a:ln>
                            </wps:spPr>
                            <wps:txbx>
                              <w:txbxContent>
                                <w:p w14:paraId="672F300A">
                                  <w:pPr>
                                    <w:pStyle w:val="16"/>
                                    <w:spacing w:before="20" w:line="222" w:lineRule="auto"/>
                                    <w:ind w:right="1"/>
                                    <w:jc w:val="right"/>
                                    <w:rPr>
                                      <w:rFonts w:hint="default" w:eastAsia="宋体"/>
                                      <w:b w:val="0"/>
                                      <w:bCs w:val="0"/>
                                      <w:sz w:val="13"/>
                                      <w:szCs w:val="13"/>
                                      <w:lang w:val="en-US" w:eastAsia="zh-CN"/>
                                    </w:rPr>
                                  </w:pPr>
                                  <w:r>
                                    <w:rPr>
                                      <w:rFonts w:hint="eastAsia"/>
                                      <w:b w:val="0"/>
                                      <w:bCs w:val="0"/>
                                      <w:sz w:val="13"/>
                                      <w:szCs w:val="13"/>
                                      <w:lang w:val="en-US" w:eastAsia="zh-CN"/>
                                    </w:rPr>
                                    <w:t>曝气风机</w:t>
                                  </w:r>
                                </w:p>
                              </w:txbxContent>
                            </wps:txbx>
                            <wps:bodyPr lIns="0" tIns="0" rIns="0" bIns="0" upright="1"/>
                          </wps:wsp>
                        </a:graphicData>
                      </a:graphic>
                    </wp:anchor>
                  </w:drawing>
                </mc:Choice>
                <mc:Fallback>
                  <w:pict>
                    <v:shape id="_x0000_s1026" o:spid="_x0000_s1026" o:spt="202" type="#_x0000_t202" style="position:absolute;left:0pt;margin-left:5.1pt;margin-top:256.4pt;height:14.05pt;width:32.45pt;z-index:-251641856;mso-width-relative:page;mso-height-relative:page;" filled="f" stroked="f" coordsize="21600,21600" o:gfxdata="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Hrxy9HXAAAACQEAAA8AAAAAAAAAAQAgAAAAIgAAAGRycy9kb3ducmV2LnhtbFBLAQIU&#10;ABQAAAAIAIdO4kBCX2h6uwEAAHUDAAAOAAAAAAAAAAEAIAAAACYBAABkcnMvZTJvRG9jLnhtbFBL&#10;BQYAAAAABgAGAFkBAABTBQAAAAA=&#10;">
                      <v:fill on="f" focussize="0,0"/>
                      <v:stroke on="f"/>
                      <v:imagedata o:title=""/>
                      <o:lock v:ext="edit" aspectratio="f"/>
                      <v:textbox inset="0mm,0mm,0mm,0mm">
                        <w:txbxContent>
                          <w:p w14:paraId="672F300A">
                            <w:pPr>
                              <w:pStyle w:val="16"/>
                              <w:spacing w:before="20" w:line="222" w:lineRule="auto"/>
                              <w:ind w:right="1"/>
                              <w:jc w:val="right"/>
                              <w:rPr>
                                <w:rFonts w:hint="default" w:eastAsia="宋体"/>
                                <w:b w:val="0"/>
                                <w:bCs w:val="0"/>
                                <w:sz w:val="13"/>
                                <w:szCs w:val="13"/>
                                <w:lang w:val="en-US" w:eastAsia="zh-CN"/>
                              </w:rPr>
                            </w:pPr>
                            <w:r>
                              <w:rPr>
                                <w:rFonts w:hint="eastAsia"/>
                                <w:b w:val="0"/>
                                <w:bCs w:val="0"/>
                                <w:sz w:val="13"/>
                                <w:szCs w:val="13"/>
                                <w:lang w:val="en-US" w:eastAsia="zh-CN"/>
                              </w:rPr>
                              <w:t>曝气风机</w:t>
                            </w:r>
                          </w:p>
                        </w:txbxContent>
                      </v:textbox>
                    </v:shape>
                  </w:pict>
                </mc:Fallback>
              </mc:AlternateContent>
            </w:r>
            <w:r>
              <w:rPr>
                <w:color w:val="000000" w:themeColor="text1"/>
                <w14:textFill>
                  <w14:solidFill>
                    <w14:schemeClr w14:val="tx1"/>
                  </w14:solidFill>
                </w14:textFill>
              </w:rPr>
              <mc:AlternateContent>
                <mc:Choice Requires="wps">
                  <w:drawing>
                    <wp:anchor distT="0" distB="0" distL="114300" distR="114300" simplePos="0" relativeHeight="251675648" behindDoc="1" locked="0" layoutInCell="1" allowOverlap="1">
                      <wp:simplePos x="0" y="0"/>
                      <wp:positionH relativeFrom="column">
                        <wp:posOffset>64770</wp:posOffset>
                      </wp:positionH>
                      <wp:positionV relativeFrom="paragraph">
                        <wp:posOffset>2768600</wp:posOffset>
                      </wp:positionV>
                      <wp:extent cx="412115" cy="178435"/>
                      <wp:effectExtent l="0" t="0" r="0" b="0"/>
                      <wp:wrapNone/>
                      <wp:docPr id="167" name="文本框 167"/>
                      <wp:cNvGraphicFramePr/>
                      <a:graphic xmlns:a="http://schemas.openxmlformats.org/drawingml/2006/main">
                        <a:graphicData uri="http://schemas.microsoft.com/office/word/2010/wordprocessingShape">
                          <wps:wsp>
                            <wps:cNvSpPr txBox="1"/>
                            <wps:spPr>
                              <a:xfrm>
                                <a:off x="0" y="0"/>
                                <a:ext cx="412115" cy="178435"/>
                              </a:xfrm>
                              <a:prstGeom prst="rect">
                                <a:avLst/>
                              </a:prstGeom>
                              <a:noFill/>
                              <a:ln>
                                <a:noFill/>
                              </a:ln>
                            </wps:spPr>
                            <wps:txbx>
                              <w:txbxContent>
                                <w:p w14:paraId="20982A8A">
                                  <w:pPr>
                                    <w:pStyle w:val="16"/>
                                    <w:spacing w:before="20" w:line="222" w:lineRule="auto"/>
                                    <w:ind w:right="1"/>
                                    <w:jc w:val="right"/>
                                    <w:rPr>
                                      <w:rFonts w:hint="default" w:eastAsia="宋体"/>
                                      <w:b w:val="0"/>
                                      <w:bCs w:val="0"/>
                                      <w:sz w:val="13"/>
                                      <w:szCs w:val="13"/>
                                      <w:lang w:val="en-US" w:eastAsia="zh-CN"/>
                                    </w:rPr>
                                  </w:pPr>
                                  <w:r>
                                    <w:rPr>
                                      <w:rFonts w:hint="eastAsia"/>
                                      <w:b w:val="0"/>
                                      <w:bCs w:val="0"/>
                                      <w:sz w:val="13"/>
                                      <w:szCs w:val="13"/>
                                      <w:lang w:val="en-US" w:eastAsia="zh-CN"/>
                                    </w:rPr>
                                    <w:t>曝气风机</w:t>
                                  </w:r>
                                </w:p>
                              </w:txbxContent>
                            </wps:txbx>
                            <wps:bodyPr lIns="0" tIns="0" rIns="0" bIns="0" upright="1"/>
                          </wps:wsp>
                        </a:graphicData>
                      </a:graphic>
                    </wp:anchor>
                  </w:drawing>
                </mc:Choice>
                <mc:Fallback>
                  <w:pict>
                    <v:shape id="_x0000_s1026" o:spid="_x0000_s1026" o:spt="202" type="#_x0000_t202" style="position:absolute;left:0pt;margin-left:5.1pt;margin-top:218pt;height:14.05pt;width:32.45pt;z-index:-251640832;mso-width-relative:page;mso-height-relative:page;" filled="f" stroked="f" coordsize="21600,21600" o:gfxdata="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mc3H11wAAAAkBAAAPAAAAAAAAAAEAIAAAACIAAABkcnMvZG93bnJldi54bWxQSwEC&#10;FAAUAAAACACHTuJANIQDtbwBAAB1AwAADgAAAAAAAAABACAAAAAmAQAAZHJzL2Uyb0RvYy54bWxQ&#10;SwUGAAAAAAYABgBZAQAAVAUAAAAA&#10;">
                      <v:fill on="f" focussize="0,0"/>
                      <v:stroke on="f"/>
                      <v:imagedata o:title=""/>
                      <o:lock v:ext="edit" aspectratio="f"/>
                      <v:textbox inset="0mm,0mm,0mm,0mm">
                        <w:txbxContent>
                          <w:p w14:paraId="20982A8A">
                            <w:pPr>
                              <w:pStyle w:val="16"/>
                              <w:spacing w:before="20" w:line="222" w:lineRule="auto"/>
                              <w:ind w:right="1"/>
                              <w:jc w:val="right"/>
                              <w:rPr>
                                <w:rFonts w:hint="default" w:eastAsia="宋体"/>
                                <w:b w:val="0"/>
                                <w:bCs w:val="0"/>
                                <w:sz w:val="13"/>
                                <w:szCs w:val="13"/>
                                <w:lang w:val="en-US" w:eastAsia="zh-CN"/>
                              </w:rPr>
                            </w:pPr>
                            <w:r>
                              <w:rPr>
                                <w:rFonts w:hint="eastAsia"/>
                                <w:b w:val="0"/>
                                <w:bCs w:val="0"/>
                                <w:sz w:val="13"/>
                                <w:szCs w:val="13"/>
                                <w:lang w:val="en-US" w:eastAsia="zh-CN"/>
                              </w:rPr>
                              <w:t>曝气风机</w:t>
                            </w:r>
                          </w:p>
                        </w:txbxContent>
                      </v:textbox>
                    </v:shape>
                  </w:pict>
                </mc:Fallback>
              </mc:AlternateContent>
            </w:r>
            <w:r>
              <w:rPr>
                <w:color w:val="000000" w:themeColor="text1"/>
                <w14:textFill>
                  <w14:solidFill>
                    <w14:schemeClr w14:val="tx1"/>
                  </w14:solidFill>
                </w14:textFill>
              </w:rPr>
              <mc:AlternateContent>
                <mc:Choice Requires="wps">
                  <w:drawing>
                    <wp:anchor distT="0" distB="0" distL="114300" distR="114300" simplePos="0" relativeHeight="251672576" behindDoc="1" locked="0" layoutInCell="1" allowOverlap="1">
                      <wp:simplePos x="0" y="0"/>
                      <wp:positionH relativeFrom="column">
                        <wp:posOffset>38735</wp:posOffset>
                      </wp:positionH>
                      <wp:positionV relativeFrom="paragraph">
                        <wp:posOffset>2317750</wp:posOffset>
                      </wp:positionV>
                      <wp:extent cx="412115" cy="178435"/>
                      <wp:effectExtent l="0" t="0" r="0" b="0"/>
                      <wp:wrapNone/>
                      <wp:docPr id="171" name="文本框 171"/>
                      <wp:cNvGraphicFramePr/>
                      <a:graphic xmlns:a="http://schemas.openxmlformats.org/drawingml/2006/main">
                        <a:graphicData uri="http://schemas.microsoft.com/office/word/2010/wordprocessingShape">
                          <wps:wsp>
                            <wps:cNvSpPr txBox="1"/>
                            <wps:spPr>
                              <a:xfrm>
                                <a:off x="0" y="0"/>
                                <a:ext cx="412115" cy="178435"/>
                              </a:xfrm>
                              <a:prstGeom prst="rect">
                                <a:avLst/>
                              </a:prstGeom>
                              <a:noFill/>
                              <a:ln>
                                <a:noFill/>
                              </a:ln>
                            </wps:spPr>
                            <wps:txbx>
                              <w:txbxContent>
                                <w:p w14:paraId="3AAA394F">
                                  <w:pPr>
                                    <w:pStyle w:val="16"/>
                                    <w:spacing w:before="20" w:line="222" w:lineRule="auto"/>
                                    <w:ind w:right="1"/>
                                    <w:jc w:val="right"/>
                                    <w:rPr>
                                      <w:rFonts w:hint="default" w:eastAsia="宋体"/>
                                      <w:b w:val="0"/>
                                      <w:bCs w:val="0"/>
                                      <w:sz w:val="13"/>
                                      <w:szCs w:val="13"/>
                                      <w:lang w:val="en-US" w:eastAsia="zh-CN"/>
                                    </w:rPr>
                                  </w:pPr>
                                  <w:r>
                                    <w:rPr>
                                      <w:rFonts w:hint="eastAsia"/>
                                      <w:b w:val="0"/>
                                      <w:bCs w:val="0"/>
                                      <w:sz w:val="13"/>
                                      <w:szCs w:val="13"/>
                                      <w:lang w:val="en-US" w:eastAsia="zh-CN"/>
                                    </w:rPr>
                                    <w:t>曝气风机</w:t>
                                  </w:r>
                                </w:p>
                              </w:txbxContent>
                            </wps:txbx>
                            <wps:bodyPr lIns="0" tIns="0" rIns="0" bIns="0" upright="1"/>
                          </wps:wsp>
                        </a:graphicData>
                      </a:graphic>
                    </wp:anchor>
                  </w:drawing>
                </mc:Choice>
                <mc:Fallback>
                  <w:pict>
                    <v:shape id="_x0000_s1026" o:spid="_x0000_s1026" o:spt="202" type="#_x0000_t202" style="position:absolute;left:0pt;margin-left:3.05pt;margin-top:182.5pt;height:14.05pt;width:32.45pt;z-index:-251643904;mso-width-relative:page;mso-height-relative:page;" filled="f" stroked="f" coordsize="21600,21600" o:gfxdata="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mVjrG1wAAAAgBAAAPAAAAAAAAAAEAIAAAACIAAABkcnMvZG93bnJldi54bWxQSwEC&#10;FAAUAAAACACHTuJAlexAeLwBAAB1AwAADgAAAAAAAAABACAAAAAmAQAAZHJzL2Uyb0RvYy54bWxQ&#10;SwUGAAAAAAYABgBZAQAAVAUAAAAA&#10;">
                      <v:fill on="f" focussize="0,0"/>
                      <v:stroke on="f"/>
                      <v:imagedata o:title=""/>
                      <o:lock v:ext="edit" aspectratio="f"/>
                      <v:textbox inset="0mm,0mm,0mm,0mm">
                        <w:txbxContent>
                          <w:p w14:paraId="3AAA394F">
                            <w:pPr>
                              <w:pStyle w:val="16"/>
                              <w:spacing w:before="20" w:line="222" w:lineRule="auto"/>
                              <w:ind w:right="1"/>
                              <w:jc w:val="right"/>
                              <w:rPr>
                                <w:rFonts w:hint="default" w:eastAsia="宋体"/>
                                <w:b w:val="0"/>
                                <w:bCs w:val="0"/>
                                <w:sz w:val="13"/>
                                <w:szCs w:val="13"/>
                                <w:lang w:val="en-US" w:eastAsia="zh-CN"/>
                              </w:rPr>
                            </w:pPr>
                            <w:r>
                              <w:rPr>
                                <w:rFonts w:hint="eastAsia"/>
                                <w:b w:val="0"/>
                                <w:bCs w:val="0"/>
                                <w:sz w:val="13"/>
                                <w:szCs w:val="13"/>
                                <w:lang w:val="en-US" w:eastAsia="zh-CN"/>
                              </w:rPr>
                              <w:t>曝气风机</w:t>
                            </w:r>
                          </w:p>
                        </w:txbxContent>
                      </v:textbox>
                    </v:shape>
                  </w:pict>
                </mc:Fallback>
              </mc:AlternateContent>
            </w:r>
            <w:r>
              <w:rPr>
                <w:rFonts w:hint="eastAsia"/>
                <w:color w:val="000000" w:themeColor="text1"/>
                <w:lang w:val="en-US" w:eastAsia="zh-CN"/>
                <w14:textFill>
                  <w14:solidFill>
                    <w14:schemeClr w14:val="tx1"/>
                  </w14:solidFill>
                </w14:textFill>
              </w:rPr>
              <w:tab/>
            </w:r>
            <w:r>
              <w:rPr>
                <w:rFonts w:hint="eastAsia"/>
                <w:color w:val="000000" w:themeColor="text1"/>
                <w:lang w:val="en-US" w:eastAsia="zh-CN"/>
                <w14:textFill>
                  <w14:solidFill>
                    <w14:schemeClr w14:val="tx1"/>
                  </w14:solidFill>
                </w14:textFill>
              </w:rPr>
              <w:t xml:space="preserve"> </w:t>
            </w:r>
          </w:p>
          <w:p w14:paraId="1F890DC5">
            <w:pPr>
              <w:pStyle w:val="16"/>
              <w:rPr>
                <w:rFonts w:hint="eastAsia" w:cs="Times New Roman"/>
                <w:b w:val="0"/>
                <w:bCs w:val="0"/>
                <w:color w:val="000000" w:themeColor="text1"/>
                <w:sz w:val="24"/>
                <w:highlight w:val="none"/>
                <w:lang w:val="en-US" w:eastAsia="zh-CN"/>
                <w14:textFill>
                  <w14:solidFill>
                    <w14:schemeClr w14:val="tx1"/>
                  </w14:solidFill>
                </w14:textFill>
              </w:rPr>
            </w:pPr>
            <w:r>
              <w:rPr>
                <w:color w:val="000000" w:themeColor="text1"/>
                <w:sz w:val="24"/>
                <w14:textFill>
                  <w14:solidFill>
                    <w14:schemeClr w14:val="tx1"/>
                  </w14:solidFill>
                </w14:textFill>
              </w:rPr>
              <mc:AlternateContent>
                <mc:Choice Requires="wps">
                  <w:drawing>
                    <wp:anchor distT="0" distB="0" distL="114300" distR="114300" simplePos="0" relativeHeight="251694080" behindDoc="0" locked="0" layoutInCell="1" allowOverlap="1">
                      <wp:simplePos x="0" y="0"/>
                      <wp:positionH relativeFrom="column">
                        <wp:posOffset>1355090</wp:posOffset>
                      </wp:positionH>
                      <wp:positionV relativeFrom="paragraph">
                        <wp:posOffset>248920</wp:posOffset>
                      </wp:positionV>
                      <wp:extent cx="178435" cy="184150"/>
                      <wp:effectExtent l="19685" t="4445" r="30480" b="20955"/>
                      <wp:wrapNone/>
                      <wp:docPr id="258" name="下箭头 258"/>
                      <wp:cNvGraphicFramePr/>
                      <a:graphic xmlns:a="http://schemas.openxmlformats.org/drawingml/2006/main">
                        <a:graphicData uri="http://schemas.microsoft.com/office/word/2010/wordprocessingShape">
                          <wps:wsp>
                            <wps:cNvSpPr/>
                            <wps:spPr>
                              <a:xfrm>
                                <a:off x="0" y="0"/>
                                <a:ext cx="178435" cy="184150"/>
                              </a:xfrm>
                              <a:prstGeom prst="downArrow">
                                <a:avLst>
                                  <a:gd name="adj1" fmla="val 50000"/>
                                  <a:gd name="adj2" fmla="val 25800"/>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shape id="_x0000_s1026" o:spid="_x0000_s1026" o:spt="67" type="#_x0000_t67" style="position:absolute;left:0pt;margin-left:106.7pt;margin-top:19.6pt;height:14.5pt;width:14.05pt;z-index:251694080;mso-width-relative:page;mso-height-relative:page;" fillcolor="#FFFFFF" filled="t" stroked="t" coordsize="21600,21600" o:gfxdata="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mtxl7NsAAAAJAQAADwAAAAAAAAABACAAAAAiAAAAZHJzL2Rvd25yZXYueG1sUEsBAhQA&#10;FAAAAAgAh07iQAUM0QooAgAAegQAAA4AAAAAAAAAAQAgAAAAKgEAAGRycy9lMm9Eb2MueG1sUEsF&#10;BgAAAAAGAAYAWQEAAMQFAAAAAA==&#10;" adj="16201,5400">
                      <v:fill on="t" focussize="0,0"/>
                      <v:stroke color="#000000" joinstyle="miter"/>
                      <v:imagedata o:title=""/>
                      <o:lock v:ext="edit" aspectratio="f"/>
                    </v:shape>
                  </w:pict>
                </mc:Fallback>
              </mc:AlternateContent>
            </w:r>
            <w:r>
              <w:rPr>
                <w:color w:val="000000" w:themeColor="text1"/>
                <w14:textFill>
                  <w14:solidFill>
                    <w14:schemeClr w14:val="tx1"/>
                  </w14:solidFill>
                </w14:textFill>
              </w:rPr>
              <mc:AlternateContent>
                <mc:Choice Requires="wps">
                  <w:drawing>
                    <wp:anchor distT="0" distB="0" distL="114300" distR="114300" simplePos="0" relativeHeight="251744256" behindDoc="0" locked="0" layoutInCell="1" allowOverlap="1">
                      <wp:simplePos x="0" y="0"/>
                      <wp:positionH relativeFrom="column">
                        <wp:posOffset>2423795</wp:posOffset>
                      </wp:positionH>
                      <wp:positionV relativeFrom="paragraph">
                        <wp:posOffset>161925</wp:posOffset>
                      </wp:positionV>
                      <wp:extent cx="1236980" cy="209550"/>
                      <wp:effectExtent l="0" t="0" r="0" b="0"/>
                      <wp:wrapNone/>
                      <wp:docPr id="235" name="文本框 235"/>
                      <wp:cNvGraphicFramePr/>
                      <a:graphic xmlns:a="http://schemas.openxmlformats.org/drawingml/2006/main">
                        <a:graphicData uri="http://schemas.microsoft.com/office/word/2010/wordprocessingShape">
                          <wps:wsp>
                            <wps:cNvSpPr txBox="1"/>
                            <wps:spPr>
                              <a:xfrm>
                                <a:off x="0" y="0"/>
                                <a:ext cx="1236980" cy="209550"/>
                              </a:xfrm>
                              <a:prstGeom prst="rect">
                                <a:avLst/>
                              </a:prstGeom>
                              <a:noFill/>
                              <a:ln>
                                <a:noFill/>
                              </a:ln>
                            </wps:spPr>
                            <wps:txbx>
                              <w:txbxContent>
                                <w:p w14:paraId="6F5FD769">
                                  <w:pPr>
                                    <w:pStyle w:val="16"/>
                                    <w:spacing w:before="20" w:line="222" w:lineRule="auto"/>
                                    <w:ind w:right="1"/>
                                    <w:jc w:val="right"/>
                                    <w:rPr>
                                      <w:rFonts w:hint="default" w:eastAsia="宋体"/>
                                      <w:b w:val="0"/>
                                      <w:bCs w:val="0"/>
                                      <w:sz w:val="13"/>
                                      <w:szCs w:val="13"/>
                                      <w:lang w:val="en-US" w:eastAsia="zh-CN"/>
                                    </w:rPr>
                                  </w:pPr>
                                  <w:r>
                                    <w:rPr>
                                      <w:rFonts w:hint="eastAsia"/>
                                      <w:b w:val="0"/>
                                      <w:bCs w:val="0"/>
                                      <w:spacing w:val="-11"/>
                                      <w:w w:val="95"/>
                                      <w:sz w:val="21"/>
                                      <w:szCs w:val="21"/>
                                      <w:lang w:val="en-US" w:eastAsia="zh-CN"/>
                                    </w:rPr>
                                    <w:t>投加硫酸亚铁和双氧水</w:t>
                                  </w:r>
                                </w:p>
                              </w:txbxContent>
                            </wps:txbx>
                            <wps:bodyPr lIns="0" tIns="0" rIns="0" bIns="0" upright="1"/>
                          </wps:wsp>
                        </a:graphicData>
                      </a:graphic>
                    </wp:anchor>
                  </w:drawing>
                </mc:Choice>
                <mc:Fallback>
                  <w:pict>
                    <v:shape id="_x0000_s1026" o:spid="_x0000_s1026" o:spt="202" type="#_x0000_t202" style="position:absolute;left:0pt;margin-left:190.85pt;margin-top:12.75pt;height:16.5pt;width:97.4pt;z-index:251744256;mso-width-relative:page;mso-height-relative:page;" filled="f" stroked="f" coordsize="21600,21600" o:gfxdata="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PcOeU7YAAAACQEAAA8AAAAAAAAAAQAgAAAAIgAAAGRycy9kb3ducmV2LnhtbFBL&#10;AQIUABQAAAAIAIdO4kBMsoSBvQEAAHYDAAAOAAAAAAAAAAEAIAAAACcBAABkcnMvZTJvRG9jLnht&#10;bFBLBQYAAAAABgAGAFkBAABWBQAAAAA=&#10;">
                      <v:fill on="f" focussize="0,0"/>
                      <v:stroke on="f"/>
                      <v:imagedata o:title=""/>
                      <o:lock v:ext="edit" aspectratio="f"/>
                      <v:textbox inset="0mm,0mm,0mm,0mm">
                        <w:txbxContent>
                          <w:p w14:paraId="6F5FD769">
                            <w:pPr>
                              <w:pStyle w:val="16"/>
                              <w:spacing w:before="20" w:line="222" w:lineRule="auto"/>
                              <w:ind w:right="1"/>
                              <w:jc w:val="right"/>
                              <w:rPr>
                                <w:rFonts w:hint="default" w:eastAsia="宋体"/>
                                <w:b w:val="0"/>
                                <w:bCs w:val="0"/>
                                <w:sz w:val="13"/>
                                <w:szCs w:val="13"/>
                                <w:lang w:val="en-US" w:eastAsia="zh-CN"/>
                              </w:rPr>
                            </w:pPr>
                            <w:r>
                              <w:rPr>
                                <w:rFonts w:hint="eastAsia"/>
                                <w:b w:val="0"/>
                                <w:bCs w:val="0"/>
                                <w:spacing w:val="-11"/>
                                <w:w w:val="95"/>
                                <w:sz w:val="21"/>
                                <w:szCs w:val="21"/>
                                <w:lang w:val="en-US" w:eastAsia="zh-CN"/>
                              </w:rPr>
                              <w:t>投加硫酸亚铁和双氧水</w:t>
                            </w:r>
                          </w:p>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742208" behindDoc="0" locked="0" layoutInCell="1" allowOverlap="1">
                      <wp:simplePos x="0" y="0"/>
                      <wp:positionH relativeFrom="column">
                        <wp:posOffset>3676015</wp:posOffset>
                      </wp:positionH>
                      <wp:positionV relativeFrom="paragraph">
                        <wp:posOffset>120650</wp:posOffset>
                      </wp:positionV>
                      <wp:extent cx="130810" cy="76200"/>
                      <wp:effectExtent l="4445" t="12700" r="17145" b="25400"/>
                      <wp:wrapNone/>
                      <wp:docPr id="224" name="右箭头 224"/>
                      <wp:cNvGraphicFramePr/>
                      <a:graphic xmlns:a="http://schemas.openxmlformats.org/drawingml/2006/main">
                        <a:graphicData uri="http://schemas.microsoft.com/office/word/2010/wordprocessingShape">
                          <wps:wsp>
                            <wps:cNvSpPr/>
                            <wps:spPr>
                              <a:xfrm>
                                <a:off x="0" y="0"/>
                                <a:ext cx="130810" cy="76200"/>
                              </a:xfrm>
                              <a:prstGeom prst="rightArrow">
                                <a:avLst>
                                  <a:gd name="adj1" fmla="val 50000"/>
                                  <a:gd name="adj2" fmla="val 42916"/>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shape id="_x0000_s1026" o:spid="_x0000_s1026" o:spt="13" type="#_x0000_t13" style="position:absolute;left:0pt;margin-left:289.45pt;margin-top:9.5pt;height:6pt;width:10.3pt;z-index:251742208;mso-width-relative:page;mso-height-relative:page;" fillcolor="#FFFFFF" filled="t" stroked="t" coordsize="21600,21600" o:gfxdata="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A7AKmo2gAAAAkBAAAPAAAAAAAAAAEAIAAAACIAAABkcnMvZG93bnJldi54bWxQSwECFAAUAAAA&#10;CACHTuJAvDrucyUCAAB6BAAADgAAAAAAAAABACAAAAApAQAAZHJzL2Uyb0RvYy54bWxQSwUGAAAA&#10;AAYABgBZAQAAwAUAAAAA&#10;" adj="16201,5400">
                      <v:fill on="t" focussize="0,0"/>
                      <v:stroke color="#000000" joinstyle="miter"/>
                      <v:imagedata o:title=""/>
                      <o:lock v:ext="edit" aspectratio="f"/>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783168" behindDoc="0" locked="0" layoutInCell="1" allowOverlap="1">
                      <wp:simplePos x="0" y="0"/>
                      <wp:positionH relativeFrom="column">
                        <wp:posOffset>708025</wp:posOffset>
                      </wp:positionH>
                      <wp:positionV relativeFrom="paragraph">
                        <wp:posOffset>67945</wp:posOffset>
                      </wp:positionV>
                      <wp:extent cx="130810" cy="76200"/>
                      <wp:effectExtent l="4445" t="12700" r="17145" b="25400"/>
                      <wp:wrapNone/>
                      <wp:docPr id="279" name="右箭头 279"/>
                      <wp:cNvGraphicFramePr/>
                      <a:graphic xmlns:a="http://schemas.openxmlformats.org/drawingml/2006/main">
                        <a:graphicData uri="http://schemas.microsoft.com/office/word/2010/wordprocessingShape">
                          <wps:wsp>
                            <wps:cNvSpPr/>
                            <wps:spPr>
                              <a:xfrm>
                                <a:off x="0" y="0"/>
                                <a:ext cx="130810" cy="76200"/>
                              </a:xfrm>
                              <a:prstGeom prst="rightArrow">
                                <a:avLst>
                                  <a:gd name="adj1" fmla="val 50000"/>
                                  <a:gd name="adj2" fmla="val 42916"/>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shape id="_x0000_s1026" o:spid="_x0000_s1026" o:spt="13" type="#_x0000_t13" style="position:absolute;left:0pt;margin-left:55.75pt;margin-top:5.35pt;height:6pt;width:10.3pt;z-index:251783168;mso-width-relative:page;mso-height-relative:page;" fillcolor="#FFFFFF" filled="t" stroked="t" coordsize="21600,21600" o:gfxdata="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CgitMd2QAAAAkBAAAPAAAAAAAAAAEAIAAAACIAAABkcnMvZG93bnJldi54bWxQSwECFAAUAAAA&#10;CACHTuJAs1MuiSYCAAB6BAAADgAAAAAAAAABACAAAAAoAQAAZHJzL2Uyb0RvYy54bWxQSwUGAAAA&#10;AAYABgBZAQAAwAUAAAAA&#10;" adj="16201,5400">
                      <v:fill on="t" focussize="0,0"/>
                      <v:stroke color="#000000" joinstyle="miter"/>
                      <v:imagedata o:title=""/>
                      <o:lock v:ext="edit" aspectratio="f"/>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740160" behindDoc="0" locked="0" layoutInCell="1" allowOverlap="1">
                      <wp:simplePos x="0" y="0"/>
                      <wp:positionH relativeFrom="column">
                        <wp:posOffset>4237355</wp:posOffset>
                      </wp:positionH>
                      <wp:positionV relativeFrom="paragraph">
                        <wp:posOffset>299085</wp:posOffset>
                      </wp:positionV>
                      <wp:extent cx="178435" cy="184150"/>
                      <wp:effectExtent l="19685" t="4445" r="30480" b="20955"/>
                      <wp:wrapNone/>
                      <wp:docPr id="203" name="下箭头 203"/>
                      <wp:cNvGraphicFramePr/>
                      <a:graphic xmlns:a="http://schemas.openxmlformats.org/drawingml/2006/main">
                        <a:graphicData uri="http://schemas.microsoft.com/office/word/2010/wordprocessingShape">
                          <wps:wsp>
                            <wps:cNvSpPr/>
                            <wps:spPr>
                              <a:xfrm>
                                <a:off x="0" y="0"/>
                                <a:ext cx="178435" cy="184150"/>
                              </a:xfrm>
                              <a:prstGeom prst="downArrow">
                                <a:avLst>
                                  <a:gd name="adj1" fmla="val 50000"/>
                                  <a:gd name="adj2" fmla="val 25800"/>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shape id="_x0000_s1026" o:spid="_x0000_s1026" o:spt="67" type="#_x0000_t67" style="position:absolute;left:0pt;margin-left:333.65pt;margin-top:23.55pt;height:14.5pt;width:14.05pt;z-index:251740160;mso-width-relative:page;mso-height-relative:page;" fillcolor="#FFFFFF" filled="t" stroked="t" coordsize="21600,21600" o:gfxdata="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FQ3Kz/bAAAACQEAAA8AAAAAAAAAAQAgAAAAIgAAAGRycy9kb3ducmV2LnhtbFBLAQIU&#10;ABQAAAAIAIdO4kD1hVGZKQIAAHoEAAAOAAAAAAAAAAEAIAAAACoBAABkcnMvZTJvRG9jLnhtbFBL&#10;BQYAAAAABgAGAFkBAADFBQAAAAA=&#10;" adj="16201,5400">
                      <v:fill on="t" focussize="0,0"/>
                      <v:stroke color="#000000" joinstyle="miter"/>
                      <v:imagedata o:title=""/>
                      <o:lock v:ext="edit" aspectratio="f"/>
                    </v:shape>
                  </w:pict>
                </mc:Fallback>
              </mc:AlternateContent>
            </w:r>
          </w:p>
          <w:p w14:paraId="1F00B81D">
            <w:pPr>
              <w:pStyle w:val="16"/>
              <w:rPr>
                <w:rFonts w:hint="eastAsia" w:cs="Times New Roman"/>
                <w:b w:val="0"/>
                <w:bCs w:val="0"/>
                <w:color w:val="000000" w:themeColor="text1"/>
                <w:sz w:val="24"/>
                <w:highlight w:val="none"/>
                <w:lang w:val="en-US" w:eastAsia="zh-CN"/>
                <w14:textFill>
                  <w14:solidFill>
                    <w14:schemeClr w14:val="tx1"/>
                  </w14:solidFill>
                </w14:textFill>
              </w:rPr>
            </w:pPr>
            <w:r>
              <w:rPr>
                <w:color w:val="000000" w:themeColor="text1"/>
                <w14:textFill>
                  <w14:solidFill>
                    <w14:schemeClr w14:val="tx1"/>
                  </w14:solidFill>
                </w14:textFill>
              </w:rPr>
              <mc:AlternateContent>
                <mc:Choice Requires="wps">
                  <w:drawing>
                    <wp:anchor distT="0" distB="0" distL="114300" distR="114300" simplePos="0" relativeHeight="251748352" behindDoc="0" locked="0" layoutInCell="1" allowOverlap="1">
                      <wp:simplePos x="0" y="0"/>
                      <wp:positionH relativeFrom="column">
                        <wp:posOffset>3578225</wp:posOffset>
                      </wp:positionH>
                      <wp:positionV relativeFrom="paragraph">
                        <wp:posOffset>246380</wp:posOffset>
                      </wp:positionV>
                      <wp:extent cx="200660" cy="178435"/>
                      <wp:effectExtent l="0" t="0" r="0" b="0"/>
                      <wp:wrapNone/>
                      <wp:docPr id="228" name="文本框 228"/>
                      <wp:cNvGraphicFramePr/>
                      <a:graphic xmlns:a="http://schemas.openxmlformats.org/drawingml/2006/main">
                        <a:graphicData uri="http://schemas.microsoft.com/office/word/2010/wordprocessingShape">
                          <wps:wsp>
                            <wps:cNvSpPr txBox="1"/>
                            <wps:spPr>
                              <a:xfrm>
                                <a:off x="0" y="0"/>
                                <a:ext cx="200660" cy="178435"/>
                              </a:xfrm>
                              <a:prstGeom prst="rect">
                                <a:avLst/>
                              </a:prstGeom>
                              <a:noFill/>
                              <a:ln>
                                <a:noFill/>
                              </a:ln>
                            </wps:spPr>
                            <wps:txbx>
                              <w:txbxContent>
                                <w:p w14:paraId="14E879B3">
                                  <w:pPr>
                                    <w:pStyle w:val="16"/>
                                    <w:spacing w:before="20" w:line="222" w:lineRule="auto"/>
                                    <w:ind w:right="1"/>
                                    <w:jc w:val="right"/>
                                    <w:rPr>
                                      <w:rFonts w:hint="default" w:eastAsia="宋体"/>
                                      <w:b w:val="0"/>
                                      <w:bCs w:val="0"/>
                                      <w:sz w:val="21"/>
                                      <w:szCs w:val="21"/>
                                      <w:lang w:val="en-US" w:eastAsia="zh-CN"/>
                                    </w:rPr>
                                  </w:pPr>
                                  <w:r>
                                    <w:rPr>
                                      <w:rFonts w:hint="eastAsia"/>
                                      <w:b w:val="0"/>
                                      <w:bCs w:val="0"/>
                                      <w:spacing w:val="-11"/>
                                      <w:w w:val="95"/>
                                      <w:sz w:val="21"/>
                                      <w:szCs w:val="21"/>
                                      <w:lang w:val="en-US" w:eastAsia="zh-CN"/>
                                    </w:rPr>
                                    <w:t>碱</w:t>
                                  </w:r>
                                </w:p>
                              </w:txbxContent>
                            </wps:txbx>
                            <wps:bodyPr lIns="0" tIns="0" rIns="0" bIns="0" upright="1"/>
                          </wps:wsp>
                        </a:graphicData>
                      </a:graphic>
                    </wp:anchor>
                  </w:drawing>
                </mc:Choice>
                <mc:Fallback>
                  <w:pict>
                    <v:shape id="_x0000_s1026" o:spid="_x0000_s1026" o:spt="202" type="#_x0000_t202" style="position:absolute;left:0pt;margin-left:281.75pt;margin-top:19.4pt;height:14.05pt;width:15.8pt;z-index:251748352;mso-width-relative:page;mso-height-relative:page;" filled="f" stroked="f" coordsize="21600,21600" o:gfxdata="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G4WeQXYAAAACQEAAA8AAAAAAAAAAQAgAAAAIgAAAGRycy9kb3ducmV2LnhtbFBLAQIU&#10;ABQAAAAIAIdO4kB4IkjtugEAAHUDAAAOAAAAAAAAAAEAIAAAACcBAABkcnMvZTJvRG9jLnhtbFBL&#10;BQYAAAAABgAGAFkBAABTBQAAAAA=&#10;">
                      <v:fill on="f" focussize="0,0"/>
                      <v:stroke on="f"/>
                      <v:imagedata o:title=""/>
                      <o:lock v:ext="edit" aspectratio="f"/>
                      <v:textbox inset="0mm,0mm,0mm,0mm">
                        <w:txbxContent>
                          <w:p w14:paraId="14E879B3">
                            <w:pPr>
                              <w:pStyle w:val="16"/>
                              <w:spacing w:before="20" w:line="222" w:lineRule="auto"/>
                              <w:ind w:right="1"/>
                              <w:jc w:val="right"/>
                              <w:rPr>
                                <w:rFonts w:hint="default" w:eastAsia="宋体"/>
                                <w:b w:val="0"/>
                                <w:bCs w:val="0"/>
                                <w:sz w:val="21"/>
                                <w:szCs w:val="21"/>
                                <w:lang w:val="en-US" w:eastAsia="zh-CN"/>
                              </w:rPr>
                            </w:pPr>
                            <w:r>
                              <w:rPr>
                                <w:rFonts w:hint="eastAsia"/>
                                <w:b w:val="0"/>
                                <w:bCs w:val="0"/>
                                <w:spacing w:val="-11"/>
                                <w:w w:val="95"/>
                                <w:sz w:val="21"/>
                                <w:szCs w:val="21"/>
                                <w:lang w:val="en-US" w:eastAsia="zh-CN"/>
                              </w:rPr>
                              <w:t>碱</w:t>
                            </w:r>
                          </w:p>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749376" behindDoc="0" locked="0" layoutInCell="1" allowOverlap="1">
                      <wp:simplePos x="0" y="0"/>
                      <wp:positionH relativeFrom="column">
                        <wp:posOffset>3806190</wp:posOffset>
                      </wp:positionH>
                      <wp:positionV relativeFrom="paragraph">
                        <wp:posOffset>287020</wp:posOffset>
                      </wp:positionV>
                      <wp:extent cx="130810" cy="76200"/>
                      <wp:effectExtent l="4445" t="12700" r="17145" b="25400"/>
                      <wp:wrapNone/>
                      <wp:docPr id="226" name="右箭头 226"/>
                      <wp:cNvGraphicFramePr/>
                      <a:graphic xmlns:a="http://schemas.openxmlformats.org/drawingml/2006/main">
                        <a:graphicData uri="http://schemas.microsoft.com/office/word/2010/wordprocessingShape">
                          <wps:wsp>
                            <wps:cNvSpPr/>
                            <wps:spPr>
                              <a:xfrm>
                                <a:off x="0" y="0"/>
                                <a:ext cx="130810" cy="76200"/>
                              </a:xfrm>
                              <a:prstGeom prst="rightArrow">
                                <a:avLst>
                                  <a:gd name="adj1" fmla="val 50000"/>
                                  <a:gd name="adj2" fmla="val 42916"/>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shape id="_x0000_s1026" o:spid="_x0000_s1026" o:spt="13" type="#_x0000_t13" style="position:absolute;left:0pt;margin-left:299.7pt;margin-top:22.6pt;height:6pt;width:10.3pt;z-index:251749376;mso-width-relative:page;mso-height-relative:page;" fillcolor="#FFFFFF" filled="t" stroked="t" coordsize="21600,21600" o:gfxdata="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A7n7hP2gAAAAkBAAAPAAAAAAAAAAEAIAAAACIAAABkcnMvZG93bnJldi54bWxQSwECFAAUAAAA&#10;CACHTuJA6ZrRVCUCAAB6BAAADgAAAAAAAAABACAAAAApAQAAZHJzL2Uyb0RvYy54bWxQSwUGAAAA&#10;AAYABgBZAQAAwAUAAAAA&#10;" adj="16201,5400">
                      <v:fill on="t" focussize="0,0"/>
                      <v:stroke color="#000000" joinstyle="miter"/>
                      <v:imagedata o:title=""/>
                      <o:lock v:ext="edit" aspectratio="f"/>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776000" behindDoc="0" locked="0" layoutInCell="1" allowOverlap="1">
                      <wp:simplePos x="0" y="0"/>
                      <wp:positionH relativeFrom="column">
                        <wp:posOffset>3947160</wp:posOffset>
                      </wp:positionH>
                      <wp:positionV relativeFrom="paragraph">
                        <wp:posOffset>160655</wp:posOffset>
                      </wp:positionV>
                      <wp:extent cx="807085" cy="266065"/>
                      <wp:effectExtent l="4445" t="5080" r="7620" b="14605"/>
                      <wp:wrapNone/>
                      <wp:docPr id="272" name="文本框 272"/>
                      <wp:cNvGraphicFramePr/>
                      <a:graphic xmlns:a="http://schemas.openxmlformats.org/drawingml/2006/main">
                        <a:graphicData uri="http://schemas.microsoft.com/office/word/2010/wordprocessingShape">
                          <wps:wsp>
                            <wps:cNvSpPr txBox="1"/>
                            <wps:spPr>
                              <a:xfrm>
                                <a:off x="0" y="0"/>
                                <a:ext cx="807085" cy="26606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029B51F">
                                  <w:pPr>
                                    <w:jc w:val="center"/>
                                    <w:rPr>
                                      <w:rFonts w:hint="default" w:eastAsia="宋体"/>
                                      <w:sz w:val="21"/>
                                      <w:szCs w:val="21"/>
                                      <w:lang w:val="en-US" w:eastAsia="zh-CN"/>
                                    </w:rPr>
                                  </w:pPr>
                                  <w:r>
                                    <w:rPr>
                                      <w:rFonts w:hint="eastAsia"/>
                                      <w:sz w:val="21"/>
                                      <w:szCs w:val="21"/>
                                      <w:lang w:val="en-US" w:eastAsia="zh-CN"/>
                                    </w:rPr>
                                    <w:t>pH调节池</w:t>
                                  </w:r>
                                </w:p>
                              </w:txbxContent>
                            </wps:txbx>
                            <wps:bodyPr upright="1"/>
                          </wps:wsp>
                        </a:graphicData>
                      </a:graphic>
                    </wp:anchor>
                  </w:drawing>
                </mc:Choice>
                <mc:Fallback>
                  <w:pict>
                    <v:shape id="_x0000_s1026" o:spid="_x0000_s1026" o:spt="202" type="#_x0000_t202" style="position:absolute;left:0pt;margin-left:310.8pt;margin-top:12.65pt;height:20.95pt;width:63.55pt;z-index:251776000;mso-width-relative:page;mso-height-relative:page;" fillcolor="#FFFFFF" filled="t" stroked="t" coordsize="21600,21600" o:gfxdata="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G1OYTLYAAAACQEAAA8AAAAAAAAAAQAgAAAA&#10;IgAAAGRycy9kb3ducmV2LnhtbFBLAQIUABQAAAAIAIdO4kBWvqPQCwIAADkEAAAOAAAAAAAAAAEA&#10;IAAAACcBAABkcnMvZTJvRG9jLnhtbFBLBQYAAAAABgAGAFkBAACkBQAAAAA=&#10;">
                      <v:fill on="t" focussize="0,0"/>
                      <v:stroke color="#000000" joinstyle="miter"/>
                      <v:imagedata o:title=""/>
                      <o:lock v:ext="edit" aspectratio="f"/>
                      <v:textbox>
                        <w:txbxContent>
                          <w:p w14:paraId="3029B51F">
                            <w:pPr>
                              <w:jc w:val="center"/>
                              <w:rPr>
                                <w:rFonts w:hint="default" w:eastAsia="宋体"/>
                                <w:sz w:val="21"/>
                                <w:szCs w:val="21"/>
                                <w:lang w:val="en-US" w:eastAsia="zh-CN"/>
                              </w:rPr>
                            </w:pPr>
                            <w:r>
                              <w:rPr>
                                <w:rFonts w:hint="eastAsia"/>
                                <w:sz w:val="21"/>
                                <w:szCs w:val="21"/>
                                <w:lang w:val="en-US" w:eastAsia="zh-CN"/>
                              </w:rPr>
                              <w:t>pH调节池</w:t>
                            </w:r>
                          </w:p>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687936" behindDoc="1" locked="0" layoutInCell="1" allowOverlap="1">
                      <wp:simplePos x="0" y="0"/>
                      <wp:positionH relativeFrom="column">
                        <wp:posOffset>1017905</wp:posOffset>
                      </wp:positionH>
                      <wp:positionV relativeFrom="paragraph">
                        <wp:posOffset>116840</wp:posOffset>
                      </wp:positionV>
                      <wp:extent cx="901700" cy="266065"/>
                      <wp:effectExtent l="4445" t="5080" r="0" b="14605"/>
                      <wp:wrapTight wrapText="bothSides">
                        <wp:wrapPolygon>
                          <wp:start x="-106" y="-361"/>
                          <wp:lineTo x="-106" y="20414"/>
                          <wp:lineTo x="21341" y="20414"/>
                          <wp:lineTo x="21341" y="-361"/>
                          <wp:lineTo x="-106" y="-361"/>
                        </wp:wrapPolygon>
                      </wp:wrapTight>
                      <wp:docPr id="188" name="文本框 188"/>
                      <wp:cNvGraphicFramePr/>
                      <a:graphic xmlns:a="http://schemas.openxmlformats.org/drawingml/2006/main">
                        <a:graphicData uri="http://schemas.microsoft.com/office/word/2010/wordprocessingShape">
                          <wps:wsp>
                            <wps:cNvSpPr txBox="1"/>
                            <wps:spPr>
                              <a:xfrm>
                                <a:off x="0" y="0"/>
                                <a:ext cx="901700" cy="26606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C29B3D3">
                                  <w:pPr>
                                    <w:rPr>
                                      <w:rFonts w:hint="default" w:eastAsia="宋体"/>
                                      <w:sz w:val="21"/>
                                      <w:szCs w:val="21"/>
                                      <w:lang w:val="en-US" w:eastAsia="zh-CN"/>
                                    </w:rPr>
                                  </w:pPr>
                                  <w:r>
                                    <w:rPr>
                                      <w:rFonts w:hint="eastAsia"/>
                                      <w:sz w:val="21"/>
                                      <w:szCs w:val="21"/>
                                      <w:lang w:val="en-US" w:eastAsia="zh-CN"/>
                                    </w:rPr>
                                    <w:t>二级沉淀池</w:t>
                                  </w:r>
                                </w:p>
                              </w:txbxContent>
                            </wps:txbx>
                            <wps:bodyPr upright="1"/>
                          </wps:wsp>
                        </a:graphicData>
                      </a:graphic>
                    </wp:anchor>
                  </w:drawing>
                </mc:Choice>
                <mc:Fallback>
                  <w:pict>
                    <v:shape id="_x0000_s1026" o:spid="_x0000_s1026" o:spt="202" type="#_x0000_t202" style="position:absolute;left:0pt;margin-left:80.15pt;margin-top:9.2pt;height:20.95pt;width:71pt;mso-wrap-distance-left:9pt;mso-wrap-distance-right:9pt;z-index:-251628544;mso-width-relative:page;mso-height-relative:page;" fillcolor="#FFFFFF" filled="t" stroked="t" coordsize="21600,21600" wrapcoords="-106 -361 -106 20414 21341 20414 21341 -361 -106 -361" o:gfxdata="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MGfpS7WAAAACQEAAA8AAAAAAAAAAQAgAAAAIgAA&#10;AGRycy9kb3ducmV2LnhtbFBLAQIUABQAAAAIAIdO4kBhmIVYCgIAADkEAAAOAAAAAAAAAAEAIAAA&#10;ACUBAABkcnMvZTJvRG9jLnhtbFBLBQYAAAAABgAGAFkBAAChBQAAAAA=&#10;">
                      <v:fill on="t" focussize="0,0"/>
                      <v:stroke color="#000000" joinstyle="miter"/>
                      <v:imagedata o:title=""/>
                      <o:lock v:ext="edit" aspectratio="f"/>
                      <v:textbox>
                        <w:txbxContent>
                          <w:p w14:paraId="1C29B3D3">
                            <w:pPr>
                              <w:rPr>
                                <w:rFonts w:hint="default" w:eastAsia="宋体"/>
                                <w:sz w:val="21"/>
                                <w:szCs w:val="21"/>
                                <w:lang w:val="en-US" w:eastAsia="zh-CN"/>
                              </w:rPr>
                            </w:pPr>
                            <w:r>
                              <w:rPr>
                                <w:rFonts w:hint="eastAsia"/>
                                <w:sz w:val="21"/>
                                <w:szCs w:val="21"/>
                                <w:lang w:val="en-US" w:eastAsia="zh-CN"/>
                              </w:rPr>
                              <w:t>二级沉淀池</w:t>
                            </w:r>
                          </w:p>
                        </w:txbxContent>
                      </v:textbox>
                      <w10:wrap type="tight"/>
                    </v:shape>
                  </w:pict>
                </mc:Fallback>
              </mc:AlternateContent>
            </w:r>
          </w:p>
          <w:p w14:paraId="139E9C22">
            <w:pPr>
              <w:keepNext w:val="0"/>
              <w:keepLines w:val="0"/>
              <w:pageBreakBefore w:val="0"/>
              <w:widowControl w:val="0"/>
              <w:shd w:val="clear"/>
              <w:kinsoku/>
              <w:wordWrap/>
              <w:overflowPunct/>
              <w:topLinePunct w:val="0"/>
              <w:autoSpaceDE w:val="0"/>
              <w:autoSpaceDN w:val="0"/>
              <w:bidi w:val="0"/>
              <w:adjustRightInd/>
              <w:snapToGrid/>
              <w:spacing w:line="360" w:lineRule="auto"/>
              <w:ind w:firstLine="480" w:firstLineChars="200"/>
              <w:jc w:val="center"/>
              <w:textAlignment w:val="auto"/>
              <w:rPr>
                <w:rFonts w:hint="default" w:ascii="Times New Roman" w:hAnsi="Times New Roman" w:eastAsia="宋体" w:cs="Times New Roman"/>
                <w:b/>
                <w:bCs/>
                <w:color w:val="000000" w:themeColor="text1"/>
                <w:lang w:val="en-US" w:eastAsia="zh-CN"/>
                <w14:textFill>
                  <w14:solidFill>
                    <w14:schemeClr w14:val="tx1"/>
                  </w14:solidFill>
                </w14:textFill>
              </w:rPr>
            </w:pPr>
            <w:r>
              <w:rPr>
                <w:color w:val="000000" w:themeColor="text1"/>
                <w:sz w:val="24"/>
                <w14:textFill>
                  <w14:solidFill>
                    <w14:schemeClr w14:val="tx1"/>
                  </w14:solidFill>
                </w14:textFill>
              </w:rPr>
              <mc:AlternateContent>
                <mc:Choice Requires="wps">
                  <w:drawing>
                    <wp:anchor distT="0" distB="0" distL="114300" distR="114300" simplePos="0" relativeHeight="251745280" behindDoc="0" locked="0" layoutInCell="1" allowOverlap="1">
                      <wp:simplePos x="0" y="0"/>
                      <wp:positionH relativeFrom="column">
                        <wp:posOffset>4232910</wp:posOffset>
                      </wp:positionH>
                      <wp:positionV relativeFrom="paragraph">
                        <wp:posOffset>140970</wp:posOffset>
                      </wp:positionV>
                      <wp:extent cx="178435" cy="184150"/>
                      <wp:effectExtent l="19685" t="4445" r="30480" b="20955"/>
                      <wp:wrapNone/>
                      <wp:docPr id="217" name="下箭头 217"/>
                      <wp:cNvGraphicFramePr/>
                      <a:graphic xmlns:a="http://schemas.openxmlformats.org/drawingml/2006/main">
                        <a:graphicData uri="http://schemas.microsoft.com/office/word/2010/wordprocessingShape">
                          <wps:wsp>
                            <wps:cNvSpPr/>
                            <wps:spPr>
                              <a:xfrm>
                                <a:off x="0" y="0"/>
                                <a:ext cx="178435" cy="184150"/>
                              </a:xfrm>
                              <a:prstGeom prst="downArrow">
                                <a:avLst>
                                  <a:gd name="adj1" fmla="val 50000"/>
                                  <a:gd name="adj2" fmla="val 25800"/>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shape id="_x0000_s1026" o:spid="_x0000_s1026" o:spt="67" type="#_x0000_t67" style="position:absolute;left:0pt;margin-left:333.3pt;margin-top:11.1pt;height:14.5pt;width:14.05pt;z-index:251745280;mso-width-relative:page;mso-height-relative:page;" fillcolor="#FFFFFF" filled="t" stroked="t" coordsize="21600,21600" o:gfxdata="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w1RG9oAAAAJAQAADwAAAAAAAAABACAAAAAiAAAAZHJzL2Rvd25yZXYueG1sUEsBAhQA&#10;FAAAAAgAh07iQBILBTcpAgAAegQAAA4AAAAAAAAAAQAgAAAAKQEAAGRycy9lMm9Eb2MueG1sUEsF&#10;BgAAAAAGAAYAWQEAAMQFAAAAAA==&#10;" adj="16201,5400">
                      <v:fill on="t" focussize="0,0"/>
                      <v:stroke color="#000000" joinstyle="miter"/>
                      <v:imagedata o:title=""/>
                      <o:lock v:ext="edit" aspectratio="f"/>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697152" behindDoc="0" locked="0" layoutInCell="1" allowOverlap="1">
                      <wp:simplePos x="0" y="0"/>
                      <wp:positionH relativeFrom="column">
                        <wp:posOffset>1370330</wp:posOffset>
                      </wp:positionH>
                      <wp:positionV relativeFrom="paragraph">
                        <wp:posOffset>85090</wp:posOffset>
                      </wp:positionV>
                      <wp:extent cx="178435" cy="184150"/>
                      <wp:effectExtent l="19685" t="4445" r="30480" b="20955"/>
                      <wp:wrapNone/>
                      <wp:docPr id="261" name="下箭头 261"/>
                      <wp:cNvGraphicFramePr/>
                      <a:graphic xmlns:a="http://schemas.openxmlformats.org/drawingml/2006/main">
                        <a:graphicData uri="http://schemas.microsoft.com/office/word/2010/wordprocessingShape">
                          <wps:wsp>
                            <wps:cNvSpPr/>
                            <wps:spPr>
                              <a:xfrm>
                                <a:off x="0" y="0"/>
                                <a:ext cx="178435" cy="184150"/>
                              </a:xfrm>
                              <a:prstGeom prst="downArrow">
                                <a:avLst>
                                  <a:gd name="adj1" fmla="val 50000"/>
                                  <a:gd name="adj2" fmla="val 25800"/>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shape id="_x0000_s1026" o:spid="_x0000_s1026" o:spt="67" type="#_x0000_t67" style="position:absolute;left:0pt;margin-left:107.9pt;margin-top:6.7pt;height:14.5pt;width:14.05pt;z-index:251697152;mso-width-relative:page;mso-height-relative:page;" fillcolor="#FFFFFF" filled="t" stroked="t" coordsize="21600,21600" o:gfxdata="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0Z1Ew2gAAAAkBAAAPAAAAAAAAAAEAIAAAACIAAABkcnMvZG93bnJldi54bWxQSwECFAAU&#10;AAAACACHTuJAzYoFkygCAAB6BAAADgAAAAAAAAABACAAAAApAQAAZHJzL2Uyb0RvYy54bWxQSwUG&#10;AAAAAAYABgBZAQAAwwUAAAAA&#10;" adj="16201,5400">
                      <v:fill on="t" focussize="0,0"/>
                      <v:stroke color="#000000" joinstyle="miter"/>
                      <v:imagedata o:title=""/>
                      <o:lock v:ext="edit" aspectratio="f"/>
                    </v:shape>
                  </w:pict>
                </mc:Fallback>
              </mc:AlternateContent>
            </w:r>
          </w:p>
          <w:p w14:paraId="11383823">
            <w:pPr>
              <w:keepNext w:val="0"/>
              <w:keepLines w:val="0"/>
              <w:pageBreakBefore w:val="0"/>
              <w:widowControl w:val="0"/>
              <w:shd w:val="clear"/>
              <w:kinsoku/>
              <w:wordWrap/>
              <w:overflowPunct/>
              <w:topLinePunct w:val="0"/>
              <w:autoSpaceDE w:val="0"/>
              <w:autoSpaceDN w:val="0"/>
              <w:bidi w:val="0"/>
              <w:adjustRightInd/>
              <w:snapToGrid/>
              <w:spacing w:line="360" w:lineRule="auto"/>
              <w:ind w:firstLine="420" w:firstLineChars="200"/>
              <w:jc w:val="center"/>
              <w:textAlignment w:val="auto"/>
              <w:rPr>
                <w:rFonts w:hint="default" w:ascii="Times New Roman" w:hAnsi="Times New Roman" w:eastAsia="宋体" w:cs="Times New Roman"/>
                <w:b/>
                <w:bCs/>
                <w:color w:val="000000" w:themeColor="text1"/>
                <w:lang w:val="en-US" w:eastAsia="zh-CN"/>
                <w14:textFill>
                  <w14:solidFill>
                    <w14:schemeClr w14:val="tx1"/>
                  </w14:solidFill>
                </w14:textFill>
              </w:rPr>
            </w:pPr>
            <w:r>
              <w:rPr>
                <w:color w:val="000000" w:themeColor="text1"/>
                <w14:textFill>
                  <w14:solidFill>
                    <w14:schemeClr w14:val="tx1"/>
                  </w14:solidFill>
                </w14:textFill>
              </w:rPr>
              <mc:AlternateContent>
                <mc:Choice Requires="wps">
                  <w:drawing>
                    <wp:anchor distT="0" distB="0" distL="114300" distR="114300" simplePos="0" relativeHeight="251750400" behindDoc="0" locked="0" layoutInCell="1" allowOverlap="1">
                      <wp:simplePos x="0" y="0"/>
                      <wp:positionH relativeFrom="column">
                        <wp:posOffset>2867660</wp:posOffset>
                      </wp:positionH>
                      <wp:positionV relativeFrom="paragraph">
                        <wp:posOffset>127635</wp:posOffset>
                      </wp:positionV>
                      <wp:extent cx="897890" cy="163195"/>
                      <wp:effectExtent l="0" t="0" r="0" b="0"/>
                      <wp:wrapNone/>
                      <wp:docPr id="227" name="文本框 227"/>
                      <wp:cNvGraphicFramePr/>
                      <a:graphic xmlns:a="http://schemas.openxmlformats.org/drawingml/2006/main">
                        <a:graphicData uri="http://schemas.microsoft.com/office/word/2010/wordprocessingShape">
                          <wps:wsp>
                            <wps:cNvSpPr txBox="1"/>
                            <wps:spPr>
                              <a:xfrm>
                                <a:off x="0" y="0"/>
                                <a:ext cx="897890" cy="163195"/>
                              </a:xfrm>
                              <a:prstGeom prst="rect">
                                <a:avLst/>
                              </a:prstGeom>
                              <a:noFill/>
                              <a:ln>
                                <a:noFill/>
                              </a:ln>
                            </wps:spPr>
                            <wps:txbx>
                              <w:txbxContent>
                                <w:p w14:paraId="5B096777">
                                  <w:pPr>
                                    <w:pStyle w:val="16"/>
                                    <w:spacing w:before="20" w:line="222" w:lineRule="auto"/>
                                    <w:ind w:right="1"/>
                                    <w:jc w:val="right"/>
                                    <w:rPr>
                                      <w:rFonts w:hint="default" w:ascii="Times New Roman" w:hAnsi="Times New Roman" w:eastAsia="宋体" w:cs="Times New Roman"/>
                                      <w:b w:val="0"/>
                                      <w:bCs w:val="0"/>
                                      <w:sz w:val="21"/>
                                      <w:szCs w:val="21"/>
                                      <w:lang w:val="en-US" w:eastAsia="zh-CN"/>
                                    </w:rPr>
                                  </w:pPr>
                                  <w:r>
                                    <w:rPr>
                                      <w:rFonts w:hint="default" w:ascii="Times New Roman" w:hAnsi="Times New Roman" w:cs="Times New Roman"/>
                                      <w:b w:val="0"/>
                                      <w:bCs w:val="0"/>
                                      <w:spacing w:val="-11"/>
                                      <w:w w:val="95"/>
                                      <w:sz w:val="21"/>
                                      <w:szCs w:val="21"/>
                                      <w:lang w:val="en-US" w:eastAsia="zh-CN"/>
                                    </w:rPr>
                                    <w:t>PAC、PAM</w:t>
                                  </w:r>
                                </w:p>
                              </w:txbxContent>
                            </wps:txbx>
                            <wps:bodyPr lIns="0" tIns="0" rIns="0" bIns="0" upright="1"/>
                          </wps:wsp>
                        </a:graphicData>
                      </a:graphic>
                    </wp:anchor>
                  </w:drawing>
                </mc:Choice>
                <mc:Fallback>
                  <w:pict>
                    <v:shape id="_x0000_s1026" o:spid="_x0000_s1026" o:spt="202" type="#_x0000_t202" style="position:absolute;left:0pt;margin-left:225.8pt;margin-top:10.05pt;height:12.85pt;width:70.7pt;z-index:251750400;mso-width-relative:page;mso-height-relative:page;" filled="f" stroked="f" coordsize="21600,21600" o:gfxdata="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BkM+TdgAAAAJAQAADwAAAAAAAAABACAAAAAiAAAAZHJzL2Rvd25yZXYueG1sUEsB&#10;AhQAFAAAAAgAh07iQJhRU2y8AQAAdQMAAA4AAAAAAAAAAQAgAAAAJwEAAGRycy9lMm9Eb2MueG1s&#10;UEsFBgAAAAAGAAYAWQEAAFUFAAAAAA==&#10;">
                      <v:fill on="f" focussize="0,0"/>
                      <v:stroke on="f"/>
                      <v:imagedata o:title=""/>
                      <o:lock v:ext="edit" aspectratio="f"/>
                      <v:textbox inset="0mm,0mm,0mm,0mm">
                        <w:txbxContent>
                          <w:p w14:paraId="5B096777">
                            <w:pPr>
                              <w:pStyle w:val="16"/>
                              <w:spacing w:before="20" w:line="222" w:lineRule="auto"/>
                              <w:ind w:right="1"/>
                              <w:jc w:val="right"/>
                              <w:rPr>
                                <w:rFonts w:hint="default" w:ascii="Times New Roman" w:hAnsi="Times New Roman" w:eastAsia="宋体" w:cs="Times New Roman"/>
                                <w:b w:val="0"/>
                                <w:bCs w:val="0"/>
                                <w:sz w:val="21"/>
                                <w:szCs w:val="21"/>
                                <w:lang w:val="en-US" w:eastAsia="zh-CN"/>
                              </w:rPr>
                            </w:pPr>
                            <w:r>
                              <w:rPr>
                                <w:rFonts w:hint="default" w:ascii="Times New Roman" w:hAnsi="Times New Roman" w:cs="Times New Roman"/>
                                <w:b w:val="0"/>
                                <w:bCs w:val="0"/>
                                <w:spacing w:val="-11"/>
                                <w:w w:val="95"/>
                                <w:sz w:val="21"/>
                                <w:szCs w:val="21"/>
                                <w:lang w:val="en-US" w:eastAsia="zh-CN"/>
                              </w:rPr>
                              <w:t>PAC、PAM</w:t>
                            </w:r>
                          </w:p>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755520" behindDoc="0" locked="0" layoutInCell="1" allowOverlap="1">
                      <wp:simplePos x="0" y="0"/>
                      <wp:positionH relativeFrom="column">
                        <wp:posOffset>3779520</wp:posOffset>
                      </wp:positionH>
                      <wp:positionV relativeFrom="paragraph">
                        <wp:posOffset>182245</wp:posOffset>
                      </wp:positionV>
                      <wp:extent cx="130810" cy="76200"/>
                      <wp:effectExtent l="4445" t="12700" r="17145" b="25400"/>
                      <wp:wrapNone/>
                      <wp:docPr id="221" name="右箭头 221"/>
                      <wp:cNvGraphicFramePr/>
                      <a:graphic xmlns:a="http://schemas.openxmlformats.org/drawingml/2006/main">
                        <a:graphicData uri="http://schemas.microsoft.com/office/word/2010/wordprocessingShape">
                          <wps:wsp>
                            <wps:cNvSpPr/>
                            <wps:spPr>
                              <a:xfrm>
                                <a:off x="0" y="0"/>
                                <a:ext cx="130810" cy="76200"/>
                              </a:xfrm>
                              <a:prstGeom prst="rightArrow">
                                <a:avLst>
                                  <a:gd name="adj1" fmla="val 50000"/>
                                  <a:gd name="adj2" fmla="val 42916"/>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shape id="_x0000_s1026" o:spid="_x0000_s1026" o:spt="13" type="#_x0000_t13" style="position:absolute;left:0pt;margin-left:297.6pt;margin-top:14.35pt;height:6pt;width:10.3pt;z-index:251755520;mso-width-relative:page;mso-height-relative:page;" fillcolor="#FFFFFF" filled="t" stroked="t" coordsize="21600,21600" o:gfxdata="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AJiGxo2gAAAAkBAAAPAAAAAAAAAAEAIAAAACIAAABkcnMvZG93bnJldi54bWxQSwECFAAUAAAA&#10;CACHTuJAHCm2wyUCAAB6BAAADgAAAAAAAAABACAAAAApAQAAZHJzL2Uyb0RvYy54bWxQSwUGAAAA&#10;AAYABgBZAQAAwAUAAAAA&#10;" adj="16201,5400">
                      <v:fill on="t" focussize="0,0"/>
                      <v:stroke color="#000000" joinstyle="miter"/>
                      <v:imagedata o:title=""/>
                      <o:lock v:ext="edit" aspectratio="f"/>
                    </v:shape>
                  </w:pict>
                </mc:Fallback>
              </mc:AlternateContent>
            </w:r>
            <w:r>
              <w:rPr>
                <w:color w:val="000000" w:themeColor="text1"/>
                <w14:textFill>
                  <w14:solidFill>
                    <w14:schemeClr w14:val="tx1"/>
                  </w14:solidFill>
                </w14:textFill>
              </w:rPr>
              <mc:AlternateContent>
                <mc:Choice Requires="wps">
                  <w:drawing>
                    <wp:anchor distT="0" distB="0" distL="114300" distR="114300" simplePos="0" relativeHeight="251701248" behindDoc="0" locked="0" layoutInCell="1" allowOverlap="1">
                      <wp:simplePos x="0" y="0"/>
                      <wp:positionH relativeFrom="column">
                        <wp:posOffset>769620</wp:posOffset>
                      </wp:positionH>
                      <wp:positionV relativeFrom="paragraph">
                        <wp:posOffset>94615</wp:posOffset>
                      </wp:positionV>
                      <wp:extent cx="185420" cy="172720"/>
                      <wp:effectExtent l="0" t="0" r="0" b="0"/>
                      <wp:wrapNone/>
                      <wp:docPr id="147" name="文本框 147"/>
                      <wp:cNvGraphicFramePr/>
                      <a:graphic xmlns:a="http://schemas.openxmlformats.org/drawingml/2006/main">
                        <a:graphicData uri="http://schemas.microsoft.com/office/word/2010/wordprocessingShape">
                          <wps:wsp>
                            <wps:cNvSpPr txBox="1"/>
                            <wps:spPr>
                              <a:xfrm>
                                <a:off x="0" y="0"/>
                                <a:ext cx="185420" cy="172720"/>
                              </a:xfrm>
                              <a:prstGeom prst="rect">
                                <a:avLst/>
                              </a:prstGeom>
                              <a:noFill/>
                              <a:ln>
                                <a:noFill/>
                              </a:ln>
                            </wps:spPr>
                            <wps:txbx>
                              <w:txbxContent>
                                <w:p w14:paraId="341C5EEA">
                                  <w:pPr>
                                    <w:pStyle w:val="16"/>
                                    <w:spacing w:before="20" w:line="222" w:lineRule="auto"/>
                                    <w:ind w:right="1"/>
                                    <w:jc w:val="both"/>
                                    <w:rPr>
                                      <w:rFonts w:hint="default"/>
                                      <w:b w:val="0"/>
                                      <w:bCs w:val="0"/>
                                      <w:spacing w:val="-11"/>
                                      <w:w w:val="95"/>
                                      <w:sz w:val="21"/>
                                      <w:szCs w:val="21"/>
                                      <w:lang w:val="en-US" w:eastAsia="zh-CN"/>
                                    </w:rPr>
                                  </w:pPr>
                                  <w:r>
                                    <w:rPr>
                                      <w:rFonts w:hint="eastAsia"/>
                                      <w:b w:val="0"/>
                                      <w:bCs w:val="0"/>
                                      <w:spacing w:val="-11"/>
                                      <w:w w:val="95"/>
                                      <w:sz w:val="21"/>
                                      <w:szCs w:val="21"/>
                                      <w:lang w:val="en-US" w:eastAsia="zh-CN"/>
                                    </w:rPr>
                                    <w:t>酸</w:t>
                                  </w:r>
                                </w:p>
                              </w:txbxContent>
                            </wps:txbx>
                            <wps:bodyPr lIns="0" tIns="0" rIns="0" bIns="0" upright="1"/>
                          </wps:wsp>
                        </a:graphicData>
                      </a:graphic>
                    </wp:anchor>
                  </w:drawing>
                </mc:Choice>
                <mc:Fallback>
                  <w:pict>
                    <v:shape id="_x0000_s1026" o:spid="_x0000_s1026" o:spt="202" type="#_x0000_t202" style="position:absolute;left:0pt;margin-left:60.6pt;margin-top:7.45pt;height:13.6pt;width:14.6pt;z-index:251701248;mso-width-relative:page;mso-height-relative:page;" filled="f" stroked="f" coordsize="21600,21600" o:gfxdata="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D93NUdcAAAAJAQAADwAAAAAAAAABACAAAAAiAAAAZHJzL2Rvd25yZXYueG1sUEsBAhQA&#10;FAAAAAgAh07iQFO5N9O6AQAAdQMAAA4AAAAAAAAAAQAgAAAAJgEAAGRycy9lMm9Eb2MueG1sUEsF&#10;BgAAAAAGAAYAWQEAAFIFAAAAAA==&#10;">
                      <v:fill on="f" focussize="0,0"/>
                      <v:stroke on="f"/>
                      <v:imagedata o:title=""/>
                      <o:lock v:ext="edit" aspectratio="f"/>
                      <v:textbox inset="0mm,0mm,0mm,0mm">
                        <w:txbxContent>
                          <w:p w14:paraId="341C5EEA">
                            <w:pPr>
                              <w:pStyle w:val="16"/>
                              <w:spacing w:before="20" w:line="222" w:lineRule="auto"/>
                              <w:ind w:right="1"/>
                              <w:jc w:val="both"/>
                              <w:rPr>
                                <w:rFonts w:hint="default"/>
                                <w:b w:val="0"/>
                                <w:bCs w:val="0"/>
                                <w:spacing w:val="-11"/>
                                <w:w w:val="95"/>
                                <w:sz w:val="21"/>
                                <w:szCs w:val="21"/>
                                <w:lang w:val="en-US" w:eastAsia="zh-CN"/>
                              </w:rPr>
                            </w:pPr>
                            <w:r>
                              <w:rPr>
                                <w:rFonts w:hint="eastAsia"/>
                                <w:b w:val="0"/>
                                <w:bCs w:val="0"/>
                                <w:spacing w:val="-11"/>
                                <w:w w:val="95"/>
                                <w:sz w:val="21"/>
                                <w:szCs w:val="21"/>
                                <w:lang w:val="en-US" w:eastAsia="zh-CN"/>
                              </w:rPr>
                              <w:t>酸</w:t>
                            </w:r>
                          </w:p>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696128" behindDoc="0" locked="0" layoutInCell="1" allowOverlap="1">
                      <wp:simplePos x="0" y="0"/>
                      <wp:positionH relativeFrom="column">
                        <wp:posOffset>939800</wp:posOffset>
                      </wp:positionH>
                      <wp:positionV relativeFrom="paragraph">
                        <wp:posOffset>135890</wp:posOffset>
                      </wp:positionV>
                      <wp:extent cx="130810" cy="76200"/>
                      <wp:effectExtent l="4445" t="12700" r="17145" b="25400"/>
                      <wp:wrapNone/>
                      <wp:docPr id="260" name="右箭头 260"/>
                      <wp:cNvGraphicFramePr/>
                      <a:graphic xmlns:a="http://schemas.openxmlformats.org/drawingml/2006/main">
                        <a:graphicData uri="http://schemas.microsoft.com/office/word/2010/wordprocessingShape">
                          <wps:wsp>
                            <wps:cNvSpPr/>
                            <wps:spPr>
                              <a:xfrm>
                                <a:off x="0" y="0"/>
                                <a:ext cx="130810" cy="76200"/>
                              </a:xfrm>
                              <a:prstGeom prst="rightArrow">
                                <a:avLst>
                                  <a:gd name="adj1" fmla="val 50000"/>
                                  <a:gd name="adj2" fmla="val 42916"/>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shape id="_x0000_s1026" o:spid="_x0000_s1026" o:spt="13" type="#_x0000_t13" style="position:absolute;left:0pt;margin-left:74pt;margin-top:10.7pt;height:6pt;width:10.3pt;z-index:251696128;mso-width-relative:page;mso-height-relative:page;" fillcolor="#FFFFFF" filled="t" stroked="t" coordsize="21600,21600" o:gfxdata="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Glk3mPZAAAACQEAAA8AAAAAAAAAAQAgAAAAIgAAAGRycy9kb3ducmV2LnhtbFBLAQIUABQAAAAI&#10;AIdO4kCgT9wLJQIAAHoEAAAOAAAAAAAAAAEAIAAAACgBAABkcnMvZTJvRG9jLnhtbFBLBQYAAAAA&#10;BgAGAFkBAAC/BQAAAAA=&#10;" adj="16201,5400">
                      <v:fill on="t" focussize="0,0"/>
                      <v:stroke color="#000000" joinstyle="miter"/>
                      <v:imagedata o:title=""/>
                      <o:lock v:ext="edit" aspectratio="f"/>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777024" behindDoc="0" locked="0" layoutInCell="1" allowOverlap="1">
                      <wp:simplePos x="0" y="0"/>
                      <wp:positionH relativeFrom="column">
                        <wp:posOffset>3919855</wp:posOffset>
                      </wp:positionH>
                      <wp:positionV relativeFrom="paragraph">
                        <wp:posOffset>95250</wp:posOffset>
                      </wp:positionV>
                      <wp:extent cx="807085" cy="266065"/>
                      <wp:effectExtent l="4445" t="5080" r="7620" b="14605"/>
                      <wp:wrapNone/>
                      <wp:docPr id="273" name="文本框 273"/>
                      <wp:cNvGraphicFramePr/>
                      <a:graphic xmlns:a="http://schemas.openxmlformats.org/drawingml/2006/main">
                        <a:graphicData uri="http://schemas.microsoft.com/office/word/2010/wordprocessingShape">
                          <wps:wsp>
                            <wps:cNvSpPr txBox="1"/>
                            <wps:spPr>
                              <a:xfrm>
                                <a:off x="0" y="0"/>
                                <a:ext cx="807085" cy="26606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7F02B05">
                                  <w:pPr>
                                    <w:jc w:val="center"/>
                                    <w:rPr>
                                      <w:rFonts w:hint="default" w:eastAsia="宋体"/>
                                      <w:sz w:val="21"/>
                                      <w:szCs w:val="21"/>
                                      <w:lang w:val="en-US" w:eastAsia="zh-CN"/>
                                    </w:rPr>
                                  </w:pPr>
                                  <w:r>
                                    <w:rPr>
                                      <w:rFonts w:hint="eastAsia"/>
                                      <w:sz w:val="21"/>
                                      <w:szCs w:val="21"/>
                                      <w:lang w:val="en-US" w:eastAsia="zh-CN"/>
                                    </w:rPr>
                                    <w:t>沉淀池</w:t>
                                  </w:r>
                                </w:p>
                              </w:txbxContent>
                            </wps:txbx>
                            <wps:bodyPr upright="1"/>
                          </wps:wsp>
                        </a:graphicData>
                      </a:graphic>
                    </wp:anchor>
                  </w:drawing>
                </mc:Choice>
                <mc:Fallback>
                  <w:pict>
                    <v:shape id="_x0000_s1026" o:spid="_x0000_s1026" o:spt="202" type="#_x0000_t202" style="position:absolute;left:0pt;margin-left:308.65pt;margin-top:7.5pt;height:20.95pt;width:63.55pt;z-index:251777024;mso-width-relative:page;mso-height-relative:page;" fillcolor="#FFFFFF" filled="t" stroked="t" coordsize="21600,21600" o:gfxdata="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V65PatkAAAAJAQAADwAAAAAAAAABACAA&#10;AAAiAAAAZHJzL2Rvd25yZXYueG1sUEsBAhQAFAAAAAgAh07iQNZVPRgMAgAAOQQAAA4AAAAAAAAA&#10;AQAgAAAAKAEAAGRycy9lMm9Eb2MueG1sUEsFBgAAAAAGAAYAWQEAAKYFAAAAAA==&#10;">
                      <v:fill on="t" focussize="0,0"/>
                      <v:stroke color="#000000" joinstyle="miter"/>
                      <v:imagedata o:title=""/>
                      <o:lock v:ext="edit" aspectratio="f"/>
                      <v:textbox>
                        <w:txbxContent>
                          <w:p w14:paraId="77F02B05">
                            <w:pPr>
                              <w:jc w:val="center"/>
                              <w:rPr>
                                <w:rFonts w:hint="default" w:eastAsia="宋体"/>
                                <w:sz w:val="21"/>
                                <w:szCs w:val="21"/>
                                <w:lang w:val="en-US" w:eastAsia="zh-CN"/>
                              </w:rPr>
                            </w:pPr>
                            <w:r>
                              <w:rPr>
                                <w:rFonts w:hint="eastAsia"/>
                                <w:sz w:val="21"/>
                                <w:szCs w:val="21"/>
                                <w:lang w:val="en-US" w:eastAsia="zh-CN"/>
                              </w:rPr>
                              <w:t>沉淀池</w:t>
                            </w:r>
                          </w:p>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695104" behindDoc="0" locked="0" layoutInCell="1" allowOverlap="1">
                      <wp:simplePos x="0" y="0"/>
                      <wp:positionH relativeFrom="column">
                        <wp:posOffset>1068705</wp:posOffset>
                      </wp:positionH>
                      <wp:positionV relativeFrom="paragraph">
                        <wp:posOffset>40640</wp:posOffset>
                      </wp:positionV>
                      <wp:extent cx="807085" cy="266065"/>
                      <wp:effectExtent l="4445" t="5080" r="7620" b="14605"/>
                      <wp:wrapNone/>
                      <wp:docPr id="259" name="文本框 259"/>
                      <wp:cNvGraphicFramePr/>
                      <a:graphic xmlns:a="http://schemas.openxmlformats.org/drawingml/2006/main">
                        <a:graphicData uri="http://schemas.microsoft.com/office/word/2010/wordprocessingShape">
                          <wps:wsp>
                            <wps:cNvSpPr txBox="1"/>
                            <wps:spPr>
                              <a:xfrm>
                                <a:off x="0" y="0"/>
                                <a:ext cx="807085" cy="26606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8414AEB">
                                  <w:pPr>
                                    <w:jc w:val="center"/>
                                    <w:rPr>
                                      <w:rFonts w:hint="default" w:eastAsia="宋体"/>
                                      <w:sz w:val="21"/>
                                      <w:szCs w:val="21"/>
                                      <w:lang w:val="en-US" w:eastAsia="zh-CN"/>
                                    </w:rPr>
                                  </w:pPr>
                                  <w:r>
                                    <w:rPr>
                                      <w:rFonts w:hint="eastAsia"/>
                                      <w:sz w:val="21"/>
                                      <w:szCs w:val="21"/>
                                      <w:lang w:val="en-US" w:eastAsia="zh-CN"/>
                                    </w:rPr>
                                    <w:t>pH调节池</w:t>
                                  </w:r>
                                </w:p>
                              </w:txbxContent>
                            </wps:txbx>
                            <wps:bodyPr upright="1"/>
                          </wps:wsp>
                        </a:graphicData>
                      </a:graphic>
                    </wp:anchor>
                  </w:drawing>
                </mc:Choice>
                <mc:Fallback>
                  <w:pict>
                    <v:shape id="_x0000_s1026" o:spid="_x0000_s1026" o:spt="202" type="#_x0000_t202" style="position:absolute;left:0pt;margin-left:84.15pt;margin-top:3.2pt;height:20.95pt;width:63.55pt;z-index:251695104;mso-width-relative:page;mso-height-relative:page;" fillcolor="#FFFFFF" filled="t" stroked="t" coordsize="21600,21600" o:gfxdata="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CBj4FTXAAAACAEAAA8AAAAAAAAAAQAgAAAA&#10;IgAAAGRycy9kb3ducmV2LnhtbFBLAQIUABQAAAAIAIdO4kAF+qKhDAIAADkEAAAOAAAAAAAAAAEA&#10;IAAAACYBAABkcnMvZTJvRG9jLnhtbFBLBQYAAAAABgAGAFkBAACkBQAAAAA=&#10;">
                      <v:fill on="t" focussize="0,0"/>
                      <v:stroke color="#000000" joinstyle="miter"/>
                      <v:imagedata o:title=""/>
                      <o:lock v:ext="edit" aspectratio="f"/>
                      <v:textbox>
                        <w:txbxContent>
                          <w:p w14:paraId="28414AEB">
                            <w:pPr>
                              <w:jc w:val="center"/>
                              <w:rPr>
                                <w:rFonts w:hint="default" w:eastAsia="宋体"/>
                                <w:sz w:val="21"/>
                                <w:szCs w:val="21"/>
                                <w:lang w:val="en-US" w:eastAsia="zh-CN"/>
                              </w:rPr>
                            </w:pPr>
                            <w:r>
                              <w:rPr>
                                <w:rFonts w:hint="eastAsia"/>
                                <w:sz w:val="21"/>
                                <w:szCs w:val="21"/>
                                <w:lang w:val="en-US" w:eastAsia="zh-CN"/>
                              </w:rPr>
                              <w:t>pH调节池</w:t>
                            </w:r>
                          </w:p>
                        </w:txbxContent>
                      </v:textbox>
                    </v:shape>
                  </w:pict>
                </mc:Fallback>
              </mc:AlternateContent>
            </w:r>
          </w:p>
          <w:p w14:paraId="3407E5EF">
            <w:pPr>
              <w:keepNext w:val="0"/>
              <w:keepLines w:val="0"/>
              <w:pageBreakBefore w:val="0"/>
              <w:widowControl w:val="0"/>
              <w:shd w:val="clear"/>
              <w:kinsoku/>
              <w:wordWrap/>
              <w:overflowPunct/>
              <w:topLinePunct w:val="0"/>
              <w:autoSpaceDE w:val="0"/>
              <w:autoSpaceDN w:val="0"/>
              <w:bidi w:val="0"/>
              <w:adjustRightInd/>
              <w:snapToGrid/>
              <w:spacing w:line="360" w:lineRule="auto"/>
              <w:ind w:firstLine="480" w:firstLineChars="200"/>
              <w:jc w:val="center"/>
              <w:textAlignment w:val="auto"/>
              <w:rPr>
                <w:rFonts w:hint="default" w:ascii="Times New Roman" w:hAnsi="Times New Roman" w:eastAsia="宋体" w:cs="Times New Roman"/>
                <w:b/>
                <w:bCs/>
                <w:color w:val="000000" w:themeColor="text1"/>
                <w:lang w:val="en-US" w:eastAsia="zh-CN"/>
                <w14:textFill>
                  <w14:solidFill>
                    <w14:schemeClr w14:val="tx1"/>
                  </w14:solidFill>
                </w14:textFill>
              </w:rPr>
            </w:pPr>
            <w:r>
              <w:rPr>
                <w:color w:val="000000" w:themeColor="text1"/>
                <w:sz w:val="24"/>
                <w14:textFill>
                  <w14:solidFill>
                    <w14:schemeClr w14:val="tx1"/>
                  </w14:solidFill>
                </w14:textFill>
              </w:rPr>
              <mc:AlternateContent>
                <mc:Choice Requires="wps">
                  <w:drawing>
                    <wp:anchor distT="0" distB="0" distL="114300" distR="114300" simplePos="0" relativeHeight="251752448" behindDoc="0" locked="0" layoutInCell="1" allowOverlap="1">
                      <wp:simplePos x="0" y="0"/>
                      <wp:positionH relativeFrom="column">
                        <wp:posOffset>1778000</wp:posOffset>
                      </wp:positionH>
                      <wp:positionV relativeFrom="paragraph">
                        <wp:posOffset>201295</wp:posOffset>
                      </wp:positionV>
                      <wp:extent cx="2555240" cy="635"/>
                      <wp:effectExtent l="0" t="48895" r="16510" b="64770"/>
                      <wp:wrapNone/>
                      <wp:docPr id="222" name="直接连接符 222"/>
                      <wp:cNvGraphicFramePr/>
                      <a:graphic xmlns:a="http://schemas.openxmlformats.org/drawingml/2006/main">
                        <a:graphicData uri="http://schemas.microsoft.com/office/word/2010/wordprocessingShape">
                          <wps:wsp>
                            <wps:cNvCnPr/>
                            <wps:spPr>
                              <a:xfrm flipH="1" flipV="1">
                                <a:off x="0" y="0"/>
                                <a:ext cx="2555240" cy="635"/>
                              </a:xfrm>
                              <a:prstGeom prst="line">
                                <a:avLst/>
                              </a:prstGeom>
                              <a:ln w="9525" cap="flat" cmpd="sng">
                                <a:solidFill>
                                  <a:srgbClr val="000000"/>
                                </a:solidFill>
                                <a:prstDash val="solid"/>
                                <a:miter/>
                                <a:headEnd type="none" w="med" len="med"/>
                                <a:tailEnd type="arrow" w="med" len="med"/>
                              </a:ln>
                            </wps:spPr>
                            <wps:bodyPr upright="1"/>
                          </wps:wsp>
                        </a:graphicData>
                      </a:graphic>
                    </wp:anchor>
                  </w:drawing>
                </mc:Choice>
                <mc:Fallback>
                  <w:pict>
                    <v:line id="_x0000_s1026" o:spid="_x0000_s1026" o:spt="20" style="position:absolute;left:0pt;flip:x y;margin-left:140pt;margin-top:15.85pt;height:0.05pt;width:201.2pt;z-index:251752448;mso-width-relative:page;mso-height-relative:page;" filled="f" stroked="t" coordsize="21600,21600" o:gfxdata="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MM7/5nXAAAACQEAAA8AAAAAAAAAAQAg&#10;AAAAIgAAAGRycy9kb3ducmV2LnhtbFBLAQIUABQAAAAIAIdO4kDTdx1fDwIAAAkEAAAOAAAAAAAA&#10;AAEAIAAAACYBAABkcnMvZTJvRG9jLnhtbFBLBQYAAAAABgAGAFkBAACnBQAAAAA=&#10;">
                      <v:fill on="f" focussize="0,0"/>
                      <v:stroke color="#000000" joinstyle="miter" endarrow="open"/>
                      <v:imagedata o:title=""/>
                      <o:lock v:ext="edit" aspectratio="f"/>
                    </v:lin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751424" behindDoc="0" locked="0" layoutInCell="1" allowOverlap="1">
                      <wp:simplePos x="0" y="0"/>
                      <wp:positionH relativeFrom="column">
                        <wp:posOffset>4329430</wp:posOffset>
                      </wp:positionH>
                      <wp:positionV relativeFrom="paragraph">
                        <wp:posOffset>117475</wp:posOffset>
                      </wp:positionV>
                      <wp:extent cx="635" cy="101600"/>
                      <wp:effectExtent l="48895" t="0" r="64770" b="12700"/>
                      <wp:wrapNone/>
                      <wp:docPr id="233" name="直接连接符 233"/>
                      <wp:cNvGraphicFramePr/>
                      <a:graphic xmlns:a="http://schemas.openxmlformats.org/drawingml/2006/main">
                        <a:graphicData uri="http://schemas.microsoft.com/office/word/2010/wordprocessingShape">
                          <wps:wsp>
                            <wps:cNvCnPr/>
                            <wps:spPr>
                              <a:xfrm>
                                <a:off x="0" y="0"/>
                                <a:ext cx="635" cy="101600"/>
                              </a:xfrm>
                              <a:prstGeom prst="line">
                                <a:avLst/>
                              </a:prstGeom>
                              <a:ln w="9525" cap="flat" cmpd="sng">
                                <a:solidFill>
                                  <a:srgbClr val="000000"/>
                                </a:solidFill>
                                <a:prstDash val="solid"/>
                                <a:miter/>
                                <a:headEnd type="none" w="med" len="med"/>
                                <a:tailEnd type="arrow" w="med" len="med"/>
                              </a:ln>
                            </wps:spPr>
                            <wps:bodyPr upright="1"/>
                          </wps:wsp>
                        </a:graphicData>
                      </a:graphic>
                    </wp:anchor>
                  </w:drawing>
                </mc:Choice>
                <mc:Fallback>
                  <w:pict>
                    <v:line id="_x0000_s1026" o:spid="_x0000_s1026" o:spt="20" style="position:absolute;left:0pt;margin-left:340.9pt;margin-top:9.25pt;height:8pt;width:0.05pt;z-index:251751424;mso-width-relative:page;mso-height-relative:page;" filled="f" stroked="t" coordsize="21600,21600" o:gfxdata="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EM+cOXXAAAACQEAAA8AAAAAAAAAAQAgAAAAIgAAAGRycy9k&#10;b3ducmV2LnhtbFBLAQIUABQAAAAIAIdO4kCY2upXAwIAAPQDAAAOAAAAAAAAAAEAIAAAACYBAABk&#10;cnMvZTJvRG9jLnhtbFBLBQYAAAAABgAGAFkBAACbBQAAAAA=&#10;">
                      <v:fill on="f" focussize="0,0"/>
                      <v:stroke color="#000000" joinstyle="miter" endarrow="open"/>
                      <v:imagedata o:title=""/>
                      <o:lock v:ext="edit" aspectratio="f"/>
                    </v:lin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699200" behindDoc="0" locked="0" layoutInCell="1" allowOverlap="1">
                      <wp:simplePos x="0" y="0"/>
                      <wp:positionH relativeFrom="column">
                        <wp:posOffset>1379220</wp:posOffset>
                      </wp:positionH>
                      <wp:positionV relativeFrom="paragraph">
                        <wp:posOffset>86995</wp:posOffset>
                      </wp:positionV>
                      <wp:extent cx="178435" cy="184150"/>
                      <wp:effectExtent l="19685" t="4445" r="30480" b="20955"/>
                      <wp:wrapNone/>
                      <wp:docPr id="151" name="下箭头 151"/>
                      <wp:cNvGraphicFramePr/>
                      <a:graphic xmlns:a="http://schemas.openxmlformats.org/drawingml/2006/main">
                        <a:graphicData uri="http://schemas.microsoft.com/office/word/2010/wordprocessingShape">
                          <wps:wsp>
                            <wps:cNvSpPr/>
                            <wps:spPr>
                              <a:xfrm>
                                <a:off x="0" y="0"/>
                                <a:ext cx="178435" cy="184150"/>
                              </a:xfrm>
                              <a:prstGeom prst="downArrow">
                                <a:avLst>
                                  <a:gd name="adj1" fmla="val 50000"/>
                                  <a:gd name="adj2" fmla="val 25800"/>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shape id="_x0000_s1026" o:spid="_x0000_s1026" o:spt="67" type="#_x0000_t67" style="position:absolute;left:0pt;margin-left:108.6pt;margin-top:6.85pt;height:14.5pt;width:14.05pt;z-index:251699200;mso-width-relative:page;mso-height-relative:page;" fillcolor="#FFFFFF" filled="t" stroked="t" coordsize="21600,21600" o:gfxdata="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Dpl/yv2gAAAAkBAAAPAAAAAAAAAAEAIAAAACIAAABkcnMvZG93bnJldi54bWxQSwECFAAU&#10;AAAACACHTuJAfuWfcSgCAAB6BAAADgAAAAAAAAABACAAAAApAQAAZHJzL2Uyb0RvYy54bWxQSwUG&#10;AAAAAAYABgBZAQAAwwUAAAAA&#10;" adj="16201,5400">
                      <v:fill on="t" focussize="0,0"/>
                      <v:stroke color="#000000" joinstyle="miter"/>
                      <v:imagedata o:title=""/>
                      <o:lock v:ext="edit" aspectratio="f"/>
                    </v:shape>
                  </w:pict>
                </mc:Fallback>
              </mc:AlternateContent>
            </w:r>
          </w:p>
          <w:p w14:paraId="39E8194F">
            <w:pPr>
              <w:keepNext w:val="0"/>
              <w:keepLines w:val="0"/>
              <w:pageBreakBefore w:val="0"/>
              <w:widowControl w:val="0"/>
              <w:shd w:val="clear"/>
              <w:kinsoku/>
              <w:wordWrap/>
              <w:overflowPunct/>
              <w:topLinePunct w:val="0"/>
              <w:autoSpaceDE w:val="0"/>
              <w:autoSpaceDN w:val="0"/>
              <w:bidi w:val="0"/>
              <w:adjustRightInd/>
              <w:snapToGrid/>
              <w:spacing w:line="360" w:lineRule="auto"/>
              <w:ind w:firstLine="420" w:firstLineChars="200"/>
              <w:jc w:val="center"/>
              <w:textAlignment w:val="auto"/>
              <w:rPr>
                <w:rFonts w:hint="default" w:ascii="Times New Roman" w:hAnsi="Times New Roman" w:eastAsia="宋体" w:cs="Times New Roman"/>
                <w:b/>
                <w:bCs/>
                <w:color w:val="000000" w:themeColor="text1"/>
                <w:lang w:val="en-US" w:eastAsia="zh-CN"/>
                <w14:textFill>
                  <w14:solidFill>
                    <w14:schemeClr w14:val="tx1"/>
                  </w14:solidFill>
                </w14:textFill>
              </w:rPr>
            </w:pPr>
            <w:r>
              <w:rPr>
                <w:color w:val="000000" w:themeColor="text1"/>
                <w14:textFill>
                  <w14:solidFill>
                    <w14:schemeClr w14:val="tx1"/>
                  </w14:solidFill>
                </w14:textFill>
              </w:rPr>
              <mc:AlternateContent>
                <mc:Choice Requires="wps">
                  <w:drawing>
                    <wp:anchor distT="0" distB="0" distL="114300" distR="114300" simplePos="0" relativeHeight="251703296" behindDoc="0" locked="0" layoutInCell="1" allowOverlap="1">
                      <wp:simplePos x="0" y="0"/>
                      <wp:positionH relativeFrom="column">
                        <wp:posOffset>419735</wp:posOffset>
                      </wp:positionH>
                      <wp:positionV relativeFrom="paragraph">
                        <wp:posOffset>94615</wp:posOffset>
                      </wp:positionV>
                      <wp:extent cx="491490" cy="209550"/>
                      <wp:effectExtent l="0" t="0" r="0" b="0"/>
                      <wp:wrapNone/>
                      <wp:docPr id="159" name="文本框 159"/>
                      <wp:cNvGraphicFramePr/>
                      <a:graphic xmlns:a="http://schemas.openxmlformats.org/drawingml/2006/main">
                        <a:graphicData uri="http://schemas.microsoft.com/office/word/2010/wordprocessingShape">
                          <wps:wsp>
                            <wps:cNvSpPr txBox="1"/>
                            <wps:spPr>
                              <a:xfrm>
                                <a:off x="0" y="0"/>
                                <a:ext cx="491490" cy="209550"/>
                              </a:xfrm>
                              <a:prstGeom prst="rect">
                                <a:avLst/>
                              </a:prstGeom>
                              <a:noFill/>
                              <a:ln>
                                <a:noFill/>
                              </a:ln>
                            </wps:spPr>
                            <wps:txbx>
                              <w:txbxContent>
                                <w:p w14:paraId="1E65B66D">
                                  <w:pPr>
                                    <w:pStyle w:val="16"/>
                                    <w:spacing w:before="20" w:line="222" w:lineRule="auto"/>
                                    <w:ind w:right="1"/>
                                    <w:jc w:val="right"/>
                                    <w:rPr>
                                      <w:rFonts w:hint="default" w:eastAsia="宋体"/>
                                      <w:b w:val="0"/>
                                      <w:bCs w:val="0"/>
                                      <w:sz w:val="13"/>
                                      <w:szCs w:val="13"/>
                                      <w:lang w:val="en-US" w:eastAsia="zh-CN"/>
                                    </w:rPr>
                                  </w:pPr>
                                  <w:r>
                                    <w:rPr>
                                      <w:rFonts w:hint="eastAsia"/>
                                      <w:b w:val="0"/>
                                      <w:bCs w:val="0"/>
                                      <w:spacing w:val="-11"/>
                                      <w:w w:val="95"/>
                                      <w:sz w:val="21"/>
                                      <w:szCs w:val="21"/>
                                      <w:lang w:val="en-US" w:eastAsia="zh-CN"/>
                                    </w:rPr>
                                    <w:t>机械搅拌</w:t>
                                  </w:r>
                                </w:p>
                              </w:txbxContent>
                            </wps:txbx>
                            <wps:bodyPr lIns="0" tIns="0" rIns="0" bIns="0" upright="1"/>
                          </wps:wsp>
                        </a:graphicData>
                      </a:graphic>
                    </wp:anchor>
                  </w:drawing>
                </mc:Choice>
                <mc:Fallback>
                  <w:pict>
                    <v:shape id="_x0000_s1026" o:spid="_x0000_s1026" o:spt="202" type="#_x0000_t202" style="position:absolute;left:0pt;margin-left:33.05pt;margin-top:7.45pt;height:16.5pt;width:38.7pt;z-index:251703296;mso-width-relative:page;mso-height-relative:page;" filled="f" stroked="f" coordsize="21600,21600" o:gfxdata="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BCpxwN1wAAAAgBAAAPAAAAAAAAAAEAIAAAACIAAABkcnMvZG93bnJldi54bWxQSwEC&#10;FAAUAAAACACHTuJACjJnobwBAAB1AwAADgAAAAAAAAABACAAAAAmAQAAZHJzL2Uyb0RvYy54bWxQ&#10;SwUGAAAAAAYABgBZAQAAVAUAAAAA&#10;">
                      <v:fill on="f" focussize="0,0"/>
                      <v:stroke on="f"/>
                      <v:imagedata o:title=""/>
                      <o:lock v:ext="edit" aspectratio="f"/>
                      <v:textbox inset="0mm,0mm,0mm,0mm">
                        <w:txbxContent>
                          <w:p w14:paraId="1E65B66D">
                            <w:pPr>
                              <w:pStyle w:val="16"/>
                              <w:spacing w:before="20" w:line="222" w:lineRule="auto"/>
                              <w:ind w:right="1"/>
                              <w:jc w:val="right"/>
                              <w:rPr>
                                <w:rFonts w:hint="default" w:eastAsia="宋体"/>
                                <w:b w:val="0"/>
                                <w:bCs w:val="0"/>
                                <w:sz w:val="13"/>
                                <w:szCs w:val="13"/>
                                <w:lang w:val="en-US" w:eastAsia="zh-CN"/>
                              </w:rPr>
                            </w:pPr>
                            <w:r>
                              <w:rPr>
                                <w:rFonts w:hint="eastAsia"/>
                                <w:b w:val="0"/>
                                <w:bCs w:val="0"/>
                                <w:spacing w:val="-11"/>
                                <w:w w:val="95"/>
                                <w:sz w:val="21"/>
                                <w:szCs w:val="21"/>
                                <w:lang w:val="en-US" w:eastAsia="zh-CN"/>
                              </w:rPr>
                              <w:t>机械搅拌</w:t>
                            </w:r>
                          </w:p>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702272" behindDoc="0" locked="0" layoutInCell="1" allowOverlap="1">
                      <wp:simplePos x="0" y="0"/>
                      <wp:positionH relativeFrom="column">
                        <wp:posOffset>922020</wp:posOffset>
                      </wp:positionH>
                      <wp:positionV relativeFrom="paragraph">
                        <wp:posOffset>160020</wp:posOffset>
                      </wp:positionV>
                      <wp:extent cx="130810" cy="76200"/>
                      <wp:effectExtent l="4445" t="12700" r="17145" b="25400"/>
                      <wp:wrapNone/>
                      <wp:docPr id="163" name="右箭头 163"/>
                      <wp:cNvGraphicFramePr/>
                      <a:graphic xmlns:a="http://schemas.openxmlformats.org/drawingml/2006/main">
                        <a:graphicData uri="http://schemas.microsoft.com/office/word/2010/wordprocessingShape">
                          <wps:wsp>
                            <wps:cNvSpPr/>
                            <wps:spPr>
                              <a:xfrm>
                                <a:off x="0" y="0"/>
                                <a:ext cx="130810" cy="76200"/>
                              </a:xfrm>
                              <a:prstGeom prst="rightArrow">
                                <a:avLst>
                                  <a:gd name="adj1" fmla="val 50000"/>
                                  <a:gd name="adj2" fmla="val 42916"/>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shape id="_x0000_s1026" o:spid="_x0000_s1026" o:spt="13" type="#_x0000_t13" style="position:absolute;left:0pt;margin-left:72.6pt;margin-top:12.6pt;height:6pt;width:10.3pt;z-index:251702272;mso-width-relative:page;mso-height-relative:page;" fillcolor="#FFFFFF" filled="t" stroked="t" coordsize="21600,21600" o:gfxdata="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Bw7YFr2QAAAAkBAAAPAAAAAAAAAAEAIAAAACIAAABkcnMvZG93bnJldi54bWxQSwECFAAUAAAA&#10;CACHTuJA2odTyyYCAAB6BAAADgAAAAAAAAABACAAAAAoAQAAZHJzL2Uyb0RvYy54bWxQSwUGAAAA&#10;AAYABgBZAQAAwAUAAAAA&#10;" adj="16201,5400">
                      <v:fill on="t" focussize="0,0"/>
                      <v:stroke color="#000000" joinstyle="miter"/>
                      <v:imagedata o:title=""/>
                      <o:lock v:ext="edit" aspectratio="f"/>
                    </v:shape>
                  </w:pict>
                </mc:Fallback>
              </mc:AlternateContent>
            </w:r>
            <w:r>
              <w:rPr>
                <w:color w:val="000000" w:themeColor="text1"/>
                <w:sz w:val="21"/>
                <w14:textFill>
                  <w14:solidFill>
                    <w14:schemeClr w14:val="tx1"/>
                  </w14:solidFill>
                </w14:textFill>
              </w:rPr>
              <mc:AlternateContent>
                <mc:Choice Requires="wps">
                  <w:drawing>
                    <wp:anchor distT="0" distB="0" distL="114300" distR="114300" simplePos="0" relativeHeight="251782144" behindDoc="0" locked="0" layoutInCell="1" allowOverlap="1">
                      <wp:simplePos x="0" y="0"/>
                      <wp:positionH relativeFrom="column">
                        <wp:posOffset>2726690</wp:posOffset>
                      </wp:positionH>
                      <wp:positionV relativeFrom="paragraph">
                        <wp:posOffset>186055</wp:posOffset>
                      </wp:positionV>
                      <wp:extent cx="3810" cy="1429385"/>
                      <wp:effectExtent l="48895" t="0" r="61595" b="18415"/>
                      <wp:wrapNone/>
                      <wp:docPr id="278" name="直接连接符 278"/>
                      <wp:cNvGraphicFramePr/>
                      <a:graphic xmlns:a="http://schemas.openxmlformats.org/drawingml/2006/main">
                        <a:graphicData uri="http://schemas.microsoft.com/office/word/2010/wordprocessingShape">
                          <wps:wsp>
                            <wps:cNvCnPr/>
                            <wps:spPr>
                              <a:xfrm flipH="1" flipV="1">
                                <a:off x="0" y="0"/>
                                <a:ext cx="3810" cy="1429385"/>
                              </a:xfrm>
                              <a:prstGeom prst="line">
                                <a:avLst/>
                              </a:prstGeom>
                              <a:ln w="9525" cap="flat" cmpd="sng">
                                <a:solidFill>
                                  <a:srgbClr val="000000"/>
                                </a:solidFill>
                                <a:prstDash val="solid"/>
                                <a:miter/>
                                <a:headEnd type="none" w="med" len="med"/>
                                <a:tailEnd type="arrow" w="med" len="med"/>
                              </a:ln>
                            </wps:spPr>
                            <wps:bodyPr upright="1"/>
                          </wps:wsp>
                        </a:graphicData>
                      </a:graphic>
                    </wp:anchor>
                  </w:drawing>
                </mc:Choice>
                <mc:Fallback>
                  <w:pict>
                    <v:line id="_x0000_s1026" o:spid="_x0000_s1026" o:spt="20" style="position:absolute;left:0pt;flip:x y;margin-left:214.7pt;margin-top:14.65pt;height:112.55pt;width:0.3pt;z-index:251782144;mso-width-relative:page;mso-height-relative:page;" filled="f" stroked="t" coordsize="21600,21600" o:gfxdata="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BQOj2XYAAAACgEAAA8AAAAAAAAA&#10;AQAgAAAAIgAAAGRycy9kb3ducmV2LnhtbFBLAQIUABQAAAAIAIdO4kDN0aAdEQIAAAoEAAAOAAAA&#10;AAAAAAEAIAAAACcBAABkcnMvZTJvRG9jLnhtbFBLBQYAAAAABgAGAFkBAACqBQAAAAA=&#10;">
                      <v:fill on="f" focussize="0,0"/>
                      <v:stroke color="#000000" joinstyle="miter" endarrow="open"/>
                      <v:imagedata o:title=""/>
                      <o:lock v:ext="edit" aspectratio="f"/>
                    </v:line>
                  </w:pict>
                </mc:Fallback>
              </mc:AlternateContent>
            </w:r>
            <w:r>
              <w:rPr>
                <w:color w:val="000000" w:themeColor="text1"/>
                <w:sz w:val="21"/>
                <w14:textFill>
                  <w14:solidFill>
                    <w14:schemeClr w14:val="tx1"/>
                  </w14:solidFill>
                </w14:textFill>
              </w:rPr>
              <mc:AlternateContent>
                <mc:Choice Requires="wps">
                  <w:drawing>
                    <wp:anchor distT="0" distB="0" distL="114300" distR="114300" simplePos="0" relativeHeight="251781120" behindDoc="0" locked="0" layoutInCell="1" allowOverlap="1">
                      <wp:simplePos x="0" y="0"/>
                      <wp:positionH relativeFrom="column">
                        <wp:posOffset>1921510</wp:posOffset>
                      </wp:positionH>
                      <wp:positionV relativeFrom="paragraph">
                        <wp:posOffset>188595</wp:posOffset>
                      </wp:positionV>
                      <wp:extent cx="814070" cy="3175"/>
                      <wp:effectExtent l="0" t="48895" r="5080" b="62230"/>
                      <wp:wrapNone/>
                      <wp:docPr id="277" name="直接连接符 277"/>
                      <wp:cNvGraphicFramePr/>
                      <a:graphic xmlns:a="http://schemas.openxmlformats.org/drawingml/2006/main">
                        <a:graphicData uri="http://schemas.microsoft.com/office/word/2010/wordprocessingShape">
                          <wps:wsp>
                            <wps:cNvCnPr/>
                            <wps:spPr>
                              <a:xfrm flipH="1" flipV="1">
                                <a:off x="0" y="0"/>
                                <a:ext cx="814070" cy="3175"/>
                              </a:xfrm>
                              <a:prstGeom prst="line">
                                <a:avLst/>
                              </a:prstGeom>
                              <a:ln w="9525" cap="flat" cmpd="sng">
                                <a:solidFill>
                                  <a:srgbClr val="000000"/>
                                </a:solidFill>
                                <a:prstDash val="solid"/>
                                <a:miter/>
                                <a:headEnd type="none" w="med" len="med"/>
                                <a:tailEnd type="arrow" w="med" len="med"/>
                              </a:ln>
                            </wps:spPr>
                            <wps:bodyPr upright="1"/>
                          </wps:wsp>
                        </a:graphicData>
                      </a:graphic>
                    </wp:anchor>
                  </w:drawing>
                </mc:Choice>
                <mc:Fallback>
                  <w:pict>
                    <v:line id="_x0000_s1026" o:spid="_x0000_s1026" o:spt="20" style="position:absolute;left:0pt;flip:x y;margin-left:151.3pt;margin-top:14.85pt;height:0.25pt;width:64.1pt;z-index:251781120;mso-width-relative:page;mso-height-relative:page;" filled="f" stroked="t" coordsize="21600,21600" o:gfxdata="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Kx4ZELWAAAACQEAAA8AAAAAAAAAAQAg&#10;AAAAIgAAAGRycy9kb3ducmV2LnhtbFBLAQIUABQAAAAIAIdO4kDd3cbHEAIAAAkEAAAOAAAAAAAA&#10;AAEAIAAAACUBAABkcnMvZTJvRG9jLnhtbFBLBQYAAAAABgAGAFkBAACnBQAAAAA=&#10;">
                      <v:fill on="f" focussize="0,0"/>
                      <v:stroke color="#000000" joinstyle="miter" endarrow="open"/>
                      <v:imagedata o:title=""/>
                      <o:lock v:ext="edit" aspectratio="f"/>
                    </v:lin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698176" behindDoc="0" locked="0" layoutInCell="1" allowOverlap="1">
                      <wp:simplePos x="0" y="0"/>
                      <wp:positionH relativeFrom="column">
                        <wp:posOffset>1055370</wp:posOffset>
                      </wp:positionH>
                      <wp:positionV relativeFrom="paragraph">
                        <wp:posOffset>53340</wp:posOffset>
                      </wp:positionV>
                      <wp:extent cx="864235" cy="266065"/>
                      <wp:effectExtent l="4445" t="5080" r="7620" b="14605"/>
                      <wp:wrapNone/>
                      <wp:docPr id="257" name="文本框 257"/>
                      <wp:cNvGraphicFramePr/>
                      <a:graphic xmlns:a="http://schemas.openxmlformats.org/drawingml/2006/main">
                        <a:graphicData uri="http://schemas.microsoft.com/office/word/2010/wordprocessingShape">
                          <wps:wsp>
                            <wps:cNvSpPr txBox="1"/>
                            <wps:spPr>
                              <a:xfrm>
                                <a:off x="0" y="0"/>
                                <a:ext cx="864235" cy="26606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1034F52">
                                  <w:pPr>
                                    <w:rPr>
                                      <w:rFonts w:hint="default" w:eastAsia="宋体"/>
                                      <w:sz w:val="21"/>
                                      <w:szCs w:val="21"/>
                                      <w:lang w:val="en-US" w:eastAsia="zh-CN"/>
                                    </w:rPr>
                                  </w:pPr>
                                  <w:r>
                                    <w:rPr>
                                      <w:rFonts w:hint="eastAsia"/>
                                      <w:sz w:val="21"/>
                                      <w:szCs w:val="21"/>
                                      <w:lang w:val="en-US" w:eastAsia="zh-CN"/>
                                    </w:rPr>
                                    <w:t>综合调节池</w:t>
                                  </w:r>
                                </w:p>
                              </w:txbxContent>
                            </wps:txbx>
                            <wps:bodyPr upright="1"/>
                          </wps:wsp>
                        </a:graphicData>
                      </a:graphic>
                    </wp:anchor>
                  </w:drawing>
                </mc:Choice>
                <mc:Fallback>
                  <w:pict>
                    <v:shape id="_x0000_s1026" o:spid="_x0000_s1026" o:spt="202" type="#_x0000_t202" style="position:absolute;left:0pt;margin-left:83.1pt;margin-top:4.2pt;height:20.95pt;width:68.05pt;z-index:251698176;mso-width-relative:page;mso-height-relative:page;" fillcolor="#FFFFFF" filled="t" stroked="t" coordsize="21600,21600" o:gfxdata="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Dw0xKNYAAAAIAQAADwAAAAAAAAABACAAAAAi&#10;AAAAZHJzL2Rvd25yZXYueG1sUEsBAhQAFAAAAAgAh07iQDgR9tEMAgAAOQQAAA4AAAAAAAAAAQAg&#10;AAAAJQEAAGRycy9lMm9Eb2MueG1sUEsFBgAAAAAGAAYAWQEAAKMFAAAAAA==&#10;">
                      <v:fill on="t" focussize="0,0"/>
                      <v:stroke color="#000000" joinstyle="miter"/>
                      <v:imagedata o:title=""/>
                      <o:lock v:ext="edit" aspectratio="f"/>
                      <v:textbox>
                        <w:txbxContent>
                          <w:p w14:paraId="41034F52">
                            <w:pPr>
                              <w:rPr>
                                <w:rFonts w:hint="default" w:eastAsia="宋体"/>
                                <w:sz w:val="21"/>
                                <w:szCs w:val="21"/>
                                <w:lang w:val="en-US" w:eastAsia="zh-CN"/>
                              </w:rPr>
                            </w:pPr>
                            <w:r>
                              <w:rPr>
                                <w:rFonts w:hint="eastAsia"/>
                                <w:sz w:val="21"/>
                                <w:szCs w:val="21"/>
                                <w:lang w:val="en-US" w:eastAsia="zh-CN"/>
                              </w:rPr>
                              <w:t>综合调节池</w:t>
                            </w:r>
                          </w:p>
                        </w:txbxContent>
                      </v:textbox>
                    </v:shape>
                  </w:pict>
                </mc:Fallback>
              </mc:AlternateContent>
            </w:r>
          </w:p>
          <w:p w14:paraId="1A2E3801">
            <w:pPr>
              <w:keepNext w:val="0"/>
              <w:keepLines w:val="0"/>
              <w:pageBreakBefore w:val="0"/>
              <w:widowControl w:val="0"/>
              <w:shd w:val="clear"/>
              <w:kinsoku/>
              <w:wordWrap/>
              <w:overflowPunct/>
              <w:topLinePunct w:val="0"/>
              <w:autoSpaceDE w:val="0"/>
              <w:autoSpaceDN w:val="0"/>
              <w:bidi w:val="0"/>
              <w:adjustRightInd/>
              <w:snapToGrid/>
              <w:spacing w:line="360" w:lineRule="auto"/>
              <w:ind w:firstLine="480" w:firstLineChars="200"/>
              <w:jc w:val="center"/>
              <w:textAlignment w:val="auto"/>
              <w:rPr>
                <w:rFonts w:hint="default" w:ascii="Times New Roman" w:hAnsi="Times New Roman" w:eastAsia="宋体" w:cs="Times New Roman"/>
                <w:b/>
                <w:bCs/>
                <w:color w:val="000000" w:themeColor="text1"/>
                <w:lang w:val="en-US" w:eastAsia="zh-CN"/>
                <w14:textFill>
                  <w14:solidFill>
                    <w14:schemeClr w14:val="tx1"/>
                  </w14:solidFill>
                </w14:textFill>
              </w:rPr>
            </w:pPr>
            <w:r>
              <w:rPr>
                <w:color w:val="000000" w:themeColor="text1"/>
                <w:sz w:val="24"/>
                <w14:textFill>
                  <w14:solidFill>
                    <w14:schemeClr w14:val="tx1"/>
                  </w14:solidFill>
                </w14:textFill>
              </w:rPr>
              <mc:AlternateContent>
                <mc:Choice Requires="wps">
                  <w:drawing>
                    <wp:anchor distT="0" distB="0" distL="114300" distR="114300" simplePos="0" relativeHeight="251704320" behindDoc="0" locked="0" layoutInCell="1" allowOverlap="1">
                      <wp:simplePos x="0" y="0"/>
                      <wp:positionH relativeFrom="column">
                        <wp:posOffset>1391285</wp:posOffset>
                      </wp:positionH>
                      <wp:positionV relativeFrom="paragraph">
                        <wp:posOffset>95250</wp:posOffset>
                      </wp:positionV>
                      <wp:extent cx="178435" cy="184150"/>
                      <wp:effectExtent l="19685" t="4445" r="30480" b="20955"/>
                      <wp:wrapNone/>
                      <wp:docPr id="158" name="下箭头 158"/>
                      <wp:cNvGraphicFramePr/>
                      <a:graphic xmlns:a="http://schemas.openxmlformats.org/drawingml/2006/main">
                        <a:graphicData uri="http://schemas.microsoft.com/office/word/2010/wordprocessingShape">
                          <wps:wsp>
                            <wps:cNvSpPr/>
                            <wps:spPr>
                              <a:xfrm>
                                <a:off x="0" y="0"/>
                                <a:ext cx="178435" cy="184150"/>
                              </a:xfrm>
                              <a:prstGeom prst="downArrow">
                                <a:avLst>
                                  <a:gd name="adj1" fmla="val 50000"/>
                                  <a:gd name="adj2" fmla="val 25800"/>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shape id="_x0000_s1026" o:spid="_x0000_s1026" o:spt="67" type="#_x0000_t67" style="position:absolute;left:0pt;margin-left:109.55pt;margin-top:7.5pt;height:14.5pt;width:14.05pt;z-index:251704320;mso-width-relative:page;mso-height-relative:page;" fillcolor="#FFFFFF" filled="t" stroked="t" coordsize="21600,21600" o:gfxdata="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jtl8+doAAAAJAQAADwAAAAAAAAABACAAAAAiAAAAZHJzL2Rvd25yZXYueG1sUEsBAhQA&#10;FAAAAAgAh07iQCA3RhMpAgAAegQAAA4AAAAAAAAAAQAgAAAAKQEAAGRycy9lMm9Eb2MueG1sUEsF&#10;BgAAAAAGAAYAWQEAAMQFAAAAAA==&#10;" adj="16201,5400">
                      <v:fill on="t" focussize="0,0"/>
                      <v:stroke color="#000000" joinstyle="miter"/>
                      <v:imagedata o:title=""/>
                      <o:lock v:ext="edit" aspectratio="f"/>
                    </v:shape>
                  </w:pict>
                </mc:Fallback>
              </mc:AlternateContent>
            </w:r>
          </w:p>
          <w:p w14:paraId="4900CFD7">
            <w:pPr>
              <w:keepNext w:val="0"/>
              <w:keepLines w:val="0"/>
              <w:pageBreakBefore w:val="0"/>
              <w:widowControl w:val="0"/>
              <w:shd w:val="clear"/>
              <w:kinsoku/>
              <w:wordWrap/>
              <w:overflowPunct/>
              <w:topLinePunct w:val="0"/>
              <w:autoSpaceDE w:val="0"/>
              <w:autoSpaceDN w:val="0"/>
              <w:bidi w:val="0"/>
              <w:adjustRightInd/>
              <w:snapToGrid/>
              <w:spacing w:line="360" w:lineRule="auto"/>
              <w:ind w:firstLine="420" w:firstLineChars="200"/>
              <w:jc w:val="center"/>
              <w:textAlignment w:val="auto"/>
              <w:rPr>
                <w:rFonts w:hint="default" w:ascii="Times New Roman" w:hAnsi="Times New Roman" w:eastAsia="宋体" w:cs="Times New Roman"/>
                <w:b/>
                <w:bCs/>
                <w:color w:val="000000" w:themeColor="text1"/>
                <w:lang w:val="en-US" w:eastAsia="zh-CN"/>
                <w14:textFill>
                  <w14:solidFill>
                    <w14:schemeClr w14:val="tx1"/>
                  </w14:solidFill>
                </w14:textFill>
              </w:rPr>
            </w:pPr>
            <w:r>
              <w:rPr>
                <w:color w:val="000000" w:themeColor="text1"/>
                <w14:textFill>
                  <w14:solidFill>
                    <w14:schemeClr w14:val="tx1"/>
                  </w14:solidFill>
                </w14:textFill>
              </w:rPr>
              <mc:AlternateContent>
                <mc:Choice Requires="wps">
                  <w:drawing>
                    <wp:anchor distT="0" distB="0" distL="114300" distR="114300" simplePos="0" relativeHeight="251753472" behindDoc="0" locked="0" layoutInCell="1" allowOverlap="1">
                      <wp:simplePos x="0" y="0"/>
                      <wp:positionH relativeFrom="column">
                        <wp:posOffset>3288030</wp:posOffset>
                      </wp:positionH>
                      <wp:positionV relativeFrom="paragraph">
                        <wp:posOffset>78105</wp:posOffset>
                      </wp:positionV>
                      <wp:extent cx="624205" cy="204470"/>
                      <wp:effectExtent l="0" t="0" r="0" b="0"/>
                      <wp:wrapNone/>
                      <wp:docPr id="214" name="文本框 214"/>
                      <wp:cNvGraphicFramePr/>
                      <a:graphic xmlns:a="http://schemas.openxmlformats.org/drawingml/2006/main">
                        <a:graphicData uri="http://schemas.microsoft.com/office/word/2010/wordprocessingShape">
                          <wps:wsp>
                            <wps:cNvSpPr txBox="1"/>
                            <wps:spPr>
                              <a:xfrm>
                                <a:off x="0" y="0"/>
                                <a:ext cx="624205" cy="204470"/>
                              </a:xfrm>
                              <a:prstGeom prst="rect">
                                <a:avLst/>
                              </a:prstGeom>
                              <a:noFill/>
                              <a:ln>
                                <a:noFill/>
                              </a:ln>
                            </wps:spPr>
                            <wps:txbx>
                              <w:txbxContent>
                                <w:p w14:paraId="11C8C0C7">
                                  <w:pPr>
                                    <w:pStyle w:val="16"/>
                                    <w:spacing w:before="20" w:line="222" w:lineRule="auto"/>
                                    <w:ind w:right="1"/>
                                    <w:jc w:val="right"/>
                                    <w:rPr>
                                      <w:rFonts w:hint="default" w:eastAsia="宋体"/>
                                      <w:b w:val="0"/>
                                      <w:bCs w:val="0"/>
                                      <w:sz w:val="13"/>
                                      <w:szCs w:val="13"/>
                                      <w:lang w:val="en-US" w:eastAsia="zh-CN"/>
                                    </w:rPr>
                                  </w:pPr>
                                  <w:r>
                                    <w:rPr>
                                      <w:rFonts w:hint="eastAsia"/>
                                      <w:b w:val="0"/>
                                      <w:bCs w:val="0"/>
                                      <w:spacing w:val="-11"/>
                                      <w:w w:val="95"/>
                                      <w:sz w:val="21"/>
                                      <w:szCs w:val="21"/>
                                      <w:lang w:val="en-US" w:eastAsia="zh-CN"/>
                                    </w:rPr>
                                    <w:t>机械搅拌</w:t>
                                  </w:r>
                                </w:p>
                              </w:txbxContent>
                            </wps:txbx>
                            <wps:bodyPr lIns="0" tIns="0" rIns="0" bIns="0" upright="1"/>
                          </wps:wsp>
                        </a:graphicData>
                      </a:graphic>
                    </wp:anchor>
                  </w:drawing>
                </mc:Choice>
                <mc:Fallback>
                  <w:pict>
                    <v:shape id="_x0000_s1026" o:spid="_x0000_s1026" o:spt="202" type="#_x0000_t202" style="position:absolute;left:0pt;margin-left:258.9pt;margin-top:6.15pt;height:16.1pt;width:49.15pt;z-index:251753472;mso-width-relative:page;mso-height-relative:page;" filled="f" stroked="f" coordsize="21600,21600" o:gfxdata="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FXcL7YAAAACQEAAA8AAAAAAAAAAQAgAAAAIgAAAGRycy9kb3ducmV2LnhtbFBL&#10;AQIUABQAAAAIAIdO4kAyi6JrvQEAAHUDAAAOAAAAAAAAAAEAIAAAACcBAABkcnMvZTJvRG9jLnht&#10;bFBLBQYAAAAABgAGAFkBAABWBQAAAAA=&#10;">
                      <v:fill on="f" focussize="0,0"/>
                      <v:stroke on="f"/>
                      <v:imagedata o:title=""/>
                      <o:lock v:ext="edit" aspectratio="f"/>
                      <v:textbox inset="0mm,0mm,0mm,0mm">
                        <w:txbxContent>
                          <w:p w14:paraId="11C8C0C7">
                            <w:pPr>
                              <w:pStyle w:val="16"/>
                              <w:spacing w:before="20" w:line="222" w:lineRule="auto"/>
                              <w:ind w:right="1"/>
                              <w:jc w:val="right"/>
                              <w:rPr>
                                <w:rFonts w:hint="default" w:eastAsia="宋体"/>
                                <w:b w:val="0"/>
                                <w:bCs w:val="0"/>
                                <w:sz w:val="13"/>
                                <w:szCs w:val="13"/>
                                <w:lang w:val="en-US" w:eastAsia="zh-CN"/>
                              </w:rPr>
                            </w:pPr>
                            <w:r>
                              <w:rPr>
                                <w:rFonts w:hint="eastAsia"/>
                                <w:b w:val="0"/>
                                <w:bCs w:val="0"/>
                                <w:spacing w:val="-11"/>
                                <w:w w:val="95"/>
                                <w:sz w:val="21"/>
                                <w:szCs w:val="21"/>
                                <w:lang w:val="en-US" w:eastAsia="zh-CN"/>
                              </w:rPr>
                              <w:t>机械搅拌</w:t>
                            </w:r>
                          </w:p>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757568" behindDoc="0" locked="0" layoutInCell="1" allowOverlap="1">
                      <wp:simplePos x="0" y="0"/>
                      <wp:positionH relativeFrom="column">
                        <wp:posOffset>3921125</wp:posOffset>
                      </wp:positionH>
                      <wp:positionV relativeFrom="paragraph">
                        <wp:posOffset>149225</wp:posOffset>
                      </wp:positionV>
                      <wp:extent cx="130810" cy="76200"/>
                      <wp:effectExtent l="4445" t="12700" r="17145" b="25400"/>
                      <wp:wrapNone/>
                      <wp:docPr id="220" name="右箭头 220"/>
                      <wp:cNvGraphicFramePr/>
                      <a:graphic xmlns:a="http://schemas.openxmlformats.org/drawingml/2006/main">
                        <a:graphicData uri="http://schemas.microsoft.com/office/word/2010/wordprocessingShape">
                          <wps:wsp>
                            <wps:cNvSpPr/>
                            <wps:spPr>
                              <a:xfrm>
                                <a:off x="0" y="0"/>
                                <a:ext cx="130810" cy="76200"/>
                              </a:xfrm>
                              <a:prstGeom prst="rightArrow">
                                <a:avLst>
                                  <a:gd name="adj1" fmla="val 50000"/>
                                  <a:gd name="adj2" fmla="val 42916"/>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shape id="_x0000_s1026" o:spid="_x0000_s1026" o:spt="13" type="#_x0000_t13" style="position:absolute;left:0pt;margin-left:308.75pt;margin-top:11.75pt;height:6pt;width:10.3pt;z-index:251757568;mso-width-relative:page;mso-height-relative:page;" fillcolor="#FFFFFF" filled="t" stroked="t" coordsize="21600,21600" o:gfxdata="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ikmO8NsAAAAJAQAADwAAAAAAAAABACAAAAAiAAAAZHJzL2Rvd25yZXYueG1sUEsBAhQAFAAA&#10;AAgAh07iQBZ6kT0lAgAAegQAAA4AAAAAAAAAAQAgAAAAKgEAAGRycy9lMm9Eb2MueG1sUEsFBgAA&#10;AAAGAAYAWQEAAMEFAAAAAA==&#10;" adj="16201,5400">
                      <v:fill on="t" focussize="0,0"/>
                      <v:stroke color="#000000" joinstyle="miter"/>
                      <v:imagedata o:title=""/>
                      <o:lock v:ext="edit" aspectratio="f"/>
                    </v:shape>
                  </w:pict>
                </mc:Fallback>
              </mc:AlternateContent>
            </w:r>
            <w:r>
              <w:rPr>
                <w:color w:val="000000" w:themeColor="text1"/>
                <w14:textFill>
                  <w14:solidFill>
                    <w14:schemeClr w14:val="tx1"/>
                  </w14:solidFill>
                </w14:textFill>
              </w:rPr>
              <mc:AlternateContent>
                <mc:Choice Requires="wps">
                  <w:drawing>
                    <wp:anchor distT="0" distB="0" distL="114300" distR="114300" simplePos="0" relativeHeight="251788288" behindDoc="0" locked="0" layoutInCell="1" allowOverlap="1">
                      <wp:simplePos x="0" y="0"/>
                      <wp:positionH relativeFrom="column">
                        <wp:posOffset>429260</wp:posOffset>
                      </wp:positionH>
                      <wp:positionV relativeFrom="paragraph">
                        <wp:posOffset>88900</wp:posOffset>
                      </wp:positionV>
                      <wp:extent cx="491490" cy="209550"/>
                      <wp:effectExtent l="0" t="0" r="0" b="0"/>
                      <wp:wrapNone/>
                      <wp:docPr id="286" name="文本框 286"/>
                      <wp:cNvGraphicFramePr/>
                      <a:graphic xmlns:a="http://schemas.openxmlformats.org/drawingml/2006/main">
                        <a:graphicData uri="http://schemas.microsoft.com/office/word/2010/wordprocessingShape">
                          <wps:wsp>
                            <wps:cNvSpPr txBox="1"/>
                            <wps:spPr>
                              <a:xfrm>
                                <a:off x="0" y="0"/>
                                <a:ext cx="491490" cy="209550"/>
                              </a:xfrm>
                              <a:prstGeom prst="rect">
                                <a:avLst/>
                              </a:prstGeom>
                              <a:noFill/>
                              <a:ln>
                                <a:noFill/>
                              </a:ln>
                            </wps:spPr>
                            <wps:txbx>
                              <w:txbxContent>
                                <w:p w14:paraId="3E83246D">
                                  <w:pPr>
                                    <w:pStyle w:val="16"/>
                                    <w:spacing w:before="20" w:line="222" w:lineRule="auto"/>
                                    <w:ind w:right="1"/>
                                    <w:jc w:val="right"/>
                                    <w:rPr>
                                      <w:rFonts w:hint="default" w:eastAsia="宋体"/>
                                      <w:b w:val="0"/>
                                      <w:bCs w:val="0"/>
                                      <w:sz w:val="21"/>
                                      <w:szCs w:val="21"/>
                                      <w:lang w:val="en-US" w:eastAsia="zh-CN"/>
                                    </w:rPr>
                                  </w:pPr>
                                  <w:r>
                                    <w:rPr>
                                      <w:rFonts w:hint="eastAsia"/>
                                      <w:b w:val="0"/>
                                      <w:bCs w:val="0"/>
                                      <w:spacing w:val="-11"/>
                                      <w:w w:val="95"/>
                                      <w:sz w:val="21"/>
                                      <w:szCs w:val="21"/>
                                      <w:lang w:val="en-US" w:eastAsia="zh-CN"/>
                                    </w:rPr>
                                    <w:t>机械搅拌</w:t>
                                  </w:r>
                                </w:p>
                              </w:txbxContent>
                            </wps:txbx>
                            <wps:bodyPr lIns="0" tIns="0" rIns="0" bIns="0" upright="1"/>
                          </wps:wsp>
                        </a:graphicData>
                      </a:graphic>
                    </wp:anchor>
                  </w:drawing>
                </mc:Choice>
                <mc:Fallback>
                  <w:pict>
                    <v:shape id="_x0000_s1026" o:spid="_x0000_s1026" o:spt="202" type="#_x0000_t202" style="position:absolute;left:0pt;margin-left:33.8pt;margin-top:7pt;height:16.5pt;width:38.7pt;z-index:251788288;mso-width-relative:page;mso-height-relative:page;" filled="f" stroked="f" coordsize="21600,21600" o:gfxdata="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AMoLBJ1gAAAAgBAAAPAAAAAAAAAAEAIAAAACIAAABkcnMvZG93bnJldi54bWxQSwEC&#10;FAAUAAAACACHTuJADiF9VL0BAAB1AwAADgAAAAAAAAABACAAAAAlAQAAZHJzL2Uyb0RvYy54bWxQ&#10;SwUGAAAAAAYABgBZAQAAVAUAAAAA&#10;">
                      <v:fill on="f" focussize="0,0"/>
                      <v:stroke on="f"/>
                      <v:imagedata o:title=""/>
                      <o:lock v:ext="edit" aspectratio="f"/>
                      <v:textbox inset="0mm,0mm,0mm,0mm">
                        <w:txbxContent>
                          <w:p w14:paraId="3E83246D">
                            <w:pPr>
                              <w:pStyle w:val="16"/>
                              <w:spacing w:before="20" w:line="222" w:lineRule="auto"/>
                              <w:ind w:right="1"/>
                              <w:jc w:val="right"/>
                              <w:rPr>
                                <w:rFonts w:hint="default" w:eastAsia="宋体"/>
                                <w:b w:val="0"/>
                                <w:bCs w:val="0"/>
                                <w:sz w:val="21"/>
                                <w:szCs w:val="21"/>
                                <w:lang w:val="en-US" w:eastAsia="zh-CN"/>
                              </w:rPr>
                            </w:pPr>
                            <w:r>
                              <w:rPr>
                                <w:rFonts w:hint="eastAsia"/>
                                <w:b w:val="0"/>
                                <w:bCs w:val="0"/>
                                <w:spacing w:val="-11"/>
                                <w:w w:val="95"/>
                                <w:sz w:val="21"/>
                                <w:szCs w:val="21"/>
                                <w:lang w:val="en-US" w:eastAsia="zh-CN"/>
                              </w:rPr>
                              <w:t>机械搅拌</w:t>
                            </w:r>
                          </w:p>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708416" behindDoc="0" locked="0" layoutInCell="1" allowOverlap="1">
                      <wp:simplePos x="0" y="0"/>
                      <wp:positionH relativeFrom="column">
                        <wp:posOffset>920750</wp:posOffset>
                      </wp:positionH>
                      <wp:positionV relativeFrom="paragraph">
                        <wp:posOffset>149860</wp:posOffset>
                      </wp:positionV>
                      <wp:extent cx="130810" cy="76200"/>
                      <wp:effectExtent l="4445" t="12700" r="17145" b="25400"/>
                      <wp:wrapNone/>
                      <wp:docPr id="157" name="右箭头 157"/>
                      <wp:cNvGraphicFramePr/>
                      <a:graphic xmlns:a="http://schemas.openxmlformats.org/drawingml/2006/main">
                        <a:graphicData uri="http://schemas.microsoft.com/office/word/2010/wordprocessingShape">
                          <wps:wsp>
                            <wps:cNvSpPr/>
                            <wps:spPr>
                              <a:xfrm>
                                <a:off x="0" y="0"/>
                                <a:ext cx="130810" cy="76200"/>
                              </a:xfrm>
                              <a:prstGeom prst="rightArrow">
                                <a:avLst>
                                  <a:gd name="adj1" fmla="val 50000"/>
                                  <a:gd name="adj2" fmla="val 42916"/>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shape id="_x0000_s1026" o:spid="_x0000_s1026" o:spt="13" type="#_x0000_t13" style="position:absolute;left:0pt;margin-left:72.5pt;margin-top:11.8pt;height:6pt;width:10.3pt;z-index:251708416;mso-width-relative:page;mso-height-relative:page;" fillcolor="#FFFFFF" filled="t" stroked="t" coordsize="21600,21600" o:gfxdata="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wEs+7toAAAAJAQAADwAAAAAAAAABACAAAAAiAAAAZHJzL2Rvd25yZXYueG1sUEsBAhQAFAAA&#10;AAgAh07iQOaTIX4mAgAAegQAAA4AAAAAAAAAAQAgAAAAKQEAAGRycy9lMm9Eb2MueG1sUEsFBgAA&#10;AAAGAAYAWQEAAMEFAAAAAA==&#10;" adj="16201,5400">
                      <v:fill on="t" focussize="0,0"/>
                      <v:stroke color="#000000" joinstyle="miter"/>
                      <v:imagedata o:title=""/>
                      <o:lock v:ext="edit" aspectratio="f"/>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778048" behindDoc="0" locked="0" layoutInCell="1" allowOverlap="1">
                      <wp:simplePos x="0" y="0"/>
                      <wp:positionH relativeFrom="column">
                        <wp:posOffset>4069715</wp:posOffset>
                      </wp:positionH>
                      <wp:positionV relativeFrom="paragraph">
                        <wp:posOffset>59055</wp:posOffset>
                      </wp:positionV>
                      <wp:extent cx="807085" cy="266065"/>
                      <wp:effectExtent l="4445" t="5080" r="7620" b="14605"/>
                      <wp:wrapNone/>
                      <wp:docPr id="274" name="文本框 274"/>
                      <wp:cNvGraphicFramePr/>
                      <a:graphic xmlns:a="http://schemas.openxmlformats.org/drawingml/2006/main">
                        <a:graphicData uri="http://schemas.microsoft.com/office/word/2010/wordprocessingShape">
                          <wps:wsp>
                            <wps:cNvSpPr txBox="1"/>
                            <wps:spPr>
                              <a:xfrm>
                                <a:off x="0" y="0"/>
                                <a:ext cx="807085" cy="26606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9DC3EE0">
                                  <w:pPr>
                                    <w:jc w:val="center"/>
                                    <w:rPr>
                                      <w:rFonts w:hint="default" w:eastAsia="宋体"/>
                                      <w:sz w:val="21"/>
                                      <w:szCs w:val="21"/>
                                      <w:lang w:val="en-US" w:eastAsia="zh-CN"/>
                                    </w:rPr>
                                  </w:pPr>
                                  <w:r>
                                    <w:rPr>
                                      <w:rFonts w:hint="eastAsia"/>
                                      <w:sz w:val="21"/>
                                      <w:szCs w:val="21"/>
                                      <w:lang w:val="en-US" w:eastAsia="zh-CN"/>
                                    </w:rPr>
                                    <w:t>污泥池</w:t>
                                  </w:r>
                                </w:p>
                              </w:txbxContent>
                            </wps:txbx>
                            <wps:bodyPr upright="1"/>
                          </wps:wsp>
                        </a:graphicData>
                      </a:graphic>
                    </wp:anchor>
                  </w:drawing>
                </mc:Choice>
                <mc:Fallback>
                  <w:pict>
                    <v:shape id="_x0000_s1026" o:spid="_x0000_s1026" o:spt="202" type="#_x0000_t202" style="position:absolute;left:0pt;margin-left:320.45pt;margin-top:4.65pt;height:20.95pt;width:63.55pt;z-index:251778048;mso-width-relative:page;mso-height-relative:page;" fillcolor="#FFFFFF" filled="t" stroked="t" coordsize="21600,21600" o:gfxdata="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0RN7D2AAAAAgBAAAPAAAAAAAAAAEAIAAA&#10;ACIAAABkcnMvZG93bnJldi54bWxQSwECFAAUAAAACACHTuJAlc12DgwCAAA5BAAADgAAAAAAAAAB&#10;ACAAAAAnAQAAZHJzL2Uyb0RvYy54bWxQSwUGAAAAAAYABgBZAQAApQUAAAAA&#10;">
                      <v:fill on="t" focussize="0,0"/>
                      <v:stroke color="#000000" joinstyle="miter"/>
                      <v:imagedata o:title=""/>
                      <o:lock v:ext="edit" aspectratio="f"/>
                      <v:textbox>
                        <w:txbxContent>
                          <w:p w14:paraId="19DC3EE0">
                            <w:pPr>
                              <w:jc w:val="center"/>
                              <w:rPr>
                                <w:rFonts w:hint="default" w:eastAsia="宋体"/>
                                <w:sz w:val="21"/>
                                <w:szCs w:val="21"/>
                                <w:lang w:val="en-US" w:eastAsia="zh-CN"/>
                              </w:rPr>
                            </w:pPr>
                            <w:r>
                              <w:rPr>
                                <w:rFonts w:hint="eastAsia"/>
                                <w:sz w:val="21"/>
                                <w:szCs w:val="21"/>
                                <w:lang w:val="en-US" w:eastAsia="zh-CN"/>
                              </w:rPr>
                              <w:t>污泥池</w:t>
                            </w:r>
                          </w:p>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700224" behindDoc="0" locked="0" layoutInCell="1" allowOverlap="1">
                      <wp:simplePos x="0" y="0"/>
                      <wp:positionH relativeFrom="column">
                        <wp:posOffset>1062990</wp:posOffset>
                      </wp:positionH>
                      <wp:positionV relativeFrom="paragraph">
                        <wp:posOffset>50800</wp:posOffset>
                      </wp:positionV>
                      <wp:extent cx="859790" cy="266065"/>
                      <wp:effectExtent l="5080" t="4445" r="11430" b="15240"/>
                      <wp:wrapNone/>
                      <wp:docPr id="149" name="文本框 149"/>
                      <wp:cNvGraphicFramePr/>
                      <a:graphic xmlns:a="http://schemas.openxmlformats.org/drawingml/2006/main">
                        <a:graphicData uri="http://schemas.microsoft.com/office/word/2010/wordprocessingShape">
                          <wps:wsp>
                            <wps:cNvSpPr txBox="1"/>
                            <wps:spPr>
                              <a:xfrm>
                                <a:off x="0" y="0"/>
                                <a:ext cx="859790" cy="26606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0C252AE">
                                  <w:pPr>
                                    <w:rPr>
                                      <w:rFonts w:hint="default" w:eastAsia="宋体"/>
                                      <w:sz w:val="21"/>
                                      <w:szCs w:val="21"/>
                                      <w:lang w:val="en-US" w:eastAsia="zh-CN"/>
                                    </w:rPr>
                                  </w:pPr>
                                  <w:r>
                                    <w:rPr>
                                      <w:rFonts w:hint="eastAsia"/>
                                      <w:sz w:val="21"/>
                                      <w:szCs w:val="21"/>
                                      <w:lang w:val="en-US" w:eastAsia="zh-CN"/>
                                    </w:rPr>
                                    <w:t>水解酸化池</w:t>
                                  </w:r>
                                </w:p>
                              </w:txbxContent>
                            </wps:txbx>
                            <wps:bodyPr upright="1"/>
                          </wps:wsp>
                        </a:graphicData>
                      </a:graphic>
                    </wp:anchor>
                  </w:drawing>
                </mc:Choice>
                <mc:Fallback>
                  <w:pict>
                    <v:shape id="_x0000_s1026" o:spid="_x0000_s1026" o:spt="202" type="#_x0000_t202" style="position:absolute;left:0pt;margin-left:83.7pt;margin-top:4pt;height:20.95pt;width:67.7pt;z-index:251700224;mso-width-relative:page;mso-height-relative:page;" fillcolor="#FFFFFF" filled="t" stroked="t" coordsize="21600,21600" o:gfxdata="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20zUY1gAAAAgBAAAPAAAAAAAAAAEAIAAAACIA&#10;AABkcnMvZG93bnJldi54bWxQSwECFAAUAAAACACHTuJAnOWjqwsCAAA5BAAADgAAAAAAAAABACAA&#10;AAAlAQAAZHJzL2Uyb0RvYy54bWxQSwUGAAAAAAYABgBZAQAAogUAAAAA&#10;">
                      <v:fill on="t" focussize="0,0"/>
                      <v:stroke color="#000000" joinstyle="miter"/>
                      <v:imagedata o:title=""/>
                      <o:lock v:ext="edit" aspectratio="f"/>
                      <v:textbox>
                        <w:txbxContent>
                          <w:p w14:paraId="70C252AE">
                            <w:pPr>
                              <w:rPr>
                                <w:rFonts w:hint="default" w:eastAsia="宋体"/>
                                <w:sz w:val="21"/>
                                <w:szCs w:val="21"/>
                                <w:lang w:val="en-US" w:eastAsia="zh-CN"/>
                              </w:rPr>
                            </w:pPr>
                            <w:r>
                              <w:rPr>
                                <w:rFonts w:hint="eastAsia"/>
                                <w:sz w:val="21"/>
                                <w:szCs w:val="21"/>
                                <w:lang w:val="en-US" w:eastAsia="zh-CN"/>
                              </w:rPr>
                              <w:t>水解酸化池</w:t>
                            </w:r>
                          </w:p>
                        </w:txbxContent>
                      </v:textbox>
                    </v:shape>
                  </w:pict>
                </mc:Fallback>
              </mc:AlternateContent>
            </w:r>
          </w:p>
          <w:p w14:paraId="4DDBF344">
            <w:pPr>
              <w:keepNext w:val="0"/>
              <w:keepLines w:val="0"/>
              <w:pageBreakBefore w:val="0"/>
              <w:widowControl w:val="0"/>
              <w:shd w:val="clear"/>
              <w:kinsoku/>
              <w:wordWrap/>
              <w:overflowPunct/>
              <w:topLinePunct w:val="0"/>
              <w:autoSpaceDE w:val="0"/>
              <w:autoSpaceDN w:val="0"/>
              <w:bidi w:val="0"/>
              <w:adjustRightInd/>
              <w:snapToGrid/>
              <w:spacing w:line="360" w:lineRule="auto"/>
              <w:ind w:firstLine="480" w:firstLineChars="200"/>
              <w:jc w:val="center"/>
              <w:textAlignment w:val="auto"/>
              <w:rPr>
                <w:rFonts w:hint="default" w:ascii="Times New Roman" w:hAnsi="Times New Roman" w:eastAsia="宋体" w:cs="Times New Roman"/>
                <w:b/>
                <w:bCs/>
                <w:color w:val="000000" w:themeColor="text1"/>
                <w:lang w:val="en-US" w:eastAsia="zh-CN"/>
                <w14:textFill>
                  <w14:solidFill>
                    <w14:schemeClr w14:val="tx1"/>
                  </w14:solidFill>
                </w14:textFill>
              </w:rPr>
            </w:pPr>
            <w:r>
              <w:rPr>
                <w:color w:val="000000" w:themeColor="text1"/>
                <w:sz w:val="24"/>
                <w14:textFill>
                  <w14:solidFill>
                    <w14:schemeClr w14:val="tx1"/>
                  </w14:solidFill>
                </w14:textFill>
              </w:rPr>
              <mc:AlternateContent>
                <mc:Choice Requires="wps">
                  <w:drawing>
                    <wp:anchor distT="0" distB="0" distL="114300" distR="114300" simplePos="0" relativeHeight="251785216" behindDoc="0" locked="0" layoutInCell="1" allowOverlap="1">
                      <wp:simplePos x="0" y="0"/>
                      <wp:positionH relativeFrom="column">
                        <wp:posOffset>57785</wp:posOffset>
                      </wp:positionH>
                      <wp:positionV relativeFrom="paragraph">
                        <wp:posOffset>99060</wp:posOffset>
                      </wp:positionV>
                      <wp:extent cx="391795" cy="180340"/>
                      <wp:effectExtent l="6350" t="6350" r="20955" b="22860"/>
                      <wp:wrapNone/>
                      <wp:docPr id="283" name="矩形 283"/>
                      <wp:cNvGraphicFramePr/>
                      <a:graphic xmlns:a="http://schemas.openxmlformats.org/drawingml/2006/main">
                        <a:graphicData uri="http://schemas.microsoft.com/office/word/2010/wordprocessingShape">
                          <wps:wsp>
                            <wps:cNvSpPr/>
                            <wps:spPr>
                              <a:xfrm>
                                <a:off x="1477010" y="5266690"/>
                                <a:ext cx="391795" cy="180340"/>
                              </a:xfrm>
                              <a:prstGeom prst="rect">
                                <a:avLst/>
                              </a:prstGeom>
                              <a:solidFill>
                                <a:schemeClr val="bg1"/>
                              </a:solidFill>
                              <a:ln>
                                <a:solidFill>
                                  <a:schemeClr val="bg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55pt;margin-top:7.8pt;height:14.2pt;width:30.85pt;z-index:251785216;v-text-anchor:middle;mso-width-relative:page;mso-height-relative:page;" fillcolor="#FFFFFF [3212]" filled="t" stroked="t" coordsize="21600,21600" o:gfxdata="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&#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FeacmrVAAAABgEAAA8AAAAAAAAAAQAgAAAAIgAAAGRy&#10;cy9kb3ducmV2LnhtbFBLAQIUABQAAAAIAIdO4kAa8/V+egIAAAMFAAAOAAAAAAAAAAEAIAAAACQB&#10;AABkcnMvZTJvRG9jLnhtbFBLBQYAAAAABgAGAFkBAAAQBgAAAAA=&#10;">
                      <v:fill on="t" focussize="0,0"/>
                      <v:stroke weight="1pt" color="#FFFFFF [3212]" miterlimit="8" joinstyle="miter"/>
                      <v:imagedata o:title=""/>
                      <o:lock v:ext="edit" aspectratio="f"/>
                    </v:rect>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758592" behindDoc="0" locked="0" layoutInCell="1" allowOverlap="1">
                      <wp:simplePos x="0" y="0"/>
                      <wp:positionH relativeFrom="column">
                        <wp:posOffset>4391660</wp:posOffset>
                      </wp:positionH>
                      <wp:positionV relativeFrom="paragraph">
                        <wp:posOffset>90805</wp:posOffset>
                      </wp:positionV>
                      <wp:extent cx="178435" cy="184150"/>
                      <wp:effectExtent l="19685" t="4445" r="30480" b="20955"/>
                      <wp:wrapNone/>
                      <wp:docPr id="218" name="下箭头 218"/>
                      <wp:cNvGraphicFramePr/>
                      <a:graphic xmlns:a="http://schemas.openxmlformats.org/drawingml/2006/main">
                        <a:graphicData uri="http://schemas.microsoft.com/office/word/2010/wordprocessingShape">
                          <wps:wsp>
                            <wps:cNvSpPr/>
                            <wps:spPr>
                              <a:xfrm>
                                <a:off x="0" y="0"/>
                                <a:ext cx="178435" cy="184150"/>
                              </a:xfrm>
                              <a:prstGeom prst="downArrow">
                                <a:avLst>
                                  <a:gd name="adj1" fmla="val 50000"/>
                                  <a:gd name="adj2" fmla="val 25800"/>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shape id="_x0000_s1026" o:spid="_x0000_s1026" o:spt="67" type="#_x0000_t67" style="position:absolute;left:0pt;margin-left:345.8pt;margin-top:7.15pt;height:14.5pt;width:14.05pt;z-index:251758592;mso-width-relative:page;mso-height-relative:page;" fillcolor="#FFFFFF" filled="t" stroked="t" coordsize="21600,21600" o:gfxdata="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bNQvXdoAAAAJAQAADwAAAAAAAAABACAAAAAiAAAAZHJzL2Rvd25yZXYueG1sUEsBAhQA&#10;FAAAAAgAh07iQLM5nDwpAgAAegQAAA4AAAAAAAAAAQAgAAAAKQEAAGRycy9lMm9Eb2MueG1sUEsF&#10;BgAAAAAGAAYAWQEAAMQFAAAAAA==&#10;" adj="16201,5400">
                      <v:fill on="t" focussize="0,0"/>
                      <v:stroke color="#000000" joinstyle="miter"/>
                      <v:imagedata o:title=""/>
                      <o:lock v:ext="edit" aspectratio="f"/>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706368" behindDoc="0" locked="0" layoutInCell="1" allowOverlap="1">
                      <wp:simplePos x="0" y="0"/>
                      <wp:positionH relativeFrom="column">
                        <wp:posOffset>1390015</wp:posOffset>
                      </wp:positionH>
                      <wp:positionV relativeFrom="paragraph">
                        <wp:posOffset>98425</wp:posOffset>
                      </wp:positionV>
                      <wp:extent cx="178435" cy="184150"/>
                      <wp:effectExtent l="19685" t="4445" r="30480" b="20955"/>
                      <wp:wrapNone/>
                      <wp:docPr id="155" name="下箭头 155"/>
                      <wp:cNvGraphicFramePr/>
                      <a:graphic xmlns:a="http://schemas.openxmlformats.org/drawingml/2006/main">
                        <a:graphicData uri="http://schemas.microsoft.com/office/word/2010/wordprocessingShape">
                          <wps:wsp>
                            <wps:cNvSpPr/>
                            <wps:spPr>
                              <a:xfrm>
                                <a:off x="0" y="0"/>
                                <a:ext cx="178435" cy="184150"/>
                              </a:xfrm>
                              <a:prstGeom prst="downArrow">
                                <a:avLst>
                                  <a:gd name="adj1" fmla="val 50000"/>
                                  <a:gd name="adj2" fmla="val 25800"/>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shape id="_x0000_s1026" o:spid="_x0000_s1026" o:spt="67" type="#_x0000_t67" style="position:absolute;left:0pt;margin-left:109.45pt;margin-top:7.75pt;height:14.5pt;width:14.05pt;z-index:251706368;mso-width-relative:page;mso-height-relative:page;" fillcolor="#FFFFFF" filled="t" stroked="t" coordsize="21600,21600" o:gfxdata="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qQNontsAAAAJAQAADwAAAAAAAAABACAAAAAiAAAAZHJzL2Rvd25yZXYueG1sUEsBAhQA&#10;FAAAAAgAh07iQNSl4D8oAgAAegQAAA4AAAAAAAAAAQAgAAAAKgEAAGRycy9lMm9Eb2MueG1sUEsF&#10;BgAAAAAGAAYAWQEAAMQFAAAAAA==&#10;" adj="16201,5400">
                      <v:fill on="t" focussize="0,0"/>
                      <v:stroke color="#000000" joinstyle="miter"/>
                      <v:imagedata o:title=""/>
                      <o:lock v:ext="edit" aspectratio="f"/>
                    </v:shape>
                  </w:pict>
                </mc:Fallback>
              </mc:AlternateContent>
            </w:r>
          </w:p>
          <w:p w14:paraId="57D02945">
            <w:pPr>
              <w:keepNext w:val="0"/>
              <w:keepLines w:val="0"/>
              <w:pageBreakBefore w:val="0"/>
              <w:widowControl w:val="0"/>
              <w:shd w:val="clear"/>
              <w:kinsoku/>
              <w:wordWrap/>
              <w:overflowPunct/>
              <w:topLinePunct w:val="0"/>
              <w:autoSpaceDE w:val="0"/>
              <w:autoSpaceDN w:val="0"/>
              <w:bidi w:val="0"/>
              <w:adjustRightInd/>
              <w:snapToGrid/>
              <w:spacing w:line="360" w:lineRule="auto"/>
              <w:ind w:firstLine="420" w:firstLineChars="200"/>
              <w:jc w:val="center"/>
              <w:textAlignment w:val="auto"/>
              <w:rPr>
                <w:rFonts w:hint="default" w:ascii="Times New Roman" w:hAnsi="Times New Roman" w:eastAsia="宋体" w:cs="Times New Roman"/>
                <w:b/>
                <w:bCs/>
                <w:color w:val="000000" w:themeColor="text1"/>
                <w:lang w:val="en-US" w:eastAsia="zh-CN"/>
                <w14:textFill>
                  <w14:solidFill>
                    <w14:schemeClr w14:val="tx1"/>
                  </w14:solidFill>
                </w14:textFill>
              </w:rPr>
            </w:pPr>
            <w:r>
              <w:rPr>
                <w:color w:val="000000" w:themeColor="text1"/>
                <w14:textFill>
                  <w14:solidFill>
                    <w14:schemeClr w14:val="tx1"/>
                  </w14:solidFill>
                </w14:textFill>
              </w:rPr>
              <mc:AlternateContent>
                <mc:Choice Requires="wps">
                  <w:drawing>
                    <wp:anchor distT="0" distB="0" distL="114300" distR="114300" simplePos="0" relativeHeight="251756544" behindDoc="0" locked="0" layoutInCell="1" allowOverlap="1">
                      <wp:simplePos x="0" y="0"/>
                      <wp:positionH relativeFrom="column">
                        <wp:posOffset>3271520</wp:posOffset>
                      </wp:positionH>
                      <wp:positionV relativeFrom="paragraph">
                        <wp:posOffset>50800</wp:posOffset>
                      </wp:positionV>
                      <wp:extent cx="659765" cy="252095"/>
                      <wp:effectExtent l="0" t="0" r="0" b="0"/>
                      <wp:wrapNone/>
                      <wp:docPr id="223" name="文本框 223"/>
                      <wp:cNvGraphicFramePr/>
                      <a:graphic xmlns:a="http://schemas.openxmlformats.org/drawingml/2006/main">
                        <a:graphicData uri="http://schemas.microsoft.com/office/word/2010/wordprocessingShape">
                          <wps:wsp>
                            <wps:cNvSpPr txBox="1"/>
                            <wps:spPr>
                              <a:xfrm>
                                <a:off x="0" y="0"/>
                                <a:ext cx="659765" cy="252095"/>
                              </a:xfrm>
                              <a:prstGeom prst="rect">
                                <a:avLst/>
                              </a:prstGeom>
                              <a:noFill/>
                              <a:ln>
                                <a:noFill/>
                              </a:ln>
                            </wps:spPr>
                            <wps:txbx>
                              <w:txbxContent>
                                <w:p w14:paraId="36665E35">
                                  <w:pPr>
                                    <w:pStyle w:val="16"/>
                                    <w:spacing w:before="20" w:line="222" w:lineRule="auto"/>
                                    <w:ind w:right="1"/>
                                    <w:jc w:val="right"/>
                                    <w:rPr>
                                      <w:rFonts w:hint="default" w:ascii="Times New Roman" w:hAnsi="Times New Roman" w:eastAsia="宋体" w:cs="Times New Roman"/>
                                      <w:b w:val="0"/>
                                      <w:bCs w:val="0"/>
                                      <w:sz w:val="21"/>
                                      <w:szCs w:val="21"/>
                                      <w:lang w:val="en-US" w:eastAsia="zh-CN"/>
                                    </w:rPr>
                                  </w:pPr>
                                  <w:r>
                                    <w:rPr>
                                      <w:rFonts w:hint="default" w:ascii="Times New Roman" w:hAnsi="Times New Roman" w:cs="Times New Roman"/>
                                      <w:b w:val="0"/>
                                      <w:bCs w:val="0"/>
                                      <w:spacing w:val="-11"/>
                                      <w:w w:val="95"/>
                                      <w:sz w:val="21"/>
                                      <w:szCs w:val="21"/>
                                      <w:lang w:val="en-US" w:eastAsia="zh-CN"/>
                                    </w:rPr>
                                    <w:t>PAC、PAM</w:t>
                                  </w:r>
                                </w:p>
                              </w:txbxContent>
                            </wps:txbx>
                            <wps:bodyPr lIns="0" tIns="0" rIns="0" bIns="0" upright="1"/>
                          </wps:wsp>
                        </a:graphicData>
                      </a:graphic>
                    </wp:anchor>
                  </w:drawing>
                </mc:Choice>
                <mc:Fallback>
                  <w:pict>
                    <v:shape id="_x0000_s1026" o:spid="_x0000_s1026" o:spt="202" type="#_x0000_t202" style="position:absolute;left:0pt;margin-left:257.6pt;margin-top:4pt;height:19.85pt;width:51.95pt;z-index:251756544;mso-width-relative:page;mso-height-relative:page;" filled="f" stroked="f" coordsize="21600,21600" o:gfxdata="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HAWI0vYAAAACAEAAA8AAAAAAAAAAQAgAAAAIgAAAGRycy9kb3ducmV2LnhtbFBL&#10;AQIUABQAAAAIAIdO4kDkv/jkvQEAAHUDAAAOAAAAAAAAAAEAIAAAACcBAABkcnMvZTJvRG9jLnht&#10;bFBLBQYAAAAABgAGAFkBAABWBQAAAAA=&#10;">
                      <v:fill on="f" focussize="0,0"/>
                      <v:stroke on="f"/>
                      <v:imagedata o:title=""/>
                      <o:lock v:ext="edit" aspectratio="f"/>
                      <v:textbox inset="0mm,0mm,0mm,0mm">
                        <w:txbxContent>
                          <w:p w14:paraId="36665E35">
                            <w:pPr>
                              <w:pStyle w:val="16"/>
                              <w:spacing w:before="20" w:line="222" w:lineRule="auto"/>
                              <w:ind w:right="1"/>
                              <w:jc w:val="right"/>
                              <w:rPr>
                                <w:rFonts w:hint="default" w:ascii="Times New Roman" w:hAnsi="Times New Roman" w:eastAsia="宋体" w:cs="Times New Roman"/>
                                <w:b w:val="0"/>
                                <w:bCs w:val="0"/>
                                <w:sz w:val="21"/>
                                <w:szCs w:val="21"/>
                                <w:lang w:val="en-US" w:eastAsia="zh-CN"/>
                              </w:rPr>
                            </w:pPr>
                            <w:r>
                              <w:rPr>
                                <w:rFonts w:hint="default" w:ascii="Times New Roman" w:hAnsi="Times New Roman" w:cs="Times New Roman"/>
                                <w:b w:val="0"/>
                                <w:bCs w:val="0"/>
                                <w:spacing w:val="-11"/>
                                <w:w w:val="95"/>
                                <w:sz w:val="21"/>
                                <w:szCs w:val="21"/>
                                <w:lang w:val="en-US" w:eastAsia="zh-CN"/>
                              </w:rPr>
                              <w:t>PAC、PAM</w:t>
                            </w:r>
                          </w:p>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747328" behindDoc="0" locked="0" layoutInCell="1" allowOverlap="1">
                      <wp:simplePos x="0" y="0"/>
                      <wp:positionH relativeFrom="column">
                        <wp:posOffset>3940175</wp:posOffset>
                      </wp:positionH>
                      <wp:positionV relativeFrom="paragraph">
                        <wp:posOffset>112395</wp:posOffset>
                      </wp:positionV>
                      <wp:extent cx="130810" cy="76200"/>
                      <wp:effectExtent l="4445" t="12700" r="17145" b="25400"/>
                      <wp:wrapNone/>
                      <wp:docPr id="229" name="右箭头 229"/>
                      <wp:cNvGraphicFramePr/>
                      <a:graphic xmlns:a="http://schemas.openxmlformats.org/drawingml/2006/main">
                        <a:graphicData uri="http://schemas.microsoft.com/office/word/2010/wordprocessingShape">
                          <wps:wsp>
                            <wps:cNvSpPr/>
                            <wps:spPr>
                              <a:xfrm>
                                <a:off x="0" y="0"/>
                                <a:ext cx="130810" cy="76200"/>
                              </a:xfrm>
                              <a:prstGeom prst="rightArrow">
                                <a:avLst>
                                  <a:gd name="adj1" fmla="val 50000"/>
                                  <a:gd name="adj2" fmla="val 42916"/>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shape id="_x0000_s1026" o:spid="_x0000_s1026" o:spt="13" type="#_x0000_t13" style="position:absolute;left:0pt;margin-left:310.25pt;margin-top:8.85pt;height:6pt;width:10.3pt;z-index:251747328;mso-width-relative:page;mso-height-relative:page;" fillcolor="#FFFFFF" filled="t" stroked="t" coordsize="21600,21600" o:gfxdata="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CZt27jZAAAACQEAAA8AAAAAAAAAAQAgAAAAIgAAAGRycy9kb3ducmV2LnhtbFBLAQIUABQAAAAI&#10;AIdO4kBIqEhfJQIAAHoEAAAOAAAAAAAAAAEAIAAAACgBAABkcnMvZTJvRG9jLnhtbFBLBQYAAAAA&#10;BgAGAFkBAAC/BQAAAAA=&#10;" adj="16201,5400">
                      <v:fill on="t" focussize="0,0"/>
                      <v:stroke color="#000000" joinstyle="miter"/>
                      <v:imagedata o:title=""/>
                      <o:lock v:ext="edit" aspectratio="f"/>
                    </v:shape>
                  </w:pict>
                </mc:Fallback>
              </mc:AlternateContent>
            </w:r>
            <w:r>
              <w:rPr>
                <w:color w:val="000000" w:themeColor="text1"/>
                <w14:textFill>
                  <w14:solidFill>
                    <w14:schemeClr w14:val="tx1"/>
                  </w14:solidFill>
                </w14:textFill>
              </w:rPr>
              <mc:AlternateContent>
                <mc:Choice Requires="wps">
                  <w:drawing>
                    <wp:anchor distT="0" distB="0" distL="114300" distR="114300" simplePos="0" relativeHeight="251709440" behindDoc="0" locked="0" layoutInCell="1" allowOverlap="1">
                      <wp:simplePos x="0" y="0"/>
                      <wp:positionH relativeFrom="column">
                        <wp:posOffset>309880</wp:posOffset>
                      </wp:positionH>
                      <wp:positionV relativeFrom="paragraph">
                        <wp:posOffset>110490</wp:posOffset>
                      </wp:positionV>
                      <wp:extent cx="655955" cy="220980"/>
                      <wp:effectExtent l="0" t="0" r="0" b="0"/>
                      <wp:wrapNone/>
                      <wp:docPr id="154" name="文本框 154"/>
                      <wp:cNvGraphicFramePr/>
                      <a:graphic xmlns:a="http://schemas.openxmlformats.org/drawingml/2006/main">
                        <a:graphicData uri="http://schemas.microsoft.com/office/word/2010/wordprocessingShape">
                          <wps:wsp>
                            <wps:cNvSpPr txBox="1"/>
                            <wps:spPr>
                              <a:xfrm>
                                <a:off x="0" y="0"/>
                                <a:ext cx="655955" cy="220980"/>
                              </a:xfrm>
                              <a:prstGeom prst="rect">
                                <a:avLst/>
                              </a:prstGeom>
                              <a:noFill/>
                              <a:ln>
                                <a:noFill/>
                              </a:ln>
                            </wps:spPr>
                            <wps:txbx>
                              <w:txbxContent>
                                <w:p w14:paraId="67C1C5A4">
                                  <w:pPr>
                                    <w:pStyle w:val="16"/>
                                    <w:spacing w:before="20" w:line="222" w:lineRule="auto"/>
                                    <w:ind w:right="1"/>
                                    <w:jc w:val="right"/>
                                    <w:rPr>
                                      <w:rFonts w:hint="default" w:eastAsia="宋体"/>
                                      <w:b w:val="0"/>
                                      <w:bCs w:val="0"/>
                                      <w:sz w:val="13"/>
                                      <w:szCs w:val="13"/>
                                      <w:lang w:val="en-US" w:eastAsia="zh-CN"/>
                                    </w:rPr>
                                  </w:pPr>
                                  <w:r>
                                    <w:rPr>
                                      <w:rFonts w:hint="eastAsia"/>
                                      <w:b w:val="0"/>
                                      <w:bCs w:val="0"/>
                                      <w:sz w:val="21"/>
                                      <w:szCs w:val="21"/>
                                      <w:lang w:val="en-US" w:eastAsia="zh-CN"/>
                                    </w:rPr>
                                    <w:t>曝气风机</w:t>
                                  </w:r>
                                </w:p>
                              </w:txbxContent>
                            </wps:txbx>
                            <wps:bodyPr lIns="0" tIns="0" rIns="0" bIns="0" upright="1"/>
                          </wps:wsp>
                        </a:graphicData>
                      </a:graphic>
                    </wp:anchor>
                  </w:drawing>
                </mc:Choice>
                <mc:Fallback>
                  <w:pict>
                    <v:shape id="_x0000_s1026" o:spid="_x0000_s1026" o:spt="202" type="#_x0000_t202" style="position:absolute;left:0pt;margin-left:24.4pt;margin-top:8.7pt;height:17.4pt;width:51.65pt;z-index:251709440;mso-width-relative:page;mso-height-relative:page;" filled="f" stroked="f" coordsize="21600,21600" o:gfxdata="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EdEUqvYAAAACAEAAA8AAAAAAAAAAQAgAAAAIgAAAGRycy9kb3ducmV2LnhtbFBL&#10;AQIUABQAAAAIAIdO4kBnwgPRvQEAAHUDAAAOAAAAAAAAAAEAIAAAACcBAABkcnMvZTJvRG9jLnht&#10;bFBLBQYAAAAABgAGAFkBAABWBQAAAAA=&#10;">
                      <v:fill on="f" focussize="0,0"/>
                      <v:stroke on="f"/>
                      <v:imagedata o:title=""/>
                      <o:lock v:ext="edit" aspectratio="f"/>
                      <v:textbox inset="0mm,0mm,0mm,0mm">
                        <w:txbxContent>
                          <w:p w14:paraId="67C1C5A4">
                            <w:pPr>
                              <w:pStyle w:val="16"/>
                              <w:spacing w:before="20" w:line="222" w:lineRule="auto"/>
                              <w:ind w:right="1"/>
                              <w:jc w:val="right"/>
                              <w:rPr>
                                <w:rFonts w:hint="default" w:eastAsia="宋体"/>
                                <w:b w:val="0"/>
                                <w:bCs w:val="0"/>
                                <w:sz w:val="13"/>
                                <w:szCs w:val="13"/>
                                <w:lang w:val="en-US" w:eastAsia="zh-CN"/>
                              </w:rPr>
                            </w:pPr>
                            <w:r>
                              <w:rPr>
                                <w:rFonts w:hint="eastAsia"/>
                                <w:b w:val="0"/>
                                <w:bCs w:val="0"/>
                                <w:sz w:val="21"/>
                                <w:szCs w:val="21"/>
                                <w:lang w:val="en-US" w:eastAsia="zh-CN"/>
                              </w:rPr>
                              <w:t>曝气风机</w:t>
                            </w:r>
                          </w:p>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671552" behindDoc="1" locked="0" layoutInCell="1" allowOverlap="1">
                      <wp:simplePos x="0" y="0"/>
                      <wp:positionH relativeFrom="column">
                        <wp:posOffset>962025</wp:posOffset>
                      </wp:positionH>
                      <wp:positionV relativeFrom="paragraph">
                        <wp:posOffset>165100</wp:posOffset>
                      </wp:positionV>
                      <wp:extent cx="130810" cy="76200"/>
                      <wp:effectExtent l="4445" t="12700" r="17145" b="25400"/>
                      <wp:wrapNone/>
                      <wp:docPr id="168" name="右箭头 168"/>
                      <wp:cNvGraphicFramePr/>
                      <a:graphic xmlns:a="http://schemas.openxmlformats.org/drawingml/2006/main">
                        <a:graphicData uri="http://schemas.microsoft.com/office/word/2010/wordprocessingShape">
                          <wps:wsp>
                            <wps:cNvSpPr/>
                            <wps:spPr>
                              <a:xfrm>
                                <a:off x="0" y="0"/>
                                <a:ext cx="130810" cy="76200"/>
                              </a:xfrm>
                              <a:prstGeom prst="rightArrow">
                                <a:avLst>
                                  <a:gd name="adj1" fmla="val 50000"/>
                                  <a:gd name="adj2" fmla="val 42916"/>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shape id="_x0000_s1026" o:spid="_x0000_s1026" o:spt="13" type="#_x0000_t13" style="position:absolute;left:0pt;margin-left:75.75pt;margin-top:13pt;height:6pt;width:10.3pt;z-index:-251644928;mso-width-relative:page;mso-height-relative:page;" fillcolor="#FFFFFF" filled="t" stroked="t" coordsize="21600,21600" o:gfxdata="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Fl1gUnZAAAACQEAAA8AAAAAAAAAAQAgAAAAIgAAAGRycy9kb3ducmV2LnhtbFBLAQIUABQAAAAI&#10;AIdO4kDR9bWOJQIAAHoEAAAOAAAAAAAAAAEAIAAAACgBAABkcnMvZTJvRG9jLnhtbFBLBQYAAAAA&#10;BgAGAFkBAAC/BQAAAAA=&#10;" adj="16201,5400">
                      <v:fill on="t" focussize="0,0"/>
                      <v:stroke color="#000000" joinstyle="miter"/>
                      <v:imagedata o:title=""/>
                      <o:lock v:ext="edit" aspectratio="f"/>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754496" behindDoc="0" locked="0" layoutInCell="1" allowOverlap="1">
                      <wp:simplePos x="0" y="0"/>
                      <wp:positionH relativeFrom="column">
                        <wp:posOffset>4069715</wp:posOffset>
                      </wp:positionH>
                      <wp:positionV relativeFrom="paragraph">
                        <wp:posOffset>48895</wp:posOffset>
                      </wp:positionV>
                      <wp:extent cx="807085" cy="266065"/>
                      <wp:effectExtent l="4445" t="5080" r="7620" b="14605"/>
                      <wp:wrapNone/>
                      <wp:docPr id="242" name="文本框 242"/>
                      <wp:cNvGraphicFramePr/>
                      <a:graphic xmlns:a="http://schemas.openxmlformats.org/drawingml/2006/main">
                        <a:graphicData uri="http://schemas.microsoft.com/office/word/2010/wordprocessingShape">
                          <wps:wsp>
                            <wps:cNvSpPr txBox="1"/>
                            <wps:spPr>
                              <a:xfrm>
                                <a:off x="0" y="0"/>
                                <a:ext cx="807085" cy="26606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53D86D0">
                                  <w:pPr>
                                    <w:jc w:val="center"/>
                                    <w:rPr>
                                      <w:rFonts w:hint="default" w:eastAsia="宋体"/>
                                      <w:sz w:val="21"/>
                                      <w:szCs w:val="21"/>
                                      <w:lang w:val="en-US" w:eastAsia="zh-CN"/>
                                    </w:rPr>
                                  </w:pPr>
                                  <w:r>
                                    <w:rPr>
                                      <w:rFonts w:hint="eastAsia"/>
                                      <w:sz w:val="21"/>
                                      <w:szCs w:val="21"/>
                                      <w:lang w:val="en-US" w:eastAsia="zh-CN"/>
                                    </w:rPr>
                                    <w:t>反应池</w:t>
                                  </w:r>
                                </w:p>
                              </w:txbxContent>
                            </wps:txbx>
                            <wps:bodyPr upright="1"/>
                          </wps:wsp>
                        </a:graphicData>
                      </a:graphic>
                    </wp:anchor>
                  </w:drawing>
                </mc:Choice>
                <mc:Fallback>
                  <w:pict>
                    <v:shape id="_x0000_s1026" o:spid="_x0000_s1026" o:spt="202" type="#_x0000_t202" style="position:absolute;left:0pt;margin-left:320.45pt;margin-top:3.85pt;height:20.95pt;width:63.55pt;z-index:251754496;mso-width-relative:page;mso-height-relative:page;" fillcolor="#FFFFFF" filled="t" stroked="t" coordsize="21600,21600" o:gfxdata="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E5eDeNcAAAAIAQAADwAAAAAAAAABACAAAAAi&#10;AAAAZHJzL2Rvd25yZXYueG1sUEsBAhQAFAAAAAgAh07iQEqeQjwLAgAAOQQAAA4AAAAAAAAAAQAg&#10;AAAAJgEAAGRycy9lMm9Eb2MueG1sUEsFBgAAAAAGAAYAWQEAAKMFAAAAAA==&#10;">
                      <v:fill on="t" focussize="0,0"/>
                      <v:stroke color="#000000" joinstyle="miter"/>
                      <v:imagedata o:title=""/>
                      <o:lock v:ext="edit" aspectratio="f"/>
                      <v:textbox>
                        <w:txbxContent>
                          <w:p w14:paraId="253D86D0">
                            <w:pPr>
                              <w:jc w:val="center"/>
                              <w:rPr>
                                <w:rFonts w:hint="default" w:eastAsia="宋体"/>
                                <w:sz w:val="21"/>
                                <w:szCs w:val="21"/>
                                <w:lang w:val="en-US" w:eastAsia="zh-CN"/>
                              </w:rPr>
                            </w:pPr>
                            <w:r>
                              <w:rPr>
                                <w:rFonts w:hint="eastAsia"/>
                                <w:sz w:val="21"/>
                                <w:szCs w:val="21"/>
                                <w:lang w:val="en-US" w:eastAsia="zh-CN"/>
                              </w:rPr>
                              <w:t>反应池</w:t>
                            </w:r>
                          </w:p>
                        </w:txbxContent>
                      </v:textbox>
                    </v:shape>
                  </w:pict>
                </mc:Fallback>
              </mc:AlternateContent>
            </w:r>
            <w:r>
              <w:rPr>
                <w:color w:val="000000" w:themeColor="text1"/>
                <w:sz w:val="21"/>
                <w14:textFill>
                  <w14:solidFill>
                    <w14:schemeClr w14:val="tx1"/>
                  </w14:solidFill>
                </w14:textFill>
              </w:rPr>
              <mc:AlternateContent>
                <mc:Choice Requires="wps">
                  <w:drawing>
                    <wp:anchor distT="0" distB="0" distL="114300" distR="114300" simplePos="0" relativeHeight="251729920" behindDoc="0" locked="0" layoutInCell="1" allowOverlap="1">
                      <wp:simplePos x="0" y="0"/>
                      <wp:positionH relativeFrom="column">
                        <wp:posOffset>2304415</wp:posOffset>
                      </wp:positionH>
                      <wp:positionV relativeFrom="paragraph">
                        <wp:posOffset>114300</wp:posOffset>
                      </wp:positionV>
                      <wp:extent cx="5080" cy="1883410"/>
                      <wp:effectExtent l="48895" t="0" r="60325" b="2540"/>
                      <wp:wrapNone/>
                      <wp:docPr id="245" name="直接连接符 245"/>
                      <wp:cNvGraphicFramePr/>
                      <a:graphic xmlns:a="http://schemas.openxmlformats.org/drawingml/2006/main">
                        <a:graphicData uri="http://schemas.microsoft.com/office/word/2010/wordprocessingShape">
                          <wps:wsp>
                            <wps:cNvCnPr/>
                            <wps:spPr>
                              <a:xfrm flipH="1" flipV="1">
                                <a:off x="0" y="0"/>
                                <a:ext cx="5080" cy="1883410"/>
                              </a:xfrm>
                              <a:prstGeom prst="line">
                                <a:avLst/>
                              </a:prstGeom>
                              <a:ln w="9525" cap="flat" cmpd="sng">
                                <a:solidFill>
                                  <a:srgbClr val="000000"/>
                                </a:solidFill>
                                <a:prstDash val="solid"/>
                                <a:miter/>
                                <a:headEnd type="none" w="med" len="med"/>
                                <a:tailEnd type="arrow" w="med" len="med"/>
                              </a:ln>
                            </wps:spPr>
                            <wps:bodyPr upright="1"/>
                          </wps:wsp>
                        </a:graphicData>
                      </a:graphic>
                    </wp:anchor>
                  </w:drawing>
                </mc:Choice>
                <mc:Fallback>
                  <w:pict>
                    <v:line id="_x0000_s1026" o:spid="_x0000_s1026" o:spt="20" style="position:absolute;left:0pt;flip:x y;margin-left:181.45pt;margin-top:9pt;height:148.3pt;width:0.4pt;z-index:251729920;mso-width-relative:page;mso-height-relative:page;" filled="f" stroked="t" coordsize="21600,21600" o:gfxdata="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x2AIO2AAAAAoBAAAPAAAAAAAA&#10;AAEAIAAAACIAAABkcnMvZG93bnJldi54bWxQSwECFAAUAAAACACHTuJAymVqeBICAAAKBAAADgAA&#10;AAAAAAABACAAAAAnAQAAZHJzL2Uyb0RvYy54bWxQSwUGAAAAAAYABgBZAQAAqwUAAAAA&#10;">
                      <v:fill on="f" focussize="0,0"/>
                      <v:stroke color="#000000" joinstyle="miter" endarrow="open"/>
                      <v:imagedata o:title=""/>
                      <o:lock v:ext="edit" aspectratio="f"/>
                    </v:line>
                  </w:pict>
                </mc:Fallback>
              </mc:AlternateContent>
            </w:r>
            <w:r>
              <w:rPr>
                <w:color w:val="000000" w:themeColor="text1"/>
                <w:sz w:val="21"/>
                <w14:textFill>
                  <w14:solidFill>
                    <w14:schemeClr w14:val="tx1"/>
                  </w14:solidFill>
                </w14:textFill>
              </w:rPr>
              <mc:AlternateContent>
                <mc:Choice Requires="wps">
                  <w:drawing>
                    <wp:anchor distT="0" distB="0" distL="114300" distR="114300" simplePos="0" relativeHeight="251730944" behindDoc="0" locked="0" layoutInCell="1" allowOverlap="1">
                      <wp:simplePos x="0" y="0"/>
                      <wp:positionH relativeFrom="column">
                        <wp:posOffset>1901190</wp:posOffset>
                      </wp:positionH>
                      <wp:positionV relativeFrom="paragraph">
                        <wp:posOffset>111125</wp:posOffset>
                      </wp:positionV>
                      <wp:extent cx="389255" cy="3810"/>
                      <wp:effectExtent l="0" t="48260" r="10795" b="62230"/>
                      <wp:wrapNone/>
                      <wp:docPr id="251" name="直接连接符 251"/>
                      <wp:cNvGraphicFramePr/>
                      <a:graphic xmlns:a="http://schemas.openxmlformats.org/drawingml/2006/main">
                        <a:graphicData uri="http://schemas.microsoft.com/office/word/2010/wordprocessingShape">
                          <wps:wsp>
                            <wps:cNvCnPr/>
                            <wps:spPr>
                              <a:xfrm flipH="1" flipV="1">
                                <a:off x="0" y="0"/>
                                <a:ext cx="389255" cy="3810"/>
                              </a:xfrm>
                              <a:prstGeom prst="line">
                                <a:avLst/>
                              </a:prstGeom>
                              <a:ln w="9525" cap="flat" cmpd="sng">
                                <a:solidFill>
                                  <a:srgbClr val="000000"/>
                                </a:solidFill>
                                <a:prstDash val="solid"/>
                                <a:miter/>
                                <a:headEnd type="none" w="med" len="med"/>
                                <a:tailEnd type="arrow" w="med" len="med"/>
                              </a:ln>
                            </wps:spPr>
                            <wps:bodyPr upright="1"/>
                          </wps:wsp>
                        </a:graphicData>
                      </a:graphic>
                    </wp:anchor>
                  </w:drawing>
                </mc:Choice>
                <mc:Fallback>
                  <w:pict>
                    <v:line id="_x0000_s1026" o:spid="_x0000_s1026" o:spt="20" style="position:absolute;left:0pt;flip:x y;margin-left:149.7pt;margin-top:8.75pt;height:0.3pt;width:30.65pt;z-index:251730944;mso-width-relative:page;mso-height-relative:page;" filled="f" stroked="t" coordsize="21600,21600" o:gfxdata="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o8hO9NgAAAAJAQAADwAAAAAAAAAB&#10;ACAAAAAiAAAAZHJzL2Rvd25yZXYueG1sUEsBAhQAFAAAAAgAh07iQMuagyYQAgAACQQAAA4AAAAA&#10;AAAAAQAgAAAAJwEAAGRycy9lMm9Eb2MueG1sUEsFBgAAAAAGAAYAWQEAAKkFAAAAAA==&#10;">
                      <v:fill on="f" focussize="0,0"/>
                      <v:stroke color="#000000" joinstyle="miter" endarrow="open"/>
                      <v:imagedata o:title=""/>
                      <o:lock v:ext="edit" aspectratio="f"/>
                    </v:lin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724800" behindDoc="0" locked="0" layoutInCell="1" allowOverlap="1">
                      <wp:simplePos x="0" y="0"/>
                      <wp:positionH relativeFrom="column">
                        <wp:posOffset>2056765</wp:posOffset>
                      </wp:positionH>
                      <wp:positionV relativeFrom="paragraph">
                        <wp:posOffset>200025</wp:posOffset>
                      </wp:positionV>
                      <wp:extent cx="635" cy="428625"/>
                      <wp:effectExtent l="48895" t="0" r="64770" b="9525"/>
                      <wp:wrapNone/>
                      <wp:docPr id="254" name="直接连接符 254"/>
                      <wp:cNvGraphicFramePr/>
                      <a:graphic xmlns:a="http://schemas.openxmlformats.org/drawingml/2006/main">
                        <a:graphicData uri="http://schemas.microsoft.com/office/word/2010/wordprocessingShape">
                          <wps:wsp>
                            <wps:cNvCnPr/>
                            <wps:spPr>
                              <a:xfrm flipV="1">
                                <a:off x="0" y="0"/>
                                <a:ext cx="635" cy="428625"/>
                              </a:xfrm>
                              <a:prstGeom prst="line">
                                <a:avLst/>
                              </a:prstGeom>
                              <a:ln w="9525" cap="flat" cmpd="sng">
                                <a:solidFill>
                                  <a:srgbClr val="000000"/>
                                </a:solidFill>
                                <a:prstDash val="solid"/>
                                <a:miter/>
                                <a:headEnd type="none" w="med" len="med"/>
                                <a:tailEnd type="arrow" w="med" len="med"/>
                              </a:ln>
                            </wps:spPr>
                            <wps:bodyPr upright="1"/>
                          </wps:wsp>
                        </a:graphicData>
                      </a:graphic>
                    </wp:anchor>
                  </w:drawing>
                </mc:Choice>
                <mc:Fallback>
                  <w:pict>
                    <v:line id="_x0000_s1026" o:spid="_x0000_s1026" o:spt="20" style="position:absolute;left:0pt;flip:y;margin-left:161.95pt;margin-top:15.75pt;height:33.75pt;width:0.05pt;z-index:251724800;mso-width-relative:page;mso-height-relative:page;" filled="f" stroked="t" coordsize="21600,21600" o:gfxdata="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GDot0fYAAAACQEAAA8AAAAAAAAAAQAgAAAA&#10;IgAAAGRycy9kb3ducmV2LnhtbFBLAQIUABQAAAAIAIdO4kDrQLWkCwIAAP4DAAAOAAAAAAAAAAEA&#10;IAAAACcBAABkcnMvZTJvRG9jLnhtbFBLBQYAAAAABgAGAFkBAACkBQAAAAA=&#10;">
                      <v:fill on="f" focussize="0,0"/>
                      <v:stroke color="#000000" joinstyle="miter" endarrow="open"/>
                      <v:imagedata o:title=""/>
                      <o:lock v:ext="edit" aspectratio="f"/>
                    </v:lin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725824" behindDoc="0" locked="0" layoutInCell="1" allowOverlap="1">
                      <wp:simplePos x="0" y="0"/>
                      <wp:positionH relativeFrom="column">
                        <wp:posOffset>1918335</wp:posOffset>
                      </wp:positionH>
                      <wp:positionV relativeFrom="paragraph">
                        <wp:posOffset>200025</wp:posOffset>
                      </wp:positionV>
                      <wp:extent cx="127000" cy="635"/>
                      <wp:effectExtent l="0" t="48895" r="6350" b="64770"/>
                      <wp:wrapNone/>
                      <wp:docPr id="244" name="直接连接符 244"/>
                      <wp:cNvGraphicFramePr/>
                      <a:graphic xmlns:a="http://schemas.openxmlformats.org/drawingml/2006/main">
                        <a:graphicData uri="http://schemas.microsoft.com/office/word/2010/wordprocessingShape">
                          <wps:wsp>
                            <wps:cNvCnPr/>
                            <wps:spPr>
                              <a:xfrm flipH="1">
                                <a:off x="0" y="0"/>
                                <a:ext cx="127000" cy="635"/>
                              </a:xfrm>
                              <a:prstGeom prst="line">
                                <a:avLst/>
                              </a:prstGeom>
                              <a:ln w="9525" cap="flat" cmpd="sng">
                                <a:solidFill>
                                  <a:srgbClr val="000000"/>
                                </a:solidFill>
                                <a:prstDash val="solid"/>
                                <a:miter/>
                                <a:headEnd type="none" w="med" len="med"/>
                                <a:tailEnd type="arrow" w="med" len="med"/>
                              </a:ln>
                            </wps:spPr>
                            <wps:bodyPr upright="1"/>
                          </wps:wsp>
                        </a:graphicData>
                      </a:graphic>
                    </wp:anchor>
                  </w:drawing>
                </mc:Choice>
                <mc:Fallback>
                  <w:pict>
                    <v:line id="_x0000_s1026" o:spid="_x0000_s1026" o:spt="20" style="position:absolute;left:0pt;flip:x;margin-left:151.05pt;margin-top:15.75pt;height:0.05pt;width:10pt;z-index:251725824;mso-width-relative:page;mso-height-relative:page;" filled="f" stroked="t" coordsize="21600,21600" o:gfxdata="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8oM71gAAAAkBAAAPAAAAAAAAAAEAIAAAACIA&#10;AABkcnMvZG93bnJldi54bWxQSwECFAAUAAAACACHTuJANdUGVgsCAAD+AwAADgAAAAAAAAABACAA&#10;AAAlAQAAZHJzL2Uyb0RvYy54bWxQSwUGAAAAAAYABgBZAQAAogUAAAAA&#10;">
                      <v:fill on="f" focussize="0,0"/>
                      <v:stroke color="#000000" joinstyle="miter" endarrow="open"/>
                      <v:imagedata o:title=""/>
                      <o:lock v:ext="edit" aspectratio="f"/>
                    </v:lin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705344" behindDoc="0" locked="0" layoutInCell="1" allowOverlap="1">
                      <wp:simplePos x="0" y="0"/>
                      <wp:positionH relativeFrom="column">
                        <wp:posOffset>1099185</wp:posOffset>
                      </wp:positionH>
                      <wp:positionV relativeFrom="paragraph">
                        <wp:posOffset>53975</wp:posOffset>
                      </wp:positionV>
                      <wp:extent cx="807085" cy="266065"/>
                      <wp:effectExtent l="4445" t="5080" r="7620" b="14605"/>
                      <wp:wrapNone/>
                      <wp:docPr id="156" name="文本框 156"/>
                      <wp:cNvGraphicFramePr/>
                      <a:graphic xmlns:a="http://schemas.openxmlformats.org/drawingml/2006/main">
                        <a:graphicData uri="http://schemas.microsoft.com/office/word/2010/wordprocessingShape">
                          <wps:wsp>
                            <wps:cNvSpPr txBox="1"/>
                            <wps:spPr>
                              <a:xfrm>
                                <a:off x="0" y="0"/>
                                <a:ext cx="807085" cy="26606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02BB32F">
                                  <w:pPr>
                                    <w:jc w:val="center"/>
                                    <w:rPr>
                                      <w:rFonts w:hint="default" w:eastAsia="宋体"/>
                                      <w:sz w:val="21"/>
                                      <w:szCs w:val="21"/>
                                      <w:lang w:val="en-US" w:eastAsia="zh-CN"/>
                                    </w:rPr>
                                  </w:pPr>
                                  <w:r>
                                    <w:rPr>
                                      <w:rFonts w:hint="eastAsia"/>
                                      <w:sz w:val="21"/>
                                      <w:szCs w:val="21"/>
                                      <w:lang w:val="en-US" w:eastAsia="zh-CN"/>
                                    </w:rPr>
                                    <w:t>一级A池</w:t>
                                  </w:r>
                                </w:p>
                              </w:txbxContent>
                            </wps:txbx>
                            <wps:bodyPr upright="1"/>
                          </wps:wsp>
                        </a:graphicData>
                      </a:graphic>
                    </wp:anchor>
                  </w:drawing>
                </mc:Choice>
                <mc:Fallback>
                  <w:pict>
                    <v:shape id="_x0000_s1026" o:spid="_x0000_s1026" o:spt="202" type="#_x0000_t202" style="position:absolute;left:0pt;margin-left:86.55pt;margin-top:4.25pt;height:20.95pt;width:63.55pt;z-index:251705344;mso-width-relative:page;mso-height-relative:page;" fillcolor="#FFFFFF" filled="t" stroked="t" coordsize="21600,21600" o:gfxdata="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AVmyctcAAAAIAQAADwAAAAAAAAABACAAAAAi&#10;AAAAZHJzL2Rvd25yZXYueG1sUEsBAhQAFAAAAAgAh07iQGycRlELAgAAOQQAAA4AAAAAAAAAAQAg&#10;AAAAJgEAAGRycy9lMm9Eb2MueG1sUEsFBgAAAAAGAAYAWQEAAKMFAAAAAA==&#10;">
                      <v:fill on="t" focussize="0,0"/>
                      <v:stroke color="#000000" joinstyle="miter"/>
                      <v:imagedata o:title=""/>
                      <o:lock v:ext="edit" aspectratio="f"/>
                      <v:textbox>
                        <w:txbxContent>
                          <w:p w14:paraId="702BB32F">
                            <w:pPr>
                              <w:jc w:val="center"/>
                              <w:rPr>
                                <w:rFonts w:hint="default" w:eastAsia="宋体"/>
                                <w:sz w:val="21"/>
                                <w:szCs w:val="21"/>
                                <w:lang w:val="en-US" w:eastAsia="zh-CN"/>
                              </w:rPr>
                            </w:pPr>
                            <w:r>
                              <w:rPr>
                                <w:rFonts w:hint="eastAsia"/>
                                <w:sz w:val="21"/>
                                <w:szCs w:val="21"/>
                                <w:lang w:val="en-US" w:eastAsia="zh-CN"/>
                              </w:rPr>
                              <w:t>一级A池</w:t>
                            </w:r>
                          </w:p>
                        </w:txbxContent>
                      </v:textbox>
                    </v:shape>
                  </w:pict>
                </mc:Fallback>
              </mc:AlternateContent>
            </w:r>
          </w:p>
          <w:p w14:paraId="6E646D26">
            <w:pPr>
              <w:keepNext w:val="0"/>
              <w:keepLines w:val="0"/>
              <w:pageBreakBefore w:val="0"/>
              <w:widowControl w:val="0"/>
              <w:shd w:val="clear"/>
              <w:kinsoku/>
              <w:wordWrap/>
              <w:overflowPunct/>
              <w:topLinePunct w:val="0"/>
              <w:autoSpaceDE w:val="0"/>
              <w:autoSpaceDN w:val="0"/>
              <w:bidi w:val="0"/>
              <w:adjustRightInd/>
              <w:snapToGrid/>
              <w:spacing w:line="360" w:lineRule="auto"/>
              <w:ind w:firstLine="480" w:firstLineChars="200"/>
              <w:jc w:val="center"/>
              <w:textAlignment w:val="auto"/>
              <w:rPr>
                <w:rFonts w:hint="default" w:ascii="Times New Roman" w:hAnsi="Times New Roman" w:eastAsia="宋体" w:cs="Times New Roman"/>
                <w:b/>
                <w:bCs/>
                <w:color w:val="000000" w:themeColor="text1"/>
                <w:lang w:val="en-US" w:eastAsia="zh-CN"/>
                <w14:textFill>
                  <w14:solidFill>
                    <w14:schemeClr w14:val="tx1"/>
                  </w14:solidFill>
                </w14:textFill>
              </w:rPr>
            </w:pPr>
            <w:r>
              <w:rPr>
                <w:color w:val="000000" w:themeColor="text1"/>
                <w:sz w:val="24"/>
                <w14:textFill>
                  <w14:solidFill>
                    <w14:schemeClr w14:val="tx1"/>
                  </w14:solidFill>
                </w14:textFill>
              </w:rPr>
              <mc:AlternateContent>
                <mc:Choice Requires="wps">
                  <w:drawing>
                    <wp:anchor distT="0" distB="0" distL="114300" distR="114300" simplePos="0" relativeHeight="251786240" behindDoc="0" locked="0" layoutInCell="1" allowOverlap="1">
                      <wp:simplePos x="0" y="0"/>
                      <wp:positionH relativeFrom="column">
                        <wp:posOffset>99060</wp:posOffset>
                      </wp:positionH>
                      <wp:positionV relativeFrom="paragraph">
                        <wp:posOffset>129540</wp:posOffset>
                      </wp:positionV>
                      <wp:extent cx="391795" cy="180340"/>
                      <wp:effectExtent l="6350" t="6350" r="20955" b="22860"/>
                      <wp:wrapNone/>
                      <wp:docPr id="284" name="矩形 284"/>
                      <wp:cNvGraphicFramePr/>
                      <a:graphic xmlns:a="http://schemas.openxmlformats.org/drawingml/2006/main">
                        <a:graphicData uri="http://schemas.microsoft.com/office/word/2010/wordprocessingShape">
                          <wps:wsp>
                            <wps:cNvSpPr/>
                            <wps:spPr>
                              <a:xfrm>
                                <a:off x="0" y="0"/>
                                <a:ext cx="391795" cy="180340"/>
                              </a:xfrm>
                              <a:prstGeom prst="rect">
                                <a:avLst/>
                              </a:prstGeom>
                              <a:solidFill>
                                <a:schemeClr val="bg1"/>
                              </a:solidFill>
                              <a:ln>
                                <a:solidFill>
                                  <a:schemeClr val="bg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7.8pt;margin-top:10.2pt;height:14.2pt;width:30.85pt;z-index:251786240;v-text-anchor:middle;mso-width-relative:page;mso-height-relative:page;" fillcolor="#FFFFFF [3212]" filled="t" stroked="t" coordsize="21600,21600" o:gfxdata="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MQKiBtYAAAAHAQAADwAAAAAAAAABACAAAAAiAAAAZHJzL2Rvd25yZXYu&#10;eG1sUEsBAhQAFAAAAAgAh07iQGtjcmlvAgAA9wQAAA4AAAAAAAAAAQAgAAAAJQEAAGRycy9lMm9E&#10;b2MueG1sUEsFBgAAAAAGAAYAWQEAAAYGAAAAAA==&#10;">
                      <v:fill on="t" focussize="0,0"/>
                      <v:stroke weight="1pt" color="#FFFFFF [3212]" miterlimit="8" joinstyle="miter"/>
                      <v:imagedata o:title=""/>
                      <o:lock v:ext="edit" aspectratio="f"/>
                    </v:rect>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779072" behindDoc="0" locked="0" layoutInCell="1" allowOverlap="1">
                      <wp:simplePos x="0" y="0"/>
                      <wp:positionH relativeFrom="column">
                        <wp:posOffset>4385310</wp:posOffset>
                      </wp:positionH>
                      <wp:positionV relativeFrom="paragraph">
                        <wp:posOffset>95250</wp:posOffset>
                      </wp:positionV>
                      <wp:extent cx="178435" cy="184150"/>
                      <wp:effectExtent l="19685" t="4445" r="30480" b="20955"/>
                      <wp:wrapNone/>
                      <wp:docPr id="275" name="下箭头 275"/>
                      <wp:cNvGraphicFramePr/>
                      <a:graphic xmlns:a="http://schemas.openxmlformats.org/drawingml/2006/main">
                        <a:graphicData uri="http://schemas.microsoft.com/office/word/2010/wordprocessingShape">
                          <wps:wsp>
                            <wps:cNvSpPr/>
                            <wps:spPr>
                              <a:xfrm>
                                <a:off x="0" y="0"/>
                                <a:ext cx="178435" cy="184150"/>
                              </a:xfrm>
                              <a:prstGeom prst="downArrow">
                                <a:avLst>
                                  <a:gd name="adj1" fmla="val 50000"/>
                                  <a:gd name="adj2" fmla="val 25800"/>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shape id="_x0000_s1026" o:spid="_x0000_s1026" o:spt="67" type="#_x0000_t67" style="position:absolute;left:0pt;margin-left:345.3pt;margin-top:7.5pt;height:14.5pt;width:14.05pt;z-index:251779072;mso-width-relative:page;mso-height-relative:page;" fillcolor="#FFFFFF" filled="t" stroked="t" coordsize="21600,21600" o:gfxdata="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5k0OWdoAAAAJAQAADwAAAAAAAAABACAAAAAiAAAAZHJzL2Rvd25yZXYueG1sUEsBAhQA&#10;FAAAAAgAh07iQCoEUT0pAgAAegQAAA4AAAAAAAAAAQAgAAAAKQEAAGRycy9lMm9Eb2MueG1sUEsF&#10;BgAAAAAGAAYAWQEAAMQFAAAAAA==&#10;" adj="16201,5400">
                      <v:fill on="t" focussize="0,0"/>
                      <v:stroke color="#000000" joinstyle="miter"/>
                      <v:imagedata o:title=""/>
                      <o:lock v:ext="edit" aspectratio="f"/>
                    </v:shape>
                  </w:pict>
                </mc:Fallback>
              </mc:AlternateContent>
            </w:r>
            <w:r>
              <w:rPr>
                <w:color w:val="000000" w:themeColor="text1"/>
                <w14:textFill>
                  <w14:solidFill>
                    <w14:schemeClr w14:val="tx1"/>
                  </w14:solidFill>
                </w14:textFill>
              </w:rPr>
              <mc:AlternateContent>
                <mc:Choice Requires="wps">
                  <w:drawing>
                    <wp:anchor distT="0" distB="0" distL="114300" distR="114300" simplePos="0" relativeHeight="251726848" behindDoc="0" locked="0" layoutInCell="1" allowOverlap="1">
                      <wp:simplePos x="0" y="0"/>
                      <wp:positionH relativeFrom="column">
                        <wp:posOffset>2084705</wp:posOffset>
                      </wp:positionH>
                      <wp:positionV relativeFrom="paragraph">
                        <wp:posOffset>21590</wp:posOffset>
                      </wp:positionV>
                      <wp:extent cx="144145" cy="508635"/>
                      <wp:effectExtent l="0" t="0" r="0" b="0"/>
                      <wp:wrapNone/>
                      <wp:docPr id="250" name="文本框 250"/>
                      <wp:cNvGraphicFramePr/>
                      <a:graphic xmlns:a="http://schemas.openxmlformats.org/drawingml/2006/main">
                        <a:graphicData uri="http://schemas.microsoft.com/office/word/2010/wordprocessingShape">
                          <wps:wsp>
                            <wps:cNvSpPr txBox="1"/>
                            <wps:spPr>
                              <a:xfrm>
                                <a:off x="0" y="0"/>
                                <a:ext cx="144145" cy="508635"/>
                              </a:xfrm>
                              <a:prstGeom prst="rect">
                                <a:avLst/>
                              </a:prstGeom>
                              <a:noFill/>
                              <a:ln>
                                <a:noFill/>
                              </a:ln>
                            </wps:spPr>
                            <wps:txbx>
                              <w:txbxContent>
                                <w:p w14:paraId="7FD18966">
                                  <w:pPr>
                                    <w:pStyle w:val="16"/>
                                    <w:spacing w:before="20" w:line="222" w:lineRule="auto"/>
                                    <w:ind w:right="1"/>
                                    <w:jc w:val="right"/>
                                    <w:rPr>
                                      <w:rFonts w:hint="default" w:eastAsia="宋体"/>
                                      <w:b w:val="0"/>
                                      <w:bCs w:val="0"/>
                                      <w:sz w:val="21"/>
                                      <w:szCs w:val="21"/>
                                      <w:lang w:val="en-US" w:eastAsia="zh-CN"/>
                                    </w:rPr>
                                  </w:pPr>
                                  <w:r>
                                    <w:rPr>
                                      <w:rFonts w:hint="eastAsia"/>
                                      <w:b w:val="0"/>
                                      <w:bCs w:val="0"/>
                                      <w:sz w:val="21"/>
                                      <w:szCs w:val="21"/>
                                      <w:lang w:val="en-US" w:eastAsia="zh-CN"/>
                                    </w:rPr>
                                    <w:t>内回流</w:t>
                                  </w:r>
                                </w:p>
                              </w:txbxContent>
                            </wps:txbx>
                            <wps:bodyPr lIns="0" tIns="0" rIns="0" bIns="0" upright="1"/>
                          </wps:wsp>
                        </a:graphicData>
                      </a:graphic>
                    </wp:anchor>
                  </w:drawing>
                </mc:Choice>
                <mc:Fallback>
                  <w:pict>
                    <v:shape id="_x0000_s1026" o:spid="_x0000_s1026" o:spt="202" type="#_x0000_t202" style="position:absolute;left:0pt;margin-left:164.15pt;margin-top:1.7pt;height:40.05pt;width:11.35pt;z-index:251726848;mso-width-relative:page;mso-height-relative:page;" filled="f" stroked="f" coordsize="21600,21600" o:gfxdata="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AyCeyq2AAAAAgBAAAPAAAAAAAAAAEAIAAAACIAAABkcnMvZG93bnJldi54bWxQSwEC&#10;FAAUAAAACACHTuJA7DpQPbsBAAB1AwAADgAAAAAAAAABACAAAAAnAQAAZHJzL2Uyb0RvYy54bWxQ&#10;SwUGAAAAAAYABgBZAQAAVAUAAAAA&#10;">
                      <v:fill on="f" focussize="0,0"/>
                      <v:stroke on="f"/>
                      <v:imagedata o:title=""/>
                      <o:lock v:ext="edit" aspectratio="f"/>
                      <v:textbox inset="0mm,0mm,0mm,0mm">
                        <w:txbxContent>
                          <w:p w14:paraId="7FD18966">
                            <w:pPr>
                              <w:pStyle w:val="16"/>
                              <w:spacing w:before="20" w:line="222" w:lineRule="auto"/>
                              <w:ind w:right="1"/>
                              <w:jc w:val="right"/>
                              <w:rPr>
                                <w:rFonts w:hint="default" w:eastAsia="宋体"/>
                                <w:b w:val="0"/>
                                <w:bCs w:val="0"/>
                                <w:sz w:val="21"/>
                                <w:szCs w:val="21"/>
                                <w:lang w:val="en-US" w:eastAsia="zh-CN"/>
                              </w:rPr>
                            </w:pPr>
                            <w:r>
                              <w:rPr>
                                <w:rFonts w:hint="eastAsia"/>
                                <w:b w:val="0"/>
                                <w:bCs w:val="0"/>
                                <w:sz w:val="21"/>
                                <w:szCs w:val="21"/>
                                <w:lang w:val="en-US" w:eastAsia="zh-CN"/>
                              </w:rPr>
                              <w:t>内回流</w:t>
                            </w:r>
                          </w:p>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710464" behindDoc="0" locked="0" layoutInCell="1" allowOverlap="1">
                      <wp:simplePos x="0" y="0"/>
                      <wp:positionH relativeFrom="column">
                        <wp:posOffset>1405890</wp:posOffset>
                      </wp:positionH>
                      <wp:positionV relativeFrom="paragraph">
                        <wp:posOffset>90170</wp:posOffset>
                      </wp:positionV>
                      <wp:extent cx="178435" cy="184150"/>
                      <wp:effectExtent l="19685" t="4445" r="30480" b="20955"/>
                      <wp:wrapNone/>
                      <wp:docPr id="152" name="下箭头 152"/>
                      <wp:cNvGraphicFramePr/>
                      <a:graphic xmlns:a="http://schemas.openxmlformats.org/drawingml/2006/main">
                        <a:graphicData uri="http://schemas.microsoft.com/office/word/2010/wordprocessingShape">
                          <wps:wsp>
                            <wps:cNvSpPr/>
                            <wps:spPr>
                              <a:xfrm>
                                <a:off x="0" y="0"/>
                                <a:ext cx="178435" cy="184150"/>
                              </a:xfrm>
                              <a:prstGeom prst="downArrow">
                                <a:avLst>
                                  <a:gd name="adj1" fmla="val 50000"/>
                                  <a:gd name="adj2" fmla="val 25800"/>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shape id="_x0000_s1026" o:spid="_x0000_s1026" o:spt="67" type="#_x0000_t67" style="position:absolute;left:0pt;margin-left:110.7pt;margin-top:7.1pt;height:14.5pt;width:14.05pt;z-index:251710464;mso-width-relative:page;mso-height-relative:page;" fillcolor="#FFFFFF" filled="t" stroked="t" coordsize="21600,21600" o:gfxdata="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QEUe2doAAAAJAQAADwAAAAAAAAABACAAAAAiAAAAZHJzL2Rvd25yZXYueG1sUEsBAhQA&#10;FAAAAAgAh07iQCEWh6gpAgAAegQAAA4AAAAAAAAAAQAgAAAAKQEAAGRycy9lMm9Eb2MueG1sUEsF&#10;BgAAAAAGAAYAWQEAAMQFAAAAAA==&#10;" adj="16201,5400">
                      <v:fill on="t" focussize="0,0"/>
                      <v:stroke color="#000000" joinstyle="miter"/>
                      <v:imagedata o:title=""/>
                      <o:lock v:ext="edit" aspectratio="f"/>
                    </v:shape>
                  </w:pict>
                </mc:Fallback>
              </mc:AlternateContent>
            </w:r>
          </w:p>
          <w:p w14:paraId="793FBF8E">
            <w:pPr>
              <w:keepNext w:val="0"/>
              <w:keepLines w:val="0"/>
              <w:pageBreakBefore w:val="0"/>
              <w:widowControl w:val="0"/>
              <w:shd w:val="clear"/>
              <w:kinsoku/>
              <w:wordWrap/>
              <w:overflowPunct/>
              <w:topLinePunct w:val="0"/>
              <w:autoSpaceDE w:val="0"/>
              <w:autoSpaceDN w:val="0"/>
              <w:bidi w:val="0"/>
              <w:adjustRightInd/>
              <w:snapToGrid/>
              <w:spacing w:line="360" w:lineRule="auto"/>
              <w:ind w:firstLine="420" w:firstLineChars="200"/>
              <w:jc w:val="center"/>
              <w:textAlignment w:val="auto"/>
              <w:rPr>
                <w:rFonts w:hint="default" w:ascii="Times New Roman" w:hAnsi="Times New Roman" w:eastAsia="宋体" w:cs="Times New Roman"/>
                <w:b/>
                <w:bCs/>
                <w:color w:val="000000" w:themeColor="text1"/>
                <w:lang w:val="en-US" w:eastAsia="zh-CN"/>
                <w14:textFill>
                  <w14:solidFill>
                    <w14:schemeClr w14:val="tx1"/>
                  </w14:solidFill>
                </w14:textFill>
              </w:rPr>
            </w:pPr>
            <w:r>
              <w:rPr>
                <w:color w:val="000000" w:themeColor="text1"/>
                <w14:textFill>
                  <w14:solidFill>
                    <w14:schemeClr w14:val="tx1"/>
                  </w14:solidFill>
                </w14:textFill>
              </w:rPr>
              <mc:AlternateContent>
                <mc:Choice Requires="wps">
                  <w:drawing>
                    <wp:anchor distT="0" distB="0" distL="114300" distR="114300" simplePos="0" relativeHeight="251789312" behindDoc="0" locked="0" layoutInCell="1" allowOverlap="1">
                      <wp:simplePos x="0" y="0"/>
                      <wp:positionH relativeFrom="column">
                        <wp:posOffset>319405</wp:posOffset>
                      </wp:positionH>
                      <wp:positionV relativeFrom="paragraph">
                        <wp:posOffset>72390</wp:posOffset>
                      </wp:positionV>
                      <wp:extent cx="655955" cy="220980"/>
                      <wp:effectExtent l="0" t="0" r="0" b="0"/>
                      <wp:wrapNone/>
                      <wp:docPr id="287" name="文本框 287"/>
                      <wp:cNvGraphicFramePr/>
                      <a:graphic xmlns:a="http://schemas.openxmlformats.org/drawingml/2006/main">
                        <a:graphicData uri="http://schemas.microsoft.com/office/word/2010/wordprocessingShape">
                          <wps:wsp>
                            <wps:cNvSpPr txBox="1"/>
                            <wps:spPr>
                              <a:xfrm>
                                <a:off x="0" y="0"/>
                                <a:ext cx="655955" cy="220980"/>
                              </a:xfrm>
                              <a:prstGeom prst="rect">
                                <a:avLst/>
                              </a:prstGeom>
                              <a:noFill/>
                              <a:ln>
                                <a:noFill/>
                              </a:ln>
                            </wps:spPr>
                            <wps:txbx>
                              <w:txbxContent>
                                <w:p w14:paraId="67B43792">
                                  <w:pPr>
                                    <w:pStyle w:val="16"/>
                                    <w:spacing w:before="20" w:line="222" w:lineRule="auto"/>
                                    <w:ind w:right="1"/>
                                    <w:jc w:val="right"/>
                                    <w:rPr>
                                      <w:rFonts w:hint="default" w:eastAsia="宋体"/>
                                      <w:b w:val="0"/>
                                      <w:bCs w:val="0"/>
                                      <w:sz w:val="13"/>
                                      <w:szCs w:val="13"/>
                                      <w:lang w:val="en-US" w:eastAsia="zh-CN"/>
                                    </w:rPr>
                                  </w:pPr>
                                  <w:r>
                                    <w:rPr>
                                      <w:rFonts w:hint="eastAsia"/>
                                      <w:b w:val="0"/>
                                      <w:bCs w:val="0"/>
                                      <w:sz w:val="21"/>
                                      <w:szCs w:val="21"/>
                                      <w:lang w:val="en-US" w:eastAsia="zh-CN"/>
                                    </w:rPr>
                                    <w:t>曝气风机</w:t>
                                  </w:r>
                                </w:p>
                              </w:txbxContent>
                            </wps:txbx>
                            <wps:bodyPr lIns="0" tIns="0" rIns="0" bIns="0" upright="1"/>
                          </wps:wsp>
                        </a:graphicData>
                      </a:graphic>
                    </wp:anchor>
                  </w:drawing>
                </mc:Choice>
                <mc:Fallback>
                  <w:pict>
                    <v:shape id="_x0000_s1026" o:spid="_x0000_s1026" o:spt="202" type="#_x0000_t202" style="position:absolute;left:0pt;margin-left:25.15pt;margin-top:5.7pt;height:17.4pt;width:51.65pt;z-index:251789312;mso-width-relative:page;mso-height-relative:page;" filled="f" stroked="f" coordsize="21600,21600" o:gfxdata="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BiuoIrYAAAACAEAAA8AAAAAAAAAAQAgAAAAIgAAAGRycy9kb3ducmV2LnhtbFBL&#10;AQIUABQAAAAIAIdO4kBVdKzxvQEAAHUDAAAOAAAAAAAAAAEAIAAAACcBAABkcnMvZTJvRG9jLnht&#10;bFBLBQYAAAAABgAGAFkBAABWBQAAAAA=&#10;">
                      <v:fill on="f" focussize="0,0"/>
                      <v:stroke on="f"/>
                      <v:imagedata o:title=""/>
                      <o:lock v:ext="edit" aspectratio="f"/>
                      <v:textbox inset="0mm,0mm,0mm,0mm">
                        <w:txbxContent>
                          <w:p w14:paraId="67B43792">
                            <w:pPr>
                              <w:pStyle w:val="16"/>
                              <w:spacing w:before="20" w:line="222" w:lineRule="auto"/>
                              <w:ind w:right="1"/>
                              <w:jc w:val="right"/>
                              <w:rPr>
                                <w:rFonts w:hint="default" w:eastAsia="宋体"/>
                                <w:b w:val="0"/>
                                <w:bCs w:val="0"/>
                                <w:sz w:val="13"/>
                                <w:szCs w:val="13"/>
                                <w:lang w:val="en-US" w:eastAsia="zh-CN"/>
                              </w:rPr>
                            </w:pPr>
                            <w:r>
                              <w:rPr>
                                <w:rFonts w:hint="eastAsia"/>
                                <w:b w:val="0"/>
                                <w:bCs w:val="0"/>
                                <w:sz w:val="21"/>
                                <w:szCs w:val="21"/>
                                <w:lang w:val="en-US" w:eastAsia="zh-CN"/>
                              </w:rPr>
                              <w:t>曝气风机</w:t>
                            </w:r>
                          </w:p>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673600" behindDoc="1" locked="0" layoutInCell="1" allowOverlap="1">
                      <wp:simplePos x="0" y="0"/>
                      <wp:positionH relativeFrom="column">
                        <wp:posOffset>966470</wp:posOffset>
                      </wp:positionH>
                      <wp:positionV relativeFrom="paragraph">
                        <wp:posOffset>142875</wp:posOffset>
                      </wp:positionV>
                      <wp:extent cx="130810" cy="76200"/>
                      <wp:effectExtent l="4445" t="12700" r="17145" b="25400"/>
                      <wp:wrapNone/>
                      <wp:docPr id="181" name="右箭头 181"/>
                      <wp:cNvGraphicFramePr/>
                      <a:graphic xmlns:a="http://schemas.openxmlformats.org/drawingml/2006/main">
                        <a:graphicData uri="http://schemas.microsoft.com/office/word/2010/wordprocessingShape">
                          <wps:wsp>
                            <wps:cNvSpPr/>
                            <wps:spPr>
                              <a:xfrm>
                                <a:off x="0" y="0"/>
                                <a:ext cx="130810" cy="76200"/>
                              </a:xfrm>
                              <a:prstGeom prst="rightArrow">
                                <a:avLst>
                                  <a:gd name="adj1" fmla="val 50000"/>
                                  <a:gd name="adj2" fmla="val 42916"/>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shape id="_x0000_s1026" o:spid="_x0000_s1026" o:spt="13" type="#_x0000_t13" style="position:absolute;left:0pt;margin-left:76.1pt;margin-top:11.25pt;height:6pt;width:10.3pt;z-index:-251642880;mso-width-relative:page;mso-height-relative:page;" fillcolor="#FFFFFF" filled="t" stroked="t" coordsize="21600,21600" o:gfxdata="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DFBVMi2QAAAAkBAAAPAAAAAAAAAAEAIAAAACIAAABkcnMvZG93bnJldi54bWxQSwECFAAUAAAA&#10;CACHTuJAjuOdrSYCAAB6BAAADgAAAAAAAAABACAAAAAoAQAAZHJzL2Uyb0RvYy54bWxQSwUGAAAA&#10;AAYABgBZAQAAwAUAAAAA&#10;" adj="16201,5400">
                      <v:fill on="t" focussize="0,0"/>
                      <v:stroke color="#000000" joinstyle="miter"/>
                      <v:imagedata o:title=""/>
                      <o:lock v:ext="edit" aspectratio="f"/>
                    </v:shape>
                  </w:pict>
                </mc:Fallback>
              </mc:AlternateContent>
            </w:r>
            <w:r>
              <w:rPr>
                <w:color w:val="000000" w:themeColor="text1"/>
                <w14:textFill>
                  <w14:solidFill>
                    <w14:schemeClr w14:val="tx1"/>
                  </w14:solidFill>
                </w14:textFill>
              </w:rPr>
              <mc:AlternateContent>
                <mc:Choice Requires="wps">
                  <w:drawing>
                    <wp:anchor distT="0" distB="0" distL="114300" distR="114300" simplePos="0" relativeHeight="251763712" behindDoc="0" locked="0" layoutInCell="1" allowOverlap="1">
                      <wp:simplePos x="0" y="0"/>
                      <wp:positionH relativeFrom="column">
                        <wp:posOffset>2938780</wp:posOffset>
                      </wp:positionH>
                      <wp:positionV relativeFrom="paragraph">
                        <wp:posOffset>24130</wp:posOffset>
                      </wp:positionV>
                      <wp:extent cx="963295" cy="198755"/>
                      <wp:effectExtent l="0" t="0" r="0" b="0"/>
                      <wp:wrapNone/>
                      <wp:docPr id="237" name="文本框 237"/>
                      <wp:cNvGraphicFramePr/>
                      <a:graphic xmlns:a="http://schemas.openxmlformats.org/drawingml/2006/main">
                        <a:graphicData uri="http://schemas.microsoft.com/office/word/2010/wordprocessingShape">
                          <wps:wsp>
                            <wps:cNvSpPr txBox="1"/>
                            <wps:spPr>
                              <a:xfrm>
                                <a:off x="0" y="0"/>
                                <a:ext cx="963295" cy="198755"/>
                              </a:xfrm>
                              <a:prstGeom prst="rect">
                                <a:avLst/>
                              </a:prstGeom>
                              <a:noFill/>
                              <a:ln>
                                <a:noFill/>
                              </a:ln>
                            </wps:spPr>
                            <wps:txbx>
                              <w:txbxContent>
                                <w:p w14:paraId="423ADC1D">
                                  <w:pPr>
                                    <w:pStyle w:val="16"/>
                                    <w:spacing w:before="20" w:line="222" w:lineRule="auto"/>
                                    <w:ind w:right="1"/>
                                    <w:jc w:val="right"/>
                                    <w:rPr>
                                      <w:rFonts w:hint="default" w:eastAsia="宋体"/>
                                      <w:b w:val="0"/>
                                      <w:bCs w:val="0"/>
                                      <w:sz w:val="21"/>
                                      <w:szCs w:val="21"/>
                                      <w:lang w:val="en-US" w:eastAsia="zh-CN"/>
                                    </w:rPr>
                                  </w:pPr>
                                  <w:r>
                                    <w:rPr>
                                      <w:rFonts w:hint="eastAsia"/>
                                      <w:b w:val="0"/>
                                      <w:bCs w:val="0"/>
                                      <w:spacing w:val="-11"/>
                                      <w:w w:val="95"/>
                                      <w:sz w:val="21"/>
                                      <w:szCs w:val="21"/>
                                      <w:lang w:val="en-US" w:eastAsia="zh-CN"/>
                                    </w:rPr>
                                    <w:t>滤液回流至调节池</w:t>
                                  </w:r>
                                </w:p>
                              </w:txbxContent>
                            </wps:txbx>
                            <wps:bodyPr lIns="0" tIns="0" rIns="0" bIns="0" upright="1"/>
                          </wps:wsp>
                        </a:graphicData>
                      </a:graphic>
                    </wp:anchor>
                  </w:drawing>
                </mc:Choice>
                <mc:Fallback>
                  <w:pict>
                    <v:shape id="_x0000_s1026" o:spid="_x0000_s1026" o:spt="202" type="#_x0000_t202" style="position:absolute;left:0pt;margin-left:231.4pt;margin-top:1.9pt;height:15.65pt;width:75.85pt;z-index:251763712;mso-width-relative:page;mso-height-relative:page;" filled="f" stroked="f" coordsize="21600,21600" o:gfxdata="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dfMHRtcAAAAIAQAADwAAAAAAAAABACAAAAAiAAAAZHJzL2Rvd25yZXYueG1sUEsB&#10;AhQAFAAAAAgAh07iQEwMTLG9AQAAdQMAAA4AAAAAAAAAAQAgAAAAJgEAAGRycy9lMm9Eb2MueG1s&#10;UEsFBgAAAAAGAAYAWQEAAFUFAAAAAA==&#10;">
                      <v:fill on="f" focussize="0,0"/>
                      <v:stroke on="f"/>
                      <v:imagedata o:title=""/>
                      <o:lock v:ext="edit" aspectratio="f"/>
                      <v:textbox inset="0mm,0mm,0mm,0mm">
                        <w:txbxContent>
                          <w:p w14:paraId="423ADC1D">
                            <w:pPr>
                              <w:pStyle w:val="16"/>
                              <w:spacing w:before="20" w:line="222" w:lineRule="auto"/>
                              <w:ind w:right="1"/>
                              <w:jc w:val="right"/>
                              <w:rPr>
                                <w:rFonts w:hint="default" w:eastAsia="宋体"/>
                                <w:b w:val="0"/>
                                <w:bCs w:val="0"/>
                                <w:sz w:val="21"/>
                                <w:szCs w:val="21"/>
                                <w:lang w:val="en-US" w:eastAsia="zh-CN"/>
                              </w:rPr>
                            </w:pPr>
                            <w:r>
                              <w:rPr>
                                <w:rFonts w:hint="eastAsia"/>
                                <w:b w:val="0"/>
                                <w:bCs w:val="0"/>
                                <w:spacing w:val="-11"/>
                                <w:w w:val="95"/>
                                <w:sz w:val="21"/>
                                <w:szCs w:val="21"/>
                                <w:lang w:val="en-US" w:eastAsia="zh-CN"/>
                              </w:rPr>
                              <w:t>滤液回流至调节池</w:t>
                            </w:r>
                          </w:p>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759616" behindDoc="0" locked="0" layoutInCell="1" allowOverlap="1">
                      <wp:simplePos x="0" y="0"/>
                      <wp:positionH relativeFrom="column">
                        <wp:posOffset>3990340</wp:posOffset>
                      </wp:positionH>
                      <wp:positionV relativeFrom="paragraph">
                        <wp:posOffset>57150</wp:posOffset>
                      </wp:positionV>
                      <wp:extent cx="949325" cy="299720"/>
                      <wp:effectExtent l="5080" t="4445" r="17145" b="19685"/>
                      <wp:wrapNone/>
                      <wp:docPr id="240" name="文本框 240"/>
                      <wp:cNvGraphicFramePr/>
                      <a:graphic xmlns:a="http://schemas.openxmlformats.org/drawingml/2006/main">
                        <a:graphicData uri="http://schemas.microsoft.com/office/word/2010/wordprocessingShape">
                          <wps:wsp>
                            <wps:cNvSpPr txBox="1"/>
                            <wps:spPr>
                              <a:xfrm>
                                <a:off x="0" y="0"/>
                                <a:ext cx="949325" cy="29972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7DEA561">
                                  <w:pPr>
                                    <w:jc w:val="center"/>
                                    <w:rPr>
                                      <w:rFonts w:hint="default" w:eastAsia="宋体"/>
                                      <w:sz w:val="21"/>
                                      <w:szCs w:val="21"/>
                                      <w:lang w:val="en-US" w:eastAsia="zh-CN"/>
                                    </w:rPr>
                                  </w:pPr>
                                  <w:r>
                                    <w:rPr>
                                      <w:rFonts w:hint="eastAsia"/>
                                      <w:sz w:val="21"/>
                                      <w:szCs w:val="21"/>
                                      <w:lang w:val="en-US" w:eastAsia="zh-CN"/>
                                    </w:rPr>
                                    <w:t>污泥压滤机</w:t>
                                  </w:r>
                                </w:p>
                              </w:txbxContent>
                            </wps:txbx>
                            <wps:bodyPr upright="1"/>
                          </wps:wsp>
                        </a:graphicData>
                      </a:graphic>
                    </wp:anchor>
                  </w:drawing>
                </mc:Choice>
                <mc:Fallback>
                  <w:pict>
                    <v:shape id="_x0000_s1026" o:spid="_x0000_s1026" o:spt="202" type="#_x0000_t202" style="position:absolute;left:0pt;margin-left:314.2pt;margin-top:4.5pt;height:23.6pt;width:74.75pt;z-index:251759616;mso-width-relative:page;mso-height-relative:page;" fillcolor="#FFFFFF" filled="t" stroked="t" coordsize="21600,21600" o:gfxdata="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Ps4UqDXAAAACAEAAA8AAAAAAAAAAQAgAAAA&#10;IgAAAGRycy9kb3ducmV2LnhtbFBLAQIUABQAAAAIAIdO4kA/PvVZDAIAADkEAAAOAAAAAAAAAAEA&#10;IAAAACYBAABkcnMvZTJvRG9jLnhtbFBLBQYAAAAABgAGAFkBAACkBQAAAAA=&#10;">
                      <v:fill on="t" focussize="0,0"/>
                      <v:stroke color="#000000" joinstyle="miter"/>
                      <v:imagedata o:title=""/>
                      <o:lock v:ext="edit" aspectratio="f"/>
                      <v:textbox>
                        <w:txbxContent>
                          <w:p w14:paraId="77DEA561">
                            <w:pPr>
                              <w:jc w:val="center"/>
                              <w:rPr>
                                <w:rFonts w:hint="default" w:eastAsia="宋体"/>
                                <w:sz w:val="21"/>
                                <w:szCs w:val="21"/>
                                <w:lang w:val="en-US" w:eastAsia="zh-CN"/>
                              </w:rPr>
                            </w:pPr>
                            <w:r>
                              <w:rPr>
                                <w:rFonts w:hint="eastAsia"/>
                                <w:sz w:val="21"/>
                                <w:szCs w:val="21"/>
                                <w:lang w:val="en-US" w:eastAsia="zh-CN"/>
                              </w:rPr>
                              <w:t>污泥压滤机</w:t>
                            </w:r>
                          </w:p>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723776" behindDoc="0" locked="0" layoutInCell="1" allowOverlap="1">
                      <wp:simplePos x="0" y="0"/>
                      <wp:positionH relativeFrom="column">
                        <wp:posOffset>1911350</wp:posOffset>
                      </wp:positionH>
                      <wp:positionV relativeFrom="paragraph">
                        <wp:posOffset>177800</wp:posOffset>
                      </wp:positionV>
                      <wp:extent cx="148590" cy="635"/>
                      <wp:effectExtent l="0" t="48895" r="3810" b="64770"/>
                      <wp:wrapNone/>
                      <wp:docPr id="247" name="直接连接符 247"/>
                      <wp:cNvGraphicFramePr/>
                      <a:graphic xmlns:a="http://schemas.openxmlformats.org/drawingml/2006/main">
                        <a:graphicData uri="http://schemas.microsoft.com/office/word/2010/wordprocessingShape">
                          <wps:wsp>
                            <wps:cNvCnPr/>
                            <wps:spPr>
                              <a:xfrm>
                                <a:off x="0" y="0"/>
                                <a:ext cx="148590" cy="635"/>
                              </a:xfrm>
                              <a:prstGeom prst="line">
                                <a:avLst/>
                              </a:prstGeom>
                              <a:ln w="9525" cap="flat" cmpd="sng">
                                <a:solidFill>
                                  <a:srgbClr val="000000"/>
                                </a:solidFill>
                                <a:prstDash val="solid"/>
                                <a:miter/>
                                <a:headEnd type="none" w="med" len="med"/>
                                <a:tailEnd type="arrow" w="med" len="med"/>
                              </a:ln>
                            </wps:spPr>
                            <wps:bodyPr upright="1"/>
                          </wps:wsp>
                        </a:graphicData>
                      </a:graphic>
                    </wp:anchor>
                  </w:drawing>
                </mc:Choice>
                <mc:Fallback>
                  <w:pict>
                    <v:line id="_x0000_s1026" o:spid="_x0000_s1026" o:spt="20" style="position:absolute;left:0pt;margin-left:150.5pt;margin-top:14pt;height:0.05pt;width:11.7pt;z-index:251723776;mso-width-relative:page;mso-height-relative:page;" filled="f" stroked="t" coordsize="21600,21600" o:gfxdata="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G+DUxrXAAAACQEAAA8AAAAAAAAAAQAgAAAAIgAAAGRycy9k&#10;b3ducmV2LnhtbFBLAQIUABQAAAAIAIdO4kDJjL3dAwIAAPQDAAAOAAAAAAAAAAEAIAAAACYBAABk&#10;cnMvZTJvRG9jLnhtbFBLBQYAAAAABgAGAFkBAACbBQAAAAA=&#10;">
                      <v:fill on="f" focussize="0,0"/>
                      <v:stroke color="#000000" joinstyle="miter" endarrow="open"/>
                      <v:imagedata o:title=""/>
                      <o:lock v:ext="edit" aspectratio="f"/>
                    </v:lin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707392" behindDoc="0" locked="0" layoutInCell="1" allowOverlap="1">
                      <wp:simplePos x="0" y="0"/>
                      <wp:positionH relativeFrom="column">
                        <wp:posOffset>1101725</wp:posOffset>
                      </wp:positionH>
                      <wp:positionV relativeFrom="paragraph">
                        <wp:posOffset>41910</wp:posOffset>
                      </wp:positionV>
                      <wp:extent cx="807085" cy="266065"/>
                      <wp:effectExtent l="4445" t="5080" r="7620" b="14605"/>
                      <wp:wrapNone/>
                      <wp:docPr id="169" name="文本框 169"/>
                      <wp:cNvGraphicFramePr/>
                      <a:graphic xmlns:a="http://schemas.openxmlformats.org/drawingml/2006/main">
                        <a:graphicData uri="http://schemas.microsoft.com/office/word/2010/wordprocessingShape">
                          <wps:wsp>
                            <wps:cNvSpPr txBox="1"/>
                            <wps:spPr>
                              <a:xfrm>
                                <a:off x="0" y="0"/>
                                <a:ext cx="807085" cy="26606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10E21DD">
                                  <w:pPr>
                                    <w:jc w:val="center"/>
                                    <w:rPr>
                                      <w:rFonts w:hint="default" w:eastAsia="宋体"/>
                                      <w:sz w:val="21"/>
                                      <w:szCs w:val="21"/>
                                      <w:lang w:val="en-US" w:eastAsia="zh-CN"/>
                                    </w:rPr>
                                  </w:pPr>
                                  <w:r>
                                    <w:rPr>
                                      <w:rFonts w:hint="eastAsia"/>
                                      <w:sz w:val="21"/>
                                      <w:szCs w:val="21"/>
                                      <w:lang w:val="en-US" w:eastAsia="zh-CN"/>
                                    </w:rPr>
                                    <w:t>一级O池</w:t>
                                  </w:r>
                                </w:p>
                              </w:txbxContent>
                            </wps:txbx>
                            <wps:bodyPr upright="1"/>
                          </wps:wsp>
                        </a:graphicData>
                      </a:graphic>
                    </wp:anchor>
                  </w:drawing>
                </mc:Choice>
                <mc:Fallback>
                  <w:pict>
                    <v:shape id="_x0000_s1026" o:spid="_x0000_s1026" o:spt="202" type="#_x0000_t202" style="position:absolute;left:0pt;margin-left:86.75pt;margin-top:3.3pt;height:20.95pt;width:63.55pt;z-index:251707392;mso-width-relative:page;mso-height-relative:page;" fillcolor="#FFFFFF" filled="t" stroked="t" coordsize="21600,21600" o:gfxdata="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3ZKqDdcAAAAIAQAADwAAAAAAAAABACAAAAAi&#10;AAAAZHJzL2Rvd25yZXYueG1sUEsBAhQAFAAAAAgAh07iQHZnrlkLAgAAOQQAAA4AAAAAAAAAAQAg&#10;AAAAJgEAAGRycy9lMm9Eb2MueG1sUEsFBgAAAAAGAAYAWQEAAKMFAAAAAA==&#10;">
                      <v:fill on="t" focussize="0,0"/>
                      <v:stroke color="#000000" joinstyle="miter"/>
                      <v:imagedata o:title=""/>
                      <o:lock v:ext="edit" aspectratio="f"/>
                      <v:textbox>
                        <w:txbxContent>
                          <w:p w14:paraId="210E21DD">
                            <w:pPr>
                              <w:jc w:val="center"/>
                              <w:rPr>
                                <w:rFonts w:hint="default" w:eastAsia="宋体"/>
                                <w:sz w:val="21"/>
                                <w:szCs w:val="21"/>
                                <w:lang w:val="en-US" w:eastAsia="zh-CN"/>
                              </w:rPr>
                            </w:pPr>
                            <w:r>
                              <w:rPr>
                                <w:rFonts w:hint="eastAsia"/>
                                <w:sz w:val="21"/>
                                <w:szCs w:val="21"/>
                                <w:lang w:val="en-US" w:eastAsia="zh-CN"/>
                              </w:rPr>
                              <w:t>一级O池</w:t>
                            </w:r>
                          </w:p>
                        </w:txbxContent>
                      </v:textbox>
                    </v:shape>
                  </w:pict>
                </mc:Fallback>
              </mc:AlternateContent>
            </w:r>
          </w:p>
          <w:p w14:paraId="030DF38C">
            <w:pPr>
              <w:keepNext w:val="0"/>
              <w:keepLines w:val="0"/>
              <w:pageBreakBefore w:val="0"/>
              <w:widowControl w:val="0"/>
              <w:shd w:val="clear"/>
              <w:kinsoku/>
              <w:wordWrap/>
              <w:overflowPunct/>
              <w:topLinePunct w:val="0"/>
              <w:autoSpaceDE w:val="0"/>
              <w:autoSpaceDN w:val="0"/>
              <w:bidi w:val="0"/>
              <w:adjustRightInd/>
              <w:snapToGrid/>
              <w:spacing w:line="360" w:lineRule="auto"/>
              <w:ind w:firstLine="480" w:firstLineChars="200"/>
              <w:jc w:val="center"/>
              <w:textAlignment w:val="auto"/>
              <w:rPr>
                <w:rFonts w:hint="default" w:ascii="Times New Roman" w:hAnsi="Times New Roman" w:eastAsia="宋体" w:cs="Times New Roman"/>
                <w:b/>
                <w:bCs/>
                <w:color w:val="000000" w:themeColor="text1"/>
                <w:lang w:val="en-US" w:eastAsia="zh-CN"/>
                <w14:textFill>
                  <w14:solidFill>
                    <w14:schemeClr w14:val="tx1"/>
                  </w14:solidFill>
                </w14:textFill>
              </w:rPr>
            </w:pPr>
            <w:r>
              <w:rPr>
                <w:color w:val="000000" w:themeColor="text1"/>
                <w:sz w:val="24"/>
                <w14:textFill>
                  <w14:solidFill>
                    <w14:schemeClr w14:val="tx1"/>
                  </w14:solidFill>
                </w14:textFill>
              </w:rPr>
              <mc:AlternateContent>
                <mc:Choice Requires="wps">
                  <w:drawing>
                    <wp:anchor distT="0" distB="0" distL="114300" distR="114300" simplePos="0" relativeHeight="251787264" behindDoc="0" locked="0" layoutInCell="1" allowOverlap="1">
                      <wp:simplePos x="0" y="0"/>
                      <wp:positionH relativeFrom="column">
                        <wp:posOffset>55880</wp:posOffset>
                      </wp:positionH>
                      <wp:positionV relativeFrom="paragraph">
                        <wp:posOffset>139700</wp:posOffset>
                      </wp:positionV>
                      <wp:extent cx="427990" cy="180340"/>
                      <wp:effectExtent l="6350" t="6350" r="22860" b="22860"/>
                      <wp:wrapNone/>
                      <wp:docPr id="285" name="矩形 285"/>
                      <wp:cNvGraphicFramePr/>
                      <a:graphic xmlns:a="http://schemas.openxmlformats.org/drawingml/2006/main">
                        <a:graphicData uri="http://schemas.microsoft.com/office/word/2010/wordprocessingShape">
                          <wps:wsp>
                            <wps:cNvSpPr/>
                            <wps:spPr>
                              <a:xfrm>
                                <a:off x="0" y="0"/>
                                <a:ext cx="427990" cy="180340"/>
                              </a:xfrm>
                              <a:prstGeom prst="rect">
                                <a:avLst/>
                              </a:prstGeom>
                              <a:solidFill>
                                <a:schemeClr val="bg1"/>
                              </a:solidFill>
                              <a:ln>
                                <a:solidFill>
                                  <a:schemeClr val="bg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4pt;margin-top:11pt;height:14.2pt;width:33.7pt;z-index:251787264;v-text-anchor:middle;mso-width-relative:page;mso-height-relative:page;" fillcolor="#FFFFFF [3212]" filled="t" stroked="t" coordsize="21600,21600" o:gfxdata="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zAQ6utUAAAAGAQAADwAAAAAAAAABACAAAAAiAAAAZHJzL2Rvd25yZXYueG1s&#10;UEsBAhQAFAAAAAgAh07iQNBh3MxtAgAA9wQAAA4AAAAAAAAAAQAgAAAAJAEAAGRycy9lMm9Eb2Mu&#10;eG1sUEsFBgAAAAAGAAYAWQEAAAMGAAAAAA==&#10;">
                      <v:fill on="t" focussize="0,0"/>
                      <v:stroke weight="1pt" color="#FFFFFF [3212]" miterlimit="8" joinstyle="miter"/>
                      <v:imagedata o:title=""/>
                      <o:lock v:ext="edit" aspectratio="f"/>
                    </v:rect>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762688" behindDoc="0" locked="0" layoutInCell="1" allowOverlap="1">
                      <wp:simplePos x="0" y="0"/>
                      <wp:positionH relativeFrom="column">
                        <wp:posOffset>2720975</wp:posOffset>
                      </wp:positionH>
                      <wp:positionV relativeFrom="paragraph">
                        <wp:posOffset>5715</wp:posOffset>
                      </wp:positionV>
                      <wp:extent cx="1285240" cy="635"/>
                      <wp:effectExtent l="0" t="48260" r="10160" b="65405"/>
                      <wp:wrapNone/>
                      <wp:docPr id="238" name="直接连接符 238"/>
                      <wp:cNvGraphicFramePr/>
                      <a:graphic xmlns:a="http://schemas.openxmlformats.org/drawingml/2006/main">
                        <a:graphicData uri="http://schemas.microsoft.com/office/word/2010/wordprocessingShape">
                          <wps:wsp>
                            <wps:cNvCnPr/>
                            <wps:spPr>
                              <a:xfrm flipH="1">
                                <a:off x="0" y="0"/>
                                <a:ext cx="1285240" cy="635"/>
                              </a:xfrm>
                              <a:prstGeom prst="line">
                                <a:avLst/>
                              </a:prstGeom>
                              <a:ln w="9525" cap="flat" cmpd="sng">
                                <a:solidFill>
                                  <a:srgbClr val="000000"/>
                                </a:solidFill>
                                <a:prstDash val="solid"/>
                                <a:miter/>
                                <a:headEnd type="none" w="med" len="med"/>
                                <a:tailEnd type="arrow" w="med" len="med"/>
                              </a:ln>
                            </wps:spPr>
                            <wps:bodyPr upright="1"/>
                          </wps:wsp>
                        </a:graphicData>
                      </a:graphic>
                    </wp:anchor>
                  </w:drawing>
                </mc:Choice>
                <mc:Fallback>
                  <w:pict>
                    <v:line id="_x0000_s1026" o:spid="_x0000_s1026" o:spt="20" style="position:absolute;left:0pt;flip:x;margin-left:214.25pt;margin-top:0.45pt;height:0.05pt;width:101.2pt;z-index:251762688;mso-width-relative:page;mso-height-relative:page;" filled="f" stroked="t" coordsize="21600,21600" o:gfxdata="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DHk6a/UAAAABgEAAA8AAAAAAAAAAQAgAAAAIgAA&#10;AGRycy9kb3ducmV2LnhtbFBLAQIUABQAAAAIAIdO4kA1XNMaDAIAAP8DAAAOAAAAAAAAAAEAIAAA&#10;ACMBAABkcnMvZTJvRG9jLnhtbFBLBQYAAAAABgAGAFkBAAChBQAAAAA=&#10;">
                      <v:fill on="f" focussize="0,0"/>
                      <v:stroke color="#000000" joinstyle="miter" endarrow="open"/>
                      <v:imagedata o:title=""/>
                      <o:lock v:ext="edit" aspectratio="f"/>
                    </v:lin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780096" behindDoc="0" locked="0" layoutInCell="1" allowOverlap="1">
                      <wp:simplePos x="0" y="0"/>
                      <wp:positionH relativeFrom="column">
                        <wp:posOffset>4394835</wp:posOffset>
                      </wp:positionH>
                      <wp:positionV relativeFrom="paragraph">
                        <wp:posOffset>137160</wp:posOffset>
                      </wp:positionV>
                      <wp:extent cx="178435" cy="184150"/>
                      <wp:effectExtent l="19685" t="4445" r="30480" b="20955"/>
                      <wp:wrapNone/>
                      <wp:docPr id="276" name="下箭头 276"/>
                      <wp:cNvGraphicFramePr/>
                      <a:graphic xmlns:a="http://schemas.openxmlformats.org/drawingml/2006/main">
                        <a:graphicData uri="http://schemas.microsoft.com/office/word/2010/wordprocessingShape">
                          <wps:wsp>
                            <wps:cNvSpPr/>
                            <wps:spPr>
                              <a:xfrm>
                                <a:off x="0" y="0"/>
                                <a:ext cx="178435" cy="184150"/>
                              </a:xfrm>
                              <a:prstGeom prst="downArrow">
                                <a:avLst>
                                  <a:gd name="adj1" fmla="val 50000"/>
                                  <a:gd name="adj2" fmla="val 25800"/>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shape id="_x0000_s1026" o:spid="_x0000_s1026" o:spt="67" type="#_x0000_t67" style="position:absolute;left:0pt;margin-left:346.05pt;margin-top:10.8pt;height:14.5pt;width:14.05pt;z-index:251780096;mso-width-relative:page;mso-height-relative:page;" fillcolor="#FFFFFF" filled="t" stroked="t" coordsize="21600,21600" o:gfxdata="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YYNxEtoAAAAJAQAADwAAAAAAAAABACAAAAAiAAAAZHJzL2Rvd25yZXYueG1sUEsBAhQA&#10;FAAAAAgAh07iQHX3SeQpAgAAegQAAA4AAAAAAAAAAQAgAAAAKQEAAGRycy9lMm9Eb2MueG1sUEsF&#10;BgAAAAAGAAYAWQEAAMQFAAAAAA==&#10;" adj="16201,5400">
                      <v:fill on="t" focussize="0,0"/>
                      <v:stroke color="#000000" joinstyle="miter"/>
                      <v:imagedata o:title=""/>
                      <o:lock v:ext="edit" aspectratio="f"/>
                    </v:shape>
                  </w:pict>
                </mc:Fallback>
              </mc:AlternateContent>
            </w:r>
            <w:r>
              <w:rPr>
                <w:color w:val="000000" w:themeColor="text1"/>
                <w14:textFill>
                  <w14:solidFill>
                    <w14:schemeClr w14:val="tx1"/>
                  </w14:solidFill>
                </w14:textFill>
              </w:rPr>
              <mc:AlternateContent>
                <mc:Choice Requires="wps">
                  <w:drawing>
                    <wp:anchor distT="0" distB="0" distL="114300" distR="114300" simplePos="0" relativeHeight="251764736" behindDoc="0" locked="0" layoutInCell="1" allowOverlap="1">
                      <wp:simplePos x="0" y="0"/>
                      <wp:positionH relativeFrom="column">
                        <wp:posOffset>2326005</wp:posOffset>
                      </wp:positionH>
                      <wp:positionV relativeFrom="paragraph">
                        <wp:posOffset>219710</wp:posOffset>
                      </wp:positionV>
                      <wp:extent cx="144145" cy="591185"/>
                      <wp:effectExtent l="0" t="0" r="0" b="0"/>
                      <wp:wrapNone/>
                      <wp:docPr id="215" name="文本框 215"/>
                      <wp:cNvGraphicFramePr/>
                      <a:graphic xmlns:a="http://schemas.openxmlformats.org/drawingml/2006/main">
                        <a:graphicData uri="http://schemas.microsoft.com/office/word/2010/wordprocessingShape">
                          <wps:wsp>
                            <wps:cNvSpPr txBox="1"/>
                            <wps:spPr>
                              <a:xfrm>
                                <a:off x="0" y="0"/>
                                <a:ext cx="144145" cy="591185"/>
                              </a:xfrm>
                              <a:prstGeom prst="rect">
                                <a:avLst/>
                              </a:prstGeom>
                              <a:noFill/>
                              <a:ln>
                                <a:noFill/>
                              </a:ln>
                            </wps:spPr>
                            <wps:txbx>
                              <w:txbxContent>
                                <w:p w14:paraId="4F04F6E1">
                                  <w:pPr>
                                    <w:pStyle w:val="16"/>
                                    <w:spacing w:before="20" w:line="222" w:lineRule="auto"/>
                                    <w:ind w:right="1"/>
                                    <w:jc w:val="right"/>
                                    <w:rPr>
                                      <w:rFonts w:hint="default" w:eastAsia="宋体"/>
                                      <w:b w:val="0"/>
                                      <w:bCs w:val="0"/>
                                      <w:sz w:val="21"/>
                                      <w:szCs w:val="21"/>
                                      <w:lang w:val="en-US" w:eastAsia="zh-CN"/>
                                    </w:rPr>
                                  </w:pPr>
                                  <w:r>
                                    <w:rPr>
                                      <w:rFonts w:hint="eastAsia"/>
                                      <w:b w:val="0"/>
                                      <w:bCs w:val="0"/>
                                      <w:sz w:val="21"/>
                                      <w:szCs w:val="21"/>
                                      <w:lang w:val="en-US" w:eastAsia="zh-CN"/>
                                    </w:rPr>
                                    <w:t>外回流</w:t>
                                  </w:r>
                                </w:p>
                              </w:txbxContent>
                            </wps:txbx>
                            <wps:bodyPr lIns="0" tIns="0" rIns="0" bIns="0" upright="1"/>
                          </wps:wsp>
                        </a:graphicData>
                      </a:graphic>
                    </wp:anchor>
                  </w:drawing>
                </mc:Choice>
                <mc:Fallback>
                  <w:pict>
                    <v:shape id="_x0000_s1026" o:spid="_x0000_s1026" o:spt="202" type="#_x0000_t202" style="position:absolute;left:0pt;margin-left:183.15pt;margin-top:17.3pt;height:46.55pt;width:11.35pt;z-index:251764736;mso-width-relative:page;mso-height-relative:page;" filled="f" stroked="f" coordsize="21600,21600" o:gfxdata="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INGmFnZAAAACgEAAA8AAAAAAAAAAQAgAAAAIgAAAGRycy9kb3ducmV2LnhtbFBL&#10;AQIUABQAAAAIAIdO4kAFhjEOvAEAAHUDAAAOAAAAAAAAAAEAIAAAACgBAABkcnMvZTJvRG9jLnht&#10;bFBLBQYAAAAABgAGAFkBAABWBQAAAAA=&#10;">
                      <v:fill on="f" focussize="0,0"/>
                      <v:stroke on="f"/>
                      <v:imagedata o:title=""/>
                      <o:lock v:ext="edit" aspectratio="f"/>
                      <v:textbox inset="0mm,0mm,0mm,0mm">
                        <w:txbxContent>
                          <w:p w14:paraId="4F04F6E1">
                            <w:pPr>
                              <w:pStyle w:val="16"/>
                              <w:spacing w:before="20" w:line="222" w:lineRule="auto"/>
                              <w:ind w:right="1"/>
                              <w:jc w:val="right"/>
                              <w:rPr>
                                <w:rFonts w:hint="default" w:eastAsia="宋体"/>
                                <w:b w:val="0"/>
                                <w:bCs w:val="0"/>
                                <w:sz w:val="21"/>
                                <w:szCs w:val="21"/>
                                <w:lang w:val="en-US" w:eastAsia="zh-CN"/>
                              </w:rPr>
                            </w:pPr>
                            <w:r>
                              <w:rPr>
                                <w:rFonts w:hint="eastAsia"/>
                                <w:b w:val="0"/>
                                <w:bCs w:val="0"/>
                                <w:sz w:val="21"/>
                                <w:szCs w:val="21"/>
                                <w:lang w:val="en-US" w:eastAsia="zh-CN"/>
                              </w:rPr>
                              <w:t>外回流</w:t>
                            </w:r>
                          </w:p>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765760" behindDoc="0" locked="0" layoutInCell="1" allowOverlap="1">
                      <wp:simplePos x="0" y="0"/>
                      <wp:positionH relativeFrom="column">
                        <wp:posOffset>1405255</wp:posOffset>
                      </wp:positionH>
                      <wp:positionV relativeFrom="paragraph">
                        <wp:posOffset>85090</wp:posOffset>
                      </wp:positionV>
                      <wp:extent cx="178435" cy="184150"/>
                      <wp:effectExtent l="19685" t="4445" r="30480" b="20955"/>
                      <wp:wrapNone/>
                      <wp:docPr id="262" name="下箭头 262"/>
                      <wp:cNvGraphicFramePr/>
                      <a:graphic xmlns:a="http://schemas.openxmlformats.org/drawingml/2006/main">
                        <a:graphicData uri="http://schemas.microsoft.com/office/word/2010/wordprocessingShape">
                          <wps:wsp>
                            <wps:cNvSpPr/>
                            <wps:spPr>
                              <a:xfrm>
                                <a:off x="0" y="0"/>
                                <a:ext cx="178435" cy="184150"/>
                              </a:xfrm>
                              <a:prstGeom prst="downArrow">
                                <a:avLst>
                                  <a:gd name="adj1" fmla="val 50000"/>
                                  <a:gd name="adj2" fmla="val 25800"/>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shape id="_x0000_s1026" o:spid="_x0000_s1026" o:spt="67" type="#_x0000_t67" style="position:absolute;left:0pt;margin-left:110.65pt;margin-top:6.7pt;height:14.5pt;width:14.05pt;z-index:251765760;mso-width-relative:page;mso-height-relative:page;" fillcolor="#FFFFFF" filled="t" stroked="t" coordsize="21600,21600" o:gfxdata="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FlZA2TaAAAACQEAAA8AAAAAAAAAAQAgAAAAIgAAAGRycy9kb3ducmV2LnhtbFBLAQIU&#10;ABQAAAAIAIdO4kCSeR1KKgIAAHoEAAAOAAAAAAAAAAEAIAAAACkBAABkcnMvZTJvRG9jLnhtbFBL&#10;BQYAAAAABgAGAFkBAADFBQAAAAA=&#10;" adj="16201,5400">
                      <v:fill on="t" focussize="0,0"/>
                      <v:stroke color="#000000" joinstyle="miter"/>
                      <v:imagedata o:title=""/>
                      <o:lock v:ext="edit" aspectratio="f"/>
                    </v:shape>
                  </w:pict>
                </mc:Fallback>
              </mc:AlternateContent>
            </w:r>
          </w:p>
          <w:p w14:paraId="3651D12F">
            <w:pPr>
              <w:keepNext w:val="0"/>
              <w:keepLines w:val="0"/>
              <w:pageBreakBefore w:val="0"/>
              <w:widowControl w:val="0"/>
              <w:shd w:val="clear"/>
              <w:kinsoku/>
              <w:wordWrap/>
              <w:overflowPunct/>
              <w:topLinePunct w:val="0"/>
              <w:autoSpaceDE w:val="0"/>
              <w:autoSpaceDN w:val="0"/>
              <w:bidi w:val="0"/>
              <w:adjustRightInd/>
              <w:snapToGrid/>
              <w:spacing w:line="360" w:lineRule="auto"/>
              <w:ind w:firstLine="420" w:firstLineChars="200"/>
              <w:jc w:val="center"/>
              <w:textAlignment w:val="auto"/>
              <w:rPr>
                <w:rFonts w:hint="default" w:ascii="Times New Roman" w:hAnsi="Times New Roman" w:eastAsia="宋体" w:cs="Times New Roman"/>
                <w:b/>
                <w:bCs/>
                <w:color w:val="000000" w:themeColor="text1"/>
                <w:lang w:val="en-US" w:eastAsia="zh-CN"/>
                <w14:textFill>
                  <w14:solidFill>
                    <w14:schemeClr w14:val="tx1"/>
                  </w14:solidFill>
                </w14:textFill>
              </w:rPr>
            </w:pPr>
            <w:r>
              <w:rPr>
                <w:color w:val="000000" w:themeColor="text1"/>
                <w14:textFill>
                  <w14:solidFill>
                    <w14:schemeClr w14:val="tx1"/>
                  </w14:solidFill>
                </w14:textFill>
              </w:rPr>
              <mc:AlternateContent>
                <mc:Choice Requires="wps">
                  <w:drawing>
                    <wp:anchor distT="0" distB="0" distL="114300" distR="114300" simplePos="0" relativeHeight="251790336" behindDoc="0" locked="0" layoutInCell="1" allowOverlap="1">
                      <wp:simplePos x="0" y="0"/>
                      <wp:positionH relativeFrom="column">
                        <wp:posOffset>323850</wp:posOffset>
                      </wp:positionH>
                      <wp:positionV relativeFrom="paragraph">
                        <wp:posOffset>50800</wp:posOffset>
                      </wp:positionV>
                      <wp:extent cx="655955" cy="220980"/>
                      <wp:effectExtent l="0" t="0" r="0" b="0"/>
                      <wp:wrapNone/>
                      <wp:docPr id="288" name="文本框 288"/>
                      <wp:cNvGraphicFramePr/>
                      <a:graphic xmlns:a="http://schemas.openxmlformats.org/drawingml/2006/main">
                        <a:graphicData uri="http://schemas.microsoft.com/office/word/2010/wordprocessingShape">
                          <wps:wsp>
                            <wps:cNvSpPr txBox="1"/>
                            <wps:spPr>
                              <a:xfrm>
                                <a:off x="0" y="0"/>
                                <a:ext cx="655955" cy="220980"/>
                              </a:xfrm>
                              <a:prstGeom prst="rect">
                                <a:avLst/>
                              </a:prstGeom>
                              <a:noFill/>
                              <a:ln>
                                <a:noFill/>
                              </a:ln>
                            </wps:spPr>
                            <wps:txbx>
                              <w:txbxContent>
                                <w:p w14:paraId="43FDBC9C">
                                  <w:pPr>
                                    <w:pStyle w:val="16"/>
                                    <w:spacing w:before="20" w:line="222" w:lineRule="auto"/>
                                    <w:ind w:right="1"/>
                                    <w:jc w:val="right"/>
                                    <w:rPr>
                                      <w:rFonts w:hint="default" w:eastAsia="宋体"/>
                                      <w:b w:val="0"/>
                                      <w:bCs w:val="0"/>
                                      <w:sz w:val="13"/>
                                      <w:szCs w:val="13"/>
                                      <w:lang w:val="en-US" w:eastAsia="zh-CN"/>
                                    </w:rPr>
                                  </w:pPr>
                                  <w:r>
                                    <w:rPr>
                                      <w:rFonts w:hint="eastAsia"/>
                                      <w:b w:val="0"/>
                                      <w:bCs w:val="0"/>
                                      <w:sz w:val="21"/>
                                      <w:szCs w:val="21"/>
                                      <w:lang w:val="en-US" w:eastAsia="zh-CN"/>
                                    </w:rPr>
                                    <w:t>曝气风机</w:t>
                                  </w:r>
                                </w:p>
                              </w:txbxContent>
                            </wps:txbx>
                            <wps:bodyPr lIns="0" tIns="0" rIns="0" bIns="0" upright="1"/>
                          </wps:wsp>
                        </a:graphicData>
                      </a:graphic>
                    </wp:anchor>
                  </w:drawing>
                </mc:Choice>
                <mc:Fallback>
                  <w:pict>
                    <v:shape id="_x0000_s1026" o:spid="_x0000_s1026" o:spt="202" type="#_x0000_t202" style="position:absolute;left:0pt;margin-left:25.5pt;margin-top:4pt;height:17.4pt;width:51.65pt;z-index:251790336;mso-width-relative:page;mso-height-relative:page;" filled="f" stroked="f" coordsize="21600,21600" o:gfxdata="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X4ZkFdcAAAAHAQAADwAAAAAAAAABACAAAAAiAAAAZHJzL2Rvd25yZXYueG1sUEsB&#10;AhQAFAAAAAgAh07iQA47zPy9AQAAdQMAAA4AAAAAAAAAAQAgAAAAJgEAAGRycy9lMm9Eb2MueG1s&#10;UEsFBgAAAAAGAAYAWQEAAFUFAAAAAA==&#10;">
                      <v:fill on="f" focussize="0,0"/>
                      <v:stroke on="f"/>
                      <v:imagedata o:title=""/>
                      <o:lock v:ext="edit" aspectratio="f"/>
                      <v:textbox inset="0mm,0mm,0mm,0mm">
                        <w:txbxContent>
                          <w:p w14:paraId="43FDBC9C">
                            <w:pPr>
                              <w:pStyle w:val="16"/>
                              <w:spacing w:before="20" w:line="222" w:lineRule="auto"/>
                              <w:ind w:right="1"/>
                              <w:jc w:val="right"/>
                              <w:rPr>
                                <w:rFonts w:hint="default" w:eastAsia="宋体"/>
                                <w:b w:val="0"/>
                                <w:bCs w:val="0"/>
                                <w:sz w:val="13"/>
                                <w:szCs w:val="13"/>
                                <w:lang w:val="en-US" w:eastAsia="zh-CN"/>
                              </w:rPr>
                            </w:pPr>
                            <w:r>
                              <w:rPr>
                                <w:rFonts w:hint="eastAsia"/>
                                <w:b w:val="0"/>
                                <w:bCs w:val="0"/>
                                <w:sz w:val="21"/>
                                <w:szCs w:val="21"/>
                                <w:lang w:val="en-US" w:eastAsia="zh-CN"/>
                              </w:rPr>
                              <w:t>曝气风机</w:t>
                            </w:r>
                          </w:p>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712512" behindDoc="0" locked="0" layoutInCell="1" allowOverlap="1">
                      <wp:simplePos x="0" y="0"/>
                      <wp:positionH relativeFrom="column">
                        <wp:posOffset>970915</wp:posOffset>
                      </wp:positionH>
                      <wp:positionV relativeFrom="paragraph">
                        <wp:posOffset>126365</wp:posOffset>
                      </wp:positionV>
                      <wp:extent cx="130810" cy="76200"/>
                      <wp:effectExtent l="4445" t="12700" r="17145" b="25400"/>
                      <wp:wrapNone/>
                      <wp:docPr id="153" name="右箭头 153"/>
                      <wp:cNvGraphicFramePr/>
                      <a:graphic xmlns:a="http://schemas.openxmlformats.org/drawingml/2006/main">
                        <a:graphicData uri="http://schemas.microsoft.com/office/word/2010/wordprocessingShape">
                          <wps:wsp>
                            <wps:cNvSpPr/>
                            <wps:spPr>
                              <a:xfrm>
                                <a:off x="0" y="0"/>
                                <a:ext cx="130810" cy="76200"/>
                              </a:xfrm>
                              <a:prstGeom prst="rightArrow">
                                <a:avLst>
                                  <a:gd name="adj1" fmla="val 50000"/>
                                  <a:gd name="adj2" fmla="val 42916"/>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shape id="_x0000_s1026" o:spid="_x0000_s1026" o:spt="13" type="#_x0000_t13" style="position:absolute;left:0pt;margin-left:76.45pt;margin-top:9.95pt;height:6pt;width:10.3pt;z-index:251712512;mso-width-relative:page;mso-height-relative:page;" fillcolor="#FFFFFF" filled="t" stroked="t" coordsize="21600,21600" o:gfxdata="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GWh9UtoAAAAJAQAADwAAAAAAAAABACAAAAAiAAAAZHJzL2Rvd25yZXYueG1sUEsBAhQAFAAA&#10;AAgAh07iQEzTXjAmAgAAegQAAA4AAAAAAAAAAQAgAAAAKQEAAGRycy9lMm9Eb2MueG1sUEsFBgAA&#10;AAAGAAYAWQEAAMEFAAAAAA==&#10;" adj="16201,5400">
                      <v:fill on="t" focussize="0,0"/>
                      <v:stroke color="#000000" joinstyle="miter"/>
                      <v:imagedata o:title=""/>
                      <o:lock v:ext="edit" aspectratio="f"/>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760640" behindDoc="0" locked="0" layoutInCell="1" allowOverlap="1">
                      <wp:simplePos x="0" y="0"/>
                      <wp:positionH relativeFrom="column">
                        <wp:posOffset>4077335</wp:posOffset>
                      </wp:positionH>
                      <wp:positionV relativeFrom="paragraph">
                        <wp:posOffset>100330</wp:posOffset>
                      </wp:positionV>
                      <wp:extent cx="807085" cy="266065"/>
                      <wp:effectExtent l="4445" t="5080" r="7620" b="14605"/>
                      <wp:wrapNone/>
                      <wp:docPr id="219" name="文本框 219"/>
                      <wp:cNvGraphicFramePr/>
                      <a:graphic xmlns:a="http://schemas.openxmlformats.org/drawingml/2006/main">
                        <a:graphicData uri="http://schemas.microsoft.com/office/word/2010/wordprocessingShape">
                          <wps:wsp>
                            <wps:cNvSpPr txBox="1"/>
                            <wps:spPr>
                              <a:xfrm>
                                <a:off x="0" y="0"/>
                                <a:ext cx="807085" cy="26606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23F5E38">
                                  <w:pPr>
                                    <w:jc w:val="center"/>
                                    <w:rPr>
                                      <w:rFonts w:hint="default" w:eastAsia="宋体"/>
                                      <w:sz w:val="21"/>
                                      <w:szCs w:val="21"/>
                                      <w:lang w:val="en-US" w:eastAsia="zh-CN"/>
                                    </w:rPr>
                                  </w:pPr>
                                  <w:r>
                                    <w:rPr>
                                      <w:rFonts w:hint="eastAsia"/>
                                      <w:sz w:val="21"/>
                                      <w:szCs w:val="21"/>
                                      <w:lang w:val="en-US" w:eastAsia="zh-CN"/>
                                    </w:rPr>
                                    <w:t>污泥暂存</w:t>
                                  </w:r>
                                </w:p>
                              </w:txbxContent>
                            </wps:txbx>
                            <wps:bodyPr upright="1"/>
                          </wps:wsp>
                        </a:graphicData>
                      </a:graphic>
                    </wp:anchor>
                  </w:drawing>
                </mc:Choice>
                <mc:Fallback>
                  <w:pict>
                    <v:shape id="_x0000_s1026" o:spid="_x0000_s1026" o:spt="202" type="#_x0000_t202" style="position:absolute;left:0pt;margin-left:321.05pt;margin-top:7.9pt;height:20.95pt;width:63.55pt;z-index:251760640;mso-width-relative:page;mso-height-relative:page;" fillcolor="#FFFFFF" filled="t" stroked="t" coordsize="21600,21600" o:gfxdata="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BCPP3U2QAAAAkBAAAPAAAAAAAAAAEAIAAA&#10;ACIAAABkcnMvZG93bnJldi54bWxQSwECFAAUAAAACACHTuJAq4GAogsCAAA5BAAADgAAAAAAAAAB&#10;ACAAAAAoAQAAZHJzL2Uyb0RvYy54bWxQSwUGAAAAAAYABgBZAQAApQUAAAAA&#10;">
                      <v:fill on="t" focussize="0,0"/>
                      <v:stroke color="#000000" joinstyle="miter"/>
                      <v:imagedata o:title=""/>
                      <o:lock v:ext="edit" aspectratio="f"/>
                      <v:textbox>
                        <w:txbxContent>
                          <w:p w14:paraId="123F5E38">
                            <w:pPr>
                              <w:jc w:val="center"/>
                              <w:rPr>
                                <w:rFonts w:hint="default" w:eastAsia="宋体"/>
                                <w:sz w:val="21"/>
                                <w:szCs w:val="21"/>
                                <w:lang w:val="en-US" w:eastAsia="zh-CN"/>
                              </w:rPr>
                            </w:pPr>
                            <w:r>
                              <w:rPr>
                                <w:rFonts w:hint="eastAsia"/>
                                <w:sz w:val="21"/>
                                <w:szCs w:val="21"/>
                                <w:lang w:val="en-US" w:eastAsia="zh-CN"/>
                              </w:rPr>
                              <w:t>污泥暂存</w:t>
                            </w:r>
                          </w:p>
                        </w:txbxContent>
                      </v:textbox>
                    </v:shape>
                  </w:pict>
                </mc:Fallback>
              </mc:AlternateContent>
            </w:r>
            <w:r>
              <w:rPr>
                <w:color w:val="000000" w:themeColor="text1"/>
                <w:sz w:val="21"/>
                <w14:textFill>
                  <w14:solidFill>
                    <w14:schemeClr w14:val="tx1"/>
                  </w14:solidFill>
                </w14:textFill>
              </w:rPr>
              <mc:AlternateContent>
                <mc:Choice Requires="wps">
                  <w:drawing>
                    <wp:anchor distT="0" distB="0" distL="114300" distR="114300" simplePos="0" relativeHeight="251728896" behindDoc="0" locked="0" layoutInCell="1" allowOverlap="1">
                      <wp:simplePos x="0" y="0"/>
                      <wp:positionH relativeFrom="column">
                        <wp:posOffset>2059940</wp:posOffset>
                      </wp:positionH>
                      <wp:positionV relativeFrom="paragraph">
                        <wp:posOffset>180975</wp:posOffset>
                      </wp:positionV>
                      <wp:extent cx="635" cy="465455"/>
                      <wp:effectExtent l="48895" t="0" r="64770" b="10795"/>
                      <wp:wrapNone/>
                      <wp:docPr id="243" name="直接连接符 243"/>
                      <wp:cNvGraphicFramePr/>
                      <a:graphic xmlns:a="http://schemas.openxmlformats.org/drawingml/2006/main">
                        <a:graphicData uri="http://schemas.microsoft.com/office/word/2010/wordprocessingShape">
                          <wps:wsp>
                            <wps:cNvCnPr/>
                            <wps:spPr>
                              <a:xfrm flipV="1">
                                <a:off x="0" y="0"/>
                                <a:ext cx="635" cy="465455"/>
                              </a:xfrm>
                              <a:prstGeom prst="line">
                                <a:avLst/>
                              </a:prstGeom>
                              <a:ln w="9525" cap="flat" cmpd="sng">
                                <a:solidFill>
                                  <a:srgbClr val="000000"/>
                                </a:solidFill>
                                <a:prstDash val="solid"/>
                                <a:miter/>
                                <a:headEnd type="none" w="med" len="med"/>
                                <a:tailEnd type="arrow" w="med" len="med"/>
                              </a:ln>
                            </wps:spPr>
                            <wps:bodyPr upright="1"/>
                          </wps:wsp>
                        </a:graphicData>
                      </a:graphic>
                    </wp:anchor>
                  </w:drawing>
                </mc:Choice>
                <mc:Fallback>
                  <w:pict>
                    <v:line id="_x0000_s1026" o:spid="_x0000_s1026" o:spt="20" style="position:absolute;left:0pt;flip:y;margin-left:162.2pt;margin-top:14.25pt;height:36.65pt;width:0.05pt;z-index:251728896;mso-width-relative:page;mso-height-relative:page;" filled="f" stroked="t" coordsize="21600,21600" o:gfxdata="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ANvbOx1wAAAAoBAAAPAAAAAAAAAAEAIAAAACIA&#10;AABkcnMvZG93bnJldi54bWxQSwECFAAUAAAACACHTuJAAaAalQoCAAD+AwAADgAAAAAAAAABACAA&#10;AAAmAQAAZHJzL2Uyb0RvYy54bWxQSwUGAAAAAAYABgBZAQAAogUAAAAA&#10;">
                      <v:fill on="f" focussize="0,0"/>
                      <v:stroke color="#000000" joinstyle="miter" endarrow="open"/>
                      <v:imagedata o:title=""/>
                      <o:lock v:ext="edit" aspectratio="f"/>
                    </v:lin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769856" behindDoc="0" locked="0" layoutInCell="1" allowOverlap="1">
                      <wp:simplePos x="0" y="0"/>
                      <wp:positionH relativeFrom="column">
                        <wp:posOffset>1908810</wp:posOffset>
                      </wp:positionH>
                      <wp:positionV relativeFrom="paragraph">
                        <wp:posOffset>189865</wp:posOffset>
                      </wp:positionV>
                      <wp:extent cx="127000" cy="635"/>
                      <wp:effectExtent l="0" t="48895" r="6350" b="64770"/>
                      <wp:wrapNone/>
                      <wp:docPr id="267" name="直接连接符 267"/>
                      <wp:cNvGraphicFramePr/>
                      <a:graphic xmlns:a="http://schemas.openxmlformats.org/drawingml/2006/main">
                        <a:graphicData uri="http://schemas.microsoft.com/office/word/2010/wordprocessingShape">
                          <wps:wsp>
                            <wps:cNvCnPr/>
                            <wps:spPr>
                              <a:xfrm flipH="1">
                                <a:off x="0" y="0"/>
                                <a:ext cx="127000" cy="635"/>
                              </a:xfrm>
                              <a:prstGeom prst="line">
                                <a:avLst/>
                              </a:prstGeom>
                              <a:ln w="9525" cap="flat" cmpd="sng">
                                <a:solidFill>
                                  <a:srgbClr val="000000"/>
                                </a:solidFill>
                                <a:prstDash val="solid"/>
                                <a:miter/>
                                <a:headEnd type="none" w="med" len="med"/>
                                <a:tailEnd type="arrow" w="med" len="med"/>
                              </a:ln>
                            </wps:spPr>
                            <wps:bodyPr upright="1"/>
                          </wps:wsp>
                        </a:graphicData>
                      </a:graphic>
                    </wp:anchor>
                  </w:drawing>
                </mc:Choice>
                <mc:Fallback>
                  <w:pict>
                    <v:line id="_x0000_s1026" o:spid="_x0000_s1026" o:spt="20" style="position:absolute;left:0pt;flip:x;margin-left:150.3pt;margin-top:14.95pt;height:0.05pt;width:10pt;z-index:251769856;mso-width-relative:page;mso-height-relative:page;" filled="f" stroked="t" coordsize="21600,21600" o:gfxdata="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xTjdQdUAAAAJAQAADwAAAAAAAAABACAAAAAiAAAA&#10;ZHJzL2Rvd25yZXYueG1sUEsBAhQAFAAAAAgAh07iQAhhrIoKAgAA/gMAAA4AAAAAAAAAAQAgAAAA&#10;JAEAAGRycy9lMm9Eb2MueG1sUEsFBgAAAAAGAAYAWQEAAKAFAAAAAA==&#10;">
                      <v:fill on="f" focussize="0,0"/>
                      <v:stroke color="#000000" joinstyle="miter" endarrow="open"/>
                      <v:imagedata o:title=""/>
                      <o:lock v:ext="edit" aspectratio="f"/>
                    </v:lin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766784" behindDoc="0" locked="0" layoutInCell="1" allowOverlap="1">
                      <wp:simplePos x="0" y="0"/>
                      <wp:positionH relativeFrom="column">
                        <wp:posOffset>1102360</wp:posOffset>
                      </wp:positionH>
                      <wp:positionV relativeFrom="paragraph">
                        <wp:posOffset>35560</wp:posOffset>
                      </wp:positionV>
                      <wp:extent cx="807085" cy="266065"/>
                      <wp:effectExtent l="4445" t="5080" r="7620" b="14605"/>
                      <wp:wrapNone/>
                      <wp:docPr id="264" name="文本框 264"/>
                      <wp:cNvGraphicFramePr/>
                      <a:graphic xmlns:a="http://schemas.openxmlformats.org/drawingml/2006/main">
                        <a:graphicData uri="http://schemas.microsoft.com/office/word/2010/wordprocessingShape">
                          <wps:wsp>
                            <wps:cNvSpPr txBox="1"/>
                            <wps:spPr>
                              <a:xfrm>
                                <a:off x="0" y="0"/>
                                <a:ext cx="807085" cy="26606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7658F7F">
                                  <w:pPr>
                                    <w:jc w:val="center"/>
                                    <w:rPr>
                                      <w:rFonts w:hint="default" w:eastAsia="宋体"/>
                                      <w:sz w:val="21"/>
                                      <w:szCs w:val="21"/>
                                      <w:lang w:val="en-US" w:eastAsia="zh-CN"/>
                                    </w:rPr>
                                  </w:pPr>
                                  <w:r>
                                    <w:rPr>
                                      <w:rFonts w:hint="eastAsia"/>
                                      <w:sz w:val="21"/>
                                      <w:szCs w:val="21"/>
                                      <w:lang w:val="en-US" w:eastAsia="zh-CN"/>
                                    </w:rPr>
                                    <w:t>二级A池</w:t>
                                  </w:r>
                                </w:p>
                              </w:txbxContent>
                            </wps:txbx>
                            <wps:bodyPr upright="1"/>
                          </wps:wsp>
                        </a:graphicData>
                      </a:graphic>
                    </wp:anchor>
                  </w:drawing>
                </mc:Choice>
                <mc:Fallback>
                  <w:pict>
                    <v:shape id="_x0000_s1026" o:spid="_x0000_s1026" o:spt="202" type="#_x0000_t202" style="position:absolute;left:0pt;margin-left:86.8pt;margin-top:2.8pt;height:20.95pt;width:63.55pt;z-index:251766784;mso-width-relative:page;mso-height-relative:page;" fillcolor="#FFFFFF" filled="t" stroked="t" coordsize="21600,21600" o:gfxdata="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0N3sjNcAAAAIAQAADwAAAAAAAAABACAAAAAi&#10;AAAAZHJzL2Rvd25yZXYueG1sUEsBAhQAFAAAAAgAh07iQF7QBuMLAgAAOQQAAA4AAAAAAAAAAQAg&#10;AAAAJgEAAGRycy9lMm9Eb2MueG1sUEsFBgAAAAAGAAYAWQEAAKMFAAAAAA==&#10;">
                      <v:fill on="t" focussize="0,0"/>
                      <v:stroke color="#000000" joinstyle="miter"/>
                      <v:imagedata o:title=""/>
                      <o:lock v:ext="edit" aspectratio="f"/>
                      <v:textbox>
                        <w:txbxContent>
                          <w:p w14:paraId="77658F7F">
                            <w:pPr>
                              <w:jc w:val="center"/>
                              <w:rPr>
                                <w:rFonts w:hint="default" w:eastAsia="宋体"/>
                                <w:sz w:val="21"/>
                                <w:szCs w:val="21"/>
                                <w:lang w:val="en-US" w:eastAsia="zh-CN"/>
                              </w:rPr>
                            </w:pPr>
                            <w:r>
                              <w:rPr>
                                <w:rFonts w:hint="eastAsia"/>
                                <w:sz w:val="21"/>
                                <w:szCs w:val="21"/>
                                <w:lang w:val="en-US" w:eastAsia="zh-CN"/>
                              </w:rPr>
                              <w:t>二级A池</w:t>
                            </w:r>
                          </w:p>
                        </w:txbxContent>
                      </v:textbox>
                    </v:shape>
                  </w:pict>
                </mc:Fallback>
              </mc:AlternateContent>
            </w:r>
          </w:p>
          <w:p w14:paraId="5AF21AEB">
            <w:pPr>
              <w:keepNext w:val="0"/>
              <w:keepLines w:val="0"/>
              <w:pageBreakBefore w:val="0"/>
              <w:widowControl w:val="0"/>
              <w:shd w:val="clear"/>
              <w:kinsoku/>
              <w:wordWrap/>
              <w:overflowPunct/>
              <w:topLinePunct w:val="0"/>
              <w:autoSpaceDE w:val="0"/>
              <w:autoSpaceDN w:val="0"/>
              <w:bidi w:val="0"/>
              <w:adjustRightInd/>
              <w:snapToGrid/>
              <w:spacing w:line="360" w:lineRule="auto"/>
              <w:ind w:firstLine="480" w:firstLineChars="200"/>
              <w:jc w:val="center"/>
              <w:textAlignment w:val="auto"/>
              <w:rPr>
                <w:rFonts w:hint="default" w:ascii="Times New Roman" w:hAnsi="Times New Roman" w:eastAsia="宋体" w:cs="Times New Roman"/>
                <w:b/>
                <w:bCs/>
                <w:color w:val="000000" w:themeColor="text1"/>
                <w:lang w:val="en-US" w:eastAsia="zh-CN"/>
                <w14:textFill>
                  <w14:solidFill>
                    <w14:schemeClr w14:val="tx1"/>
                  </w14:solidFill>
                </w14:textFill>
              </w:rPr>
            </w:pPr>
            <w:r>
              <w:rPr>
                <w:color w:val="000000" w:themeColor="text1"/>
                <w:sz w:val="24"/>
                <w14:textFill>
                  <w14:solidFill>
                    <w14:schemeClr w14:val="tx1"/>
                  </w14:solidFill>
                </w14:textFill>
              </w:rPr>
              <mc:AlternateContent>
                <mc:Choice Requires="wps">
                  <w:drawing>
                    <wp:anchor distT="0" distB="0" distL="114300" distR="114300" simplePos="0" relativeHeight="251711488" behindDoc="0" locked="0" layoutInCell="1" allowOverlap="1">
                      <wp:simplePos x="0" y="0"/>
                      <wp:positionH relativeFrom="column">
                        <wp:posOffset>4404995</wp:posOffset>
                      </wp:positionH>
                      <wp:positionV relativeFrom="paragraph">
                        <wp:posOffset>155575</wp:posOffset>
                      </wp:positionV>
                      <wp:extent cx="178435" cy="184150"/>
                      <wp:effectExtent l="19685" t="4445" r="30480" b="20955"/>
                      <wp:wrapNone/>
                      <wp:docPr id="173" name="下箭头 173"/>
                      <wp:cNvGraphicFramePr/>
                      <a:graphic xmlns:a="http://schemas.openxmlformats.org/drawingml/2006/main">
                        <a:graphicData uri="http://schemas.microsoft.com/office/word/2010/wordprocessingShape">
                          <wps:wsp>
                            <wps:cNvSpPr/>
                            <wps:spPr>
                              <a:xfrm>
                                <a:off x="0" y="0"/>
                                <a:ext cx="178435" cy="184150"/>
                              </a:xfrm>
                              <a:prstGeom prst="downArrow">
                                <a:avLst>
                                  <a:gd name="adj1" fmla="val 50000"/>
                                  <a:gd name="adj2" fmla="val 25800"/>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shape id="_x0000_s1026" o:spid="_x0000_s1026" o:spt="67" type="#_x0000_t67" style="position:absolute;left:0pt;margin-left:346.85pt;margin-top:12.25pt;height:14.5pt;width:14.05pt;z-index:251711488;mso-width-relative:page;mso-height-relative:page;" fillcolor="#FFFFFF" filled="t" stroked="t" coordsize="21600,21600" o:gfxdata="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BJ1oTV3AAAAAkBAAAPAAAAAAAAAAEAIAAAACIAAABkcnMvZG93bnJldi54bWxQSwEC&#10;FAAUAAAACACHTuJA8N+GTSkCAAB6BAAADgAAAAAAAAABACAAAAArAQAAZHJzL2Uyb0RvYy54bWxQ&#10;SwUGAAAAAAYABgBZAQAAxgUAAAAA&#10;" adj="16201,5400">
                      <v:fill on="t" focussize="0,0"/>
                      <v:stroke color="#000000" joinstyle="miter"/>
                      <v:imagedata o:title=""/>
                      <o:lock v:ext="edit" aspectratio="f"/>
                    </v:shape>
                  </w:pict>
                </mc:Fallback>
              </mc:AlternateContent>
            </w:r>
            <w:r>
              <w:rPr>
                <w:color w:val="000000" w:themeColor="text1"/>
                <w14:textFill>
                  <w14:solidFill>
                    <w14:schemeClr w14:val="tx1"/>
                  </w14:solidFill>
                </w14:textFill>
              </w:rPr>
              <mc:AlternateContent>
                <mc:Choice Requires="wps">
                  <w:drawing>
                    <wp:anchor distT="0" distB="0" distL="114300" distR="114300" simplePos="0" relativeHeight="251771904" behindDoc="0" locked="0" layoutInCell="1" allowOverlap="1">
                      <wp:simplePos x="0" y="0"/>
                      <wp:positionH relativeFrom="column">
                        <wp:posOffset>2058670</wp:posOffset>
                      </wp:positionH>
                      <wp:positionV relativeFrom="paragraph">
                        <wp:posOffset>28575</wp:posOffset>
                      </wp:positionV>
                      <wp:extent cx="144145" cy="508635"/>
                      <wp:effectExtent l="0" t="0" r="0" b="0"/>
                      <wp:wrapNone/>
                      <wp:docPr id="269" name="文本框 269"/>
                      <wp:cNvGraphicFramePr/>
                      <a:graphic xmlns:a="http://schemas.openxmlformats.org/drawingml/2006/main">
                        <a:graphicData uri="http://schemas.microsoft.com/office/word/2010/wordprocessingShape">
                          <wps:wsp>
                            <wps:cNvSpPr txBox="1"/>
                            <wps:spPr>
                              <a:xfrm>
                                <a:off x="0" y="0"/>
                                <a:ext cx="144145" cy="508635"/>
                              </a:xfrm>
                              <a:prstGeom prst="rect">
                                <a:avLst/>
                              </a:prstGeom>
                              <a:noFill/>
                              <a:ln>
                                <a:noFill/>
                              </a:ln>
                            </wps:spPr>
                            <wps:txbx>
                              <w:txbxContent>
                                <w:p w14:paraId="5FE3C46C">
                                  <w:pPr>
                                    <w:pStyle w:val="16"/>
                                    <w:spacing w:before="20" w:line="222" w:lineRule="auto"/>
                                    <w:ind w:right="1"/>
                                    <w:jc w:val="right"/>
                                    <w:rPr>
                                      <w:rFonts w:hint="default" w:eastAsia="宋体"/>
                                      <w:b w:val="0"/>
                                      <w:bCs w:val="0"/>
                                      <w:sz w:val="21"/>
                                      <w:szCs w:val="21"/>
                                      <w:lang w:val="en-US" w:eastAsia="zh-CN"/>
                                    </w:rPr>
                                  </w:pPr>
                                  <w:r>
                                    <w:rPr>
                                      <w:rFonts w:hint="eastAsia"/>
                                      <w:b w:val="0"/>
                                      <w:bCs w:val="0"/>
                                      <w:sz w:val="21"/>
                                      <w:szCs w:val="21"/>
                                      <w:lang w:val="en-US" w:eastAsia="zh-CN"/>
                                    </w:rPr>
                                    <w:t>内回流</w:t>
                                  </w:r>
                                </w:p>
                              </w:txbxContent>
                            </wps:txbx>
                            <wps:bodyPr lIns="0" tIns="0" rIns="0" bIns="0" upright="1"/>
                          </wps:wsp>
                        </a:graphicData>
                      </a:graphic>
                    </wp:anchor>
                  </w:drawing>
                </mc:Choice>
                <mc:Fallback>
                  <w:pict>
                    <v:shape id="_x0000_s1026" o:spid="_x0000_s1026" o:spt="202" type="#_x0000_t202" style="position:absolute;left:0pt;margin-left:162.1pt;margin-top:2.25pt;height:40.05pt;width:11.35pt;z-index:251771904;mso-width-relative:page;mso-height-relative:page;" filled="f" stroked="f" coordsize="21600,21600" o:gfxdata="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NyhP+fYAAAACAEAAA8AAAAAAAAAAQAgAAAAIgAAAGRycy9kb3ducmV2LnhtbFBL&#10;AQIUABQAAAAIAIdO4kAjbzFpvQEAAHUDAAAOAAAAAAAAAAEAIAAAACcBAABkcnMvZTJvRG9jLnht&#10;bFBLBQYAAAAABgAGAFkBAABWBQAAAAA=&#10;">
                      <v:fill on="f" focussize="0,0"/>
                      <v:stroke on="f"/>
                      <v:imagedata o:title=""/>
                      <o:lock v:ext="edit" aspectratio="f"/>
                      <v:textbox inset="0mm,0mm,0mm,0mm">
                        <w:txbxContent>
                          <w:p w14:paraId="5FE3C46C">
                            <w:pPr>
                              <w:pStyle w:val="16"/>
                              <w:spacing w:before="20" w:line="222" w:lineRule="auto"/>
                              <w:ind w:right="1"/>
                              <w:jc w:val="right"/>
                              <w:rPr>
                                <w:rFonts w:hint="default" w:eastAsia="宋体"/>
                                <w:b w:val="0"/>
                                <w:bCs w:val="0"/>
                                <w:sz w:val="21"/>
                                <w:szCs w:val="21"/>
                                <w:lang w:val="en-US" w:eastAsia="zh-CN"/>
                              </w:rPr>
                            </w:pPr>
                            <w:r>
                              <w:rPr>
                                <w:rFonts w:hint="eastAsia"/>
                                <w:b w:val="0"/>
                                <w:bCs w:val="0"/>
                                <w:sz w:val="21"/>
                                <w:szCs w:val="21"/>
                                <w:lang w:val="en-US" w:eastAsia="zh-CN"/>
                              </w:rPr>
                              <w:t>内回流</w:t>
                            </w:r>
                          </w:p>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767808" behindDoc="0" locked="0" layoutInCell="1" allowOverlap="1">
                      <wp:simplePos x="0" y="0"/>
                      <wp:positionH relativeFrom="column">
                        <wp:posOffset>1424940</wp:posOffset>
                      </wp:positionH>
                      <wp:positionV relativeFrom="paragraph">
                        <wp:posOffset>75565</wp:posOffset>
                      </wp:positionV>
                      <wp:extent cx="178435" cy="184150"/>
                      <wp:effectExtent l="19685" t="4445" r="30480" b="20955"/>
                      <wp:wrapNone/>
                      <wp:docPr id="265" name="下箭头 265"/>
                      <wp:cNvGraphicFramePr/>
                      <a:graphic xmlns:a="http://schemas.openxmlformats.org/drawingml/2006/main">
                        <a:graphicData uri="http://schemas.microsoft.com/office/word/2010/wordprocessingShape">
                          <wps:wsp>
                            <wps:cNvSpPr/>
                            <wps:spPr>
                              <a:xfrm>
                                <a:off x="0" y="0"/>
                                <a:ext cx="178435" cy="184150"/>
                              </a:xfrm>
                              <a:prstGeom prst="downArrow">
                                <a:avLst>
                                  <a:gd name="adj1" fmla="val 50000"/>
                                  <a:gd name="adj2" fmla="val 25800"/>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shape id="_x0000_s1026" o:spid="_x0000_s1026" o:spt="67" type="#_x0000_t67" style="position:absolute;left:0pt;margin-left:112.2pt;margin-top:5.95pt;height:14.5pt;width:14.05pt;z-index:251767808;mso-width-relative:page;mso-height-relative:page;" fillcolor="#FFFFFF" filled="t" stroked="t" coordsize="21600,21600" o:gfxdata="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gq2ICtoAAAAJAQAADwAAAAAAAAABACAAAAAiAAAAZHJzL2Rvd25yZXYueG1sUEsBAhQA&#10;FAAAAAgAh07iQGfKet0pAgAAegQAAA4AAAAAAAAAAQAgAAAAKQEAAGRycy9lMm9Eb2MueG1sUEsF&#10;BgAAAAAGAAYAWQEAAMQFAAAAAA==&#10;" adj="16201,5400">
                      <v:fill on="t" focussize="0,0"/>
                      <v:stroke color="#000000" joinstyle="miter"/>
                      <v:imagedata o:title=""/>
                      <o:lock v:ext="edit" aspectratio="f"/>
                    </v:shape>
                  </w:pict>
                </mc:Fallback>
              </mc:AlternateContent>
            </w:r>
          </w:p>
          <w:p w14:paraId="16461C97">
            <w:pPr>
              <w:keepNext w:val="0"/>
              <w:keepLines w:val="0"/>
              <w:pageBreakBefore w:val="0"/>
              <w:widowControl w:val="0"/>
              <w:shd w:val="clear"/>
              <w:kinsoku/>
              <w:wordWrap/>
              <w:overflowPunct/>
              <w:topLinePunct w:val="0"/>
              <w:autoSpaceDE w:val="0"/>
              <w:autoSpaceDN w:val="0"/>
              <w:bidi w:val="0"/>
              <w:adjustRightInd/>
              <w:snapToGrid/>
              <w:spacing w:line="360" w:lineRule="auto"/>
              <w:ind w:firstLine="420" w:firstLineChars="200"/>
              <w:jc w:val="center"/>
              <w:textAlignment w:val="auto"/>
              <w:rPr>
                <w:rFonts w:hint="default" w:ascii="Times New Roman" w:hAnsi="Times New Roman" w:eastAsia="宋体" w:cs="Times New Roman"/>
                <w:b/>
                <w:bCs/>
                <w:color w:val="000000" w:themeColor="text1"/>
                <w:lang w:val="en-US" w:eastAsia="zh-CN"/>
                <w14:textFill>
                  <w14:solidFill>
                    <w14:schemeClr w14:val="tx1"/>
                  </w14:solidFill>
                </w14:textFill>
              </w:rPr>
            </w:pPr>
            <w:r>
              <w:rPr>
                <w:color w:val="000000" w:themeColor="text1"/>
                <w14:textFill>
                  <w14:solidFill>
                    <w14:schemeClr w14:val="tx1"/>
                  </w14:solidFill>
                </w14:textFill>
              </w:rPr>
              <mc:AlternateContent>
                <mc:Choice Requires="wps">
                  <w:drawing>
                    <wp:anchor distT="0" distB="0" distL="114300" distR="114300" simplePos="0" relativeHeight="251714560" behindDoc="0" locked="0" layoutInCell="1" allowOverlap="1">
                      <wp:simplePos x="0" y="0"/>
                      <wp:positionH relativeFrom="column">
                        <wp:posOffset>302260</wp:posOffset>
                      </wp:positionH>
                      <wp:positionV relativeFrom="paragraph">
                        <wp:posOffset>81280</wp:posOffset>
                      </wp:positionV>
                      <wp:extent cx="665480" cy="203200"/>
                      <wp:effectExtent l="0" t="0" r="0" b="0"/>
                      <wp:wrapNone/>
                      <wp:docPr id="182" name="文本框 182"/>
                      <wp:cNvGraphicFramePr/>
                      <a:graphic xmlns:a="http://schemas.openxmlformats.org/drawingml/2006/main">
                        <a:graphicData uri="http://schemas.microsoft.com/office/word/2010/wordprocessingShape">
                          <wps:wsp>
                            <wps:cNvSpPr txBox="1"/>
                            <wps:spPr>
                              <a:xfrm>
                                <a:off x="0" y="0"/>
                                <a:ext cx="665480" cy="203200"/>
                              </a:xfrm>
                              <a:prstGeom prst="rect">
                                <a:avLst/>
                              </a:prstGeom>
                              <a:noFill/>
                              <a:ln>
                                <a:noFill/>
                              </a:ln>
                            </wps:spPr>
                            <wps:txbx>
                              <w:txbxContent>
                                <w:p w14:paraId="0C9711D0">
                                  <w:pPr>
                                    <w:pStyle w:val="16"/>
                                    <w:spacing w:before="20" w:line="222" w:lineRule="auto"/>
                                    <w:ind w:right="1"/>
                                    <w:jc w:val="right"/>
                                    <w:rPr>
                                      <w:rFonts w:hint="default" w:eastAsia="宋体"/>
                                      <w:b w:val="0"/>
                                      <w:bCs w:val="0"/>
                                      <w:sz w:val="21"/>
                                      <w:szCs w:val="21"/>
                                      <w:lang w:val="en-US" w:eastAsia="zh-CN"/>
                                    </w:rPr>
                                  </w:pPr>
                                  <w:r>
                                    <w:rPr>
                                      <w:rFonts w:hint="eastAsia"/>
                                      <w:b w:val="0"/>
                                      <w:bCs w:val="0"/>
                                      <w:sz w:val="21"/>
                                      <w:szCs w:val="21"/>
                                      <w:lang w:val="en-US" w:eastAsia="zh-CN"/>
                                    </w:rPr>
                                    <w:t>曝气风机</w:t>
                                  </w:r>
                                </w:p>
                              </w:txbxContent>
                            </wps:txbx>
                            <wps:bodyPr lIns="0" tIns="0" rIns="0" bIns="0" upright="1"/>
                          </wps:wsp>
                        </a:graphicData>
                      </a:graphic>
                    </wp:anchor>
                  </w:drawing>
                </mc:Choice>
                <mc:Fallback>
                  <w:pict>
                    <v:shape id="_x0000_s1026" o:spid="_x0000_s1026" o:spt="202" type="#_x0000_t202" style="position:absolute;left:0pt;margin-left:23.8pt;margin-top:6.4pt;height:16pt;width:52.4pt;z-index:251714560;mso-width-relative:page;mso-height-relative:page;" filled="f" stroked="f" coordsize="21600,21600" o:gfxdata="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C5SQbS1gAAAAgBAAAPAAAAAAAAAAEAIAAAACIAAABkcnMvZG93bnJldi54bWxQSwECFAAU&#10;AAAACACHTuJAAliL7roBAAB1AwAADgAAAAAAAAABACAAAAAlAQAAZHJzL2Uyb0RvYy54bWxQSwUG&#10;AAAAAAYABgBZAQAAUQUAAAAA&#10;">
                      <v:fill on="f" focussize="0,0"/>
                      <v:stroke on="f"/>
                      <v:imagedata o:title=""/>
                      <o:lock v:ext="edit" aspectratio="f"/>
                      <v:textbox inset="0mm,0mm,0mm,0mm">
                        <w:txbxContent>
                          <w:p w14:paraId="0C9711D0">
                            <w:pPr>
                              <w:pStyle w:val="16"/>
                              <w:spacing w:before="20" w:line="222" w:lineRule="auto"/>
                              <w:ind w:right="1"/>
                              <w:jc w:val="right"/>
                              <w:rPr>
                                <w:rFonts w:hint="default" w:eastAsia="宋体"/>
                                <w:b w:val="0"/>
                                <w:bCs w:val="0"/>
                                <w:sz w:val="21"/>
                                <w:szCs w:val="21"/>
                                <w:lang w:val="en-US" w:eastAsia="zh-CN"/>
                              </w:rPr>
                            </w:pPr>
                            <w:r>
                              <w:rPr>
                                <w:rFonts w:hint="eastAsia"/>
                                <w:b w:val="0"/>
                                <w:bCs w:val="0"/>
                                <w:sz w:val="21"/>
                                <w:szCs w:val="21"/>
                                <w:lang w:val="en-US" w:eastAsia="zh-CN"/>
                              </w:rPr>
                              <w:t>曝气风机</w:t>
                            </w:r>
                          </w:p>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676672" behindDoc="1" locked="0" layoutInCell="1" allowOverlap="1">
                      <wp:simplePos x="0" y="0"/>
                      <wp:positionH relativeFrom="column">
                        <wp:posOffset>969010</wp:posOffset>
                      </wp:positionH>
                      <wp:positionV relativeFrom="paragraph">
                        <wp:posOffset>131445</wp:posOffset>
                      </wp:positionV>
                      <wp:extent cx="130810" cy="76200"/>
                      <wp:effectExtent l="4445" t="12700" r="17145" b="25400"/>
                      <wp:wrapNone/>
                      <wp:docPr id="179" name="右箭头 179"/>
                      <wp:cNvGraphicFramePr/>
                      <a:graphic xmlns:a="http://schemas.openxmlformats.org/drawingml/2006/main">
                        <a:graphicData uri="http://schemas.microsoft.com/office/word/2010/wordprocessingShape">
                          <wps:wsp>
                            <wps:cNvSpPr/>
                            <wps:spPr>
                              <a:xfrm>
                                <a:off x="0" y="0"/>
                                <a:ext cx="130810" cy="76200"/>
                              </a:xfrm>
                              <a:prstGeom prst="rightArrow">
                                <a:avLst>
                                  <a:gd name="adj1" fmla="val 50000"/>
                                  <a:gd name="adj2" fmla="val 42916"/>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shape id="_x0000_s1026" o:spid="_x0000_s1026" o:spt="13" type="#_x0000_t13" style="position:absolute;left:0pt;margin-left:76.3pt;margin-top:10.35pt;height:6pt;width:10.3pt;z-index:-251639808;mso-width-relative:page;mso-height-relative:page;" fillcolor="#FFFFFF" filled="t" stroked="t" coordsize="21600,21600" o:gfxdata="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aOVKT9oAAAAJAQAADwAAAAAAAAABACAAAAAiAAAAZHJzL2Rvd25yZXYueG1sUEsBAhQAFAAA&#10;AAgAh07iQJZouZAmAgAAegQAAA4AAAAAAAAAAQAgAAAAKQEAAGRycy9lMm9Eb2MueG1sUEsFBgAA&#10;AAAGAAYAWQEAAMEFAAAAAA==&#10;" adj="16201,5400">
                      <v:fill on="t" focussize="0,0"/>
                      <v:stroke color="#000000" joinstyle="miter"/>
                      <v:imagedata o:title=""/>
                      <o:lock v:ext="edit" aspectratio="f"/>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761664" behindDoc="0" locked="0" layoutInCell="1" allowOverlap="1">
                      <wp:simplePos x="0" y="0"/>
                      <wp:positionH relativeFrom="column">
                        <wp:posOffset>4080510</wp:posOffset>
                      </wp:positionH>
                      <wp:positionV relativeFrom="paragraph">
                        <wp:posOffset>123190</wp:posOffset>
                      </wp:positionV>
                      <wp:extent cx="807085" cy="266065"/>
                      <wp:effectExtent l="4445" t="5080" r="7620" b="14605"/>
                      <wp:wrapNone/>
                      <wp:docPr id="225" name="文本框 225"/>
                      <wp:cNvGraphicFramePr/>
                      <a:graphic xmlns:a="http://schemas.openxmlformats.org/drawingml/2006/main">
                        <a:graphicData uri="http://schemas.microsoft.com/office/word/2010/wordprocessingShape">
                          <wps:wsp>
                            <wps:cNvSpPr txBox="1"/>
                            <wps:spPr>
                              <a:xfrm>
                                <a:off x="0" y="0"/>
                                <a:ext cx="807085" cy="26606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C4AEDF1">
                                  <w:pPr>
                                    <w:jc w:val="center"/>
                                    <w:rPr>
                                      <w:rFonts w:hint="default" w:eastAsia="宋体"/>
                                      <w:sz w:val="21"/>
                                      <w:szCs w:val="21"/>
                                      <w:lang w:val="en-US" w:eastAsia="zh-CN"/>
                                    </w:rPr>
                                  </w:pPr>
                                  <w:r>
                                    <w:rPr>
                                      <w:rFonts w:hint="eastAsia"/>
                                      <w:sz w:val="21"/>
                                      <w:szCs w:val="21"/>
                                      <w:lang w:val="en-US" w:eastAsia="zh-CN"/>
                                    </w:rPr>
                                    <w:t>委外处置</w:t>
                                  </w:r>
                                </w:p>
                              </w:txbxContent>
                            </wps:txbx>
                            <wps:bodyPr upright="1"/>
                          </wps:wsp>
                        </a:graphicData>
                      </a:graphic>
                    </wp:anchor>
                  </w:drawing>
                </mc:Choice>
                <mc:Fallback>
                  <w:pict>
                    <v:shape id="_x0000_s1026" o:spid="_x0000_s1026" o:spt="202" type="#_x0000_t202" style="position:absolute;left:0pt;margin-left:321.3pt;margin-top:9.7pt;height:20.95pt;width:63.55pt;z-index:251761664;mso-width-relative:page;mso-height-relative:page;" fillcolor="#FFFFFF" filled="t" stroked="t" coordsize="21600,21600" o:gfxdata="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E5bjh2AAAAAkBAAAPAAAAAAAAAAEAIAAA&#10;ACIAAABkcnMvZG93bnJldi54bWxQSwECFAAUAAAACACHTuJAcEC6KAwCAAA5BAAADgAAAAAAAAAB&#10;ACAAAAAnAQAAZHJzL2Uyb0RvYy54bWxQSwUGAAAAAAYABgBZAQAApQUAAAAA&#10;">
                      <v:fill on="t" focussize="0,0"/>
                      <v:stroke color="#000000" joinstyle="miter"/>
                      <v:imagedata o:title=""/>
                      <o:lock v:ext="edit" aspectratio="f"/>
                      <v:textbox>
                        <w:txbxContent>
                          <w:p w14:paraId="7C4AEDF1">
                            <w:pPr>
                              <w:jc w:val="center"/>
                              <w:rPr>
                                <w:rFonts w:hint="default" w:eastAsia="宋体"/>
                                <w:sz w:val="21"/>
                                <w:szCs w:val="21"/>
                                <w:lang w:val="en-US" w:eastAsia="zh-CN"/>
                              </w:rPr>
                            </w:pPr>
                            <w:r>
                              <w:rPr>
                                <w:rFonts w:hint="eastAsia"/>
                                <w:sz w:val="21"/>
                                <w:szCs w:val="21"/>
                                <w:lang w:val="en-US" w:eastAsia="zh-CN"/>
                              </w:rPr>
                              <w:t>委外处置</w:t>
                            </w:r>
                          </w:p>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770880" behindDoc="0" locked="0" layoutInCell="1" allowOverlap="1">
                      <wp:simplePos x="0" y="0"/>
                      <wp:positionH relativeFrom="column">
                        <wp:posOffset>1902460</wp:posOffset>
                      </wp:positionH>
                      <wp:positionV relativeFrom="paragraph">
                        <wp:posOffset>180340</wp:posOffset>
                      </wp:positionV>
                      <wp:extent cx="148590" cy="635"/>
                      <wp:effectExtent l="0" t="48895" r="3810" b="64770"/>
                      <wp:wrapNone/>
                      <wp:docPr id="268" name="直接连接符 268"/>
                      <wp:cNvGraphicFramePr/>
                      <a:graphic xmlns:a="http://schemas.openxmlformats.org/drawingml/2006/main">
                        <a:graphicData uri="http://schemas.microsoft.com/office/word/2010/wordprocessingShape">
                          <wps:wsp>
                            <wps:cNvCnPr/>
                            <wps:spPr>
                              <a:xfrm>
                                <a:off x="0" y="0"/>
                                <a:ext cx="148590" cy="635"/>
                              </a:xfrm>
                              <a:prstGeom prst="line">
                                <a:avLst/>
                              </a:prstGeom>
                              <a:ln w="9525" cap="flat" cmpd="sng">
                                <a:solidFill>
                                  <a:srgbClr val="000000"/>
                                </a:solidFill>
                                <a:prstDash val="solid"/>
                                <a:miter/>
                                <a:headEnd type="none" w="med" len="med"/>
                                <a:tailEnd type="arrow" w="med" len="med"/>
                              </a:ln>
                            </wps:spPr>
                            <wps:bodyPr upright="1"/>
                          </wps:wsp>
                        </a:graphicData>
                      </a:graphic>
                    </wp:anchor>
                  </w:drawing>
                </mc:Choice>
                <mc:Fallback>
                  <w:pict>
                    <v:line id="_x0000_s1026" o:spid="_x0000_s1026" o:spt="20" style="position:absolute;left:0pt;margin-left:149.8pt;margin-top:14.2pt;height:0.05pt;width:11.7pt;z-index:251770880;mso-width-relative:page;mso-height-relative:page;" filled="f" stroked="t" coordsize="21600,21600" o:gfxdata="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AvOKxDXAAAACQEAAA8AAAAAAAAAAQAgAAAAIgAAAGRycy9k&#10;b3ducmV2LnhtbFBLAQIUABQAAAAIAIdO4kDVLEh5AwIAAPQDAAAOAAAAAAAAAAEAIAAAACYBAABk&#10;cnMvZTJvRG9jLnhtbFBLBQYAAAAABgAGAFkBAACbBQAAAAA=&#10;">
                      <v:fill on="f" focussize="0,0"/>
                      <v:stroke color="#000000" joinstyle="miter" endarrow="open"/>
                      <v:imagedata o:title=""/>
                      <o:lock v:ext="edit" aspectratio="f"/>
                    </v:lin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768832" behindDoc="0" locked="0" layoutInCell="1" allowOverlap="1">
                      <wp:simplePos x="0" y="0"/>
                      <wp:positionH relativeFrom="column">
                        <wp:posOffset>1092835</wp:posOffset>
                      </wp:positionH>
                      <wp:positionV relativeFrom="paragraph">
                        <wp:posOffset>42545</wp:posOffset>
                      </wp:positionV>
                      <wp:extent cx="807085" cy="266065"/>
                      <wp:effectExtent l="4445" t="5080" r="7620" b="14605"/>
                      <wp:wrapNone/>
                      <wp:docPr id="266" name="文本框 266"/>
                      <wp:cNvGraphicFramePr/>
                      <a:graphic xmlns:a="http://schemas.openxmlformats.org/drawingml/2006/main">
                        <a:graphicData uri="http://schemas.microsoft.com/office/word/2010/wordprocessingShape">
                          <wps:wsp>
                            <wps:cNvSpPr txBox="1"/>
                            <wps:spPr>
                              <a:xfrm>
                                <a:off x="0" y="0"/>
                                <a:ext cx="807085" cy="26606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6FCCBD8">
                                  <w:pPr>
                                    <w:jc w:val="center"/>
                                    <w:rPr>
                                      <w:rFonts w:hint="default" w:eastAsia="宋体"/>
                                      <w:sz w:val="21"/>
                                      <w:szCs w:val="21"/>
                                      <w:lang w:val="en-US" w:eastAsia="zh-CN"/>
                                    </w:rPr>
                                  </w:pPr>
                                  <w:r>
                                    <w:rPr>
                                      <w:rFonts w:hint="eastAsia"/>
                                      <w:sz w:val="21"/>
                                      <w:szCs w:val="21"/>
                                      <w:lang w:val="en-US" w:eastAsia="zh-CN"/>
                                    </w:rPr>
                                    <w:t>二级O池</w:t>
                                  </w:r>
                                </w:p>
                              </w:txbxContent>
                            </wps:txbx>
                            <wps:bodyPr upright="1"/>
                          </wps:wsp>
                        </a:graphicData>
                      </a:graphic>
                    </wp:anchor>
                  </w:drawing>
                </mc:Choice>
                <mc:Fallback>
                  <w:pict>
                    <v:shape id="_x0000_s1026" o:spid="_x0000_s1026" o:spt="202" type="#_x0000_t202" style="position:absolute;left:0pt;margin-left:86.05pt;margin-top:3.35pt;height:20.95pt;width:63.55pt;z-index:251768832;mso-width-relative:page;mso-height-relative:page;" fillcolor="#FFFFFF" filled="t" stroked="t" coordsize="21600,21600" o:gfxdata="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EKR6StcAAAAIAQAADwAAAAAAAAABACAAAAAi&#10;AAAAZHJzL2Rvd25yZXYueG1sUEsBAhQAFAAAAAgAh07iQB8BSqkLAgAAOQQAAA4AAAAAAAAAAQAg&#10;AAAAJgEAAGRycy9lMm9Eb2MueG1sUEsFBgAAAAAGAAYAWQEAAKMFAAAAAA==&#10;">
                      <v:fill on="t" focussize="0,0"/>
                      <v:stroke color="#000000" joinstyle="miter"/>
                      <v:imagedata o:title=""/>
                      <o:lock v:ext="edit" aspectratio="f"/>
                      <v:textbox>
                        <w:txbxContent>
                          <w:p w14:paraId="36FCCBD8">
                            <w:pPr>
                              <w:jc w:val="center"/>
                              <w:rPr>
                                <w:rFonts w:hint="default" w:eastAsia="宋体"/>
                                <w:sz w:val="21"/>
                                <w:szCs w:val="21"/>
                                <w:lang w:val="en-US" w:eastAsia="zh-CN"/>
                              </w:rPr>
                            </w:pPr>
                            <w:r>
                              <w:rPr>
                                <w:rFonts w:hint="eastAsia"/>
                                <w:sz w:val="21"/>
                                <w:szCs w:val="21"/>
                                <w:lang w:val="en-US" w:eastAsia="zh-CN"/>
                              </w:rPr>
                              <w:t>二级O池</w:t>
                            </w:r>
                          </w:p>
                        </w:txbxContent>
                      </v:textbox>
                    </v:shape>
                  </w:pict>
                </mc:Fallback>
              </mc:AlternateContent>
            </w:r>
          </w:p>
          <w:p w14:paraId="017334E4">
            <w:pPr>
              <w:keepNext w:val="0"/>
              <w:keepLines w:val="0"/>
              <w:pageBreakBefore w:val="0"/>
              <w:widowControl w:val="0"/>
              <w:shd w:val="clear"/>
              <w:kinsoku/>
              <w:wordWrap/>
              <w:overflowPunct/>
              <w:topLinePunct w:val="0"/>
              <w:autoSpaceDE w:val="0"/>
              <w:autoSpaceDN w:val="0"/>
              <w:bidi w:val="0"/>
              <w:adjustRightInd/>
              <w:snapToGrid/>
              <w:spacing w:line="360" w:lineRule="auto"/>
              <w:ind w:firstLine="480" w:firstLineChars="200"/>
              <w:jc w:val="center"/>
              <w:textAlignment w:val="auto"/>
              <w:rPr>
                <w:rFonts w:hint="default" w:ascii="Times New Roman" w:hAnsi="Times New Roman" w:eastAsia="宋体" w:cs="Times New Roman"/>
                <w:b/>
                <w:bCs/>
                <w:color w:val="000000" w:themeColor="text1"/>
                <w:lang w:val="en-US" w:eastAsia="zh-CN"/>
                <w14:textFill>
                  <w14:solidFill>
                    <w14:schemeClr w14:val="tx1"/>
                  </w14:solidFill>
                </w14:textFill>
              </w:rPr>
            </w:pPr>
            <w:r>
              <w:rPr>
                <w:color w:val="000000" w:themeColor="text1"/>
                <w:sz w:val="24"/>
                <w14:textFill>
                  <w14:solidFill>
                    <w14:schemeClr w14:val="tx1"/>
                  </w14:solidFill>
                </w14:textFill>
              </w:rPr>
              <mc:AlternateContent>
                <mc:Choice Requires="wps">
                  <w:drawing>
                    <wp:anchor distT="0" distB="0" distL="114300" distR="114300" simplePos="0" relativeHeight="251793408" behindDoc="0" locked="0" layoutInCell="1" allowOverlap="1">
                      <wp:simplePos x="0" y="0"/>
                      <wp:positionH relativeFrom="column">
                        <wp:posOffset>-45720</wp:posOffset>
                      </wp:positionH>
                      <wp:positionV relativeFrom="paragraph">
                        <wp:posOffset>118110</wp:posOffset>
                      </wp:positionV>
                      <wp:extent cx="707390" cy="180340"/>
                      <wp:effectExtent l="6350" t="6350" r="10160" b="22860"/>
                      <wp:wrapNone/>
                      <wp:docPr id="291" name="矩形 291"/>
                      <wp:cNvGraphicFramePr/>
                      <a:graphic xmlns:a="http://schemas.openxmlformats.org/drawingml/2006/main">
                        <a:graphicData uri="http://schemas.microsoft.com/office/word/2010/wordprocessingShape">
                          <wps:wsp>
                            <wps:cNvSpPr/>
                            <wps:spPr>
                              <a:xfrm>
                                <a:off x="0" y="0"/>
                                <a:ext cx="707390" cy="180340"/>
                              </a:xfrm>
                              <a:prstGeom prst="rect">
                                <a:avLst/>
                              </a:prstGeom>
                              <a:solidFill>
                                <a:schemeClr val="bg1"/>
                              </a:solidFill>
                              <a:ln>
                                <a:solidFill>
                                  <a:schemeClr val="bg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6pt;margin-top:9.3pt;height:14.2pt;width:55.7pt;z-index:251793408;v-text-anchor:middle;mso-width-relative:page;mso-height-relative:page;" fillcolor="#FFFFFF [3212]" filled="t" stroked="t" coordsize="21600,21600" o:gfxdata="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FKuGqLWAAAACAEAAA8AAAAAAAAAAQAgAAAAIgAAAGRycy9kb3ducmV2Lnht&#10;bFBLAQIUABQAAAAIAIdO4kAtDz+CbQIAAPcEAAAOAAAAAAAAAAEAIAAAACUBAABkcnMvZTJvRG9j&#10;LnhtbFBLBQYAAAAABgAGAFkBAAAEBgAAAAA=&#10;">
                      <v:fill on="t" focussize="0,0"/>
                      <v:stroke weight="1pt" color="#FFFFFF [3212]" miterlimit="8" joinstyle="miter"/>
                      <v:imagedata o:title=""/>
                      <o:lock v:ext="edit" aspectratio="f"/>
                    </v:rect>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772928" behindDoc="0" locked="0" layoutInCell="1" allowOverlap="1">
                      <wp:simplePos x="0" y="0"/>
                      <wp:positionH relativeFrom="column">
                        <wp:posOffset>1432560</wp:posOffset>
                      </wp:positionH>
                      <wp:positionV relativeFrom="paragraph">
                        <wp:posOffset>78740</wp:posOffset>
                      </wp:positionV>
                      <wp:extent cx="178435" cy="184150"/>
                      <wp:effectExtent l="19685" t="4445" r="30480" b="20955"/>
                      <wp:wrapNone/>
                      <wp:docPr id="270" name="下箭头 270"/>
                      <wp:cNvGraphicFramePr/>
                      <a:graphic xmlns:a="http://schemas.openxmlformats.org/drawingml/2006/main">
                        <a:graphicData uri="http://schemas.microsoft.com/office/word/2010/wordprocessingShape">
                          <wps:wsp>
                            <wps:cNvSpPr/>
                            <wps:spPr>
                              <a:xfrm>
                                <a:off x="0" y="0"/>
                                <a:ext cx="178435" cy="184150"/>
                              </a:xfrm>
                              <a:prstGeom prst="downArrow">
                                <a:avLst>
                                  <a:gd name="adj1" fmla="val 50000"/>
                                  <a:gd name="adj2" fmla="val 25800"/>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shape id="_x0000_s1026" o:spid="_x0000_s1026" o:spt="67" type="#_x0000_t67" style="position:absolute;left:0pt;margin-left:112.8pt;margin-top:6.2pt;height:14.5pt;width:14.05pt;z-index:251772928;mso-width-relative:page;mso-height-relative:page;" fillcolor="#FFFFFF" filled="t" stroked="t" coordsize="21600,21600" o:gfxdata="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KCXTvTbAAAACQEAAA8AAAAAAAAAAQAgAAAAIgAAAGRycy9kb3ducmV2LnhtbFBLAQIU&#10;ABQAAAAIAIdO4kCKFwmNKQIAAHoEAAAOAAAAAAAAAAEAIAAAACoBAABkcnMvZTJvRG9jLnhtbFBL&#10;BQYAAAAABgAGAFkBAADFBQAAAAA=&#10;" adj="16201,5400">
                      <v:fill on="t" focussize="0,0"/>
                      <v:stroke color="#000000" joinstyle="miter"/>
                      <v:imagedata o:title=""/>
                      <o:lock v:ext="edit" aspectratio="f"/>
                    </v:shape>
                  </w:pict>
                </mc:Fallback>
              </mc:AlternateContent>
            </w:r>
          </w:p>
          <w:p w14:paraId="481837D6">
            <w:pPr>
              <w:keepNext w:val="0"/>
              <w:keepLines w:val="0"/>
              <w:pageBreakBefore w:val="0"/>
              <w:widowControl w:val="0"/>
              <w:shd w:val="clear"/>
              <w:kinsoku/>
              <w:wordWrap/>
              <w:overflowPunct/>
              <w:topLinePunct w:val="0"/>
              <w:autoSpaceDE w:val="0"/>
              <w:autoSpaceDN w:val="0"/>
              <w:bidi w:val="0"/>
              <w:adjustRightInd/>
              <w:snapToGrid/>
              <w:spacing w:line="360" w:lineRule="auto"/>
              <w:ind w:firstLine="420" w:firstLineChars="200"/>
              <w:jc w:val="center"/>
              <w:textAlignment w:val="auto"/>
              <w:rPr>
                <w:rFonts w:hint="default" w:ascii="Times New Roman" w:hAnsi="Times New Roman" w:eastAsia="宋体" w:cs="Times New Roman"/>
                <w:b/>
                <w:bCs/>
                <w:color w:val="000000" w:themeColor="text1"/>
                <w:lang w:val="en-US" w:eastAsia="zh-CN"/>
                <w14:textFill>
                  <w14:solidFill>
                    <w14:schemeClr w14:val="tx1"/>
                  </w14:solidFill>
                </w14:textFill>
              </w:rPr>
            </w:pPr>
            <w:r>
              <w:rPr>
                <w:color w:val="000000" w:themeColor="text1"/>
                <w14:textFill>
                  <w14:solidFill>
                    <w14:schemeClr w14:val="tx1"/>
                  </w14:solidFill>
                </w14:textFill>
              </w:rPr>
              <mc:AlternateContent>
                <mc:Choice Requires="wps">
                  <w:drawing>
                    <wp:anchor distT="0" distB="0" distL="114300" distR="114300" simplePos="0" relativeHeight="251792384" behindDoc="0" locked="0" layoutInCell="1" allowOverlap="1">
                      <wp:simplePos x="0" y="0"/>
                      <wp:positionH relativeFrom="column">
                        <wp:posOffset>343535</wp:posOffset>
                      </wp:positionH>
                      <wp:positionV relativeFrom="paragraph">
                        <wp:posOffset>96520</wp:posOffset>
                      </wp:positionV>
                      <wp:extent cx="665480" cy="203200"/>
                      <wp:effectExtent l="0" t="0" r="0" b="0"/>
                      <wp:wrapNone/>
                      <wp:docPr id="290" name="文本框 290"/>
                      <wp:cNvGraphicFramePr/>
                      <a:graphic xmlns:a="http://schemas.openxmlformats.org/drawingml/2006/main">
                        <a:graphicData uri="http://schemas.microsoft.com/office/word/2010/wordprocessingShape">
                          <wps:wsp>
                            <wps:cNvSpPr txBox="1"/>
                            <wps:spPr>
                              <a:xfrm>
                                <a:off x="0" y="0"/>
                                <a:ext cx="665480" cy="203200"/>
                              </a:xfrm>
                              <a:prstGeom prst="rect">
                                <a:avLst/>
                              </a:prstGeom>
                              <a:noFill/>
                              <a:ln>
                                <a:noFill/>
                              </a:ln>
                            </wps:spPr>
                            <wps:txbx>
                              <w:txbxContent>
                                <w:p w14:paraId="46E20CCC">
                                  <w:pPr>
                                    <w:pStyle w:val="16"/>
                                    <w:spacing w:before="20" w:line="222" w:lineRule="auto"/>
                                    <w:ind w:right="1"/>
                                    <w:jc w:val="right"/>
                                    <w:rPr>
                                      <w:rFonts w:hint="default" w:eastAsia="宋体"/>
                                      <w:b w:val="0"/>
                                      <w:bCs w:val="0"/>
                                      <w:sz w:val="21"/>
                                      <w:szCs w:val="21"/>
                                      <w:lang w:val="en-US" w:eastAsia="zh-CN"/>
                                    </w:rPr>
                                  </w:pPr>
                                  <w:r>
                                    <w:rPr>
                                      <w:rFonts w:hint="eastAsia"/>
                                      <w:b w:val="0"/>
                                      <w:bCs w:val="0"/>
                                      <w:sz w:val="21"/>
                                      <w:szCs w:val="21"/>
                                      <w:lang w:val="en-US" w:eastAsia="zh-CN"/>
                                    </w:rPr>
                                    <w:t>曝气风机</w:t>
                                  </w:r>
                                </w:p>
                              </w:txbxContent>
                            </wps:txbx>
                            <wps:bodyPr lIns="0" tIns="0" rIns="0" bIns="0" upright="1"/>
                          </wps:wsp>
                        </a:graphicData>
                      </a:graphic>
                    </wp:anchor>
                  </w:drawing>
                </mc:Choice>
                <mc:Fallback>
                  <w:pict>
                    <v:shape id="_x0000_s1026" o:spid="_x0000_s1026" o:spt="202" type="#_x0000_t202" style="position:absolute;left:0pt;margin-left:27.05pt;margin-top:7.6pt;height:16pt;width:52.4pt;z-index:251792384;mso-width-relative:page;mso-height-relative:page;" filled="f" stroked="f" coordsize="21600,21600" o:gfxdata="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pkOng2AAAAAgBAAAPAAAAAAAAAAEAIAAAACIAAABkcnMvZG93bnJldi54bWxQSwEC&#10;FAAUAAAACACHTuJA6JXX/7sBAAB1AwAADgAAAAAAAAABACAAAAAnAQAAZHJzL2Uyb0RvYy54bWxQ&#10;SwUGAAAAAAYABgBZAQAAVAUAAAAA&#10;">
                      <v:fill on="f" focussize="0,0"/>
                      <v:stroke on="f"/>
                      <v:imagedata o:title=""/>
                      <o:lock v:ext="edit" aspectratio="f"/>
                      <v:textbox inset="0mm,0mm,0mm,0mm">
                        <w:txbxContent>
                          <w:p w14:paraId="46E20CCC">
                            <w:pPr>
                              <w:pStyle w:val="16"/>
                              <w:spacing w:before="20" w:line="222" w:lineRule="auto"/>
                              <w:ind w:right="1"/>
                              <w:jc w:val="right"/>
                              <w:rPr>
                                <w:rFonts w:hint="default" w:eastAsia="宋体"/>
                                <w:b w:val="0"/>
                                <w:bCs w:val="0"/>
                                <w:sz w:val="21"/>
                                <w:szCs w:val="21"/>
                                <w:lang w:val="en-US" w:eastAsia="zh-CN"/>
                              </w:rPr>
                            </w:pPr>
                            <w:r>
                              <w:rPr>
                                <w:rFonts w:hint="eastAsia"/>
                                <w:b w:val="0"/>
                                <w:bCs w:val="0"/>
                                <w:sz w:val="21"/>
                                <w:szCs w:val="21"/>
                                <w:lang w:val="en-US" w:eastAsia="zh-CN"/>
                              </w:rPr>
                              <w:t>曝气风机</w:t>
                            </w:r>
                          </w:p>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791360" behindDoc="1" locked="0" layoutInCell="1" allowOverlap="1">
                      <wp:simplePos x="0" y="0"/>
                      <wp:positionH relativeFrom="column">
                        <wp:posOffset>999490</wp:posOffset>
                      </wp:positionH>
                      <wp:positionV relativeFrom="paragraph">
                        <wp:posOffset>141605</wp:posOffset>
                      </wp:positionV>
                      <wp:extent cx="130810" cy="76200"/>
                      <wp:effectExtent l="4445" t="12700" r="17145" b="25400"/>
                      <wp:wrapNone/>
                      <wp:docPr id="289" name="右箭头 289"/>
                      <wp:cNvGraphicFramePr/>
                      <a:graphic xmlns:a="http://schemas.openxmlformats.org/drawingml/2006/main">
                        <a:graphicData uri="http://schemas.microsoft.com/office/word/2010/wordprocessingShape">
                          <wps:wsp>
                            <wps:cNvSpPr/>
                            <wps:spPr>
                              <a:xfrm>
                                <a:off x="0" y="0"/>
                                <a:ext cx="130810" cy="76200"/>
                              </a:xfrm>
                              <a:prstGeom prst="rightArrow">
                                <a:avLst>
                                  <a:gd name="adj1" fmla="val 50000"/>
                                  <a:gd name="adj2" fmla="val 42916"/>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shape id="_x0000_s1026" o:spid="_x0000_s1026" o:spt="13" type="#_x0000_t13" style="position:absolute;left:0pt;margin-left:78.7pt;margin-top:11.15pt;height:6pt;width:10.3pt;z-index:-251525120;mso-width-relative:page;mso-height-relative:page;" fillcolor="#FFFFFF" filled="t" stroked="t" coordsize="21600,21600" o:gfxdata="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gS+kBtoAAAAJAQAADwAAAAAAAAABACAAAAAiAAAAZHJzL2Rvd25yZXYueG1sUEsBAhQAFAAA&#10;AAgAh07iQP9Z9CgmAgAAegQAAA4AAAAAAAAAAQAgAAAAKQEAAGRycy9lMm9Eb2MueG1sUEsFBgAA&#10;AAAGAAYAWQEAAMEFAAAAAA==&#10;" adj="16201,5400">
                      <v:fill on="t" focussize="0,0"/>
                      <v:stroke color="#000000" joinstyle="miter"/>
                      <v:imagedata o:title=""/>
                      <o:lock v:ext="edit" aspectratio="f"/>
                    </v:shape>
                  </w:pict>
                </mc:Fallback>
              </mc:AlternateContent>
            </w:r>
            <w:r>
              <w:rPr>
                <w:color w:val="000000" w:themeColor="text1"/>
                <w:sz w:val="21"/>
                <w14:textFill>
                  <w14:solidFill>
                    <w14:schemeClr w14:val="tx1"/>
                  </w14:solidFill>
                </w14:textFill>
              </w:rPr>
              <mc:AlternateContent>
                <mc:Choice Requires="wps">
                  <w:drawing>
                    <wp:anchor distT="0" distB="0" distL="114300" distR="114300" simplePos="0" relativeHeight="251727872" behindDoc="0" locked="0" layoutInCell="1" allowOverlap="1">
                      <wp:simplePos x="0" y="0"/>
                      <wp:positionH relativeFrom="column">
                        <wp:posOffset>1938655</wp:posOffset>
                      </wp:positionH>
                      <wp:positionV relativeFrom="paragraph">
                        <wp:posOffset>154305</wp:posOffset>
                      </wp:positionV>
                      <wp:extent cx="385445" cy="635"/>
                      <wp:effectExtent l="0" t="48895" r="14605" b="64770"/>
                      <wp:wrapNone/>
                      <wp:docPr id="246" name="直接连接符 246"/>
                      <wp:cNvGraphicFramePr/>
                      <a:graphic xmlns:a="http://schemas.openxmlformats.org/drawingml/2006/main">
                        <a:graphicData uri="http://schemas.microsoft.com/office/word/2010/wordprocessingShape">
                          <wps:wsp>
                            <wps:cNvCnPr/>
                            <wps:spPr>
                              <a:xfrm flipV="1">
                                <a:off x="0" y="0"/>
                                <a:ext cx="385445" cy="635"/>
                              </a:xfrm>
                              <a:prstGeom prst="line">
                                <a:avLst/>
                              </a:prstGeom>
                              <a:ln w="9525" cap="flat" cmpd="sng">
                                <a:solidFill>
                                  <a:srgbClr val="000000"/>
                                </a:solidFill>
                                <a:prstDash val="solid"/>
                                <a:miter/>
                                <a:headEnd type="none" w="med" len="med"/>
                                <a:tailEnd type="arrow" w="med" len="med"/>
                              </a:ln>
                            </wps:spPr>
                            <wps:bodyPr upright="1"/>
                          </wps:wsp>
                        </a:graphicData>
                      </a:graphic>
                    </wp:anchor>
                  </w:drawing>
                </mc:Choice>
                <mc:Fallback>
                  <w:pict>
                    <v:line id="_x0000_s1026" o:spid="_x0000_s1026" o:spt="20" style="position:absolute;left:0pt;flip:y;margin-left:152.65pt;margin-top:12.15pt;height:0.05pt;width:30.35pt;z-index:251727872;mso-width-relative:page;mso-height-relative:page;" filled="f" stroked="t" coordsize="21600,21600" o:gfxdata="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dsTp5tgAAAAJAQAADwAAAAAAAAABACAAAAAi&#10;AAAAZHJzL2Rvd25yZXYueG1sUEsBAhQAFAAAAAgAh07iQLftTgIKAgAA/gMAAA4AAAAAAAAAAQAg&#10;AAAAJwEAAGRycy9lMm9Eb2MueG1sUEsFBgAAAAAGAAYAWQEAAKMFAAAAAA==&#10;">
                      <v:fill on="f" focussize="0,0"/>
                      <v:stroke color="#000000" joinstyle="miter" endarrow="open"/>
                      <v:imagedata o:title=""/>
                      <o:lock v:ext="edit" aspectratio="f"/>
                    </v:lin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713536" behindDoc="0" locked="0" layoutInCell="1" allowOverlap="1">
                      <wp:simplePos x="0" y="0"/>
                      <wp:positionH relativeFrom="column">
                        <wp:posOffset>1128395</wp:posOffset>
                      </wp:positionH>
                      <wp:positionV relativeFrom="paragraph">
                        <wp:posOffset>44450</wp:posOffset>
                      </wp:positionV>
                      <wp:extent cx="807085" cy="266065"/>
                      <wp:effectExtent l="4445" t="5080" r="7620" b="14605"/>
                      <wp:wrapNone/>
                      <wp:docPr id="176" name="文本框 176"/>
                      <wp:cNvGraphicFramePr/>
                      <a:graphic xmlns:a="http://schemas.openxmlformats.org/drawingml/2006/main">
                        <a:graphicData uri="http://schemas.microsoft.com/office/word/2010/wordprocessingShape">
                          <wps:wsp>
                            <wps:cNvSpPr txBox="1"/>
                            <wps:spPr>
                              <a:xfrm>
                                <a:off x="0" y="0"/>
                                <a:ext cx="807085" cy="26606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3DFE05E">
                                  <w:pPr>
                                    <w:rPr>
                                      <w:rFonts w:hint="default" w:eastAsia="宋体"/>
                                      <w:sz w:val="21"/>
                                      <w:szCs w:val="21"/>
                                      <w:lang w:val="en-US" w:eastAsia="zh-CN"/>
                                    </w:rPr>
                                  </w:pPr>
                                  <w:r>
                                    <w:rPr>
                                      <w:rFonts w:hint="eastAsia"/>
                                      <w:sz w:val="21"/>
                                      <w:szCs w:val="21"/>
                                      <w:lang w:val="en-US" w:eastAsia="zh-CN"/>
                                    </w:rPr>
                                    <w:t>MBR膜池</w:t>
                                  </w:r>
                                </w:p>
                              </w:txbxContent>
                            </wps:txbx>
                            <wps:bodyPr upright="1"/>
                          </wps:wsp>
                        </a:graphicData>
                      </a:graphic>
                    </wp:anchor>
                  </w:drawing>
                </mc:Choice>
                <mc:Fallback>
                  <w:pict>
                    <v:shape id="_x0000_s1026" o:spid="_x0000_s1026" o:spt="202" type="#_x0000_t202" style="position:absolute;left:0pt;margin-left:88.85pt;margin-top:3.5pt;height:20.95pt;width:63.55pt;z-index:251713536;mso-width-relative:page;mso-height-relative:page;" fillcolor="#FFFFFF" filled="t" stroked="t" coordsize="21600,21600" o:gfxdata="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AeEdj61gAAAAgBAAAPAAAAAAAAAAEAIAAAACIA&#10;AABkcnMvZG93bnJldi54bWxQSwECFAAUAAAACACHTuJAu6HXUAsCAAA5BAAADgAAAAAAAAABACAA&#10;AAAlAQAAZHJzL2Uyb0RvYy54bWxQSwUGAAAAAAYABgBZAQAAogUAAAAA&#10;">
                      <v:fill on="t" focussize="0,0"/>
                      <v:stroke color="#000000" joinstyle="miter"/>
                      <v:imagedata o:title=""/>
                      <o:lock v:ext="edit" aspectratio="f"/>
                      <v:textbox>
                        <w:txbxContent>
                          <w:p w14:paraId="73DFE05E">
                            <w:pPr>
                              <w:rPr>
                                <w:rFonts w:hint="default" w:eastAsia="宋体"/>
                                <w:sz w:val="21"/>
                                <w:szCs w:val="21"/>
                                <w:lang w:val="en-US" w:eastAsia="zh-CN"/>
                              </w:rPr>
                            </w:pPr>
                            <w:r>
                              <w:rPr>
                                <w:rFonts w:hint="eastAsia"/>
                                <w:sz w:val="21"/>
                                <w:szCs w:val="21"/>
                                <w:lang w:val="en-US" w:eastAsia="zh-CN"/>
                              </w:rPr>
                              <w:t>MBR膜池</w:t>
                            </w:r>
                          </w:p>
                        </w:txbxContent>
                      </v:textbox>
                    </v:shape>
                  </w:pict>
                </mc:Fallback>
              </mc:AlternateContent>
            </w:r>
          </w:p>
          <w:p w14:paraId="6925724B">
            <w:pPr>
              <w:keepNext w:val="0"/>
              <w:keepLines w:val="0"/>
              <w:pageBreakBefore w:val="0"/>
              <w:widowControl w:val="0"/>
              <w:shd w:val="clear"/>
              <w:kinsoku/>
              <w:wordWrap/>
              <w:overflowPunct/>
              <w:topLinePunct w:val="0"/>
              <w:autoSpaceDE w:val="0"/>
              <w:autoSpaceDN w:val="0"/>
              <w:bidi w:val="0"/>
              <w:adjustRightInd/>
              <w:snapToGrid/>
              <w:spacing w:line="360" w:lineRule="auto"/>
              <w:ind w:firstLine="420" w:firstLineChars="200"/>
              <w:jc w:val="center"/>
              <w:textAlignment w:val="auto"/>
              <w:rPr>
                <w:rFonts w:hint="default" w:ascii="Times New Roman" w:hAnsi="Times New Roman" w:eastAsia="宋体" w:cs="Times New Roman"/>
                <w:b/>
                <w:bCs/>
                <w:color w:val="000000" w:themeColor="text1"/>
                <w:lang w:val="en-US" w:eastAsia="zh-CN"/>
                <w14:textFill>
                  <w14:solidFill>
                    <w14:schemeClr w14:val="tx1"/>
                  </w14:solidFill>
                </w14:textFill>
              </w:rPr>
            </w:pPr>
            <w:r>
              <w:rPr>
                <w:color w:val="000000" w:themeColor="text1"/>
                <w14:textFill>
                  <w14:solidFill>
                    <w14:schemeClr w14:val="tx1"/>
                  </w14:solidFill>
                </w14:textFill>
              </w:rPr>
              <mc:AlternateContent>
                <mc:Choice Requires="wps">
                  <w:drawing>
                    <wp:anchor distT="0" distB="0" distL="114300" distR="114300" simplePos="0" relativeHeight="251716608" behindDoc="0" locked="0" layoutInCell="1" allowOverlap="1">
                      <wp:simplePos x="0" y="0"/>
                      <wp:positionH relativeFrom="column">
                        <wp:posOffset>425450</wp:posOffset>
                      </wp:positionH>
                      <wp:positionV relativeFrom="paragraph">
                        <wp:posOffset>130175</wp:posOffset>
                      </wp:positionV>
                      <wp:extent cx="449580" cy="342265"/>
                      <wp:effectExtent l="0" t="0" r="0" b="0"/>
                      <wp:wrapNone/>
                      <wp:docPr id="175" name="文本框 175"/>
                      <wp:cNvGraphicFramePr/>
                      <a:graphic xmlns:a="http://schemas.openxmlformats.org/drawingml/2006/main">
                        <a:graphicData uri="http://schemas.microsoft.com/office/word/2010/wordprocessingShape">
                          <wps:wsp>
                            <wps:cNvSpPr txBox="1"/>
                            <wps:spPr>
                              <a:xfrm>
                                <a:off x="0" y="0"/>
                                <a:ext cx="449580" cy="342265"/>
                              </a:xfrm>
                              <a:prstGeom prst="rect">
                                <a:avLst/>
                              </a:prstGeom>
                              <a:noFill/>
                              <a:ln>
                                <a:noFill/>
                              </a:ln>
                            </wps:spPr>
                            <wps:txbx>
                              <w:txbxContent>
                                <w:p w14:paraId="3095C4C8">
                                  <w:pPr>
                                    <w:pStyle w:val="16"/>
                                    <w:spacing w:before="20" w:line="222" w:lineRule="auto"/>
                                    <w:ind w:right="1"/>
                                    <w:jc w:val="right"/>
                                    <w:rPr>
                                      <w:rFonts w:hint="default" w:eastAsia="宋体"/>
                                      <w:b w:val="0"/>
                                      <w:bCs w:val="0"/>
                                      <w:sz w:val="21"/>
                                      <w:szCs w:val="21"/>
                                      <w:lang w:val="en-US" w:eastAsia="zh-CN"/>
                                    </w:rPr>
                                  </w:pPr>
                                  <w:r>
                                    <w:rPr>
                                      <w:rFonts w:hint="eastAsia"/>
                                      <w:b w:val="0"/>
                                      <w:bCs w:val="0"/>
                                      <w:sz w:val="21"/>
                                      <w:szCs w:val="21"/>
                                      <w:lang w:val="en-US" w:eastAsia="zh-CN"/>
                                    </w:rPr>
                                    <w:t>酸、次氯酸钠</w:t>
                                  </w:r>
                                </w:p>
                              </w:txbxContent>
                            </wps:txbx>
                            <wps:bodyPr lIns="0" tIns="0" rIns="0" bIns="0" upright="1"/>
                          </wps:wsp>
                        </a:graphicData>
                      </a:graphic>
                    </wp:anchor>
                  </w:drawing>
                </mc:Choice>
                <mc:Fallback>
                  <w:pict>
                    <v:shape id="_x0000_s1026" o:spid="_x0000_s1026" o:spt="202" type="#_x0000_t202" style="position:absolute;left:0pt;margin-left:33.5pt;margin-top:10.25pt;height:26.95pt;width:35.4pt;z-index:251716608;mso-width-relative:page;mso-height-relative:page;" filled="f" stroked="f" coordsize="21600,21600" o:gfxdata="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XAyLNdgAAAAIAQAADwAAAAAAAAABACAAAAAiAAAAZHJzL2Rvd25yZXYueG1sUEsB&#10;AhQAFAAAAAgAh07iQPpPA8S8AQAAdQMAAA4AAAAAAAAAAQAgAAAAJwEAAGRycy9lMm9Eb2MueG1s&#10;UEsFBgAAAAAGAAYAWQEAAFUFAAAAAA==&#10;">
                      <v:fill on="f" focussize="0,0"/>
                      <v:stroke on="f"/>
                      <v:imagedata o:title=""/>
                      <o:lock v:ext="edit" aspectratio="f"/>
                      <v:textbox inset="0mm,0mm,0mm,0mm">
                        <w:txbxContent>
                          <w:p w14:paraId="3095C4C8">
                            <w:pPr>
                              <w:pStyle w:val="16"/>
                              <w:spacing w:before="20" w:line="222" w:lineRule="auto"/>
                              <w:ind w:right="1"/>
                              <w:jc w:val="right"/>
                              <w:rPr>
                                <w:rFonts w:hint="default" w:eastAsia="宋体"/>
                                <w:b w:val="0"/>
                                <w:bCs w:val="0"/>
                                <w:sz w:val="21"/>
                                <w:szCs w:val="21"/>
                                <w:lang w:val="en-US" w:eastAsia="zh-CN"/>
                              </w:rPr>
                            </w:pPr>
                            <w:r>
                              <w:rPr>
                                <w:rFonts w:hint="eastAsia"/>
                                <w:b w:val="0"/>
                                <w:bCs w:val="0"/>
                                <w:sz w:val="21"/>
                                <w:szCs w:val="21"/>
                                <w:lang w:val="en-US" w:eastAsia="zh-CN"/>
                              </w:rPr>
                              <w:t>酸、次氯酸钠</w:t>
                            </w:r>
                          </w:p>
                        </w:txbxContent>
                      </v:textbox>
                    </v:shape>
                  </w:pict>
                </mc:Fallback>
              </mc:AlternateContent>
            </w:r>
            <w:r>
              <w:rPr>
                <w:color w:val="000000" w:themeColor="text1"/>
                <w14:textFill>
                  <w14:solidFill>
                    <w14:schemeClr w14:val="tx1"/>
                  </w14:solidFill>
                </w14:textFill>
              </w:rPr>
              <mc:AlternateContent>
                <mc:Choice Requires="wps">
                  <w:drawing>
                    <wp:anchor distT="0" distB="0" distL="114300" distR="114300" simplePos="0" relativeHeight="251720704" behindDoc="0" locked="0" layoutInCell="1" allowOverlap="1">
                      <wp:simplePos x="0" y="0"/>
                      <wp:positionH relativeFrom="column">
                        <wp:posOffset>936625</wp:posOffset>
                      </wp:positionH>
                      <wp:positionV relativeFrom="paragraph">
                        <wp:posOffset>95250</wp:posOffset>
                      </wp:positionV>
                      <wp:extent cx="449580" cy="198755"/>
                      <wp:effectExtent l="0" t="0" r="0" b="0"/>
                      <wp:wrapNone/>
                      <wp:docPr id="160" name="文本框 160"/>
                      <wp:cNvGraphicFramePr/>
                      <a:graphic xmlns:a="http://schemas.openxmlformats.org/drawingml/2006/main">
                        <a:graphicData uri="http://schemas.microsoft.com/office/word/2010/wordprocessingShape">
                          <wps:wsp>
                            <wps:cNvSpPr txBox="1"/>
                            <wps:spPr>
                              <a:xfrm>
                                <a:off x="0" y="0"/>
                                <a:ext cx="449580" cy="198755"/>
                              </a:xfrm>
                              <a:prstGeom prst="rect">
                                <a:avLst/>
                              </a:prstGeom>
                              <a:noFill/>
                              <a:ln>
                                <a:noFill/>
                              </a:ln>
                            </wps:spPr>
                            <wps:txbx>
                              <w:txbxContent>
                                <w:p w14:paraId="6E46FF68">
                                  <w:pPr>
                                    <w:pStyle w:val="16"/>
                                    <w:spacing w:before="20" w:line="222" w:lineRule="auto"/>
                                    <w:ind w:right="1"/>
                                    <w:jc w:val="right"/>
                                    <w:rPr>
                                      <w:rFonts w:hint="default" w:eastAsia="宋体"/>
                                      <w:b w:val="0"/>
                                      <w:bCs w:val="0"/>
                                      <w:sz w:val="21"/>
                                      <w:szCs w:val="21"/>
                                      <w:lang w:val="en-US" w:eastAsia="zh-CN"/>
                                    </w:rPr>
                                  </w:pPr>
                                  <w:r>
                                    <w:rPr>
                                      <w:rFonts w:hint="eastAsia"/>
                                      <w:b w:val="0"/>
                                      <w:bCs w:val="0"/>
                                      <w:sz w:val="21"/>
                                      <w:szCs w:val="21"/>
                                      <w:lang w:val="en-US" w:eastAsia="zh-CN"/>
                                    </w:rPr>
                                    <w:t>反洗泵</w:t>
                                  </w:r>
                                </w:p>
                              </w:txbxContent>
                            </wps:txbx>
                            <wps:bodyPr lIns="0" tIns="0" rIns="0" bIns="0" upright="1"/>
                          </wps:wsp>
                        </a:graphicData>
                      </a:graphic>
                    </wp:anchor>
                  </w:drawing>
                </mc:Choice>
                <mc:Fallback>
                  <w:pict>
                    <v:shape id="_x0000_s1026" o:spid="_x0000_s1026" o:spt="202" type="#_x0000_t202" style="position:absolute;left:0pt;margin-left:73.75pt;margin-top:7.5pt;height:15.65pt;width:35.4pt;z-index:251720704;mso-width-relative:page;mso-height-relative:page;" filled="f" stroked="f" coordsize="21600,21600" o:gfxdata="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Iugi7DXAAAACQEAAA8AAAAAAAAAAQAgAAAAIgAAAGRycy9kb3ducmV2LnhtbFBLAQIU&#10;ABQAAAAIAIdO4kDy5SeSuwEAAHUDAAAOAAAAAAAAAAEAIAAAACYBAABkcnMvZTJvRG9jLnhtbFBL&#10;BQYAAAAABgAGAFkBAABTBQAAAAA=&#10;">
                      <v:fill on="f" focussize="0,0"/>
                      <v:stroke on="f"/>
                      <v:imagedata o:title=""/>
                      <o:lock v:ext="edit" aspectratio="f"/>
                      <v:textbox inset="0mm,0mm,0mm,0mm">
                        <w:txbxContent>
                          <w:p w14:paraId="6E46FF68">
                            <w:pPr>
                              <w:pStyle w:val="16"/>
                              <w:spacing w:before="20" w:line="222" w:lineRule="auto"/>
                              <w:ind w:right="1"/>
                              <w:jc w:val="right"/>
                              <w:rPr>
                                <w:rFonts w:hint="default" w:eastAsia="宋体"/>
                                <w:b w:val="0"/>
                                <w:bCs w:val="0"/>
                                <w:sz w:val="21"/>
                                <w:szCs w:val="21"/>
                                <w:lang w:val="en-US" w:eastAsia="zh-CN"/>
                              </w:rPr>
                            </w:pPr>
                            <w:r>
                              <w:rPr>
                                <w:rFonts w:hint="eastAsia"/>
                                <w:b w:val="0"/>
                                <w:bCs w:val="0"/>
                                <w:sz w:val="21"/>
                                <w:szCs w:val="21"/>
                                <w:lang w:val="en-US" w:eastAsia="zh-CN"/>
                              </w:rPr>
                              <w:t>反洗泵</w:t>
                            </w:r>
                          </w:p>
                        </w:txbxContent>
                      </v:textbox>
                    </v:shape>
                  </w:pict>
                </mc:Fallback>
              </mc:AlternateContent>
            </w:r>
            <w:r>
              <w:rPr>
                <w:color w:val="000000" w:themeColor="text1"/>
                <w:sz w:val="21"/>
                <w14:textFill>
                  <w14:solidFill>
                    <w14:schemeClr w14:val="tx1"/>
                  </w14:solidFill>
                </w14:textFill>
              </w:rPr>
              <mc:AlternateContent>
                <mc:Choice Requires="wps">
                  <w:drawing>
                    <wp:anchor distT="0" distB="0" distL="114300" distR="114300" simplePos="0" relativeHeight="251718656" behindDoc="0" locked="0" layoutInCell="1" allowOverlap="1">
                      <wp:simplePos x="0" y="0"/>
                      <wp:positionH relativeFrom="column">
                        <wp:posOffset>909955</wp:posOffset>
                      </wp:positionH>
                      <wp:positionV relativeFrom="paragraph">
                        <wp:posOffset>64770</wp:posOffset>
                      </wp:positionV>
                      <wp:extent cx="5080" cy="354965"/>
                      <wp:effectExtent l="45085" t="0" r="64135" b="6985"/>
                      <wp:wrapNone/>
                      <wp:docPr id="178" name="直接连接符 178"/>
                      <wp:cNvGraphicFramePr/>
                      <a:graphic xmlns:a="http://schemas.openxmlformats.org/drawingml/2006/main">
                        <a:graphicData uri="http://schemas.microsoft.com/office/word/2010/wordprocessingShape">
                          <wps:wsp>
                            <wps:cNvCnPr/>
                            <wps:spPr>
                              <a:xfrm flipV="1">
                                <a:off x="0" y="0"/>
                                <a:ext cx="5080" cy="354965"/>
                              </a:xfrm>
                              <a:prstGeom prst="line">
                                <a:avLst/>
                              </a:prstGeom>
                              <a:ln w="9525" cap="flat" cmpd="sng">
                                <a:solidFill>
                                  <a:srgbClr val="000000"/>
                                </a:solidFill>
                                <a:prstDash val="solid"/>
                                <a:miter/>
                                <a:headEnd type="none" w="med" len="med"/>
                                <a:tailEnd type="arrow" w="med" len="med"/>
                              </a:ln>
                            </wps:spPr>
                            <wps:bodyPr upright="1"/>
                          </wps:wsp>
                        </a:graphicData>
                      </a:graphic>
                    </wp:anchor>
                  </w:drawing>
                </mc:Choice>
                <mc:Fallback>
                  <w:pict>
                    <v:line id="_x0000_s1026" o:spid="_x0000_s1026" o:spt="20" style="position:absolute;left:0pt;flip:y;margin-left:71.65pt;margin-top:5.1pt;height:27.95pt;width:0.4pt;z-index:251718656;mso-width-relative:page;mso-height-relative:page;" filled="f" stroked="t" coordsize="21600,21600" o:gfxdata="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eK+F7NcAAAAJAQAADwAAAAAAAAABACAAAAAi&#10;AAAAZHJzL2Rvd25yZXYueG1sUEsBAhQAFAAAAAgAh07iQG5z/a4LAgAA/wMAAA4AAAAAAAAAAQAg&#10;AAAAJgEAAGRycy9lMm9Eb2MueG1sUEsFBgAAAAAGAAYAWQEAAKMFAAAAAA==&#10;">
                      <v:fill on="f" focussize="0,0"/>
                      <v:stroke color="#000000" joinstyle="miter" endarrow="open"/>
                      <v:imagedata o:title=""/>
                      <o:lock v:ext="edit" aspectratio="f"/>
                    </v:line>
                  </w:pict>
                </mc:Fallback>
              </mc:AlternateContent>
            </w:r>
            <w:r>
              <w:rPr>
                <w:color w:val="000000" w:themeColor="text1"/>
                <w:sz w:val="21"/>
                <w14:textFill>
                  <w14:solidFill>
                    <w14:schemeClr w14:val="tx1"/>
                  </w14:solidFill>
                </w14:textFill>
              </w:rPr>
              <mc:AlternateContent>
                <mc:Choice Requires="wps">
                  <w:drawing>
                    <wp:anchor distT="0" distB="0" distL="114300" distR="114300" simplePos="0" relativeHeight="251719680" behindDoc="0" locked="0" layoutInCell="1" allowOverlap="1">
                      <wp:simplePos x="0" y="0"/>
                      <wp:positionH relativeFrom="column">
                        <wp:posOffset>957580</wp:posOffset>
                      </wp:positionH>
                      <wp:positionV relativeFrom="paragraph">
                        <wp:posOffset>48895</wp:posOffset>
                      </wp:positionV>
                      <wp:extent cx="147955" cy="5080"/>
                      <wp:effectExtent l="0" t="46355" r="4445" b="62865"/>
                      <wp:wrapNone/>
                      <wp:docPr id="170" name="直接连接符 170"/>
                      <wp:cNvGraphicFramePr/>
                      <a:graphic xmlns:a="http://schemas.openxmlformats.org/drawingml/2006/main">
                        <a:graphicData uri="http://schemas.microsoft.com/office/word/2010/wordprocessingShape">
                          <wps:wsp>
                            <wps:cNvCnPr/>
                            <wps:spPr>
                              <a:xfrm flipV="1">
                                <a:off x="0" y="0"/>
                                <a:ext cx="147955" cy="5080"/>
                              </a:xfrm>
                              <a:prstGeom prst="line">
                                <a:avLst/>
                              </a:prstGeom>
                              <a:ln w="9525" cap="flat" cmpd="sng">
                                <a:solidFill>
                                  <a:srgbClr val="000000"/>
                                </a:solidFill>
                                <a:prstDash val="solid"/>
                                <a:miter/>
                                <a:headEnd type="none" w="med" len="med"/>
                                <a:tailEnd type="arrow" w="med" len="med"/>
                              </a:ln>
                            </wps:spPr>
                            <wps:bodyPr upright="1"/>
                          </wps:wsp>
                        </a:graphicData>
                      </a:graphic>
                    </wp:anchor>
                  </w:drawing>
                </mc:Choice>
                <mc:Fallback>
                  <w:pict>
                    <v:line id="_x0000_s1026" o:spid="_x0000_s1026" o:spt="20" style="position:absolute;left:0pt;flip:y;margin-left:75.4pt;margin-top:3.85pt;height:0.4pt;width:11.65pt;z-index:251719680;mso-width-relative:page;mso-height-relative:page;" filled="f" stroked="t" coordsize="21600,21600" o:gfxdata="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J0BxOTVAAAABwEAAA8AAAAAAAAAAQAgAAAAIgAA&#10;AGRycy9kb3ducmV2LnhtbFBLAQIUABQAAAAIAIdO4kCbYZn0CwIAAP8DAAAOAAAAAAAAAAEAIAAA&#10;ACQBAABkcnMvZTJvRG9jLnhtbFBLBQYAAAAABgAGAFkBAAChBQAAAAA=&#10;">
                      <v:fill on="f" focussize="0,0"/>
                      <v:stroke color="#000000" joinstyle="miter" endarrow="open"/>
                      <v:imagedata o:title=""/>
                      <o:lock v:ext="edit" aspectratio="f"/>
                    </v:lin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721728" behindDoc="0" locked="0" layoutInCell="1" allowOverlap="1">
                      <wp:simplePos x="0" y="0"/>
                      <wp:positionH relativeFrom="column">
                        <wp:posOffset>1453515</wp:posOffset>
                      </wp:positionH>
                      <wp:positionV relativeFrom="paragraph">
                        <wp:posOffset>86360</wp:posOffset>
                      </wp:positionV>
                      <wp:extent cx="178435" cy="184150"/>
                      <wp:effectExtent l="19685" t="4445" r="30480" b="20955"/>
                      <wp:wrapNone/>
                      <wp:docPr id="166" name="下箭头 166"/>
                      <wp:cNvGraphicFramePr/>
                      <a:graphic xmlns:a="http://schemas.openxmlformats.org/drawingml/2006/main">
                        <a:graphicData uri="http://schemas.microsoft.com/office/word/2010/wordprocessingShape">
                          <wps:wsp>
                            <wps:cNvSpPr/>
                            <wps:spPr>
                              <a:xfrm>
                                <a:off x="0" y="0"/>
                                <a:ext cx="178435" cy="184150"/>
                              </a:xfrm>
                              <a:prstGeom prst="downArrow">
                                <a:avLst>
                                  <a:gd name="adj1" fmla="val 50000"/>
                                  <a:gd name="adj2" fmla="val 25800"/>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shape id="_x0000_s1026" o:spid="_x0000_s1026" o:spt="67" type="#_x0000_t67" style="position:absolute;left:0pt;margin-left:114.45pt;margin-top:6.8pt;height:14.5pt;width:14.05pt;z-index:251721728;mso-width-relative:page;mso-height-relative:page;" fillcolor="#FFFFFF" filled="t" stroked="t" coordsize="21600,21600" o:gfxdata="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HpoYoraAAAACQEAAA8AAAAAAAAAAQAgAAAAIgAAAGRycy9kb3ducmV2LnhtbFBLAQIU&#10;ABQAAAAIAIdO4kAdAvUdKgIAAHoEAAAOAAAAAAAAAAEAIAAAACkBAABkcnMvZTJvRG9jLnhtbFBL&#10;BQYAAAAABgAGAFkBAADFBQAAAAA=&#10;" adj="16201,5400">
                      <v:fill on="t" focussize="0,0"/>
                      <v:stroke color="#000000" joinstyle="miter"/>
                      <v:imagedata o:title=""/>
                      <o:lock v:ext="edit" aspectratio="f"/>
                    </v:shape>
                  </w:pict>
                </mc:Fallback>
              </mc:AlternateContent>
            </w:r>
          </w:p>
          <w:p w14:paraId="6085B3B5">
            <w:pPr>
              <w:keepNext w:val="0"/>
              <w:keepLines w:val="0"/>
              <w:pageBreakBefore w:val="0"/>
              <w:widowControl w:val="0"/>
              <w:shd w:val="clear"/>
              <w:kinsoku/>
              <w:wordWrap/>
              <w:overflowPunct/>
              <w:topLinePunct w:val="0"/>
              <w:autoSpaceDE w:val="0"/>
              <w:autoSpaceDN w:val="0"/>
              <w:bidi w:val="0"/>
              <w:adjustRightInd/>
              <w:snapToGrid/>
              <w:spacing w:line="360" w:lineRule="auto"/>
              <w:ind w:firstLine="420" w:firstLineChars="200"/>
              <w:jc w:val="center"/>
              <w:textAlignment w:val="auto"/>
              <w:rPr>
                <w:rFonts w:hint="default" w:ascii="Times New Roman" w:hAnsi="Times New Roman" w:eastAsia="宋体" w:cs="Times New Roman"/>
                <w:b/>
                <w:bCs/>
                <w:color w:val="000000" w:themeColor="text1"/>
                <w:lang w:val="en-US" w:eastAsia="zh-CN"/>
                <w14:textFill>
                  <w14:solidFill>
                    <w14:schemeClr w14:val="tx1"/>
                  </w14:solidFill>
                </w14:textFill>
              </w:rPr>
            </w:pPr>
            <w:r>
              <w:rPr>
                <w:color w:val="000000" w:themeColor="text1"/>
                <w:sz w:val="21"/>
                <w14:textFill>
                  <w14:solidFill>
                    <w14:schemeClr w14:val="tx1"/>
                  </w14:solidFill>
                </w14:textFill>
              </w:rPr>
              <mc:AlternateContent>
                <mc:Choice Requires="wps">
                  <w:drawing>
                    <wp:anchor distT="0" distB="0" distL="114300" distR="114300" simplePos="0" relativeHeight="251717632" behindDoc="0" locked="0" layoutInCell="1" allowOverlap="1">
                      <wp:simplePos x="0" y="0"/>
                      <wp:positionH relativeFrom="column">
                        <wp:posOffset>936625</wp:posOffset>
                      </wp:positionH>
                      <wp:positionV relativeFrom="paragraph">
                        <wp:posOffset>199390</wp:posOffset>
                      </wp:positionV>
                      <wp:extent cx="164465" cy="4445"/>
                      <wp:effectExtent l="0" t="46990" r="6985" b="62865"/>
                      <wp:wrapNone/>
                      <wp:docPr id="165" name="直接连接符 165"/>
                      <wp:cNvGraphicFramePr/>
                      <a:graphic xmlns:a="http://schemas.openxmlformats.org/drawingml/2006/main">
                        <a:graphicData uri="http://schemas.microsoft.com/office/word/2010/wordprocessingShape">
                          <wps:wsp>
                            <wps:cNvCnPr/>
                            <wps:spPr>
                              <a:xfrm flipH="1">
                                <a:off x="0" y="0"/>
                                <a:ext cx="164465" cy="4445"/>
                              </a:xfrm>
                              <a:prstGeom prst="line">
                                <a:avLst/>
                              </a:prstGeom>
                              <a:ln w="9525" cap="flat" cmpd="sng">
                                <a:solidFill>
                                  <a:srgbClr val="000000"/>
                                </a:solidFill>
                                <a:prstDash val="solid"/>
                                <a:miter/>
                                <a:headEnd type="none" w="med" len="med"/>
                                <a:tailEnd type="arrow" w="med" len="med"/>
                              </a:ln>
                            </wps:spPr>
                            <wps:bodyPr upright="1"/>
                          </wps:wsp>
                        </a:graphicData>
                      </a:graphic>
                    </wp:anchor>
                  </w:drawing>
                </mc:Choice>
                <mc:Fallback>
                  <w:pict>
                    <v:line id="_x0000_s1026" o:spid="_x0000_s1026" o:spt="20" style="position:absolute;left:0pt;flip:x;margin-left:73.75pt;margin-top:15.7pt;height:0.35pt;width:12.95pt;z-index:251717632;mso-width-relative:page;mso-height-relative:page;" filled="f" stroked="t" coordsize="21600,21600" o:gfxdata="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mDOwX1wAAAAkBAAAPAAAAAAAAAAEAIAAAACIA&#10;AABkcnMvZG93bnJldi54bWxQSwECFAAUAAAACACHTuJA10tilwoCAAD/AwAADgAAAAAAAAABACAA&#10;AAAmAQAAZHJzL2Uyb0RvYy54bWxQSwUGAAAAAAYABgBZAQAAogUAAAAA&#10;">
                      <v:fill on="f" focussize="0,0"/>
                      <v:stroke color="#000000" joinstyle="miter" endarrow="open"/>
                      <v:imagedata o:title=""/>
                      <o:lock v:ext="edit" aspectratio="f"/>
                    </v:lin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715584" behindDoc="0" locked="0" layoutInCell="1" allowOverlap="1">
                      <wp:simplePos x="0" y="0"/>
                      <wp:positionH relativeFrom="column">
                        <wp:posOffset>1137920</wp:posOffset>
                      </wp:positionH>
                      <wp:positionV relativeFrom="paragraph">
                        <wp:posOffset>34925</wp:posOffset>
                      </wp:positionV>
                      <wp:extent cx="807085" cy="266065"/>
                      <wp:effectExtent l="4445" t="5080" r="7620" b="14605"/>
                      <wp:wrapNone/>
                      <wp:docPr id="161" name="文本框 161"/>
                      <wp:cNvGraphicFramePr/>
                      <a:graphic xmlns:a="http://schemas.openxmlformats.org/drawingml/2006/main">
                        <a:graphicData uri="http://schemas.microsoft.com/office/word/2010/wordprocessingShape">
                          <wps:wsp>
                            <wps:cNvSpPr txBox="1"/>
                            <wps:spPr>
                              <a:xfrm>
                                <a:off x="0" y="0"/>
                                <a:ext cx="807085" cy="26606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11780DA">
                                  <w:pPr>
                                    <w:jc w:val="center"/>
                                    <w:rPr>
                                      <w:rFonts w:hint="default" w:eastAsia="宋体"/>
                                      <w:sz w:val="21"/>
                                      <w:szCs w:val="21"/>
                                      <w:lang w:val="en-US" w:eastAsia="zh-CN"/>
                                    </w:rPr>
                                  </w:pPr>
                                  <w:r>
                                    <w:rPr>
                                      <w:rFonts w:hint="eastAsia"/>
                                      <w:sz w:val="21"/>
                                      <w:szCs w:val="21"/>
                                      <w:lang w:val="en-US" w:eastAsia="zh-CN"/>
                                    </w:rPr>
                                    <w:t>清水池</w:t>
                                  </w:r>
                                </w:p>
                              </w:txbxContent>
                            </wps:txbx>
                            <wps:bodyPr upright="1"/>
                          </wps:wsp>
                        </a:graphicData>
                      </a:graphic>
                    </wp:anchor>
                  </w:drawing>
                </mc:Choice>
                <mc:Fallback>
                  <w:pict>
                    <v:shape id="_x0000_s1026" o:spid="_x0000_s1026" o:spt="202" type="#_x0000_t202" style="position:absolute;left:0pt;margin-left:89.6pt;margin-top:2.75pt;height:20.95pt;width:63.55pt;z-index:251715584;mso-width-relative:page;mso-height-relative:page;" fillcolor="#FFFFFF" filled="t" stroked="t" coordsize="21600,21600" o:gfxdata="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RStNQtgAAAAIAQAADwAAAAAAAAABACAAAAAi&#10;AAAAZHJzL2Rvd25yZXYueG1sUEsBAhQAFAAAAAgAh07iQDMk7KsKAgAAOQQAAA4AAAAAAAAAAQAg&#10;AAAAJwEAAGRycy9lMm9Eb2MueG1sUEsFBgAAAAAGAAYAWQEAAKMFAAAAAA==&#10;">
                      <v:fill on="t" focussize="0,0"/>
                      <v:stroke color="#000000" joinstyle="miter"/>
                      <v:imagedata o:title=""/>
                      <o:lock v:ext="edit" aspectratio="f"/>
                      <v:textbox>
                        <w:txbxContent>
                          <w:p w14:paraId="111780DA">
                            <w:pPr>
                              <w:jc w:val="center"/>
                              <w:rPr>
                                <w:rFonts w:hint="default" w:eastAsia="宋体"/>
                                <w:sz w:val="21"/>
                                <w:szCs w:val="21"/>
                                <w:lang w:val="en-US" w:eastAsia="zh-CN"/>
                              </w:rPr>
                            </w:pPr>
                            <w:r>
                              <w:rPr>
                                <w:rFonts w:hint="eastAsia"/>
                                <w:sz w:val="21"/>
                                <w:szCs w:val="21"/>
                                <w:lang w:val="en-US" w:eastAsia="zh-CN"/>
                              </w:rPr>
                              <w:t>清水池</w:t>
                            </w:r>
                          </w:p>
                        </w:txbxContent>
                      </v:textbox>
                    </v:shape>
                  </w:pict>
                </mc:Fallback>
              </mc:AlternateContent>
            </w:r>
          </w:p>
          <w:p w14:paraId="7B4BDCED">
            <w:pPr>
              <w:keepNext w:val="0"/>
              <w:keepLines w:val="0"/>
              <w:pageBreakBefore w:val="0"/>
              <w:widowControl w:val="0"/>
              <w:shd w:val="clear"/>
              <w:kinsoku/>
              <w:wordWrap/>
              <w:overflowPunct/>
              <w:topLinePunct w:val="0"/>
              <w:autoSpaceDE w:val="0"/>
              <w:autoSpaceDN w:val="0"/>
              <w:bidi w:val="0"/>
              <w:adjustRightInd/>
              <w:snapToGrid/>
              <w:spacing w:line="360" w:lineRule="auto"/>
              <w:ind w:firstLine="480" w:firstLineChars="200"/>
              <w:jc w:val="center"/>
              <w:textAlignment w:val="auto"/>
              <w:rPr>
                <w:rFonts w:hint="default" w:ascii="Times New Roman" w:hAnsi="Times New Roman" w:eastAsia="宋体" w:cs="Times New Roman"/>
                <w:b/>
                <w:bCs/>
                <w:color w:val="000000" w:themeColor="text1"/>
                <w:lang w:val="en-US" w:eastAsia="zh-CN"/>
                <w14:textFill>
                  <w14:solidFill>
                    <w14:schemeClr w14:val="tx1"/>
                  </w14:solidFill>
                </w14:textFill>
              </w:rPr>
            </w:pPr>
            <w:r>
              <w:rPr>
                <w:color w:val="000000" w:themeColor="text1"/>
                <w:sz w:val="24"/>
                <w14:textFill>
                  <w14:solidFill>
                    <w14:schemeClr w14:val="tx1"/>
                  </w14:solidFill>
                </w14:textFill>
              </w:rPr>
              <mc:AlternateContent>
                <mc:Choice Requires="wps">
                  <w:drawing>
                    <wp:anchor distT="0" distB="0" distL="114300" distR="114300" simplePos="0" relativeHeight="251773952" behindDoc="0" locked="0" layoutInCell="1" allowOverlap="1">
                      <wp:simplePos x="0" y="0"/>
                      <wp:positionH relativeFrom="column">
                        <wp:posOffset>1469390</wp:posOffset>
                      </wp:positionH>
                      <wp:positionV relativeFrom="paragraph">
                        <wp:posOffset>72390</wp:posOffset>
                      </wp:positionV>
                      <wp:extent cx="178435" cy="184150"/>
                      <wp:effectExtent l="19685" t="4445" r="30480" b="20955"/>
                      <wp:wrapNone/>
                      <wp:docPr id="271" name="下箭头 271"/>
                      <wp:cNvGraphicFramePr/>
                      <a:graphic xmlns:a="http://schemas.openxmlformats.org/drawingml/2006/main">
                        <a:graphicData uri="http://schemas.microsoft.com/office/word/2010/wordprocessingShape">
                          <wps:wsp>
                            <wps:cNvSpPr/>
                            <wps:spPr>
                              <a:xfrm>
                                <a:off x="0" y="0"/>
                                <a:ext cx="178435" cy="184150"/>
                              </a:xfrm>
                              <a:prstGeom prst="downArrow">
                                <a:avLst>
                                  <a:gd name="adj1" fmla="val 50000"/>
                                  <a:gd name="adj2" fmla="val 25800"/>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shape id="_x0000_s1026" o:spid="_x0000_s1026" o:spt="67" type="#_x0000_t67" style="position:absolute;left:0pt;margin-left:115.7pt;margin-top:5.7pt;height:14.5pt;width:14.05pt;z-index:251773952;mso-width-relative:page;mso-height-relative:page;" fillcolor="#FFFFFF" filled="t" stroked="t" coordsize="21600,21600" o:gfxdata="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By98bQ2gAAAAkBAAAPAAAAAAAAAAEAIAAAACIAAABkcnMvZG93bnJldi54bWxQSwECFAAU&#10;AAAACACHTuJAgEQucygCAAB6BAAADgAAAAAAAAABACAAAAApAQAAZHJzL2Uyb0RvYy54bWxQSwUG&#10;AAAAAAYABgBZAQAAwwUAAAAA&#10;" adj="16201,5400">
                      <v:fill on="t" focussize="0,0"/>
                      <v:stroke color="#000000" joinstyle="miter"/>
                      <v:imagedata o:title=""/>
                      <o:lock v:ext="edit" aspectratio="f"/>
                    </v:shape>
                  </w:pict>
                </mc:Fallback>
              </mc:AlternateContent>
            </w:r>
          </w:p>
          <w:p w14:paraId="4BBB4B76">
            <w:pPr>
              <w:pStyle w:val="16"/>
              <w:rPr>
                <w:rFonts w:hint="default" w:ascii="Times New Roman" w:hAnsi="Times New Roman" w:eastAsia="宋体" w:cs="Times New Roman"/>
                <w:b/>
                <w:bCs/>
                <w:color w:val="000000" w:themeColor="text1"/>
                <w:lang w:val="en-US" w:eastAsia="zh-CN"/>
                <w14:textFill>
                  <w14:solidFill>
                    <w14:schemeClr w14:val="tx1"/>
                  </w14:solidFill>
                </w14:textFill>
              </w:rPr>
            </w:pPr>
            <w:r>
              <w:rPr>
                <w:color w:val="000000" w:themeColor="text1"/>
                <w:sz w:val="24"/>
                <w14:textFill>
                  <w14:solidFill>
                    <w14:schemeClr w14:val="tx1"/>
                  </w14:solidFill>
                </w14:textFill>
              </w:rPr>
              <mc:AlternateContent>
                <mc:Choice Requires="wps">
                  <w:drawing>
                    <wp:anchor distT="0" distB="0" distL="114300" distR="114300" simplePos="0" relativeHeight="251722752" behindDoc="0" locked="0" layoutInCell="1" allowOverlap="1">
                      <wp:simplePos x="0" y="0"/>
                      <wp:positionH relativeFrom="column">
                        <wp:posOffset>1132205</wp:posOffset>
                      </wp:positionH>
                      <wp:positionV relativeFrom="paragraph">
                        <wp:posOffset>40005</wp:posOffset>
                      </wp:positionV>
                      <wp:extent cx="807085" cy="266065"/>
                      <wp:effectExtent l="4445" t="5080" r="7620" b="14605"/>
                      <wp:wrapSquare wrapText="bothSides"/>
                      <wp:docPr id="174" name="文本框 174"/>
                      <wp:cNvGraphicFramePr/>
                      <a:graphic xmlns:a="http://schemas.openxmlformats.org/drawingml/2006/main">
                        <a:graphicData uri="http://schemas.microsoft.com/office/word/2010/wordprocessingShape">
                          <wps:wsp>
                            <wps:cNvSpPr txBox="1"/>
                            <wps:spPr>
                              <a:xfrm>
                                <a:off x="0" y="0"/>
                                <a:ext cx="807085" cy="26606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F02265E">
                                  <w:pPr>
                                    <w:jc w:val="center"/>
                                    <w:rPr>
                                      <w:rFonts w:hint="default" w:eastAsia="宋体"/>
                                      <w:sz w:val="21"/>
                                      <w:szCs w:val="21"/>
                                      <w:lang w:val="en-US" w:eastAsia="zh-CN"/>
                                    </w:rPr>
                                  </w:pPr>
                                  <w:r>
                                    <w:rPr>
                                      <w:rFonts w:hint="eastAsia"/>
                                      <w:sz w:val="21"/>
                                      <w:szCs w:val="21"/>
                                      <w:lang w:val="en-US" w:eastAsia="zh-CN"/>
                                    </w:rPr>
                                    <w:t>达标排放</w:t>
                                  </w:r>
                                </w:p>
                              </w:txbxContent>
                            </wps:txbx>
                            <wps:bodyPr upright="1"/>
                          </wps:wsp>
                        </a:graphicData>
                      </a:graphic>
                    </wp:anchor>
                  </w:drawing>
                </mc:Choice>
                <mc:Fallback>
                  <w:pict>
                    <v:shape id="_x0000_s1026" o:spid="_x0000_s1026" o:spt="202" type="#_x0000_t202" style="position:absolute;left:0pt;margin-left:89.15pt;margin-top:3.15pt;height:20.95pt;width:63.55pt;mso-wrap-distance-bottom:0pt;mso-wrap-distance-left:9pt;mso-wrap-distance-right:9pt;mso-wrap-distance-top:0pt;z-index:251722752;mso-width-relative:page;mso-height-relative:page;" fillcolor="#FFFFFF" filled="t" stroked="t" coordsize="21600,21600" o:gfxdata="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NMXn43YAAAACAEAAA8AAAAAAAAAAQAgAAAA&#10;IgAAAGRycy9kb3ducmV2LnhtbFBLAQIUABQAAAAIAIdO4kD6cJsaCwIAADkEAAAOAAAAAAAAAAEA&#10;IAAAACcBAABkcnMvZTJvRG9jLnhtbFBLBQYAAAAABgAGAFkBAACkBQAAAAA=&#10;">
                      <v:fill on="t" focussize="0,0"/>
                      <v:stroke color="#000000" joinstyle="miter"/>
                      <v:imagedata o:title=""/>
                      <o:lock v:ext="edit" aspectratio="f"/>
                      <v:textbox>
                        <w:txbxContent>
                          <w:p w14:paraId="0F02265E">
                            <w:pPr>
                              <w:jc w:val="center"/>
                              <w:rPr>
                                <w:rFonts w:hint="default" w:eastAsia="宋体"/>
                                <w:sz w:val="21"/>
                                <w:szCs w:val="21"/>
                                <w:lang w:val="en-US" w:eastAsia="zh-CN"/>
                              </w:rPr>
                            </w:pPr>
                            <w:r>
                              <w:rPr>
                                <w:rFonts w:hint="eastAsia"/>
                                <w:sz w:val="21"/>
                                <w:szCs w:val="21"/>
                                <w:lang w:val="en-US" w:eastAsia="zh-CN"/>
                              </w:rPr>
                              <w:t>达标排放</w:t>
                            </w:r>
                          </w:p>
                        </w:txbxContent>
                      </v:textbox>
                      <w10:wrap type="square"/>
                    </v:shape>
                  </w:pict>
                </mc:Fallback>
              </mc:AlternateContent>
            </w:r>
          </w:p>
          <w:p w14:paraId="5069A2A0">
            <w:pPr>
              <w:pStyle w:val="16"/>
              <w:rPr>
                <w:rFonts w:hint="default" w:ascii="Times New Roman" w:hAnsi="Times New Roman" w:eastAsia="宋体" w:cs="Times New Roman"/>
                <w:b/>
                <w:bCs/>
                <w:color w:val="000000" w:themeColor="text1"/>
                <w:lang w:val="en-US" w:eastAsia="zh-CN"/>
                <w14:textFill>
                  <w14:solidFill>
                    <w14:schemeClr w14:val="tx1"/>
                  </w14:solidFill>
                </w14:textFill>
              </w:rPr>
            </w:pPr>
          </w:p>
          <w:p w14:paraId="720017CE">
            <w:pPr>
              <w:keepNext w:val="0"/>
              <w:keepLines w:val="0"/>
              <w:pageBreakBefore w:val="0"/>
              <w:widowControl w:val="0"/>
              <w:shd w:val="clear"/>
              <w:kinsoku/>
              <w:wordWrap/>
              <w:overflowPunct/>
              <w:topLinePunct w:val="0"/>
              <w:autoSpaceDE w:val="0"/>
              <w:autoSpaceDN w:val="0"/>
              <w:bidi w:val="0"/>
              <w:adjustRightInd/>
              <w:snapToGrid/>
              <w:spacing w:line="360" w:lineRule="auto"/>
              <w:ind w:firstLine="422" w:firstLineChars="200"/>
              <w:jc w:val="center"/>
              <w:textAlignment w:val="auto"/>
              <w:rPr>
                <w:rFonts w:hint="default" w:ascii="Times New Roman" w:hAnsi="Times New Roman" w:eastAsia="宋体" w:cs="Times New Roman"/>
                <w:b/>
                <w:bCs/>
                <w:color w:val="000000" w:themeColor="text1"/>
                <w:lang w:val="en-US" w:eastAsia="zh-CN"/>
                <w14:textFill>
                  <w14:solidFill>
                    <w14:schemeClr w14:val="tx1"/>
                  </w14:solidFill>
                </w14:textFill>
              </w:rPr>
            </w:pPr>
            <w:r>
              <w:rPr>
                <w:rFonts w:hint="default" w:ascii="Times New Roman" w:hAnsi="Times New Roman" w:eastAsia="宋体" w:cs="Times New Roman"/>
                <w:b/>
                <w:bCs/>
                <w:color w:val="000000" w:themeColor="text1"/>
                <w:lang w:val="en-US" w:eastAsia="zh-CN"/>
                <w14:textFill>
                  <w14:solidFill>
                    <w14:schemeClr w14:val="tx1"/>
                  </w14:solidFill>
                </w14:textFill>
              </w:rPr>
              <w:t>图4</w:t>
            </w:r>
            <w:r>
              <w:rPr>
                <w:rFonts w:hint="eastAsia" w:ascii="Times New Roman" w:hAnsi="Times New Roman" w:eastAsia="宋体" w:cs="Times New Roman"/>
                <w:b/>
                <w:bCs/>
                <w:color w:val="000000" w:themeColor="text1"/>
                <w:lang w:val="en-US" w:eastAsia="zh-CN"/>
                <w14:textFill>
                  <w14:solidFill>
                    <w14:schemeClr w14:val="tx1"/>
                  </w14:solidFill>
                </w14:textFill>
              </w:rPr>
              <w:t>-</w:t>
            </w:r>
            <w:r>
              <w:rPr>
                <w:rFonts w:hint="default" w:ascii="Times New Roman" w:hAnsi="Times New Roman" w:eastAsia="宋体" w:cs="Times New Roman"/>
                <w:b/>
                <w:bCs/>
                <w:color w:val="000000" w:themeColor="text1"/>
                <w:lang w:val="en-US" w:eastAsia="zh-CN"/>
                <w14:textFill>
                  <w14:solidFill>
                    <w14:schemeClr w14:val="tx1"/>
                  </w14:solidFill>
                </w14:textFill>
              </w:rPr>
              <w:t>2 项目废水处理工艺流程图</w:t>
            </w:r>
          </w:p>
          <w:p w14:paraId="712DF1F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项目生产废水分为正极设备清洗废水、负极设备清洗废水两类，采取分质收集、分质预处理工艺，预处理出水汇入综合调节池，再进入生化</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+MBR</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深度处理系统，各单元产生污泥统一收集脱水处置，具体工艺流程如下：</w:t>
            </w:r>
          </w:p>
          <w:p w14:paraId="3330B88F">
            <w:pPr>
              <w:pStyle w:val="34"/>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（1）正极设备清洗废水预处理系统</w:t>
            </w:r>
          </w:p>
          <w:p w14:paraId="5C7ABCA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正极设备清洗废水首先排入车间三级沉淀池，初步沉淀废水中携带的三元正极粉料；经泵提升进入正极废水收集池均质均量。废水依次进入一级除氟反应池，投加氯化钙（CaCl</w:t>
            </w:r>
            <w:r>
              <w:rPr>
                <w:rFonts w:hint="eastAsia" w:ascii="Times New Roman" w:hAnsi="Times New Roman" w:eastAsia="宋体" w:cs="Times New Roman"/>
                <w:color w:val="000000" w:themeColor="text1"/>
                <w:kern w:val="2"/>
                <w:sz w:val="24"/>
                <w:szCs w:val="24"/>
                <w:highlight w:val="none"/>
                <w:vertAlign w:val="subscript"/>
                <w:lang w:val="en-US" w:eastAsia="zh-CN" w:bidi="ar-SA"/>
                <w14:textFill>
                  <w14:solidFill>
                    <w14:schemeClr w14:val="tx1"/>
                  </w14:solidFill>
                </w14:textFill>
              </w:rPr>
              <w:t>2</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去除水中氟离子；随后进入二级除重金属反应池，投加氢氧化钠（NaOH）调节pH，同时投加PAC、PAM、重金属捕捉剂，使水中总镍、总钴、总锰等重金属离子形成沉淀物；出水进入二级沉淀池，沉淀去除重金属污泥。</w:t>
            </w:r>
          </w:p>
          <w:p w14:paraId="56AFF43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沉淀池出水进入pH调节池，投加酸调整水体pH后，送入综合调节池，与负极预处理后的废水混合。</w:t>
            </w:r>
          </w:p>
          <w:p w14:paraId="39E004C1">
            <w:pPr>
              <w:pStyle w:val="34"/>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2</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负极</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设备清洗废水预处理系统</w:t>
            </w:r>
          </w:p>
          <w:p w14:paraId="5F4FC00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负极设备清洗废水自流进入车间三级沉淀池，去除悬浮颗粒物；废水汇入负极废水收集池均质搅拌，由泵提升进入袋式过滤器进一步截留悬浮物。过滤后废水进入芬顿高级氧化单元，投加硫酸调节水体pH，投加硫酸亚铁、双氧水，利用芬顿反应氧化降解废水中NMP等难降解有机污染物；氧化出水进入pH调节池投加碱中和，再投加PAC、PAM进入沉淀池，去除氧化反应产生的絮体污泥，沉淀池出水排入综合调节池。</w:t>
            </w:r>
          </w:p>
          <w:p w14:paraId="2BC6653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cs="Times New Roman"/>
                <w:color w:val="000000" w:themeColor="text1"/>
                <w:kern w:val="2"/>
                <w:sz w:val="24"/>
                <w:szCs w:val="24"/>
                <w:highlight w:val="none"/>
                <w:lang w:val="en-US" w:eastAsia="zh-CN" w:bidi="ar-SA"/>
                <w14:textFill>
                  <w14:solidFill>
                    <w14:schemeClr w14:val="tx1"/>
                  </w14:solidFill>
                </w14:textFill>
              </w:rPr>
              <w:t>（3）综</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合废水生化深度处理系统</w:t>
            </w:r>
          </w:p>
          <w:p w14:paraId="60FDE34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正极、负极预处理废水汇入综合调节池进行均质、均量；废水依次进入水解酸化池，通过水解酸化作用将大分子难降解有机物分解为小分子有机物，提升废水可生化性。出水进入两级AO生化系统：一级A池（缺氧池）→一级O池（好氧池）→二级A池（缺氧池）→二级O池（好氧池）；缺氧池进行反硝化脱氮，好氧池通过微生物降解COD、氨氮；一级O池混合液设置内回流，二级O池混合液外回流至一级A池强化脱氮效果。两级AO出水进入MBR膜池，通过膜分离作用截留活性污泥，进一步净化水质；MBR产水进入清水池，清水池投加酸、次氯酸钠进行消毒处理，最终达标外排。MBR膜产生的反洗废水回流至综合调节池重新处理。</w:t>
            </w:r>
          </w:p>
          <w:p w14:paraId="7E59ED0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（4）污泥处理系统</w:t>
            </w:r>
          </w:p>
          <w:p w14:paraId="6EB7C37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二级沉淀池、负极沉淀池产生的污泥重力排入污泥池，污泥泵输送至反应池，投加PAC、PAM调理，送入污泥压滤机进行脱水；压滤滤液回流至综合调节池；脱水后的污泥暂存于污泥暂存间，委托有资质单位处置。污水先进入调节池，通过潜水搅拌器均质水质、调节水量，池内一用一备的提升泵由液位浮球控制，将污水输送至絮凝沉淀池。池中投加絮凝剂与助凝剂，经混凝反应、重力沉淀去除悬浮物与胶体污染物。</w:t>
            </w:r>
          </w:p>
          <w:p w14:paraId="3C125434">
            <w:pPr>
              <w:pStyle w:val="221"/>
              <w:keepNext w:val="0"/>
              <w:keepLines w:val="0"/>
              <w:pageBreakBefore w:val="0"/>
              <w:widowControl w:val="0"/>
              <w:shd w:val="clear"/>
              <w:kinsoku/>
              <w:wordWrap/>
              <w:overflowPunct/>
              <w:topLinePunct w:val="0"/>
              <w:autoSpaceDE w:val="0"/>
              <w:autoSpaceDN w:val="0"/>
              <w:bidi w:val="0"/>
              <w:snapToGrid/>
              <w:spacing w:line="360" w:lineRule="auto"/>
              <w:ind w:firstLine="480" w:firstLineChars="200"/>
              <w:jc w:val="both"/>
              <w:textAlignment w:val="auto"/>
              <w:rPr>
                <w:rFonts w:hint="eastAsia" w:ascii="Times New Roman" w:hAnsi="Times New Roman" w:eastAsia="宋体" w:cs="Times New Roman"/>
                <w:color w:val="000000" w:themeColor="text1"/>
                <w:sz w:val="24"/>
                <w:lang w:val="en-US" w:eastAsia="zh-CN"/>
                <w14:textFill>
                  <w14:solidFill>
                    <w14:schemeClr w14:val="tx1"/>
                  </w14:solidFill>
                </w14:textFill>
              </w:rPr>
            </w:pPr>
            <w:r>
              <w:rPr>
                <w:rFonts w:hint="eastAsia" w:ascii="Times New Roman" w:hAnsi="Times New Roman" w:eastAsia="宋体" w:cs="Times New Roman"/>
                <w:color w:val="000000" w:themeColor="text1"/>
                <w:sz w:val="24"/>
                <w:lang w:val="en-US" w:eastAsia="zh-CN"/>
                <w14:textFill>
                  <w14:solidFill>
                    <w14:schemeClr w14:val="tx1"/>
                  </w14:solidFill>
                </w14:textFill>
              </w:rPr>
              <w:t>根据建设单位污水处理站工艺设计资料，</w:t>
            </w:r>
            <w:r>
              <w:rPr>
                <w:rFonts w:ascii="宋体" w:hAnsi="宋体" w:eastAsia="宋体" w:cs="宋体"/>
                <w:color w:val="000000" w:themeColor="text1"/>
                <w:sz w:val="24"/>
                <w:szCs w:val="24"/>
                <w14:textFill>
                  <w14:solidFill>
                    <w14:schemeClr w14:val="tx1"/>
                  </w14:solidFill>
                </w14:textFill>
              </w:rPr>
              <w:t>项目厂区污水处理站工艺处理效果预计见下表</w:t>
            </w:r>
            <w:r>
              <w:rPr>
                <w:rFonts w:hint="eastAsia" w:ascii="Times New Roman" w:hAnsi="Times New Roman" w:eastAsia="宋体" w:cs="Times New Roman"/>
                <w:color w:val="000000" w:themeColor="text1"/>
                <w:sz w:val="24"/>
                <w:lang w:val="en-US" w:eastAsia="zh-CN"/>
                <w14:textFill>
                  <w14:solidFill>
                    <w14:schemeClr w14:val="tx1"/>
                  </w14:solidFill>
                </w14:textFill>
              </w:rPr>
              <w:t>：</w:t>
            </w:r>
          </w:p>
          <w:p w14:paraId="45A70F37">
            <w:pPr>
              <w:pStyle w:val="66"/>
              <w:spacing w:line="360" w:lineRule="auto"/>
              <w:rPr>
                <w:rFonts w:hint="eastAsia" w:cs="Times New Roman"/>
                <w:color w:val="000000" w:themeColor="text1"/>
                <w:sz w:val="24"/>
                <w:szCs w:val="24"/>
                <w:highlight w:val="none"/>
                <w:lang w:val="en-US" w:eastAsia="zh-CN"/>
                <w14:textFill>
                  <w14:solidFill>
                    <w14:schemeClr w14:val="tx1"/>
                  </w14:solidFill>
                </w14:textFill>
              </w:rPr>
            </w:pPr>
          </w:p>
          <w:p w14:paraId="015B486F">
            <w:pPr>
              <w:pStyle w:val="66"/>
              <w:spacing w:line="360" w:lineRule="auto"/>
              <w:rPr>
                <w:rFonts w:hint="eastAsia" w:cs="Times New Roman"/>
                <w:color w:val="000000" w:themeColor="text1"/>
                <w:sz w:val="24"/>
                <w:szCs w:val="24"/>
                <w:highlight w:val="none"/>
                <w:lang w:val="en-US" w:eastAsia="zh-CN"/>
                <w14:textFill>
                  <w14:solidFill>
                    <w14:schemeClr w14:val="tx1"/>
                  </w14:solidFill>
                </w14:textFill>
              </w:rPr>
            </w:pPr>
          </w:p>
          <w:p w14:paraId="1F0D36CE">
            <w:pPr>
              <w:pStyle w:val="66"/>
              <w:spacing w:line="360" w:lineRule="auto"/>
              <w:rPr>
                <w:rFonts w:hint="eastAsia" w:cs="Times New Roman"/>
                <w:color w:val="000000" w:themeColor="text1"/>
                <w:sz w:val="24"/>
                <w:szCs w:val="24"/>
                <w:highlight w:val="none"/>
                <w:lang w:val="en-US" w:eastAsia="zh-CN"/>
                <w14:textFill>
                  <w14:solidFill>
                    <w14:schemeClr w14:val="tx1"/>
                  </w14:solidFill>
                </w14:textFill>
              </w:rPr>
            </w:pPr>
          </w:p>
          <w:p w14:paraId="65DDED7C">
            <w:pPr>
              <w:pStyle w:val="66"/>
              <w:spacing w:line="360" w:lineRule="auto"/>
              <w:rPr>
                <w:rFonts w:hint="eastAsia" w:cs="Times New Roman"/>
                <w:color w:val="000000" w:themeColor="text1"/>
                <w:sz w:val="24"/>
                <w:szCs w:val="24"/>
                <w:highlight w:val="none"/>
                <w:lang w:val="en-US" w:eastAsia="zh-CN"/>
                <w14:textFill>
                  <w14:solidFill>
                    <w14:schemeClr w14:val="tx1"/>
                  </w14:solidFill>
                </w14:textFill>
              </w:rPr>
            </w:pPr>
          </w:p>
          <w:p w14:paraId="01F4CAB8">
            <w:pPr>
              <w:pStyle w:val="66"/>
              <w:spacing w:line="360" w:lineRule="auto"/>
              <w:rPr>
                <w:rFonts w:hint="eastAsia" w:cs="Times New Roman"/>
                <w:color w:val="000000" w:themeColor="text1"/>
                <w:sz w:val="24"/>
                <w:szCs w:val="24"/>
                <w:highlight w:val="none"/>
                <w:lang w:val="en-US" w:eastAsia="zh-CN"/>
                <w14:textFill>
                  <w14:solidFill>
                    <w14:schemeClr w14:val="tx1"/>
                  </w14:solidFill>
                </w14:textFill>
              </w:rPr>
            </w:pPr>
          </w:p>
          <w:p w14:paraId="0100D371">
            <w:pPr>
              <w:pStyle w:val="66"/>
              <w:spacing w:line="360" w:lineRule="auto"/>
              <w:rPr>
                <w:rFonts w:hint="eastAsia" w:cs="Times New Roman"/>
                <w:color w:val="000000" w:themeColor="text1"/>
                <w:sz w:val="24"/>
                <w:szCs w:val="24"/>
                <w:highlight w:val="none"/>
                <w:lang w:val="en-US" w:eastAsia="zh-CN"/>
                <w14:textFill>
                  <w14:solidFill>
                    <w14:schemeClr w14:val="tx1"/>
                  </w14:solidFill>
                </w14:textFill>
              </w:rPr>
            </w:pPr>
          </w:p>
          <w:p w14:paraId="0152FC57">
            <w:pPr>
              <w:pStyle w:val="66"/>
              <w:spacing w:line="360" w:lineRule="auto"/>
              <w:rPr>
                <w:rFonts w:hint="eastAsia" w:cs="Times New Roman"/>
                <w:color w:val="000000" w:themeColor="text1"/>
                <w:sz w:val="24"/>
                <w:szCs w:val="24"/>
                <w:highlight w:val="none"/>
                <w:lang w:val="en-US" w:eastAsia="zh-CN"/>
                <w14:textFill>
                  <w14:solidFill>
                    <w14:schemeClr w14:val="tx1"/>
                  </w14:solidFill>
                </w14:textFill>
              </w:rPr>
            </w:pPr>
          </w:p>
          <w:p w14:paraId="33E2E4FD">
            <w:pPr>
              <w:pStyle w:val="66"/>
              <w:spacing w:line="360" w:lineRule="auto"/>
              <w:rPr>
                <w:rFonts w:hint="eastAsia" w:cs="Times New Roman"/>
                <w:color w:val="000000" w:themeColor="text1"/>
                <w:sz w:val="24"/>
                <w:szCs w:val="24"/>
                <w:highlight w:val="none"/>
                <w:lang w:val="en-US" w:eastAsia="zh-CN"/>
                <w14:textFill>
                  <w14:solidFill>
                    <w14:schemeClr w14:val="tx1"/>
                  </w14:solidFill>
                </w14:textFill>
              </w:rPr>
            </w:pPr>
          </w:p>
          <w:p w14:paraId="1E708FAF">
            <w:pPr>
              <w:pStyle w:val="66"/>
              <w:spacing w:line="360" w:lineRule="auto"/>
              <w:rPr>
                <w:rFonts w:hint="eastAsia" w:cs="Times New Roman"/>
                <w:color w:val="000000" w:themeColor="text1"/>
                <w:sz w:val="24"/>
                <w:szCs w:val="24"/>
                <w:highlight w:val="none"/>
                <w:lang w:val="en-US" w:eastAsia="zh-CN"/>
                <w14:textFill>
                  <w14:solidFill>
                    <w14:schemeClr w14:val="tx1"/>
                  </w14:solidFill>
                </w14:textFill>
              </w:rPr>
            </w:pPr>
          </w:p>
          <w:p w14:paraId="19B2850F">
            <w:pPr>
              <w:pStyle w:val="66"/>
              <w:spacing w:line="360" w:lineRule="auto"/>
              <w:rPr>
                <w:rFonts w:hint="eastAsia" w:cs="Times New Roman"/>
                <w:color w:val="000000" w:themeColor="text1"/>
                <w:sz w:val="24"/>
                <w:szCs w:val="24"/>
                <w:highlight w:val="none"/>
                <w:lang w:val="en-US" w:eastAsia="zh-CN"/>
                <w14:textFill>
                  <w14:solidFill>
                    <w14:schemeClr w14:val="tx1"/>
                  </w14:solidFill>
                </w14:textFill>
              </w:rPr>
            </w:pPr>
          </w:p>
          <w:p w14:paraId="59BDAD4B">
            <w:pPr>
              <w:pStyle w:val="66"/>
              <w:spacing w:line="360" w:lineRule="auto"/>
              <w:rPr>
                <w:rFonts w:hint="eastAsia" w:cs="Times New Roman"/>
                <w:color w:val="000000" w:themeColor="text1"/>
                <w:sz w:val="24"/>
                <w:szCs w:val="24"/>
                <w:highlight w:val="none"/>
                <w:lang w:val="en-US" w:eastAsia="zh-CN"/>
                <w14:textFill>
                  <w14:solidFill>
                    <w14:schemeClr w14:val="tx1"/>
                  </w14:solidFill>
                </w14:textFill>
              </w:rPr>
            </w:pPr>
          </w:p>
          <w:p w14:paraId="61724F8A">
            <w:pPr>
              <w:pStyle w:val="66"/>
              <w:spacing w:line="360" w:lineRule="auto"/>
              <w:rPr>
                <w:rFonts w:hint="eastAsia" w:cs="Times New Roman"/>
                <w:color w:val="000000" w:themeColor="text1"/>
                <w:sz w:val="24"/>
                <w:szCs w:val="24"/>
                <w:highlight w:val="none"/>
                <w:lang w:val="en-US" w:eastAsia="zh-CN"/>
                <w14:textFill>
                  <w14:solidFill>
                    <w14:schemeClr w14:val="tx1"/>
                  </w14:solidFill>
                </w14:textFill>
              </w:rPr>
            </w:pPr>
          </w:p>
          <w:p w14:paraId="6DEE5784">
            <w:pPr>
              <w:pStyle w:val="66"/>
              <w:spacing w:line="360" w:lineRule="auto"/>
              <w:rPr>
                <w:rFonts w:hint="eastAsia" w:cs="Times New Roman"/>
                <w:color w:val="000000" w:themeColor="text1"/>
                <w:sz w:val="24"/>
                <w:szCs w:val="24"/>
                <w:highlight w:val="none"/>
                <w:lang w:val="en-US" w:eastAsia="zh-CN"/>
                <w14:textFill>
                  <w14:solidFill>
                    <w14:schemeClr w14:val="tx1"/>
                  </w14:solidFill>
                </w14:textFill>
              </w:rPr>
            </w:pPr>
          </w:p>
          <w:p w14:paraId="65E2EAF7">
            <w:pPr>
              <w:pStyle w:val="66"/>
              <w:spacing w:line="360" w:lineRule="auto"/>
              <w:rPr>
                <w:rFonts w:hint="eastAsia" w:cs="Times New Roman"/>
                <w:color w:val="000000" w:themeColor="text1"/>
                <w:sz w:val="24"/>
                <w:szCs w:val="24"/>
                <w:highlight w:val="none"/>
                <w:lang w:val="en-US" w:eastAsia="zh-CN"/>
                <w14:textFill>
                  <w14:solidFill>
                    <w14:schemeClr w14:val="tx1"/>
                  </w14:solidFill>
                </w14:textFill>
              </w:rPr>
            </w:pPr>
          </w:p>
          <w:p w14:paraId="7D677277">
            <w:pPr>
              <w:pStyle w:val="66"/>
              <w:spacing w:line="360" w:lineRule="auto"/>
              <w:rPr>
                <w:rFonts w:hint="eastAsia" w:cs="Times New Roman"/>
                <w:color w:val="000000" w:themeColor="text1"/>
                <w:sz w:val="24"/>
                <w:szCs w:val="24"/>
                <w:highlight w:val="none"/>
                <w:lang w:val="en-US" w:eastAsia="zh-CN"/>
                <w14:textFill>
                  <w14:solidFill>
                    <w14:schemeClr w14:val="tx1"/>
                  </w14:solidFill>
                </w14:textFill>
              </w:rPr>
            </w:pPr>
          </w:p>
          <w:p w14:paraId="0E4AD046">
            <w:pPr>
              <w:pStyle w:val="66"/>
              <w:spacing w:line="360" w:lineRule="auto"/>
              <w:rPr>
                <w:rFonts w:hint="eastAsia" w:cs="Times New Roman"/>
                <w:color w:val="000000" w:themeColor="text1"/>
                <w:sz w:val="24"/>
                <w:szCs w:val="24"/>
                <w:highlight w:val="none"/>
                <w:lang w:val="en-US" w:eastAsia="zh-CN"/>
                <w14:textFill>
                  <w14:solidFill>
                    <w14:schemeClr w14:val="tx1"/>
                  </w14:solidFill>
                </w14:textFill>
              </w:rPr>
            </w:pPr>
          </w:p>
          <w:p w14:paraId="51BCAE55">
            <w:pPr>
              <w:pStyle w:val="66"/>
              <w:spacing w:line="360" w:lineRule="auto"/>
              <w:ind w:left="0" w:leftChars="0" w:firstLine="0" w:firstLineChars="0"/>
              <w:rPr>
                <w:rFonts w:hint="eastAsia" w:cs="Times New Roman"/>
                <w:color w:val="000000" w:themeColor="text1"/>
                <w:sz w:val="24"/>
                <w:szCs w:val="24"/>
                <w:highlight w:val="none"/>
                <w:lang w:val="en-US" w:eastAsia="zh-CN"/>
                <w14:textFill>
                  <w14:solidFill>
                    <w14:schemeClr w14:val="tx1"/>
                  </w14:solidFill>
                </w14:textFill>
              </w:rPr>
            </w:pPr>
          </w:p>
          <w:p w14:paraId="2589B519">
            <w:pPr>
              <w:pStyle w:val="66"/>
              <w:spacing w:line="360" w:lineRule="auto"/>
              <w:ind w:left="0" w:leftChars="0" w:firstLine="0" w:firstLineChars="0"/>
              <w:rPr>
                <w:rFonts w:hint="eastAsia" w:cs="Times New Roman"/>
                <w:color w:val="000000" w:themeColor="text1"/>
                <w:sz w:val="24"/>
                <w:szCs w:val="24"/>
                <w:highlight w:val="none"/>
                <w:lang w:val="en-US" w:eastAsia="zh-CN"/>
                <w14:textFill>
                  <w14:solidFill>
                    <w14:schemeClr w14:val="tx1"/>
                  </w14:solidFill>
                </w14:textFill>
              </w:rPr>
            </w:pPr>
          </w:p>
        </w:tc>
      </w:tr>
    </w:tbl>
    <w:p w14:paraId="724FEF12">
      <w:pPr>
        <w:rPr>
          <w:color w:val="auto"/>
        </w:rPr>
      </w:pPr>
      <w:r>
        <w:rPr>
          <w:color w:val="auto"/>
        </w:rPr>
        <w:br w:type="page"/>
      </w:r>
    </w:p>
    <w:p w14:paraId="06CAB8BE">
      <w:pPr>
        <w:pStyle w:val="68"/>
        <w:rPr>
          <w:color w:val="auto"/>
        </w:rPr>
        <w:sectPr>
          <w:pgSz w:w="11906" w:h="16838"/>
          <w:pgMar w:top="1701" w:right="1531" w:bottom="1701" w:left="1531" w:header="851" w:footer="1021" w:gutter="0"/>
          <w:cols w:space="720" w:num="1"/>
          <w:docGrid w:linePitch="312" w:charSpace="0"/>
        </w:sectPr>
      </w:pPr>
    </w:p>
    <w:p w14:paraId="78B2902C">
      <w:pPr>
        <w:pStyle w:val="221"/>
        <w:shd w:val="clear"/>
        <w:jc w:val="center"/>
        <w:rPr>
          <w:rFonts w:hint="default"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表4-</w:t>
      </w:r>
      <w:r>
        <w:rPr>
          <w:rFonts w:hint="eastAsia" w:ascii="Times New Roman" w:hAnsi="Times New Roman" w:cs="Times New Roman"/>
          <w:b/>
          <w:bCs/>
          <w:color w:val="auto"/>
          <w:sz w:val="21"/>
          <w:szCs w:val="21"/>
          <w:lang w:val="en-US" w:eastAsia="zh-CN"/>
        </w:rPr>
        <w:t>13</w:t>
      </w:r>
      <w:r>
        <w:rPr>
          <w:rFonts w:hint="eastAsia" w:ascii="Times New Roman" w:hAnsi="Times New Roman" w:eastAsia="宋体" w:cs="Times New Roman"/>
          <w:b/>
          <w:bCs/>
          <w:color w:val="auto"/>
          <w:sz w:val="21"/>
          <w:szCs w:val="21"/>
          <w:lang w:val="en-US" w:eastAsia="zh-CN"/>
        </w:rPr>
        <w:t xml:space="preserve"> 污水处理站主要处理效率一览表 </w:t>
      </w:r>
      <w:r>
        <w:rPr>
          <w:rFonts w:hint="eastAsia" w:ascii="Times New Roman" w:hAnsi="Times New Roman" w:eastAsia="宋体" w:cs="Times New Roman"/>
          <w:b/>
          <w:bCs/>
          <w:i w:val="0"/>
          <w:caps w:val="0"/>
          <w:color w:val="auto"/>
          <w:spacing w:val="0"/>
          <w:sz w:val="21"/>
          <w:szCs w:val="21"/>
          <w:highlight w:val="none"/>
          <w:shd w:val="clear" w:color="auto" w:fill="FFFFFF"/>
          <w:vertAlign w:val="baseline"/>
          <w:lang w:val="en-US" w:eastAsia="zh-CN"/>
        </w:rPr>
        <w:t>（单位：mg/L）</w:t>
      </w:r>
    </w:p>
    <w:tbl>
      <w:tblPr>
        <w:tblStyle w:val="41"/>
        <w:tblW w:w="4708"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250"/>
        <w:gridCol w:w="1128"/>
        <w:gridCol w:w="1017"/>
        <w:gridCol w:w="998"/>
        <w:gridCol w:w="931"/>
        <w:gridCol w:w="1097"/>
        <w:gridCol w:w="1087"/>
        <w:gridCol w:w="1087"/>
        <w:gridCol w:w="1087"/>
        <w:gridCol w:w="1087"/>
        <w:gridCol w:w="1087"/>
      </w:tblGrid>
      <w:tr w14:paraId="7DFDA56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7" w:hRule="exact"/>
          <w:jc w:val="center"/>
        </w:trPr>
        <w:tc>
          <w:tcPr>
            <w:tcW w:w="1313" w:type="pct"/>
            <w:gridSpan w:val="2"/>
            <w:shd w:val="clear" w:color="auto" w:fill="auto"/>
            <w:noWrap w:val="0"/>
            <w:vAlign w:val="center"/>
          </w:tcPr>
          <w:p w14:paraId="3EAA3C19">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bCs/>
                <w:i w:val="0"/>
                <w:caps w:val="0"/>
                <w:color w:val="auto"/>
                <w:spacing w:val="0"/>
                <w:sz w:val="21"/>
                <w:szCs w:val="21"/>
                <w:highlight w:val="none"/>
                <w:shd w:val="clear" w:color="auto" w:fill="FFFFFF"/>
                <w:vertAlign w:val="baseline"/>
                <w:lang w:val="en-US" w:eastAsia="zh-CN"/>
              </w:rPr>
            </w:pPr>
            <w:bookmarkStart w:id="21" w:name="_Toc1819"/>
            <w:r>
              <w:rPr>
                <w:rFonts w:hint="eastAsia" w:cs="Times New Roman"/>
                <w:b/>
                <w:bCs/>
                <w:i w:val="0"/>
                <w:caps w:val="0"/>
                <w:color w:val="auto"/>
                <w:spacing w:val="0"/>
                <w:sz w:val="21"/>
                <w:szCs w:val="21"/>
                <w:highlight w:val="none"/>
                <w:shd w:val="clear" w:color="auto" w:fill="FFFFFF"/>
                <w:vertAlign w:val="baseline"/>
                <w:lang w:val="en-US" w:eastAsia="zh-CN"/>
              </w:rPr>
              <w:t>处理单元</w:t>
            </w:r>
          </w:p>
        </w:tc>
        <w:tc>
          <w:tcPr>
            <w:tcW w:w="395" w:type="pct"/>
            <w:shd w:val="clear" w:color="auto" w:fill="auto"/>
            <w:noWrap w:val="0"/>
            <w:vAlign w:val="center"/>
          </w:tcPr>
          <w:p w14:paraId="117C4848">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bCs/>
                <w:i w:val="0"/>
                <w:caps w:val="0"/>
                <w:color w:val="auto"/>
                <w:spacing w:val="0"/>
                <w:sz w:val="21"/>
                <w:szCs w:val="21"/>
                <w:highlight w:val="none"/>
                <w:shd w:val="clear" w:color="auto" w:fill="FFFFFF"/>
                <w:vertAlign w:val="baseline"/>
                <w:lang w:val="en-US" w:eastAsia="zh-CN"/>
              </w:rPr>
            </w:pPr>
            <w:r>
              <w:rPr>
                <w:rFonts w:hint="default" w:ascii="Times New Roman" w:hAnsi="Times New Roman" w:eastAsia="宋体" w:cs="Times New Roman"/>
                <w:b/>
                <w:bCs/>
                <w:i w:val="0"/>
                <w:caps w:val="0"/>
                <w:color w:val="auto"/>
                <w:spacing w:val="0"/>
                <w:sz w:val="21"/>
                <w:szCs w:val="21"/>
                <w:highlight w:val="none"/>
                <w:shd w:val="clear" w:color="auto" w:fill="FFFFFF"/>
                <w:vertAlign w:val="baseline"/>
                <w:lang w:val="en-US" w:eastAsia="zh-CN"/>
              </w:rPr>
              <w:t>COD</w:t>
            </w:r>
          </w:p>
        </w:tc>
        <w:tc>
          <w:tcPr>
            <w:tcW w:w="388" w:type="pct"/>
            <w:shd w:val="clear" w:color="auto" w:fill="auto"/>
            <w:noWrap w:val="0"/>
            <w:vAlign w:val="center"/>
          </w:tcPr>
          <w:p w14:paraId="6D5AA399">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bCs/>
                <w:i w:val="0"/>
                <w:caps w:val="0"/>
                <w:color w:val="auto"/>
                <w:spacing w:val="0"/>
                <w:sz w:val="21"/>
                <w:szCs w:val="21"/>
                <w:highlight w:val="none"/>
                <w:shd w:val="clear" w:color="auto" w:fill="FFFFFF"/>
                <w:vertAlign w:val="baseline"/>
                <w:lang w:val="en-US" w:eastAsia="zh-CN"/>
              </w:rPr>
            </w:pPr>
            <w:r>
              <w:rPr>
                <w:rFonts w:hint="default" w:ascii="Times New Roman" w:hAnsi="Times New Roman" w:eastAsia="宋体" w:cs="Times New Roman"/>
                <w:b/>
                <w:bCs/>
                <w:i w:val="0"/>
                <w:caps w:val="0"/>
                <w:color w:val="auto"/>
                <w:spacing w:val="0"/>
                <w:sz w:val="21"/>
                <w:szCs w:val="21"/>
                <w:highlight w:val="none"/>
                <w:shd w:val="clear" w:color="auto" w:fill="FFFFFF"/>
                <w:vertAlign w:val="baseline"/>
                <w:lang w:val="en-US" w:eastAsia="zh-CN"/>
              </w:rPr>
              <w:t>BOD</w:t>
            </w:r>
            <w:r>
              <w:rPr>
                <w:rFonts w:hint="default" w:ascii="Times New Roman" w:hAnsi="Times New Roman" w:eastAsia="宋体" w:cs="Times New Roman"/>
                <w:b/>
                <w:bCs/>
                <w:i w:val="0"/>
                <w:caps w:val="0"/>
                <w:color w:val="auto"/>
                <w:spacing w:val="0"/>
                <w:sz w:val="21"/>
                <w:szCs w:val="21"/>
                <w:highlight w:val="none"/>
                <w:shd w:val="clear" w:color="auto" w:fill="FFFFFF"/>
                <w:vertAlign w:val="subscript"/>
                <w:lang w:val="en-US" w:eastAsia="zh-CN"/>
              </w:rPr>
              <w:t>5</w:t>
            </w:r>
          </w:p>
        </w:tc>
        <w:tc>
          <w:tcPr>
            <w:tcW w:w="362" w:type="pct"/>
            <w:shd w:val="clear" w:color="auto" w:fill="auto"/>
            <w:noWrap w:val="0"/>
            <w:vAlign w:val="center"/>
          </w:tcPr>
          <w:p w14:paraId="4BADD7AB">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bCs/>
                <w:i w:val="0"/>
                <w:caps w:val="0"/>
                <w:color w:val="auto"/>
                <w:spacing w:val="0"/>
                <w:sz w:val="21"/>
                <w:szCs w:val="21"/>
                <w:highlight w:val="none"/>
                <w:shd w:val="clear" w:color="auto" w:fill="FFFFFF"/>
                <w:vertAlign w:val="baseline"/>
                <w:lang w:val="en-US" w:eastAsia="zh-CN"/>
              </w:rPr>
            </w:pPr>
            <w:r>
              <w:rPr>
                <w:rFonts w:hint="default" w:ascii="Times New Roman" w:hAnsi="Times New Roman" w:eastAsia="宋体" w:cs="Times New Roman"/>
                <w:b/>
                <w:bCs/>
                <w:i w:val="0"/>
                <w:caps w:val="0"/>
                <w:color w:val="auto"/>
                <w:spacing w:val="0"/>
                <w:sz w:val="21"/>
                <w:szCs w:val="21"/>
                <w:highlight w:val="none"/>
                <w:shd w:val="clear" w:color="auto" w:fill="FFFFFF"/>
                <w:vertAlign w:val="baseline"/>
                <w:lang w:val="en-US" w:eastAsia="zh-CN"/>
              </w:rPr>
              <w:t>氨氮</w:t>
            </w:r>
          </w:p>
        </w:tc>
        <w:tc>
          <w:tcPr>
            <w:tcW w:w="426" w:type="pct"/>
            <w:shd w:val="clear" w:color="auto" w:fill="auto"/>
            <w:noWrap w:val="0"/>
            <w:vAlign w:val="center"/>
          </w:tcPr>
          <w:p w14:paraId="762B62C8">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bCs/>
                <w:i w:val="0"/>
                <w:caps w:val="0"/>
                <w:color w:val="auto"/>
                <w:spacing w:val="0"/>
                <w:sz w:val="21"/>
                <w:szCs w:val="21"/>
                <w:highlight w:val="none"/>
                <w:shd w:val="clear" w:color="auto" w:fill="FFFFFF"/>
                <w:vertAlign w:val="baseline"/>
                <w:lang w:val="en-US" w:eastAsia="zh-CN"/>
              </w:rPr>
            </w:pPr>
            <w:r>
              <w:rPr>
                <w:rFonts w:hint="default" w:ascii="Times New Roman" w:hAnsi="Times New Roman" w:eastAsia="宋体" w:cs="Times New Roman"/>
                <w:b/>
                <w:bCs/>
                <w:i w:val="0"/>
                <w:caps w:val="0"/>
                <w:color w:val="auto"/>
                <w:spacing w:val="0"/>
                <w:sz w:val="21"/>
                <w:szCs w:val="21"/>
                <w:highlight w:val="none"/>
                <w:shd w:val="clear" w:color="auto" w:fill="FFFFFF"/>
                <w:vertAlign w:val="baseline"/>
                <w:lang w:val="en-US" w:eastAsia="zh-CN"/>
              </w:rPr>
              <w:t>总磷</w:t>
            </w:r>
          </w:p>
        </w:tc>
        <w:tc>
          <w:tcPr>
            <w:tcW w:w="422" w:type="pct"/>
            <w:shd w:val="clear" w:color="auto" w:fill="auto"/>
            <w:noWrap w:val="0"/>
            <w:vAlign w:val="center"/>
          </w:tcPr>
          <w:p w14:paraId="2FE0C22D">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bCs/>
                <w:i w:val="0"/>
                <w:caps w:val="0"/>
                <w:color w:val="auto"/>
                <w:spacing w:val="0"/>
                <w:sz w:val="21"/>
                <w:szCs w:val="21"/>
                <w:highlight w:val="none"/>
                <w:shd w:val="clear" w:color="auto" w:fill="FFFFFF"/>
                <w:vertAlign w:val="baseline"/>
                <w:lang w:val="en-US" w:eastAsia="zh-CN"/>
              </w:rPr>
            </w:pPr>
            <w:r>
              <w:rPr>
                <w:rFonts w:hint="default" w:ascii="Times New Roman" w:hAnsi="Times New Roman" w:eastAsia="宋体" w:cs="Times New Roman"/>
                <w:b/>
                <w:bCs/>
                <w:i w:val="0"/>
                <w:caps w:val="0"/>
                <w:color w:val="auto"/>
                <w:spacing w:val="0"/>
                <w:sz w:val="21"/>
                <w:szCs w:val="21"/>
                <w:highlight w:val="none"/>
                <w:shd w:val="clear" w:color="auto" w:fill="FFFFFF"/>
                <w:vertAlign w:val="baseline"/>
                <w:lang w:val="en-US" w:eastAsia="zh-CN"/>
              </w:rPr>
              <w:t>SS</w:t>
            </w:r>
          </w:p>
        </w:tc>
        <w:tc>
          <w:tcPr>
            <w:tcW w:w="422" w:type="pct"/>
            <w:shd w:val="clear" w:color="auto" w:fill="auto"/>
            <w:noWrap w:val="0"/>
            <w:vAlign w:val="center"/>
          </w:tcPr>
          <w:p w14:paraId="1A29A5E5">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bCs/>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bCs/>
                <w:i w:val="0"/>
                <w:caps w:val="0"/>
                <w:color w:val="auto"/>
                <w:spacing w:val="0"/>
                <w:sz w:val="21"/>
                <w:szCs w:val="21"/>
                <w:highlight w:val="none"/>
                <w:shd w:val="clear" w:color="auto" w:fill="FFFFFF"/>
                <w:vertAlign w:val="baseline"/>
                <w:lang w:val="en-US" w:eastAsia="zh-CN"/>
              </w:rPr>
              <w:t>氟化物</w:t>
            </w:r>
          </w:p>
        </w:tc>
        <w:tc>
          <w:tcPr>
            <w:tcW w:w="422" w:type="pct"/>
            <w:shd w:val="clear" w:color="auto" w:fill="auto"/>
            <w:noWrap w:val="0"/>
            <w:vAlign w:val="center"/>
          </w:tcPr>
          <w:p w14:paraId="5D96459A">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bCs/>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bCs/>
                <w:i w:val="0"/>
                <w:caps w:val="0"/>
                <w:color w:val="auto"/>
                <w:spacing w:val="0"/>
                <w:sz w:val="21"/>
                <w:szCs w:val="21"/>
                <w:highlight w:val="none"/>
                <w:shd w:val="clear" w:color="auto" w:fill="FFFFFF"/>
                <w:vertAlign w:val="baseline"/>
                <w:lang w:val="en-US" w:eastAsia="zh-CN"/>
              </w:rPr>
              <w:t>Ni</w:t>
            </w:r>
          </w:p>
        </w:tc>
        <w:tc>
          <w:tcPr>
            <w:tcW w:w="422" w:type="pct"/>
            <w:shd w:val="clear" w:color="auto" w:fill="auto"/>
            <w:noWrap w:val="0"/>
            <w:vAlign w:val="center"/>
          </w:tcPr>
          <w:p w14:paraId="3A2B7778">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bCs/>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bCs/>
                <w:i w:val="0"/>
                <w:caps w:val="0"/>
                <w:color w:val="auto"/>
                <w:spacing w:val="0"/>
                <w:sz w:val="21"/>
                <w:szCs w:val="21"/>
                <w:highlight w:val="none"/>
                <w:shd w:val="clear" w:color="auto" w:fill="FFFFFF"/>
                <w:vertAlign w:val="baseline"/>
                <w:lang w:val="en-US" w:eastAsia="zh-CN"/>
              </w:rPr>
              <w:t>Co</w:t>
            </w:r>
          </w:p>
        </w:tc>
        <w:tc>
          <w:tcPr>
            <w:tcW w:w="422" w:type="pct"/>
            <w:shd w:val="clear" w:color="auto" w:fill="auto"/>
            <w:noWrap w:val="0"/>
            <w:vAlign w:val="center"/>
          </w:tcPr>
          <w:p w14:paraId="50D4E699">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bCs/>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bCs/>
                <w:i w:val="0"/>
                <w:caps w:val="0"/>
                <w:color w:val="auto"/>
                <w:spacing w:val="0"/>
                <w:sz w:val="21"/>
                <w:szCs w:val="21"/>
                <w:highlight w:val="none"/>
                <w:shd w:val="clear" w:color="auto" w:fill="FFFFFF"/>
                <w:vertAlign w:val="baseline"/>
                <w:lang w:val="en-US" w:eastAsia="zh-CN"/>
              </w:rPr>
              <w:t>Mn</w:t>
            </w:r>
          </w:p>
        </w:tc>
      </w:tr>
      <w:tr w14:paraId="3093A0A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4" w:hRule="exact"/>
          <w:jc w:val="center"/>
        </w:trPr>
        <w:tc>
          <w:tcPr>
            <w:tcW w:w="875" w:type="pct"/>
            <w:vMerge w:val="restart"/>
            <w:noWrap w:val="0"/>
            <w:vAlign w:val="center"/>
          </w:tcPr>
          <w:p w14:paraId="5CBD4B5D">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一级除氟反应池</w:t>
            </w:r>
          </w:p>
        </w:tc>
        <w:tc>
          <w:tcPr>
            <w:tcW w:w="438" w:type="pct"/>
            <w:noWrap w:val="0"/>
            <w:vAlign w:val="center"/>
          </w:tcPr>
          <w:p w14:paraId="1C73A724">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进水</w:t>
            </w:r>
          </w:p>
        </w:tc>
        <w:tc>
          <w:tcPr>
            <w:tcW w:w="395" w:type="pct"/>
            <w:noWrap w:val="0"/>
            <w:vAlign w:val="center"/>
          </w:tcPr>
          <w:p w14:paraId="0196F21D">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cs="Times New Roman"/>
                <w:color w:val="auto"/>
                <w:kern w:val="0"/>
                <w:sz w:val="21"/>
                <w:szCs w:val="21"/>
                <w:lang w:val="en-US" w:eastAsia="zh-CN"/>
              </w:rPr>
              <w:t>9850</w:t>
            </w:r>
          </w:p>
        </w:tc>
        <w:tc>
          <w:tcPr>
            <w:tcW w:w="388" w:type="pct"/>
            <w:noWrap w:val="0"/>
            <w:vAlign w:val="center"/>
          </w:tcPr>
          <w:p w14:paraId="17148412">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3576</w:t>
            </w:r>
          </w:p>
        </w:tc>
        <w:tc>
          <w:tcPr>
            <w:tcW w:w="362" w:type="pct"/>
            <w:noWrap w:val="0"/>
            <w:vAlign w:val="center"/>
          </w:tcPr>
          <w:p w14:paraId="793069C8">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118</w:t>
            </w:r>
          </w:p>
        </w:tc>
        <w:tc>
          <w:tcPr>
            <w:tcW w:w="426" w:type="pct"/>
            <w:noWrap w:val="0"/>
            <w:vAlign w:val="center"/>
          </w:tcPr>
          <w:p w14:paraId="1985836F">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12.8</w:t>
            </w:r>
          </w:p>
        </w:tc>
        <w:tc>
          <w:tcPr>
            <w:tcW w:w="422" w:type="pct"/>
            <w:noWrap w:val="0"/>
            <w:vAlign w:val="center"/>
          </w:tcPr>
          <w:p w14:paraId="726D1BC7">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560</w:t>
            </w:r>
          </w:p>
        </w:tc>
        <w:tc>
          <w:tcPr>
            <w:tcW w:w="422" w:type="pct"/>
            <w:noWrap w:val="0"/>
            <w:vAlign w:val="center"/>
          </w:tcPr>
          <w:p w14:paraId="63072932">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100</w:t>
            </w:r>
          </w:p>
        </w:tc>
        <w:tc>
          <w:tcPr>
            <w:tcW w:w="422" w:type="pct"/>
            <w:noWrap w:val="0"/>
            <w:vAlign w:val="center"/>
          </w:tcPr>
          <w:p w14:paraId="704DBDFC">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5</w:t>
            </w:r>
          </w:p>
        </w:tc>
        <w:tc>
          <w:tcPr>
            <w:tcW w:w="422" w:type="pct"/>
            <w:noWrap w:val="0"/>
            <w:vAlign w:val="center"/>
          </w:tcPr>
          <w:p w14:paraId="01DA43A5">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1</w:t>
            </w:r>
          </w:p>
        </w:tc>
        <w:tc>
          <w:tcPr>
            <w:tcW w:w="422" w:type="pct"/>
            <w:noWrap w:val="0"/>
            <w:vAlign w:val="center"/>
          </w:tcPr>
          <w:p w14:paraId="2C6858B4">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3</w:t>
            </w:r>
          </w:p>
        </w:tc>
      </w:tr>
      <w:tr w14:paraId="224BB2D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4" w:hRule="exact"/>
          <w:jc w:val="center"/>
        </w:trPr>
        <w:tc>
          <w:tcPr>
            <w:tcW w:w="875" w:type="pct"/>
            <w:vMerge w:val="continue"/>
            <w:noWrap w:val="0"/>
            <w:vAlign w:val="center"/>
          </w:tcPr>
          <w:p w14:paraId="366E0173">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p>
        </w:tc>
        <w:tc>
          <w:tcPr>
            <w:tcW w:w="438" w:type="pct"/>
            <w:noWrap w:val="0"/>
            <w:vAlign w:val="center"/>
          </w:tcPr>
          <w:p w14:paraId="595A0924">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去除率</w:t>
            </w:r>
          </w:p>
        </w:tc>
        <w:tc>
          <w:tcPr>
            <w:tcW w:w="395" w:type="pct"/>
            <w:noWrap w:val="0"/>
            <w:vAlign w:val="center"/>
          </w:tcPr>
          <w:p w14:paraId="3350CC12">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w:t>
            </w:r>
          </w:p>
        </w:tc>
        <w:tc>
          <w:tcPr>
            <w:tcW w:w="388" w:type="pct"/>
            <w:noWrap w:val="0"/>
            <w:vAlign w:val="center"/>
          </w:tcPr>
          <w:p w14:paraId="44C2103B">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w:t>
            </w:r>
          </w:p>
        </w:tc>
        <w:tc>
          <w:tcPr>
            <w:tcW w:w="362" w:type="pct"/>
            <w:noWrap w:val="0"/>
            <w:vAlign w:val="center"/>
          </w:tcPr>
          <w:p w14:paraId="12A88C4A">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w:t>
            </w:r>
          </w:p>
        </w:tc>
        <w:tc>
          <w:tcPr>
            <w:tcW w:w="426" w:type="pct"/>
            <w:noWrap w:val="0"/>
            <w:vAlign w:val="center"/>
          </w:tcPr>
          <w:p w14:paraId="59052ACC">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30%</w:t>
            </w:r>
          </w:p>
        </w:tc>
        <w:tc>
          <w:tcPr>
            <w:tcW w:w="422" w:type="pct"/>
            <w:noWrap w:val="0"/>
            <w:vAlign w:val="center"/>
          </w:tcPr>
          <w:p w14:paraId="63154425">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w:t>
            </w:r>
          </w:p>
        </w:tc>
        <w:tc>
          <w:tcPr>
            <w:tcW w:w="422" w:type="pct"/>
            <w:noWrap w:val="0"/>
            <w:vAlign w:val="center"/>
          </w:tcPr>
          <w:p w14:paraId="1112FF66">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95%</w:t>
            </w:r>
          </w:p>
        </w:tc>
        <w:tc>
          <w:tcPr>
            <w:tcW w:w="422" w:type="pct"/>
            <w:noWrap w:val="0"/>
            <w:vAlign w:val="center"/>
          </w:tcPr>
          <w:p w14:paraId="5699E08D">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w:t>
            </w:r>
          </w:p>
        </w:tc>
        <w:tc>
          <w:tcPr>
            <w:tcW w:w="422" w:type="pct"/>
            <w:noWrap w:val="0"/>
            <w:vAlign w:val="center"/>
          </w:tcPr>
          <w:p w14:paraId="4B6675C5">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w:t>
            </w:r>
          </w:p>
        </w:tc>
        <w:tc>
          <w:tcPr>
            <w:tcW w:w="422" w:type="pct"/>
            <w:noWrap w:val="0"/>
            <w:vAlign w:val="center"/>
          </w:tcPr>
          <w:p w14:paraId="08CDA71B">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w:t>
            </w:r>
          </w:p>
        </w:tc>
      </w:tr>
      <w:tr w14:paraId="65C478D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4" w:hRule="exact"/>
          <w:jc w:val="center"/>
        </w:trPr>
        <w:tc>
          <w:tcPr>
            <w:tcW w:w="875" w:type="pct"/>
            <w:vMerge w:val="continue"/>
            <w:noWrap w:val="0"/>
            <w:vAlign w:val="center"/>
          </w:tcPr>
          <w:p w14:paraId="139F798B">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p>
        </w:tc>
        <w:tc>
          <w:tcPr>
            <w:tcW w:w="438" w:type="pct"/>
            <w:noWrap w:val="0"/>
            <w:vAlign w:val="center"/>
          </w:tcPr>
          <w:p w14:paraId="0C359421">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出水</w:t>
            </w:r>
          </w:p>
        </w:tc>
        <w:tc>
          <w:tcPr>
            <w:tcW w:w="395" w:type="pct"/>
            <w:noWrap w:val="0"/>
            <w:vAlign w:val="center"/>
          </w:tcPr>
          <w:p w14:paraId="2730444B">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cs="Times New Roman"/>
                <w:color w:val="auto"/>
                <w:kern w:val="0"/>
                <w:sz w:val="21"/>
                <w:szCs w:val="21"/>
                <w:lang w:val="en-US" w:eastAsia="zh-CN"/>
              </w:rPr>
              <w:t>9850</w:t>
            </w:r>
          </w:p>
        </w:tc>
        <w:tc>
          <w:tcPr>
            <w:tcW w:w="388" w:type="pct"/>
            <w:noWrap w:val="0"/>
            <w:vAlign w:val="center"/>
          </w:tcPr>
          <w:p w14:paraId="670A24D4">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3576</w:t>
            </w:r>
          </w:p>
        </w:tc>
        <w:tc>
          <w:tcPr>
            <w:tcW w:w="362" w:type="pct"/>
            <w:noWrap w:val="0"/>
            <w:vAlign w:val="center"/>
          </w:tcPr>
          <w:p w14:paraId="08EFB2D5">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118</w:t>
            </w:r>
          </w:p>
        </w:tc>
        <w:tc>
          <w:tcPr>
            <w:tcW w:w="426" w:type="pct"/>
            <w:noWrap w:val="0"/>
            <w:vAlign w:val="center"/>
          </w:tcPr>
          <w:p w14:paraId="015CFC18">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8.96</w:t>
            </w:r>
          </w:p>
        </w:tc>
        <w:tc>
          <w:tcPr>
            <w:tcW w:w="422" w:type="pct"/>
            <w:noWrap w:val="0"/>
            <w:vAlign w:val="center"/>
          </w:tcPr>
          <w:p w14:paraId="3798CDED">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560</w:t>
            </w:r>
          </w:p>
        </w:tc>
        <w:tc>
          <w:tcPr>
            <w:tcW w:w="422" w:type="pct"/>
            <w:noWrap w:val="0"/>
            <w:vAlign w:val="center"/>
          </w:tcPr>
          <w:p w14:paraId="2C43348F">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5</w:t>
            </w:r>
          </w:p>
        </w:tc>
        <w:tc>
          <w:tcPr>
            <w:tcW w:w="422" w:type="pct"/>
            <w:noWrap w:val="0"/>
            <w:vAlign w:val="center"/>
          </w:tcPr>
          <w:p w14:paraId="6396A756">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5</w:t>
            </w:r>
          </w:p>
        </w:tc>
        <w:tc>
          <w:tcPr>
            <w:tcW w:w="422" w:type="pct"/>
            <w:noWrap w:val="0"/>
            <w:vAlign w:val="center"/>
          </w:tcPr>
          <w:p w14:paraId="5B699490">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1</w:t>
            </w:r>
          </w:p>
        </w:tc>
        <w:tc>
          <w:tcPr>
            <w:tcW w:w="422" w:type="pct"/>
            <w:noWrap w:val="0"/>
            <w:vAlign w:val="center"/>
          </w:tcPr>
          <w:p w14:paraId="0496AD91">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3</w:t>
            </w:r>
          </w:p>
        </w:tc>
      </w:tr>
      <w:tr w14:paraId="7A581AD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4" w:hRule="exact"/>
          <w:jc w:val="center"/>
        </w:trPr>
        <w:tc>
          <w:tcPr>
            <w:tcW w:w="875" w:type="pct"/>
            <w:vMerge w:val="restart"/>
            <w:noWrap w:val="0"/>
            <w:vAlign w:val="center"/>
          </w:tcPr>
          <w:p w14:paraId="2A3AAD86">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二级除重反应池</w:t>
            </w:r>
          </w:p>
        </w:tc>
        <w:tc>
          <w:tcPr>
            <w:tcW w:w="438" w:type="pct"/>
            <w:noWrap w:val="0"/>
            <w:vAlign w:val="center"/>
          </w:tcPr>
          <w:p w14:paraId="3B046C20">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进水</w:t>
            </w:r>
          </w:p>
        </w:tc>
        <w:tc>
          <w:tcPr>
            <w:tcW w:w="395" w:type="pct"/>
            <w:noWrap w:val="0"/>
            <w:vAlign w:val="center"/>
          </w:tcPr>
          <w:p w14:paraId="6DC319C7">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cs="Times New Roman"/>
                <w:color w:val="auto"/>
                <w:kern w:val="0"/>
                <w:sz w:val="21"/>
                <w:szCs w:val="21"/>
                <w:lang w:val="en-US" w:eastAsia="zh-CN"/>
              </w:rPr>
              <w:t>9850</w:t>
            </w:r>
          </w:p>
        </w:tc>
        <w:tc>
          <w:tcPr>
            <w:tcW w:w="388" w:type="pct"/>
            <w:noWrap w:val="0"/>
            <w:vAlign w:val="center"/>
          </w:tcPr>
          <w:p w14:paraId="16B3082D">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3576</w:t>
            </w:r>
          </w:p>
        </w:tc>
        <w:tc>
          <w:tcPr>
            <w:tcW w:w="362" w:type="pct"/>
            <w:noWrap w:val="0"/>
            <w:vAlign w:val="center"/>
          </w:tcPr>
          <w:p w14:paraId="2877D8EC">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118</w:t>
            </w:r>
          </w:p>
        </w:tc>
        <w:tc>
          <w:tcPr>
            <w:tcW w:w="426" w:type="pct"/>
            <w:noWrap w:val="0"/>
            <w:vAlign w:val="center"/>
          </w:tcPr>
          <w:p w14:paraId="07BC8C29">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8.96</w:t>
            </w:r>
          </w:p>
        </w:tc>
        <w:tc>
          <w:tcPr>
            <w:tcW w:w="422" w:type="pct"/>
            <w:noWrap w:val="0"/>
            <w:vAlign w:val="center"/>
          </w:tcPr>
          <w:p w14:paraId="390957C7">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560</w:t>
            </w:r>
          </w:p>
        </w:tc>
        <w:tc>
          <w:tcPr>
            <w:tcW w:w="422" w:type="pct"/>
            <w:noWrap w:val="0"/>
            <w:vAlign w:val="center"/>
          </w:tcPr>
          <w:p w14:paraId="3600B2A4">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w:t>
            </w:r>
          </w:p>
        </w:tc>
        <w:tc>
          <w:tcPr>
            <w:tcW w:w="422" w:type="pct"/>
            <w:noWrap w:val="0"/>
            <w:vAlign w:val="center"/>
          </w:tcPr>
          <w:p w14:paraId="61BB107E">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5</w:t>
            </w:r>
          </w:p>
        </w:tc>
        <w:tc>
          <w:tcPr>
            <w:tcW w:w="422" w:type="pct"/>
            <w:noWrap w:val="0"/>
            <w:vAlign w:val="center"/>
          </w:tcPr>
          <w:p w14:paraId="5697BF71">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1</w:t>
            </w:r>
          </w:p>
        </w:tc>
        <w:tc>
          <w:tcPr>
            <w:tcW w:w="422" w:type="pct"/>
            <w:noWrap w:val="0"/>
            <w:vAlign w:val="center"/>
          </w:tcPr>
          <w:p w14:paraId="32540CEB">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3</w:t>
            </w:r>
          </w:p>
        </w:tc>
      </w:tr>
      <w:tr w14:paraId="094776F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4" w:hRule="exact"/>
          <w:jc w:val="center"/>
        </w:trPr>
        <w:tc>
          <w:tcPr>
            <w:tcW w:w="875" w:type="pct"/>
            <w:vMerge w:val="continue"/>
            <w:noWrap w:val="0"/>
            <w:vAlign w:val="center"/>
          </w:tcPr>
          <w:p w14:paraId="47325812">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p>
        </w:tc>
        <w:tc>
          <w:tcPr>
            <w:tcW w:w="438" w:type="pct"/>
            <w:noWrap w:val="0"/>
            <w:vAlign w:val="center"/>
          </w:tcPr>
          <w:p w14:paraId="49A588B3">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去除率</w:t>
            </w:r>
          </w:p>
        </w:tc>
        <w:tc>
          <w:tcPr>
            <w:tcW w:w="395" w:type="pct"/>
            <w:noWrap w:val="0"/>
            <w:vAlign w:val="center"/>
          </w:tcPr>
          <w:p w14:paraId="7CB524EB">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w:t>
            </w:r>
          </w:p>
        </w:tc>
        <w:tc>
          <w:tcPr>
            <w:tcW w:w="388" w:type="pct"/>
            <w:noWrap w:val="0"/>
            <w:vAlign w:val="center"/>
          </w:tcPr>
          <w:p w14:paraId="51210B13">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w:t>
            </w:r>
          </w:p>
        </w:tc>
        <w:tc>
          <w:tcPr>
            <w:tcW w:w="362" w:type="pct"/>
            <w:noWrap w:val="0"/>
            <w:vAlign w:val="center"/>
          </w:tcPr>
          <w:p w14:paraId="1E62A2D9">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w:t>
            </w:r>
          </w:p>
        </w:tc>
        <w:tc>
          <w:tcPr>
            <w:tcW w:w="426" w:type="pct"/>
            <w:noWrap w:val="0"/>
            <w:vAlign w:val="center"/>
          </w:tcPr>
          <w:p w14:paraId="3523E656">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25%</w:t>
            </w:r>
          </w:p>
        </w:tc>
        <w:tc>
          <w:tcPr>
            <w:tcW w:w="422" w:type="pct"/>
            <w:noWrap w:val="0"/>
            <w:vAlign w:val="center"/>
          </w:tcPr>
          <w:p w14:paraId="1FC550D8">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w:t>
            </w:r>
          </w:p>
        </w:tc>
        <w:tc>
          <w:tcPr>
            <w:tcW w:w="422" w:type="pct"/>
            <w:noWrap w:val="0"/>
            <w:vAlign w:val="center"/>
          </w:tcPr>
          <w:p w14:paraId="6C6ECB7E">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w:t>
            </w:r>
          </w:p>
        </w:tc>
        <w:tc>
          <w:tcPr>
            <w:tcW w:w="422" w:type="pct"/>
            <w:noWrap w:val="0"/>
            <w:vAlign w:val="center"/>
          </w:tcPr>
          <w:p w14:paraId="1D41023A">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90%</w:t>
            </w:r>
          </w:p>
        </w:tc>
        <w:tc>
          <w:tcPr>
            <w:tcW w:w="422" w:type="pct"/>
            <w:noWrap w:val="0"/>
            <w:vAlign w:val="center"/>
          </w:tcPr>
          <w:p w14:paraId="56339E8C">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90%</w:t>
            </w:r>
          </w:p>
        </w:tc>
        <w:tc>
          <w:tcPr>
            <w:tcW w:w="422" w:type="pct"/>
            <w:noWrap w:val="0"/>
            <w:vAlign w:val="center"/>
          </w:tcPr>
          <w:p w14:paraId="50A05900">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90%</w:t>
            </w:r>
          </w:p>
        </w:tc>
      </w:tr>
      <w:tr w14:paraId="210B1AF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2" w:hRule="exact"/>
          <w:jc w:val="center"/>
        </w:trPr>
        <w:tc>
          <w:tcPr>
            <w:tcW w:w="875" w:type="pct"/>
            <w:vMerge w:val="continue"/>
            <w:noWrap w:val="0"/>
            <w:vAlign w:val="center"/>
          </w:tcPr>
          <w:p w14:paraId="23C2CCC1">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p>
        </w:tc>
        <w:tc>
          <w:tcPr>
            <w:tcW w:w="438" w:type="pct"/>
            <w:noWrap w:val="0"/>
            <w:vAlign w:val="center"/>
          </w:tcPr>
          <w:p w14:paraId="553B8337">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出水</w:t>
            </w:r>
          </w:p>
        </w:tc>
        <w:tc>
          <w:tcPr>
            <w:tcW w:w="395" w:type="pct"/>
            <w:noWrap w:val="0"/>
            <w:vAlign w:val="center"/>
          </w:tcPr>
          <w:p w14:paraId="05E424A2">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cs="Times New Roman"/>
                <w:color w:val="auto"/>
                <w:kern w:val="0"/>
                <w:sz w:val="21"/>
                <w:szCs w:val="21"/>
                <w:lang w:val="en-US" w:eastAsia="zh-CN"/>
              </w:rPr>
              <w:t>9850</w:t>
            </w:r>
          </w:p>
        </w:tc>
        <w:tc>
          <w:tcPr>
            <w:tcW w:w="388" w:type="pct"/>
            <w:noWrap w:val="0"/>
            <w:vAlign w:val="center"/>
          </w:tcPr>
          <w:p w14:paraId="6CF09319">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3576</w:t>
            </w:r>
          </w:p>
        </w:tc>
        <w:tc>
          <w:tcPr>
            <w:tcW w:w="362" w:type="pct"/>
            <w:noWrap w:val="0"/>
            <w:vAlign w:val="center"/>
          </w:tcPr>
          <w:p w14:paraId="303F4240">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118</w:t>
            </w:r>
          </w:p>
        </w:tc>
        <w:tc>
          <w:tcPr>
            <w:tcW w:w="426" w:type="pct"/>
            <w:noWrap w:val="0"/>
            <w:vAlign w:val="center"/>
          </w:tcPr>
          <w:p w14:paraId="217F0FC5">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6.72</w:t>
            </w:r>
          </w:p>
        </w:tc>
        <w:tc>
          <w:tcPr>
            <w:tcW w:w="422" w:type="pct"/>
            <w:noWrap w:val="0"/>
            <w:vAlign w:val="center"/>
          </w:tcPr>
          <w:p w14:paraId="64F885C6">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560</w:t>
            </w:r>
          </w:p>
        </w:tc>
        <w:tc>
          <w:tcPr>
            <w:tcW w:w="422" w:type="pct"/>
            <w:noWrap w:val="0"/>
            <w:vAlign w:val="center"/>
          </w:tcPr>
          <w:p w14:paraId="1BC1E2CA">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5</w:t>
            </w:r>
          </w:p>
        </w:tc>
        <w:tc>
          <w:tcPr>
            <w:tcW w:w="422" w:type="pct"/>
            <w:noWrap w:val="0"/>
            <w:vAlign w:val="center"/>
          </w:tcPr>
          <w:p w14:paraId="65CCBEEB">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0.5</w:t>
            </w:r>
          </w:p>
        </w:tc>
        <w:tc>
          <w:tcPr>
            <w:tcW w:w="422" w:type="pct"/>
            <w:noWrap w:val="0"/>
            <w:vAlign w:val="center"/>
          </w:tcPr>
          <w:p w14:paraId="4406911F">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0.1</w:t>
            </w:r>
          </w:p>
        </w:tc>
        <w:tc>
          <w:tcPr>
            <w:tcW w:w="422" w:type="pct"/>
            <w:noWrap w:val="0"/>
            <w:vAlign w:val="center"/>
          </w:tcPr>
          <w:p w14:paraId="1062F207">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0.3</w:t>
            </w:r>
          </w:p>
        </w:tc>
      </w:tr>
      <w:tr w14:paraId="1F44DE7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4" w:hRule="exact"/>
          <w:jc w:val="center"/>
        </w:trPr>
        <w:tc>
          <w:tcPr>
            <w:tcW w:w="875" w:type="pct"/>
            <w:vMerge w:val="restart"/>
            <w:noWrap w:val="0"/>
            <w:vAlign w:val="center"/>
          </w:tcPr>
          <w:p w14:paraId="1337BC28">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袋式过滤器</w:t>
            </w:r>
          </w:p>
        </w:tc>
        <w:tc>
          <w:tcPr>
            <w:tcW w:w="438" w:type="pct"/>
            <w:noWrap w:val="0"/>
            <w:vAlign w:val="center"/>
          </w:tcPr>
          <w:p w14:paraId="18361AA9">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进水</w:t>
            </w:r>
          </w:p>
        </w:tc>
        <w:tc>
          <w:tcPr>
            <w:tcW w:w="395" w:type="pct"/>
            <w:noWrap w:val="0"/>
            <w:vAlign w:val="center"/>
          </w:tcPr>
          <w:p w14:paraId="647B80DD">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758</w:t>
            </w:r>
          </w:p>
        </w:tc>
        <w:tc>
          <w:tcPr>
            <w:tcW w:w="388" w:type="pct"/>
            <w:noWrap w:val="0"/>
            <w:vAlign w:val="center"/>
          </w:tcPr>
          <w:p w14:paraId="551BA1CB">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368</w:t>
            </w:r>
          </w:p>
        </w:tc>
        <w:tc>
          <w:tcPr>
            <w:tcW w:w="362" w:type="pct"/>
            <w:noWrap w:val="0"/>
            <w:vAlign w:val="center"/>
          </w:tcPr>
          <w:p w14:paraId="09D95016">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0.17</w:t>
            </w:r>
          </w:p>
        </w:tc>
        <w:tc>
          <w:tcPr>
            <w:tcW w:w="426" w:type="pct"/>
            <w:noWrap w:val="0"/>
            <w:vAlign w:val="center"/>
          </w:tcPr>
          <w:p w14:paraId="77F6CF25">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1.35</w:t>
            </w:r>
          </w:p>
        </w:tc>
        <w:tc>
          <w:tcPr>
            <w:tcW w:w="422" w:type="pct"/>
            <w:noWrap w:val="0"/>
            <w:vAlign w:val="center"/>
          </w:tcPr>
          <w:p w14:paraId="15639857">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39</w:t>
            </w:r>
          </w:p>
        </w:tc>
        <w:tc>
          <w:tcPr>
            <w:tcW w:w="422" w:type="pct"/>
            <w:noWrap w:val="0"/>
            <w:vAlign w:val="center"/>
          </w:tcPr>
          <w:p w14:paraId="7EDBDB70">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w:t>
            </w:r>
          </w:p>
        </w:tc>
        <w:tc>
          <w:tcPr>
            <w:tcW w:w="422" w:type="pct"/>
            <w:noWrap w:val="0"/>
            <w:vAlign w:val="center"/>
          </w:tcPr>
          <w:p w14:paraId="43D3FEFA">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w:t>
            </w:r>
          </w:p>
        </w:tc>
        <w:tc>
          <w:tcPr>
            <w:tcW w:w="422" w:type="pct"/>
            <w:noWrap w:val="0"/>
            <w:vAlign w:val="center"/>
          </w:tcPr>
          <w:p w14:paraId="1AAB6E10">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w:t>
            </w:r>
          </w:p>
        </w:tc>
        <w:tc>
          <w:tcPr>
            <w:tcW w:w="422" w:type="pct"/>
            <w:noWrap w:val="0"/>
            <w:vAlign w:val="center"/>
          </w:tcPr>
          <w:p w14:paraId="400F669F">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w:t>
            </w:r>
          </w:p>
        </w:tc>
      </w:tr>
      <w:tr w14:paraId="4B04CF9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4" w:hRule="exact"/>
          <w:jc w:val="center"/>
        </w:trPr>
        <w:tc>
          <w:tcPr>
            <w:tcW w:w="875" w:type="pct"/>
            <w:vMerge w:val="continue"/>
            <w:noWrap w:val="0"/>
            <w:vAlign w:val="center"/>
          </w:tcPr>
          <w:p w14:paraId="0DDDC95A">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p>
        </w:tc>
        <w:tc>
          <w:tcPr>
            <w:tcW w:w="438" w:type="pct"/>
            <w:noWrap w:val="0"/>
            <w:vAlign w:val="center"/>
          </w:tcPr>
          <w:p w14:paraId="7C6B3250">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去除率</w:t>
            </w:r>
          </w:p>
        </w:tc>
        <w:tc>
          <w:tcPr>
            <w:tcW w:w="395" w:type="pct"/>
            <w:noWrap w:val="0"/>
            <w:vAlign w:val="center"/>
          </w:tcPr>
          <w:p w14:paraId="095B5609">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5%</w:t>
            </w:r>
          </w:p>
        </w:tc>
        <w:tc>
          <w:tcPr>
            <w:tcW w:w="388" w:type="pct"/>
            <w:noWrap w:val="0"/>
            <w:vAlign w:val="center"/>
          </w:tcPr>
          <w:p w14:paraId="77FC5363">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5%</w:t>
            </w:r>
          </w:p>
        </w:tc>
        <w:tc>
          <w:tcPr>
            <w:tcW w:w="362" w:type="pct"/>
            <w:noWrap w:val="0"/>
            <w:vAlign w:val="center"/>
          </w:tcPr>
          <w:p w14:paraId="43BF1D73">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10%</w:t>
            </w:r>
          </w:p>
        </w:tc>
        <w:tc>
          <w:tcPr>
            <w:tcW w:w="426" w:type="pct"/>
            <w:noWrap w:val="0"/>
            <w:vAlign w:val="center"/>
          </w:tcPr>
          <w:p w14:paraId="5B5DF633">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w:t>
            </w:r>
          </w:p>
        </w:tc>
        <w:tc>
          <w:tcPr>
            <w:tcW w:w="422" w:type="pct"/>
            <w:noWrap w:val="0"/>
            <w:vAlign w:val="center"/>
          </w:tcPr>
          <w:p w14:paraId="69CB118D">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80%</w:t>
            </w:r>
          </w:p>
        </w:tc>
        <w:tc>
          <w:tcPr>
            <w:tcW w:w="422" w:type="pct"/>
            <w:noWrap w:val="0"/>
            <w:vAlign w:val="center"/>
          </w:tcPr>
          <w:p w14:paraId="33080943">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w:t>
            </w:r>
          </w:p>
        </w:tc>
        <w:tc>
          <w:tcPr>
            <w:tcW w:w="422" w:type="pct"/>
            <w:noWrap w:val="0"/>
            <w:vAlign w:val="center"/>
          </w:tcPr>
          <w:p w14:paraId="42F80FA9">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w:t>
            </w:r>
          </w:p>
        </w:tc>
        <w:tc>
          <w:tcPr>
            <w:tcW w:w="422" w:type="pct"/>
            <w:noWrap w:val="0"/>
            <w:vAlign w:val="center"/>
          </w:tcPr>
          <w:p w14:paraId="65417426">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w:t>
            </w:r>
          </w:p>
        </w:tc>
        <w:tc>
          <w:tcPr>
            <w:tcW w:w="422" w:type="pct"/>
            <w:noWrap w:val="0"/>
            <w:vAlign w:val="center"/>
          </w:tcPr>
          <w:p w14:paraId="633EFDC7">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w:t>
            </w:r>
          </w:p>
        </w:tc>
      </w:tr>
      <w:tr w14:paraId="3AB4D3E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4" w:hRule="exact"/>
          <w:jc w:val="center"/>
        </w:trPr>
        <w:tc>
          <w:tcPr>
            <w:tcW w:w="875" w:type="pct"/>
            <w:vMerge w:val="continue"/>
            <w:noWrap w:val="0"/>
            <w:vAlign w:val="center"/>
          </w:tcPr>
          <w:p w14:paraId="00A382C2">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p>
        </w:tc>
        <w:tc>
          <w:tcPr>
            <w:tcW w:w="438" w:type="pct"/>
            <w:noWrap w:val="0"/>
            <w:vAlign w:val="center"/>
          </w:tcPr>
          <w:p w14:paraId="34848AFF">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出水</w:t>
            </w:r>
          </w:p>
        </w:tc>
        <w:tc>
          <w:tcPr>
            <w:tcW w:w="395" w:type="pct"/>
            <w:noWrap w:val="0"/>
            <w:vAlign w:val="center"/>
          </w:tcPr>
          <w:p w14:paraId="59988AB1">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720.1</w:t>
            </w:r>
          </w:p>
        </w:tc>
        <w:tc>
          <w:tcPr>
            <w:tcW w:w="388" w:type="pct"/>
            <w:noWrap w:val="0"/>
            <w:vAlign w:val="center"/>
          </w:tcPr>
          <w:p w14:paraId="0AB192C9">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349.6</w:t>
            </w:r>
          </w:p>
        </w:tc>
        <w:tc>
          <w:tcPr>
            <w:tcW w:w="362" w:type="pct"/>
            <w:noWrap w:val="0"/>
            <w:vAlign w:val="center"/>
          </w:tcPr>
          <w:p w14:paraId="66D30BA3">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0.153</w:t>
            </w:r>
          </w:p>
        </w:tc>
        <w:tc>
          <w:tcPr>
            <w:tcW w:w="426" w:type="pct"/>
            <w:noWrap w:val="0"/>
            <w:vAlign w:val="center"/>
          </w:tcPr>
          <w:p w14:paraId="013CBE20">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1.35</w:t>
            </w:r>
          </w:p>
        </w:tc>
        <w:tc>
          <w:tcPr>
            <w:tcW w:w="422" w:type="pct"/>
            <w:noWrap w:val="0"/>
            <w:vAlign w:val="center"/>
          </w:tcPr>
          <w:p w14:paraId="1427126B">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7.8</w:t>
            </w:r>
          </w:p>
        </w:tc>
        <w:tc>
          <w:tcPr>
            <w:tcW w:w="422" w:type="pct"/>
            <w:noWrap w:val="0"/>
            <w:vAlign w:val="center"/>
          </w:tcPr>
          <w:p w14:paraId="48F746A5">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w:t>
            </w:r>
          </w:p>
        </w:tc>
        <w:tc>
          <w:tcPr>
            <w:tcW w:w="422" w:type="pct"/>
            <w:noWrap w:val="0"/>
            <w:vAlign w:val="center"/>
          </w:tcPr>
          <w:p w14:paraId="6F18C95E">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w:t>
            </w:r>
          </w:p>
        </w:tc>
        <w:tc>
          <w:tcPr>
            <w:tcW w:w="422" w:type="pct"/>
            <w:noWrap w:val="0"/>
            <w:vAlign w:val="center"/>
          </w:tcPr>
          <w:p w14:paraId="13B4604E">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w:t>
            </w:r>
          </w:p>
        </w:tc>
        <w:tc>
          <w:tcPr>
            <w:tcW w:w="422" w:type="pct"/>
            <w:noWrap w:val="0"/>
            <w:vAlign w:val="center"/>
          </w:tcPr>
          <w:p w14:paraId="297CE004">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w:t>
            </w:r>
          </w:p>
        </w:tc>
      </w:tr>
      <w:tr w14:paraId="291E67B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4" w:hRule="exact"/>
          <w:jc w:val="center"/>
        </w:trPr>
        <w:tc>
          <w:tcPr>
            <w:tcW w:w="875" w:type="pct"/>
            <w:vMerge w:val="restart"/>
            <w:noWrap w:val="0"/>
            <w:vAlign w:val="center"/>
          </w:tcPr>
          <w:p w14:paraId="28AB6C9E">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芬顿高级氧化</w:t>
            </w:r>
          </w:p>
        </w:tc>
        <w:tc>
          <w:tcPr>
            <w:tcW w:w="438" w:type="pct"/>
            <w:noWrap w:val="0"/>
            <w:vAlign w:val="center"/>
          </w:tcPr>
          <w:p w14:paraId="7AF4A725">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进水</w:t>
            </w:r>
          </w:p>
        </w:tc>
        <w:tc>
          <w:tcPr>
            <w:tcW w:w="395" w:type="pct"/>
            <w:shd w:val="clear" w:color="auto" w:fill="auto"/>
            <w:noWrap w:val="0"/>
            <w:vAlign w:val="center"/>
          </w:tcPr>
          <w:p w14:paraId="4A813DDD">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720.1</w:t>
            </w:r>
          </w:p>
        </w:tc>
        <w:tc>
          <w:tcPr>
            <w:tcW w:w="388" w:type="pct"/>
            <w:shd w:val="clear" w:color="auto" w:fill="auto"/>
            <w:noWrap w:val="0"/>
            <w:vAlign w:val="center"/>
          </w:tcPr>
          <w:p w14:paraId="3D936C01">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349.6</w:t>
            </w:r>
          </w:p>
        </w:tc>
        <w:tc>
          <w:tcPr>
            <w:tcW w:w="362" w:type="pct"/>
            <w:shd w:val="clear" w:color="auto" w:fill="auto"/>
            <w:noWrap w:val="0"/>
            <w:vAlign w:val="center"/>
          </w:tcPr>
          <w:p w14:paraId="195B9102">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0.153</w:t>
            </w:r>
          </w:p>
        </w:tc>
        <w:tc>
          <w:tcPr>
            <w:tcW w:w="426" w:type="pct"/>
            <w:shd w:val="clear" w:color="auto" w:fill="auto"/>
            <w:noWrap w:val="0"/>
            <w:vAlign w:val="center"/>
          </w:tcPr>
          <w:p w14:paraId="2622D95C">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rPr>
              <w:t>1.35</w:t>
            </w:r>
          </w:p>
        </w:tc>
        <w:tc>
          <w:tcPr>
            <w:tcW w:w="422" w:type="pct"/>
            <w:shd w:val="clear" w:color="auto" w:fill="auto"/>
            <w:noWrap w:val="0"/>
            <w:vAlign w:val="center"/>
          </w:tcPr>
          <w:p w14:paraId="1C18B966">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rPr>
              <w:t>7.8</w:t>
            </w:r>
          </w:p>
        </w:tc>
        <w:tc>
          <w:tcPr>
            <w:tcW w:w="422" w:type="pct"/>
            <w:noWrap w:val="0"/>
            <w:vAlign w:val="center"/>
          </w:tcPr>
          <w:p w14:paraId="78F6A871">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w:t>
            </w:r>
          </w:p>
        </w:tc>
        <w:tc>
          <w:tcPr>
            <w:tcW w:w="422" w:type="pct"/>
            <w:noWrap w:val="0"/>
            <w:vAlign w:val="center"/>
          </w:tcPr>
          <w:p w14:paraId="0E11AD82">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w:t>
            </w:r>
          </w:p>
        </w:tc>
        <w:tc>
          <w:tcPr>
            <w:tcW w:w="422" w:type="pct"/>
            <w:noWrap w:val="0"/>
            <w:vAlign w:val="center"/>
          </w:tcPr>
          <w:p w14:paraId="51F2EE57">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w:t>
            </w:r>
          </w:p>
        </w:tc>
        <w:tc>
          <w:tcPr>
            <w:tcW w:w="422" w:type="pct"/>
            <w:noWrap w:val="0"/>
            <w:vAlign w:val="center"/>
          </w:tcPr>
          <w:p w14:paraId="2ACCE6CB">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w:t>
            </w:r>
          </w:p>
        </w:tc>
      </w:tr>
      <w:tr w14:paraId="7063546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4" w:hRule="exact"/>
          <w:jc w:val="center"/>
        </w:trPr>
        <w:tc>
          <w:tcPr>
            <w:tcW w:w="875" w:type="pct"/>
            <w:vMerge w:val="continue"/>
            <w:noWrap w:val="0"/>
            <w:vAlign w:val="center"/>
          </w:tcPr>
          <w:p w14:paraId="0CC69580">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p>
        </w:tc>
        <w:tc>
          <w:tcPr>
            <w:tcW w:w="438" w:type="pct"/>
            <w:noWrap w:val="0"/>
            <w:vAlign w:val="center"/>
          </w:tcPr>
          <w:p w14:paraId="3F1DD8BC">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去除率</w:t>
            </w:r>
          </w:p>
        </w:tc>
        <w:tc>
          <w:tcPr>
            <w:tcW w:w="395" w:type="pct"/>
            <w:noWrap w:val="0"/>
            <w:vAlign w:val="center"/>
          </w:tcPr>
          <w:p w14:paraId="66E2822A">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40%</w:t>
            </w:r>
          </w:p>
        </w:tc>
        <w:tc>
          <w:tcPr>
            <w:tcW w:w="388" w:type="pct"/>
            <w:noWrap w:val="0"/>
            <w:vAlign w:val="center"/>
          </w:tcPr>
          <w:p w14:paraId="58A80813">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40%</w:t>
            </w:r>
          </w:p>
        </w:tc>
        <w:tc>
          <w:tcPr>
            <w:tcW w:w="362" w:type="pct"/>
            <w:noWrap w:val="0"/>
            <w:vAlign w:val="center"/>
          </w:tcPr>
          <w:p w14:paraId="1701C186">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w:t>
            </w:r>
          </w:p>
        </w:tc>
        <w:tc>
          <w:tcPr>
            <w:tcW w:w="426" w:type="pct"/>
            <w:noWrap w:val="0"/>
            <w:vAlign w:val="center"/>
          </w:tcPr>
          <w:p w14:paraId="18CFE04D">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w:t>
            </w:r>
          </w:p>
        </w:tc>
        <w:tc>
          <w:tcPr>
            <w:tcW w:w="422" w:type="pct"/>
            <w:noWrap w:val="0"/>
            <w:vAlign w:val="center"/>
          </w:tcPr>
          <w:p w14:paraId="0BF85406">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w:t>
            </w:r>
          </w:p>
        </w:tc>
        <w:tc>
          <w:tcPr>
            <w:tcW w:w="422" w:type="pct"/>
            <w:noWrap w:val="0"/>
            <w:vAlign w:val="center"/>
          </w:tcPr>
          <w:p w14:paraId="21F3873E">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w:t>
            </w:r>
          </w:p>
        </w:tc>
        <w:tc>
          <w:tcPr>
            <w:tcW w:w="422" w:type="pct"/>
            <w:noWrap w:val="0"/>
            <w:vAlign w:val="center"/>
          </w:tcPr>
          <w:p w14:paraId="575571A7">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w:t>
            </w:r>
          </w:p>
        </w:tc>
        <w:tc>
          <w:tcPr>
            <w:tcW w:w="422" w:type="pct"/>
            <w:noWrap w:val="0"/>
            <w:vAlign w:val="center"/>
          </w:tcPr>
          <w:p w14:paraId="55D8DC52">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w:t>
            </w:r>
          </w:p>
        </w:tc>
        <w:tc>
          <w:tcPr>
            <w:tcW w:w="422" w:type="pct"/>
            <w:noWrap w:val="0"/>
            <w:vAlign w:val="center"/>
          </w:tcPr>
          <w:p w14:paraId="715B18A3">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w:t>
            </w:r>
          </w:p>
        </w:tc>
      </w:tr>
      <w:tr w14:paraId="3D9B373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4" w:hRule="exact"/>
          <w:jc w:val="center"/>
        </w:trPr>
        <w:tc>
          <w:tcPr>
            <w:tcW w:w="875" w:type="pct"/>
            <w:vMerge w:val="continue"/>
            <w:noWrap w:val="0"/>
            <w:vAlign w:val="center"/>
          </w:tcPr>
          <w:p w14:paraId="59F4F104">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p>
        </w:tc>
        <w:tc>
          <w:tcPr>
            <w:tcW w:w="438" w:type="pct"/>
            <w:noWrap w:val="0"/>
            <w:vAlign w:val="center"/>
          </w:tcPr>
          <w:p w14:paraId="136A350B">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出水</w:t>
            </w:r>
          </w:p>
        </w:tc>
        <w:tc>
          <w:tcPr>
            <w:tcW w:w="395" w:type="pct"/>
            <w:noWrap w:val="0"/>
            <w:vAlign w:val="center"/>
          </w:tcPr>
          <w:p w14:paraId="67EF47A8">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432.1</w:t>
            </w:r>
          </w:p>
        </w:tc>
        <w:tc>
          <w:tcPr>
            <w:tcW w:w="388" w:type="pct"/>
            <w:noWrap w:val="0"/>
            <w:vAlign w:val="center"/>
          </w:tcPr>
          <w:p w14:paraId="41E7B464">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209.8</w:t>
            </w:r>
          </w:p>
        </w:tc>
        <w:tc>
          <w:tcPr>
            <w:tcW w:w="362" w:type="pct"/>
            <w:noWrap w:val="0"/>
            <w:vAlign w:val="center"/>
          </w:tcPr>
          <w:p w14:paraId="0A9FA2B8">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0.153</w:t>
            </w:r>
          </w:p>
        </w:tc>
        <w:tc>
          <w:tcPr>
            <w:tcW w:w="426" w:type="pct"/>
            <w:noWrap w:val="0"/>
            <w:vAlign w:val="center"/>
          </w:tcPr>
          <w:p w14:paraId="1844191B">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1.35</w:t>
            </w:r>
          </w:p>
        </w:tc>
        <w:tc>
          <w:tcPr>
            <w:tcW w:w="422" w:type="pct"/>
            <w:noWrap w:val="0"/>
            <w:vAlign w:val="center"/>
          </w:tcPr>
          <w:p w14:paraId="01F6A41B">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7.8</w:t>
            </w:r>
          </w:p>
        </w:tc>
        <w:tc>
          <w:tcPr>
            <w:tcW w:w="422" w:type="pct"/>
            <w:noWrap w:val="0"/>
            <w:vAlign w:val="center"/>
          </w:tcPr>
          <w:p w14:paraId="4F382E31">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w:t>
            </w:r>
          </w:p>
        </w:tc>
        <w:tc>
          <w:tcPr>
            <w:tcW w:w="422" w:type="pct"/>
            <w:noWrap w:val="0"/>
            <w:vAlign w:val="center"/>
          </w:tcPr>
          <w:p w14:paraId="520BED80">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w:t>
            </w:r>
          </w:p>
        </w:tc>
        <w:tc>
          <w:tcPr>
            <w:tcW w:w="422" w:type="pct"/>
            <w:noWrap w:val="0"/>
            <w:vAlign w:val="center"/>
          </w:tcPr>
          <w:p w14:paraId="517C569E">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w:t>
            </w:r>
          </w:p>
        </w:tc>
        <w:tc>
          <w:tcPr>
            <w:tcW w:w="422" w:type="pct"/>
            <w:noWrap w:val="0"/>
            <w:vAlign w:val="center"/>
          </w:tcPr>
          <w:p w14:paraId="72B368BC">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w:t>
            </w:r>
          </w:p>
        </w:tc>
      </w:tr>
      <w:tr w14:paraId="0A67109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4" w:hRule="exact"/>
          <w:jc w:val="center"/>
        </w:trPr>
        <w:tc>
          <w:tcPr>
            <w:tcW w:w="875" w:type="pct"/>
            <w:vMerge w:val="restart"/>
            <w:noWrap w:val="0"/>
            <w:vAlign w:val="center"/>
          </w:tcPr>
          <w:p w14:paraId="59265AFD">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cs="Times New Roman"/>
                <w:b w:val="0"/>
                <w:bCs w:val="0"/>
                <w:i w:val="0"/>
                <w:caps w:val="0"/>
                <w:color w:val="auto"/>
                <w:spacing w:val="0"/>
                <w:sz w:val="21"/>
                <w:szCs w:val="21"/>
                <w:highlight w:val="none"/>
                <w:shd w:val="clear" w:color="auto" w:fill="FFFFFF"/>
                <w:vertAlign w:val="baseline"/>
                <w:lang w:val="en-US" w:eastAsia="zh-CN"/>
              </w:rPr>
              <w:t>综合调节池</w:t>
            </w:r>
          </w:p>
        </w:tc>
        <w:tc>
          <w:tcPr>
            <w:tcW w:w="438" w:type="pct"/>
            <w:noWrap w:val="0"/>
            <w:vAlign w:val="center"/>
          </w:tcPr>
          <w:p w14:paraId="4E5745A7">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cs="Times New Roman"/>
                <w:b w:val="0"/>
                <w:bCs w:val="0"/>
                <w:i w:val="0"/>
                <w:caps w:val="0"/>
                <w:color w:val="auto"/>
                <w:spacing w:val="0"/>
                <w:sz w:val="21"/>
                <w:szCs w:val="21"/>
                <w:highlight w:val="none"/>
                <w:shd w:val="clear" w:color="auto" w:fill="FFFFFF"/>
                <w:vertAlign w:val="baseline"/>
                <w:lang w:val="en-US" w:eastAsia="zh-CN"/>
              </w:rPr>
            </w:pPr>
            <w:r>
              <w:rPr>
                <w:rFonts w:hint="eastAsia" w:cs="Times New Roman"/>
                <w:b w:val="0"/>
                <w:bCs w:val="0"/>
                <w:i w:val="0"/>
                <w:caps w:val="0"/>
                <w:color w:val="auto"/>
                <w:spacing w:val="0"/>
                <w:sz w:val="21"/>
                <w:szCs w:val="21"/>
                <w:highlight w:val="none"/>
                <w:shd w:val="clear" w:color="auto" w:fill="FFFFFF"/>
                <w:vertAlign w:val="baseline"/>
                <w:lang w:val="en-US" w:eastAsia="zh-CN"/>
              </w:rPr>
              <w:t>进水</w:t>
            </w:r>
          </w:p>
        </w:tc>
        <w:tc>
          <w:tcPr>
            <w:tcW w:w="395" w:type="pct"/>
            <w:noWrap w:val="0"/>
            <w:vAlign w:val="center"/>
          </w:tcPr>
          <w:p w14:paraId="653312CD">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5141.1</w:t>
            </w:r>
          </w:p>
        </w:tc>
        <w:tc>
          <w:tcPr>
            <w:tcW w:w="388" w:type="pct"/>
            <w:noWrap w:val="0"/>
            <w:vAlign w:val="center"/>
          </w:tcPr>
          <w:p w14:paraId="305C0BEE">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1893</w:t>
            </w:r>
          </w:p>
        </w:tc>
        <w:tc>
          <w:tcPr>
            <w:tcW w:w="362" w:type="pct"/>
            <w:noWrap w:val="0"/>
            <w:vAlign w:val="center"/>
          </w:tcPr>
          <w:p w14:paraId="5650A7EA">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59.1</w:t>
            </w:r>
          </w:p>
        </w:tc>
        <w:tc>
          <w:tcPr>
            <w:tcW w:w="426" w:type="pct"/>
            <w:noWrap w:val="0"/>
            <w:vAlign w:val="center"/>
          </w:tcPr>
          <w:p w14:paraId="1AE7063D">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4.04</w:t>
            </w:r>
          </w:p>
        </w:tc>
        <w:tc>
          <w:tcPr>
            <w:tcW w:w="422" w:type="pct"/>
            <w:noWrap w:val="0"/>
            <w:vAlign w:val="center"/>
          </w:tcPr>
          <w:p w14:paraId="1F234D10">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280.1</w:t>
            </w:r>
          </w:p>
        </w:tc>
        <w:tc>
          <w:tcPr>
            <w:tcW w:w="422" w:type="pct"/>
            <w:noWrap w:val="0"/>
            <w:vAlign w:val="center"/>
          </w:tcPr>
          <w:p w14:paraId="6A173366">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2.5</w:t>
            </w:r>
          </w:p>
        </w:tc>
        <w:tc>
          <w:tcPr>
            <w:tcW w:w="422" w:type="pct"/>
            <w:noWrap w:val="0"/>
            <w:vAlign w:val="center"/>
          </w:tcPr>
          <w:p w14:paraId="5831DEF7">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0.25</w:t>
            </w:r>
          </w:p>
        </w:tc>
        <w:tc>
          <w:tcPr>
            <w:tcW w:w="422" w:type="pct"/>
            <w:noWrap w:val="0"/>
            <w:vAlign w:val="center"/>
          </w:tcPr>
          <w:p w14:paraId="7317F973">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0.05</w:t>
            </w:r>
          </w:p>
        </w:tc>
        <w:tc>
          <w:tcPr>
            <w:tcW w:w="422" w:type="pct"/>
            <w:noWrap w:val="0"/>
            <w:vAlign w:val="center"/>
          </w:tcPr>
          <w:p w14:paraId="24AD2026">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0.15</w:t>
            </w:r>
          </w:p>
        </w:tc>
      </w:tr>
      <w:tr w14:paraId="57D0145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8" w:hRule="exact"/>
          <w:jc w:val="center"/>
        </w:trPr>
        <w:tc>
          <w:tcPr>
            <w:tcW w:w="875" w:type="pct"/>
            <w:vMerge w:val="continue"/>
            <w:noWrap w:val="0"/>
            <w:vAlign w:val="center"/>
          </w:tcPr>
          <w:p w14:paraId="30D786A3">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p>
        </w:tc>
        <w:tc>
          <w:tcPr>
            <w:tcW w:w="438" w:type="pct"/>
            <w:noWrap w:val="0"/>
            <w:vAlign w:val="center"/>
          </w:tcPr>
          <w:p w14:paraId="75698368">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cs="Times New Roman"/>
                <w:b w:val="0"/>
                <w:bCs w:val="0"/>
                <w:i w:val="0"/>
                <w:caps w:val="0"/>
                <w:color w:val="auto"/>
                <w:spacing w:val="0"/>
                <w:sz w:val="21"/>
                <w:szCs w:val="21"/>
                <w:highlight w:val="none"/>
                <w:shd w:val="clear" w:color="auto" w:fill="FFFFFF"/>
                <w:vertAlign w:val="baseline"/>
                <w:lang w:val="en-US" w:eastAsia="zh-CN"/>
              </w:rPr>
              <w:t>去除率</w:t>
            </w:r>
          </w:p>
        </w:tc>
        <w:tc>
          <w:tcPr>
            <w:tcW w:w="395" w:type="pct"/>
            <w:noWrap w:val="0"/>
            <w:vAlign w:val="center"/>
          </w:tcPr>
          <w:p w14:paraId="557818FB">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w:t>
            </w:r>
          </w:p>
        </w:tc>
        <w:tc>
          <w:tcPr>
            <w:tcW w:w="388" w:type="pct"/>
            <w:noWrap w:val="0"/>
            <w:vAlign w:val="center"/>
          </w:tcPr>
          <w:p w14:paraId="58ABADF8">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w:t>
            </w:r>
          </w:p>
        </w:tc>
        <w:tc>
          <w:tcPr>
            <w:tcW w:w="362" w:type="pct"/>
            <w:noWrap w:val="0"/>
            <w:vAlign w:val="center"/>
          </w:tcPr>
          <w:p w14:paraId="6633C75A">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w:t>
            </w:r>
          </w:p>
        </w:tc>
        <w:tc>
          <w:tcPr>
            <w:tcW w:w="426" w:type="pct"/>
            <w:noWrap w:val="0"/>
            <w:vAlign w:val="center"/>
          </w:tcPr>
          <w:p w14:paraId="4395224A">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w:t>
            </w:r>
          </w:p>
        </w:tc>
        <w:tc>
          <w:tcPr>
            <w:tcW w:w="422" w:type="pct"/>
            <w:noWrap w:val="0"/>
            <w:vAlign w:val="center"/>
          </w:tcPr>
          <w:p w14:paraId="5A60BD72">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w:t>
            </w:r>
          </w:p>
        </w:tc>
        <w:tc>
          <w:tcPr>
            <w:tcW w:w="422" w:type="pct"/>
            <w:noWrap w:val="0"/>
            <w:vAlign w:val="center"/>
          </w:tcPr>
          <w:p w14:paraId="039ED550">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cs="Times New Roman"/>
                <w:b w:val="0"/>
                <w:bCs w:val="0"/>
                <w:i w:val="0"/>
                <w:caps w:val="0"/>
                <w:color w:val="auto"/>
                <w:spacing w:val="0"/>
                <w:sz w:val="21"/>
                <w:szCs w:val="21"/>
                <w:highlight w:val="none"/>
                <w:shd w:val="clear" w:color="auto" w:fill="FFFFFF"/>
                <w:vertAlign w:val="baseline"/>
                <w:lang w:val="en-US" w:eastAsia="zh-CN"/>
              </w:rPr>
            </w:pPr>
            <w:r>
              <w:rPr>
                <w:rFonts w:hint="eastAsia" w:cs="Times New Roman"/>
                <w:b w:val="0"/>
                <w:bCs w:val="0"/>
                <w:i w:val="0"/>
                <w:caps w:val="0"/>
                <w:color w:val="auto"/>
                <w:spacing w:val="0"/>
                <w:sz w:val="21"/>
                <w:szCs w:val="21"/>
                <w:highlight w:val="none"/>
                <w:shd w:val="clear" w:color="auto" w:fill="FFFFFF"/>
                <w:vertAlign w:val="baseline"/>
                <w:lang w:val="en-US" w:eastAsia="zh-CN"/>
              </w:rPr>
              <w:t>/</w:t>
            </w:r>
          </w:p>
        </w:tc>
        <w:tc>
          <w:tcPr>
            <w:tcW w:w="422" w:type="pct"/>
            <w:noWrap w:val="0"/>
            <w:vAlign w:val="center"/>
          </w:tcPr>
          <w:p w14:paraId="4F57798D">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cs="Times New Roman"/>
                <w:b w:val="0"/>
                <w:bCs w:val="0"/>
                <w:i w:val="0"/>
                <w:caps w:val="0"/>
                <w:color w:val="auto"/>
                <w:spacing w:val="0"/>
                <w:sz w:val="21"/>
                <w:szCs w:val="21"/>
                <w:highlight w:val="none"/>
                <w:shd w:val="clear" w:color="auto" w:fill="FFFFFF"/>
                <w:vertAlign w:val="baseline"/>
                <w:lang w:val="en-US" w:eastAsia="zh-CN"/>
              </w:rPr>
            </w:pPr>
            <w:r>
              <w:rPr>
                <w:rFonts w:hint="eastAsia" w:cs="Times New Roman"/>
                <w:b w:val="0"/>
                <w:bCs w:val="0"/>
                <w:i w:val="0"/>
                <w:caps w:val="0"/>
                <w:color w:val="auto"/>
                <w:spacing w:val="0"/>
                <w:sz w:val="21"/>
                <w:szCs w:val="21"/>
                <w:highlight w:val="none"/>
                <w:shd w:val="clear" w:color="auto" w:fill="FFFFFF"/>
                <w:vertAlign w:val="baseline"/>
                <w:lang w:val="en-US" w:eastAsia="zh-CN"/>
              </w:rPr>
              <w:t>/</w:t>
            </w:r>
          </w:p>
        </w:tc>
        <w:tc>
          <w:tcPr>
            <w:tcW w:w="422" w:type="pct"/>
            <w:noWrap w:val="0"/>
            <w:vAlign w:val="center"/>
          </w:tcPr>
          <w:p w14:paraId="5DD0CF51">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cs="Times New Roman"/>
                <w:b w:val="0"/>
                <w:bCs w:val="0"/>
                <w:i w:val="0"/>
                <w:caps w:val="0"/>
                <w:color w:val="auto"/>
                <w:spacing w:val="0"/>
                <w:sz w:val="21"/>
                <w:szCs w:val="21"/>
                <w:highlight w:val="none"/>
                <w:shd w:val="clear" w:color="auto" w:fill="FFFFFF"/>
                <w:vertAlign w:val="baseline"/>
                <w:lang w:val="en-US" w:eastAsia="zh-CN"/>
              </w:rPr>
            </w:pPr>
            <w:r>
              <w:rPr>
                <w:rFonts w:hint="eastAsia" w:cs="Times New Roman"/>
                <w:b w:val="0"/>
                <w:bCs w:val="0"/>
                <w:i w:val="0"/>
                <w:caps w:val="0"/>
                <w:color w:val="auto"/>
                <w:spacing w:val="0"/>
                <w:sz w:val="21"/>
                <w:szCs w:val="21"/>
                <w:highlight w:val="none"/>
                <w:shd w:val="clear" w:color="auto" w:fill="FFFFFF"/>
                <w:vertAlign w:val="baseline"/>
                <w:lang w:val="en-US" w:eastAsia="zh-CN"/>
              </w:rPr>
              <w:t>/</w:t>
            </w:r>
          </w:p>
        </w:tc>
        <w:tc>
          <w:tcPr>
            <w:tcW w:w="422" w:type="pct"/>
            <w:noWrap w:val="0"/>
            <w:vAlign w:val="center"/>
          </w:tcPr>
          <w:p w14:paraId="075E86DD">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cs="Times New Roman"/>
                <w:b w:val="0"/>
                <w:bCs w:val="0"/>
                <w:i w:val="0"/>
                <w:caps w:val="0"/>
                <w:color w:val="auto"/>
                <w:spacing w:val="0"/>
                <w:sz w:val="21"/>
                <w:szCs w:val="21"/>
                <w:highlight w:val="none"/>
                <w:shd w:val="clear" w:color="auto" w:fill="FFFFFF"/>
                <w:vertAlign w:val="baseline"/>
                <w:lang w:val="en-US" w:eastAsia="zh-CN"/>
              </w:rPr>
            </w:pPr>
            <w:r>
              <w:rPr>
                <w:rFonts w:hint="eastAsia" w:cs="Times New Roman"/>
                <w:b w:val="0"/>
                <w:bCs w:val="0"/>
                <w:i w:val="0"/>
                <w:caps w:val="0"/>
                <w:color w:val="auto"/>
                <w:spacing w:val="0"/>
                <w:sz w:val="21"/>
                <w:szCs w:val="21"/>
                <w:highlight w:val="none"/>
                <w:shd w:val="clear" w:color="auto" w:fill="FFFFFF"/>
                <w:vertAlign w:val="baseline"/>
                <w:lang w:val="en-US" w:eastAsia="zh-CN"/>
              </w:rPr>
              <w:t>/</w:t>
            </w:r>
          </w:p>
        </w:tc>
      </w:tr>
      <w:tr w14:paraId="037452C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0" w:hRule="exact"/>
          <w:jc w:val="center"/>
        </w:trPr>
        <w:tc>
          <w:tcPr>
            <w:tcW w:w="875" w:type="pct"/>
            <w:vMerge w:val="continue"/>
            <w:noWrap w:val="0"/>
            <w:vAlign w:val="center"/>
          </w:tcPr>
          <w:p w14:paraId="58913116">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p>
        </w:tc>
        <w:tc>
          <w:tcPr>
            <w:tcW w:w="438" w:type="pct"/>
            <w:noWrap w:val="0"/>
            <w:vAlign w:val="center"/>
          </w:tcPr>
          <w:p w14:paraId="4109E6F9">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cs="Times New Roman"/>
                <w:b w:val="0"/>
                <w:bCs w:val="0"/>
                <w:i w:val="0"/>
                <w:caps w:val="0"/>
                <w:color w:val="auto"/>
                <w:spacing w:val="0"/>
                <w:sz w:val="21"/>
                <w:szCs w:val="21"/>
                <w:highlight w:val="none"/>
                <w:shd w:val="clear" w:color="auto" w:fill="FFFFFF"/>
                <w:vertAlign w:val="baseline"/>
                <w:lang w:val="en-US" w:eastAsia="zh-CN"/>
              </w:rPr>
              <w:t>出水</w:t>
            </w:r>
          </w:p>
        </w:tc>
        <w:tc>
          <w:tcPr>
            <w:tcW w:w="395" w:type="pct"/>
            <w:noWrap w:val="0"/>
            <w:vAlign w:val="center"/>
          </w:tcPr>
          <w:p w14:paraId="62987FF2">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5141.1</w:t>
            </w:r>
          </w:p>
        </w:tc>
        <w:tc>
          <w:tcPr>
            <w:tcW w:w="388" w:type="pct"/>
            <w:noWrap w:val="0"/>
            <w:vAlign w:val="center"/>
          </w:tcPr>
          <w:p w14:paraId="74009808">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1893</w:t>
            </w:r>
          </w:p>
        </w:tc>
        <w:tc>
          <w:tcPr>
            <w:tcW w:w="362" w:type="pct"/>
            <w:noWrap w:val="0"/>
            <w:vAlign w:val="center"/>
          </w:tcPr>
          <w:p w14:paraId="7404F095">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59.1</w:t>
            </w:r>
          </w:p>
        </w:tc>
        <w:tc>
          <w:tcPr>
            <w:tcW w:w="426" w:type="pct"/>
            <w:noWrap w:val="0"/>
            <w:vAlign w:val="center"/>
          </w:tcPr>
          <w:p w14:paraId="513E4FB7">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4.04</w:t>
            </w:r>
          </w:p>
        </w:tc>
        <w:tc>
          <w:tcPr>
            <w:tcW w:w="422" w:type="pct"/>
            <w:noWrap w:val="0"/>
            <w:vAlign w:val="center"/>
          </w:tcPr>
          <w:p w14:paraId="6AEDEE92">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280.1</w:t>
            </w:r>
          </w:p>
        </w:tc>
        <w:tc>
          <w:tcPr>
            <w:tcW w:w="422" w:type="pct"/>
            <w:noWrap w:val="0"/>
            <w:vAlign w:val="center"/>
          </w:tcPr>
          <w:p w14:paraId="255CD2EC">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2.5</w:t>
            </w:r>
          </w:p>
        </w:tc>
        <w:tc>
          <w:tcPr>
            <w:tcW w:w="422" w:type="pct"/>
            <w:noWrap w:val="0"/>
            <w:vAlign w:val="center"/>
          </w:tcPr>
          <w:p w14:paraId="6E0E47B5">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0.25</w:t>
            </w:r>
          </w:p>
        </w:tc>
        <w:tc>
          <w:tcPr>
            <w:tcW w:w="422" w:type="pct"/>
            <w:noWrap w:val="0"/>
            <w:vAlign w:val="center"/>
          </w:tcPr>
          <w:p w14:paraId="7C4052A2">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0.05</w:t>
            </w:r>
          </w:p>
        </w:tc>
        <w:tc>
          <w:tcPr>
            <w:tcW w:w="422" w:type="pct"/>
            <w:noWrap w:val="0"/>
            <w:vAlign w:val="center"/>
          </w:tcPr>
          <w:p w14:paraId="535FAC7E">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0.15</w:t>
            </w:r>
          </w:p>
        </w:tc>
      </w:tr>
      <w:tr w14:paraId="3AE5973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5" w:hRule="exact"/>
          <w:jc w:val="center"/>
        </w:trPr>
        <w:tc>
          <w:tcPr>
            <w:tcW w:w="875" w:type="pct"/>
            <w:vMerge w:val="restart"/>
            <w:noWrap w:val="0"/>
            <w:vAlign w:val="center"/>
          </w:tcPr>
          <w:p w14:paraId="51FF5AE1">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水解酸化</w:t>
            </w:r>
          </w:p>
        </w:tc>
        <w:tc>
          <w:tcPr>
            <w:tcW w:w="438" w:type="pct"/>
            <w:noWrap w:val="0"/>
            <w:vAlign w:val="center"/>
          </w:tcPr>
          <w:p w14:paraId="73D72E0A">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进水</w:t>
            </w:r>
          </w:p>
        </w:tc>
        <w:tc>
          <w:tcPr>
            <w:tcW w:w="395" w:type="pct"/>
            <w:shd w:val="clear" w:color="auto" w:fill="auto"/>
            <w:noWrap w:val="0"/>
            <w:vAlign w:val="center"/>
          </w:tcPr>
          <w:p w14:paraId="70BE34D1">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kern w:val="2"/>
                <w:sz w:val="21"/>
                <w:szCs w:val="21"/>
                <w:highlight w:val="none"/>
                <w:shd w:val="clear" w:color="auto" w:fill="FFFFFF"/>
                <w:vertAlign w:val="baseline"/>
                <w:lang w:val="en-US" w:eastAsia="zh-CN" w:bidi="ar-SA"/>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5141.1</w:t>
            </w:r>
          </w:p>
        </w:tc>
        <w:tc>
          <w:tcPr>
            <w:tcW w:w="388" w:type="pct"/>
            <w:shd w:val="clear" w:color="auto" w:fill="auto"/>
            <w:noWrap w:val="0"/>
            <w:vAlign w:val="center"/>
          </w:tcPr>
          <w:p w14:paraId="77977AD5">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1893</w:t>
            </w:r>
          </w:p>
        </w:tc>
        <w:tc>
          <w:tcPr>
            <w:tcW w:w="362" w:type="pct"/>
            <w:shd w:val="clear" w:color="auto" w:fill="auto"/>
            <w:noWrap w:val="0"/>
            <w:vAlign w:val="center"/>
          </w:tcPr>
          <w:p w14:paraId="631E69FA">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59.1</w:t>
            </w:r>
          </w:p>
        </w:tc>
        <w:tc>
          <w:tcPr>
            <w:tcW w:w="426" w:type="pct"/>
            <w:shd w:val="clear" w:color="auto" w:fill="auto"/>
            <w:noWrap w:val="0"/>
            <w:vAlign w:val="center"/>
          </w:tcPr>
          <w:p w14:paraId="2C4F8A2B">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4.04</w:t>
            </w:r>
          </w:p>
        </w:tc>
        <w:tc>
          <w:tcPr>
            <w:tcW w:w="422" w:type="pct"/>
            <w:shd w:val="clear" w:color="auto" w:fill="auto"/>
            <w:noWrap w:val="0"/>
            <w:vAlign w:val="center"/>
          </w:tcPr>
          <w:p w14:paraId="1CAD9BAE">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280.1</w:t>
            </w:r>
          </w:p>
        </w:tc>
        <w:tc>
          <w:tcPr>
            <w:tcW w:w="422" w:type="pct"/>
            <w:shd w:val="clear" w:color="auto" w:fill="auto"/>
            <w:noWrap w:val="0"/>
            <w:vAlign w:val="center"/>
          </w:tcPr>
          <w:p w14:paraId="08389CC9">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2.5</w:t>
            </w:r>
          </w:p>
        </w:tc>
        <w:tc>
          <w:tcPr>
            <w:tcW w:w="422" w:type="pct"/>
            <w:shd w:val="clear" w:color="auto" w:fill="auto"/>
            <w:noWrap w:val="0"/>
            <w:vAlign w:val="center"/>
          </w:tcPr>
          <w:p w14:paraId="0AF7708C">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0.25</w:t>
            </w:r>
          </w:p>
        </w:tc>
        <w:tc>
          <w:tcPr>
            <w:tcW w:w="422" w:type="pct"/>
            <w:shd w:val="clear" w:color="auto" w:fill="auto"/>
            <w:noWrap w:val="0"/>
            <w:vAlign w:val="center"/>
          </w:tcPr>
          <w:p w14:paraId="43D20DF7">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0.05</w:t>
            </w:r>
          </w:p>
        </w:tc>
        <w:tc>
          <w:tcPr>
            <w:tcW w:w="422" w:type="pct"/>
            <w:shd w:val="clear" w:color="auto" w:fill="auto"/>
            <w:noWrap w:val="0"/>
            <w:vAlign w:val="center"/>
          </w:tcPr>
          <w:p w14:paraId="0E6ED37F">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0.15</w:t>
            </w:r>
          </w:p>
        </w:tc>
      </w:tr>
      <w:tr w14:paraId="42C7CA7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5" w:hRule="exact"/>
          <w:jc w:val="center"/>
        </w:trPr>
        <w:tc>
          <w:tcPr>
            <w:tcW w:w="875" w:type="pct"/>
            <w:vMerge w:val="continue"/>
            <w:noWrap w:val="0"/>
            <w:vAlign w:val="center"/>
          </w:tcPr>
          <w:p w14:paraId="749D08BC">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p>
        </w:tc>
        <w:tc>
          <w:tcPr>
            <w:tcW w:w="438" w:type="pct"/>
            <w:noWrap w:val="0"/>
            <w:vAlign w:val="center"/>
          </w:tcPr>
          <w:p w14:paraId="52E51CB3">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去除率</w:t>
            </w:r>
          </w:p>
        </w:tc>
        <w:tc>
          <w:tcPr>
            <w:tcW w:w="395" w:type="pct"/>
            <w:shd w:val="clear" w:color="auto" w:fill="auto"/>
            <w:noWrap w:val="0"/>
            <w:vAlign w:val="center"/>
          </w:tcPr>
          <w:p w14:paraId="6BA50FF2">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kern w:val="2"/>
                <w:sz w:val="21"/>
                <w:szCs w:val="21"/>
                <w:highlight w:val="none"/>
                <w:shd w:val="clear" w:color="auto" w:fill="FFFFFF"/>
                <w:vertAlign w:val="baseline"/>
                <w:lang w:val="en-US" w:eastAsia="zh-CN" w:bidi="ar-SA"/>
              </w:rPr>
            </w:pPr>
            <w:r>
              <w:rPr>
                <w:rFonts w:hint="eastAsia" w:ascii="Times New Roman" w:hAnsi="Times New Roman" w:eastAsia="宋体" w:cs="Times New Roman"/>
                <w:b w:val="0"/>
                <w:bCs w:val="0"/>
                <w:i w:val="0"/>
                <w:caps w:val="0"/>
                <w:color w:val="auto"/>
                <w:spacing w:val="0"/>
                <w:kern w:val="2"/>
                <w:sz w:val="21"/>
                <w:szCs w:val="21"/>
                <w:highlight w:val="none"/>
                <w:shd w:val="clear" w:color="auto" w:fill="FFFFFF"/>
                <w:vertAlign w:val="baseline"/>
                <w:lang w:val="en-US" w:eastAsia="zh-CN" w:bidi="ar-SA"/>
              </w:rPr>
              <w:t>25%</w:t>
            </w:r>
          </w:p>
        </w:tc>
        <w:tc>
          <w:tcPr>
            <w:tcW w:w="388" w:type="pct"/>
            <w:shd w:val="clear" w:color="auto" w:fill="auto"/>
            <w:noWrap w:val="0"/>
            <w:vAlign w:val="center"/>
          </w:tcPr>
          <w:p w14:paraId="0CFC0A7D">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b w:val="0"/>
                <w:bCs w:val="0"/>
                <w:i w:val="0"/>
                <w:caps w:val="0"/>
                <w:color w:val="auto"/>
                <w:spacing w:val="0"/>
                <w:kern w:val="2"/>
                <w:sz w:val="21"/>
                <w:szCs w:val="21"/>
                <w:highlight w:val="none"/>
                <w:shd w:val="clear" w:color="auto" w:fill="FFFFFF"/>
                <w:vertAlign w:val="baseline"/>
                <w:lang w:val="en-US" w:eastAsia="zh-CN" w:bidi="ar-SA"/>
              </w:rPr>
              <w:t>10%</w:t>
            </w:r>
          </w:p>
        </w:tc>
        <w:tc>
          <w:tcPr>
            <w:tcW w:w="362" w:type="pct"/>
            <w:noWrap w:val="0"/>
            <w:vAlign w:val="center"/>
          </w:tcPr>
          <w:p w14:paraId="3AF52E66">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w:t>
            </w:r>
          </w:p>
        </w:tc>
        <w:tc>
          <w:tcPr>
            <w:tcW w:w="426" w:type="pct"/>
            <w:noWrap w:val="0"/>
            <w:vAlign w:val="center"/>
          </w:tcPr>
          <w:p w14:paraId="686B95E1">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w:t>
            </w:r>
          </w:p>
        </w:tc>
        <w:tc>
          <w:tcPr>
            <w:tcW w:w="422" w:type="pct"/>
            <w:noWrap w:val="0"/>
            <w:vAlign w:val="center"/>
          </w:tcPr>
          <w:p w14:paraId="04D1783B">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20</w:t>
            </w:r>
          </w:p>
        </w:tc>
        <w:tc>
          <w:tcPr>
            <w:tcW w:w="422" w:type="pct"/>
            <w:noWrap w:val="0"/>
            <w:vAlign w:val="center"/>
          </w:tcPr>
          <w:p w14:paraId="530A565C">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w:t>
            </w:r>
          </w:p>
        </w:tc>
        <w:tc>
          <w:tcPr>
            <w:tcW w:w="422" w:type="pct"/>
            <w:noWrap w:val="0"/>
            <w:vAlign w:val="center"/>
          </w:tcPr>
          <w:p w14:paraId="1CFF9B43">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w:t>
            </w:r>
          </w:p>
        </w:tc>
        <w:tc>
          <w:tcPr>
            <w:tcW w:w="422" w:type="pct"/>
            <w:noWrap w:val="0"/>
            <w:vAlign w:val="center"/>
          </w:tcPr>
          <w:p w14:paraId="1EF10E37">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w:t>
            </w:r>
          </w:p>
        </w:tc>
        <w:tc>
          <w:tcPr>
            <w:tcW w:w="422" w:type="pct"/>
            <w:noWrap w:val="0"/>
            <w:vAlign w:val="center"/>
          </w:tcPr>
          <w:p w14:paraId="5AEDDE6B">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w:t>
            </w:r>
          </w:p>
        </w:tc>
      </w:tr>
      <w:tr w14:paraId="093FCEF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5" w:hRule="exact"/>
          <w:jc w:val="center"/>
        </w:trPr>
        <w:tc>
          <w:tcPr>
            <w:tcW w:w="875" w:type="pct"/>
            <w:vMerge w:val="continue"/>
            <w:noWrap w:val="0"/>
            <w:vAlign w:val="center"/>
          </w:tcPr>
          <w:p w14:paraId="38835F26">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p>
        </w:tc>
        <w:tc>
          <w:tcPr>
            <w:tcW w:w="438" w:type="pct"/>
            <w:noWrap w:val="0"/>
            <w:vAlign w:val="center"/>
          </w:tcPr>
          <w:p w14:paraId="4D8B2926">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出水</w:t>
            </w:r>
          </w:p>
        </w:tc>
        <w:tc>
          <w:tcPr>
            <w:tcW w:w="395" w:type="pct"/>
            <w:noWrap w:val="0"/>
            <w:vAlign w:val="center"/>
          </w:tcPr>
          <w:p w14:paraId="067E51A8">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3856</w:t>
            </w:r>
          </w:p>
        </w:tc>
        <w:tc>
          <w:tcPr>
            <w:tcW w:w="388" w:type="pct"/>
            <w:noWrap w:val="0"/>
            <w:vAlign w:val="center"/>
          </w:tcPr>
          <w:p w14:paraId="48DD7BA7">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1704</w:t>
            </w:r>
          </w:p>
        </w:tc>
        <w:tc>
          <w:tcPr>
            <w:tcW w:w="362" w:type="pct"/>
            <w:noWrap w:val="0"/>
            <w:vAlign w:val="center"/>
          </w:tcPr>
          <w:p w14:paraId="4FB8E2AC">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59.1</w:t>
            </w:r>
          </w:p>
        </w:tc>
        <w:tc>
          <w:tcPr>
            <w:tcW w:w="426" w:type="pct"/>
            <w:noWrap w:val="0"/>
            <w:vAlign w:val="center"/>
          </w:tcPr>
          <w:p w14:paraId="5B040D9E">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4.04</w:t>
            </w:r>
          </w:p>
        </w:tc>
        <w:tc>
          <w:tcPr>
            <w:tcW w:w="422" w:type="pct"/>
            <w:noWrap w:val="0"/>
            <w:vAlign w:val="center"/>
          </w:tcPr>
          <w:p w14:paraId="0E7E509F">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280.1</w:t>
            </w:r>
          </w:p>
        </w:tc>
        <w:tc>
          <w:tcPr>
            <w:tcW w:w="422" w:type="pct"/>
            <w:noWrap w:val="0"/>
            <w:vAlign w:val="center"/>
          </w:tcPr>
          <w:p w14:paraId="0C62330F">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2.5</w:t>
            </w:r>
          </w:p>
        </w:tc>
        <w:tc>
          <w:tcPr>
            <w:tcW w:w="422" w:type="pct"/>
            <w:noWrap w:val="0"/>
            <w:vAlign w:val="center"/>
          </w:tcPr>
          <w:p w14:paraId="691884C1">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0.25</w:t>
            </w:r>
          </w:p>
        </w:tc>
        <w:tc>
          <w:tcPr>
            <w:tcW w:w="422" w:type="pct"/>
            <w:noWrap w:val="0"/>
            <w:vAlign w:val="center"/>
          </w:tcPr>
          <w:p w14:paraId="55B966F8">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0.05</w:t>
            </w:r>
          </w:p>
        </w:tc>
        <w:tc>
          <w:tcPr>
            <w:tcW w:w="422" w:type="pct"/>
            <w:noWrap w:val="0"/>
            <w:vAlign w:val="center"/>
          </w:tcPr>
          <w:p w14:paraId="726966A3">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0.15</w:t>
            </w:r>
          </w:p>
        </w:tc>
      </w:tr>
      <w:tr w14:paraId="369EE00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5" w:hRule="exact"/>
          <w:jc w:val="center"/>
        </w:trPr>
        <w:tc>
          <w:tcPr>
            <w:tcW w:w="875" w:type="pct"/>
            <w:vMerge w:val="restart"/>
            <w:noWrap w:val="0"/>
            <w:vAlign w:val="center"/>
          </w:tcPr>
          <w:p w14:paraId="31F720A4">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一级AO</w:t>
            </w:r>
          </w:p>
        </w:tc>
        <w:tc>
          <w:tcPr>
            <w:tcW w:w="438" w:type="pct"/>
            <w:noWrap w:val="0"/>
            <w:vAlign w:val="center"/>
          </w:tcPr>
          <w:p w14:paraId="70D92289">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进水</w:t>
            </w:r>
          </w:p>
        </w:tc>
        <w:tc>
          <w:tcPr>
            <w:tcW w:w="395" w:type="pct"/>
            <w:shd w:val="clear" w:color="auto" w:fill="auto"/>
            <w:noWrap w:val="0"/>
            <w:vAlign w:val="center"/>
          </w:tcPr>
          <w:p w14:paraId="1A809C8B">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kern w:val="2"/>
                <w:sz w:val="21"/>
                <w:szCs w:val="21"/>
                <w:highlight w:val="none"/>
                <w:shd w:val="clear" w:color="auto" w:fill="FFFFFF"/>
                <w:vertAlign w:val="baseline"/>
                <w:lang w:val="en-US" w:eastAsia="zh-CN" w:bidi="ar-SA"/>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3856</w:t>
            </w:r>
          </w:p>
        </w:tc>
        <w:tc>
          <w:tcPr>
            <w:tcW w:w="388" w:type="pct"/>
            <w:shd w:val="clear" w:color="auto" w:fill="auto"/>
            <w:noWrap w:val="0"/>
            <w:vAlign w:val="center"/>
          </w:tcPr>
          <w:p w14:paraId="31EEED3A">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rPr>
              <w:t>1704</w:t>
            </w:r>
          </w:p>
        </w:tc>
        <w:tc>
          <w:tcPr>
            <w:tcW w:w="362" w:type="pct"/>
            <w:shd w:val="clear" w:color="auto" w:fill="auto"/>
            <w:noWrap w:val="0"/>
            <w:vAlign w:val="center"/>
          </w:tcPr>
          <w:p w14:paraId="00C34288">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59.1</w:t>
            </w:r>
          </w:p>
        </w:tc>
        <w:tc>
          <w:tcPr>
            <w:tcW w:w="426" w:type="pct"/>
            <w:shd w:val="clear" w:color="auto" w:fill="auto"/>
            <w:noWrap w:val="0"/>
            <w:vAlign w:val="center"/>
          </w:tcPr>
          <w:p w14:paraId="03B7AA88">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4.04</w:t>
            </w:r>
          </w:p>
        </w:tc>
        <w:tc>
          <w:tcPr>
            <w:tcW w:w="422" w:type="pct"/>
            <w:shd w:val="clear" w:color="auto" w:fill="auto"/>
            <w:noWrap w:val="0"/>
            <w:vAlign w:val="center"/>
          </w:tcPr>
          <w:p w14:paraId="67F623AC">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280.1</w:t>
            </w:r>
          </w:p>
        </w:tc>
        <w:tc>
          <w:tcPr>
            <w:tcW w:w="422" w:type="pct"/>
            <w:shd w:val="clear" w:color="auto" w:fill="auto"/>
            <w:noWrap w:val="0"/>
            <w:vAlign w:val="center"/>
          </w:tcPr>
          <w:p w14:paraId="14ADCD5C">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2.5</w:t>
            </w:r>
          </w:p>
        </w:tc>
        <w:tc>
          <w:tcPr>
            <w:tcW w:w="422" w:type="pct"/>
            <w:shd w:val="clear" w:color="auto" w:fill="auto"/>
            <w:noWrap w:val="0"/>
            <w:vAlign w:val="center"/>
          </w:tcPr>
          <w:p w14:paraId="1AA65037">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0.25</w:t>
            </w:r>
          </w:p>
        </w:tc>
        <w:tc>
          <w:tcPr>
            <w:tcW w:w="422" w:type="pct"/>
            <w:shd w:val="clear" w:color="auto" w:fill="auto"/>
            <w:noWrap w:val="0"/>
            <w:vAlign w:val="center"/>
          </w:tcPr>
          <w:p w14:paraId="1BE6AAF9">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0.05</w:t>
            </w:r>
          </w:p>
        </w:tc>
        <w:tc>
          <w:tcPr>
            <w:tcW w:w="422" w:type="pct"/>
            <w:shd w:val="clear" w:color="auto" w:fill="auto"/>
            <w:noWrap w:val="0"/>
            <w:vAlign w:val="center"/>
          </w:tcPr>
          <w:p w14:paraId="39429598">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0.15</w:t>
            </w:r>
          </w:p>
        </w:tc>
      </w:tr>
      <w:tr w14:paraId="295B913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5" w:hRule="exact"/>
          <w:jc w:val="center"/>
        </w:trPr>
        <w:tc>
          <w:tcPr>
            <w:tcW w:w="875" w:type="pct"/>
            <w:vMerge w:val="continue"/>
            <w:noWrap w:val="0"/>
            <w:vAlign w:val="center"/>
          </w:tcPr>
          <w:p w14:paraId="56A4CF4B">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p>
        </w:tc>
        <w:tc>
          <w:tcPr>
            <w:tcW w:w="438" w:type="pct"/>
            <w:noWrap w:val="0"/>
            <w:vAlign w:val="center"/>
          </w:tcPr>
          <w:p w14:paraId="780E91EF">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去除率</w:t>
            </w:r>
          </w:p>
        </w:tc>
        <w:tc>
          <w:tcPr>
            <w:tcW w:w="395" w:type="pct"/>
            <w:noWrap w:val="0"/>
            <w:vAlign w:val="center"/>
          </w:tcPr>
          <w:p w14:paraId="4E9B994C">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80%</w:t>
            </w:r>
          </w:p>
        </w:tc>
        <w:tc>
          <w:tcPr>
            <w:tcW w:w="388" w:type="pct"/>
            <w:noWrap w:val="0"/>
            <w:vAlign w:val="center"/>
          </w:tcPr>
          <w:p w14:paraId="78EAE601">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80%</w:t>
            </w:r>
          </w:p>
        </w:tc>
        <w:tc>
          <w:tcPr>
            <w:tcW w:w="362" w:type="pct"/>
            <w:noWrap w:val="0"/>
            <w:vAlign w:val="center"/>
          </w:tcPr>
          <w:p w14:paraId="54F07AE9">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70%</w:t>
            </w:r>
          </w:p>
        </w:tc>
        <w:tc>
          <w:tcPr>
            <w:tcW w:w="426" w:type="pct"/>
            <w:noWrap w:val="0"/>
            <w:vAlign w:val="center"/>
          </w:tcPr>
          <w:p w14:paraId="643BF7EE">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40%</w:t>
            </w:r>
          </w:p>
        </w:tc>
        <w:tc>
          <w:tcPr>
            <w:tcW w:w="422" w:type="pct"/>
            <w:noWrap w:val="0"/>
            <w:vAlign w:val="center"/>
          </w:tcPr>
          <w:p w14:paraId="4127ECE1">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30%</w:t>
            </w:r>
          </w:p>
        </w:tc>
        <w:tc>
          <w:tcPr>
            <w:tcW w:w="422" w:type="pct"/>
            <w:noWrap w:val="0"/>
            <w:vAlign w:val="center"/>
          </w:tcPr>
          <w:p w14:paraId="09A23B94">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w:t>
            </w:r>
          </w:p>
        </w:tc>
        <w:tc>
          <w:tcPr>
            <w:tcW w:w="422" w:type="pct"/>
            <w:noWrap w:val="0"/>
            <w:vAlign w:val="center"/>
          </w:tcPr>
          <w:p w14:paraId="4A0118A8">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w:t>
            </w:r>
          </w:p>
        </w:tc>
        <w:tc>
          <w:tcPr>
            <w:tcW w:w="422" w:type="pct"/>
            <w:noWrap w:val="0"/>
            <w:vAlign w:val="center"/>
          </w:tcPr>
          <w:p w14:paraId="6CF9C43E">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w:t>
            </w:r>
          </w:p>
        </w:tc>
        <w:tc>
          <w:tcPr>
            <w:tcW w:w="422" w:type="pct"/>
            <w:noWrap w:val="0"/>
            <w:vAlign w:val="center"/>
          </w:tcPr>
          <w:p w14:paraId="0B6D53C8">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w:t>
            </w:r>
          </w:p>
        </w:tc>
      </w:tr>
      <w:tr w14:paraId="3EE7CD6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5" w:hRule="exact"/>
          <w:jc w:val="center"/>
        </w:trPr>
        <w:tc>
          <w:tcPr>
            <w:tcW w:w="875" w:type="pct"/>
            <w:vMerge w:val="continue"/>
            <w:noWrap w:val="0"/>
            <w:vAlign w:val="center"/>
          </w:tcPr>
          <w:p w14:paraId="3C35FCE8">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p>
        </w:tc>
        <w:tc>
          <w:tcPr>
            <w:tcW w:w="438" w:type="pct"/>
            <w:noWrap w:val="0"/>
            <w:vAlign w:val="center"/>
          </w:tcPr>
          <w:p w14:paraId="48C7A583">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出水</w:t>
            </w:r>
          </w:p>
        </w:tc>
        <w:tc>
          <w:tcPr>
            <w:tcW w:w="395" w:type="pct"/>
            <w:noWrap w:val="0"/>
            <w:vAlign w:val="center"/>
          </w:tcPr>
          <w:p w14:paraId="78125EAE">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771.2</w:t>
            </w:r>
          </w:p>
        </w:tc>
        <w:tc>
          <w:tcPr>
            <w:tcW w:w="388" w:type="pct"/>
            <w:noWrap w:val="0"/>
            <w:vAlign w:val="center"/>
          </w:tcPr>
          <w:p w14:paraId="60C90057">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340.8</w:t>
            </w:r>
          </w:p>
        </w:tc>
        <w:tc>
          <w:tcPr>
            <w:tcW w:w="362" w:type="pct"/>
            <w:noWrap w:val="0"/>
            <w:vAlign w:val="center"/>
          </w:tcPr>
          <w:p w14:paraId="5F55C890">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17.73</w:t>
            </w:r>
          </w:p>
        </w:tc>
        <w:tc>
          <w:tcPr>
            <w:tcW w:w="426" w:type="pct"/>
            <w:noWrap w:val="0"/>
            <w:vAlign w:val="center"/>
          </w:tcPr>
          <w:p w14:paraId="19F08669">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2.42</w:t>
            </w:r>
          </w:p>
        </w:tc>
        <w:tc>
          <w:tcPr>
            <w:tcW w:w="422" w:type="pct"/>
            <w:noWrap w:val="0"/>
            <w:vAlign w:val="center"/>
          </w:tcPr>
          <w:p w14:paraId="05422D1D">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196.1</w:t>
            </w:r>
          </w:p>
        </w:tc>
        <w:tc>
          <w:tcPr>
            <w:tcW w:w="422" w:type="pct"/>
            <w:noWrap w:val="0"/>
            <w:vAlign w:val="center"/>
          </w:tcPr>
          <w:p w14:paraId="02B1A92E">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2.5</w:t>
            </w:r>
          </w:p>
        </w:tc>
        <w:tc>
          <w:tcPr>
            <w:tcW w:w="422" w:type="pct"/>
            <w:noWrap w:val="0"/>
            <w:vAlign w:val="center"/>
          </w:tcPr>
          <w:p w14:paraId="40A661DC">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0.25</w:t>
            </w:r>
          </w:p>
        </w:tc>
        <w:tc>
          <w:tcPr>
            <w:tcW w:w="422" w:type="pct"/>
            <w:noWrap w:val="0"/>
            <w:vAlign w:val="center"/>
          </w:tcPr>
          <w:p w14:paraId="38286C19">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0.05</w:t>
            </w:r>
          </w:p>
        </w:tc>
        <w:tc>
          <w:tcPr>
            <w:tcW w:w="422" w:type="pct"/>
            <w:noWrap w:val="0"/>
            <w:vAlign w:val="center"/>
          </w:tcPr>
          <w:p w14:paraId="1B028DD9">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0.15</w:t>
            </w:r>
          </w:p>
        </w:tc>
      </w:tr>
      <w:tr w14:paraId="09E44C1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5" w:hRule="exact"/>
          <w:jc w:val="center"/>
        </w:trPr>
        <w:tc>
          <w:tcPr>
            <w:tcW w:w="875" w:type="pct"/>
            <w:vMerge w:val="restart"/>
            <w:noWrap w:val="0"/>
            <w:vAlign w:val="center"/>
          </w:tcPr>
          <w:p w14:paraId="197A3A16">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二级AO</w:t>
            </w:r>
          </w:p>
        </w:tc>
        <w:tc>
          <w:tcPr>
            <w:tcW w:w="438" w:type="pct"/>
            <w:noWrap w:val="0"/>
            <w:vAlign w:val="center"/>
          </w:tcPr>
          <w:p w14:paraId="7A27F900">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进水</w:t>
            </w:r>
          </w:p>
        </w:tc>
        <w:tc>
          <w:tcPr>
            <w:tcW w:w="395" w:type="pct"/>
            <w:shd w:val="clear" w:color="auto" w:fill="auto"/>
            <w:noWrap w:val="0"/>
            <w:vAlign w:val="center"/>
          </w:tcPr>
          <w:p w14:paraId="717B1ABB">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kern w:val="2"/>
                <w:sz w:val="21"/>
                <w:szCs w:val="21"/>
                <w:highlight w:val="none"/>
                <w:shd w:val="clear" w:color="auto" w:fill="FFFFFF"/>
                <w:vertAlign w:val="baseline"/>
                <w:lang w:val="en-US" w:eastAsia="zh-CN" w:bidi="ar-SA"/>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771.2</w:t>
            </w:r>
          </w:p>
        </w:tc>
        <w:tc>
          <w:tcPr>
            <w:tcW w:w="388" w:type="pct"/>
            <w:shd w:val="clear" w:color="auto" w:fill="auto"/>
            <w:noWrap w:val="0"/>
            <w:vAlign w:val="center"/>
          </w:tcPr>
          <w:p w14:paraId="2D2B6CA3">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rPr>
              <w:t>340.8</w:t>
            </w:r>
          </w:p>
        </w:tc>
        <w:tc>
          <w:tcPr>
            <w:tcW w:w="362" w:type="pct"/>
            <w:shd w:val="clear" w:color="auto" w:fill="auto"/>
            <w:noWrap w:val="0"/>
            <w:vAlign w:val="center"/>
          </w:tcPr>
          <w:p w14:paraId="70C6B70A">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rPr>
              <w:t>17.73</w:t>
            </w:r>
          </w:p>
        </w:tc>
        <w:tc>
          <w:tcPr>
            <w:tcW w:w="426" w:type="pct"/>
            <w:shd w:val="clear" w:color="auto" w:fill="auto"/>
            <w:noWrap w:val="0"/>
            <w:vAlign w:val="center"/>
          </w:tcPr>
          <w:p w14:paraId="7F8E8424">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2.42</w:t>
            </w:r>
          </w:p>
        </w:tc>
        <w:tc>
          <w:tcPr>
            <w:tcW w:w="422" w:type="pct"/>
            <w:shd w:val="clear" w:color="auto" w:fill="auto"/>
            <w:noWrap w:val="0"/>
            <w:vAlign w:val="center"/>
          </w:tcPr>
          <w:p w14:paraId="62E66973">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rPr>
              <w:t>196.1</w:t>
            </w:r>
          </w:p>
        </w:tc>
        <w:tc>
          <w:tcPr>
            <w:tcW w:w="422" w:type="pct"/>
            <w:shd w:val="clear" w:color="auto" w:fill="auto"/>
            <w:noWrap w:val="0"/>
            <w:vAlign w:val="center"/>
          </w:tcPr>
          <w:p w14:paraId="4883E1F6">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2.5</w:t>
            </w:r>
          </w:p>
        </w:tc>
        <w:tc>
          <w:tcPr>
            <w:tcW w:w="422" w:type="pct"/>
            <w:shd w:val="clear" w:color="auto" w:fill="auto"/>
            <w:noWrap w:val="0"/>
            <w:vAlign w:val="center"/>
          </w:tcPr>
          <w:p w14:paraId="225A103A">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0.25</w:t>
            </w:r>
          </w:p>
        </w:tc>
        <w:tc>
          <w:tcPr>
            <w:tcW w:w="422" w:type="pct"/>
            <w:shd w:val="clear" w:color="auto" w:fill="auto"/>
            <w:noWrap w:val="0"/>
            <w:vAlign w:val="center"/>
          </w:tcPr>
          <w:p w14:paraId="4F2616C3">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0.05</w:t>
            </w:r>
          </w:p>
        </w:tc>
        <w:tc>
          <w:tcPr>
            <w:tcW w:w="422" w:type="pct"/>
            <w:shd w:val="clear" w:color="auto" w:fill="auto"/>
            <w:noWrap w:val="0"/>
            <w:vAlign w:val="center"/>
          </w:tcPr>
          <w:p w14:paraId="44567109">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0.15</w:t>
            </w:r>
          </w:p>
        </w:tc>
      </w:tr>
      <w:tr w14:paraId="12DB0E6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5" w:hRule="exact"/>
          <w:jc w:val="center"/>
        </w:trPr>
        <w:tc>
          <w:tcPr>
            <w:tcW w:w="875" w:type="pct"/>
            <w:vMerge w:val="continue"/>
            <w:noWrap w:val="0"/>
            <w:vAlign w:val="center"/>
          </w:tcPr>
          <w:p w14:paraId="14DFD8D5">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p>
        </w:tc>
        <w:tc>
          <w:tcPr>
            <w:tcW w:w="438" w:type="pct"/>
            <w:noWrap w:val="0"/>
            <w:vAlign w:val="center"/>
          </w:tcPr>
          <w:p w14:paraId="1A0495E2">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去除率</w:t>
            </w:r>
          </w:p>
        </w:tc>
        <w:tc>
          <w:tcPr>
            <w:tcW w:w="395" w:type="pct"/>
            <w:noWrap w:val="0"/>
            <w:vAlign w:val="center"/>
          </w:tcPr>
          <w:p w14:paraId="31F590AA">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80%</w:t>
            </w:r>
          </w:p>
        </w:tc>
        <w:tc>
          <w:tcPr>
            <w:tcW w:w="388" w:type="pct"/>
            <w:noWrap w:val="0"/>
            <w:vAlign w:val="center"/>
          </w:tcPr>
          <w:p w14:paraId="72BF9B8D">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80%</w:t>
            </w:r>
          </w:p>
        </w:tc>
        <w:tc>
          <w:tcPr>
            <w:tcW w:w="362" w:type="pct"/>
            <w:noWrap w:val="0"/>
            <w:vAlign w:val="center"/>
          </w:tcPr>
          <w:p w14:paraId="71EB3029">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65%</w:t>
            </w:r>
          </w:p>
        </w:tc>
        <w:tc>
          <w:tcPr>
            <w:tcW w:w="426" w:type="pct"/>
            <w:noWrap w:val="0"/>
            <w:vAlign w:val="center"/>
          </w:tcPr>
          <w:p w14:paraId="3497000B">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30%</w:t>
            </w:r>
          </w:p>
        </w:tc>
        <w:tc>
          <w:tcPr>
            <w:tcW w:w="422" w:type="pct"/>
            <w:noWrap w:val="0"/>
            <w:vAlign w:val="center"/>
          </w:tcPr>
          <w:p w14:paraId="5CB417A0">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20%</w:t>
            </w:r>
          </w:p>
        </w:tc>
        <w:tc>
          <w:tcPr>
            <w:tcW w:w="422" w:type="pct"/>
            <w:noWrap w:val="0"/>
            <w:vAlign w:val="center"/>
          </w:tcPr>
          <w:p w14:paraId="26DCE07C">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w:t>
            </w:r>
          </w:p>
        </w:tc>
        <w:tc>
          <w:tcPr>
            <w:tcW w:w="422" w:type="pct"/>
            <w:noWrap w:val="0"/>
            <w:vAlign w:val="center"/>
          </w:tcPr>
          <w:p w14:paraId="3314682A">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w:t>
            </w:r>
          </w:p>
        </w:tc>
        <w:tc>
          <w:tcPr>
            <w:tcW w:w="422" w:type="pct"/>
            <w:noWrap w:val="0"/>
            <w:vAlign w:val="center"/>
          </w:tcPr>
          <w:p w14:paraId="63609C88">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w:t>
            </w:r>
          </w:p>
        </w:tc>
        <w:tc>
          <w:tcPr>
            <w:tcW w:w="422" w:type="pct"/>
            <w:noWrap w:val="0"/>
            <w:vAlign w:val="center"/>
          </w:tcPr>
          <w:p w14:paraId="66809669">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w:t>
            </w:r>
          </w:p>
        </w:tc>
      </w:tr>
      <w:tr w14:paraId="4DB0330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5" w:hRule="exact"/>
          <w:jc w:val="center"/>
        </w:trPr>
        <w:tc>
          <w:tcPr>
            <w:tcW w:w="875" w:type="pct"/>
            <w:vMerge w:val="continue"/>
            <w:noWrap w:val="0"/>
            <w:vAlign w:val="center"/>
          </w:tcPr>
          <w:p w14:paraId="64B4644B">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p>
        </w:tc>
        <w:tc>
          <w:tcPr>
            <w:tcW w:w="438" w:type="pct"/>
            <w:noWrap w:val="0"/>
            <w:vAlign w:val="center"/>
          </w:tcPr>
          <w:p w14:paraId="367C698D">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出水</w:t>
            </w:r>
          </w:p>
        </w:tc>
        <w:tc>
          <w:tcPr>
            <w:tcW w:w="395" w:type="pct"/>
            <w:noWrap w:val="0"/>
            <w:vAlign w:val="center"/>
          </w:tcPr>
          <w:p w14:paraId="2EBED927">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154.24</w:t>
            </w:r>
          </w:p>
        </w:tc>
        <w:tc>
          <w:tcPr>
            <w:tcW w:w="388" w:type="pct"/>
            <w:noWrap w:val="0"/>
            <w:vAlign w:val="center"/>
          </w:tcPr>
          <w:p w14:paraId="7A0C9ED3">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68.2</w:t>
            </w:r>
          </w:p>
        </w:tc>
        <w:tc>
          <w:tcPr>
            <w:tcW w:w="362" w:type="pct"/>
            <w:noWrap w:val="0"/>
            <w:vAlign w:val="center"/>
          </w:tcPr>
          <w:p w14:paraId="0BAD58BD">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6.21</w:t>
            </w:r>
          </w:p>
        </w:tc>
        <w:tc>
          <w:tcPr>
            <w:tcW w:w="426" w:type="pct"/>
            <w:noWrap w:val="0"/>
            <w:vAlign w:val="center"/>
          </w:tcPr>
          <w:p w14:paraId="38175E2B">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1.69</w:t>
            </w:r>
          </w:p>
        </w:tc>
        <w:tc>
          <w:tcPr>
            <w:tcW w:w="422" w:type="pct"/>
            <w:noWrap w:val="0"/>
            <w:vAlign w:val="center"/>
          </w:tcPr>
          <w:p w14:paraId="50C4DD56">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156.9</w:t>
            </w:r>
          </w:p>
        </w:tc>
        <w:tc>
          <w:tcPr>
            <w:tcW w:w="422" w:type="pct"/>
            <w:noWrap w:val="0"/>
            <w:vAlign w:val="center"/>
          </w:tcPr>
          <w:p w14:paraId="3AA18B5E">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2.5</w:t>
            </w:r>
          </w:p>
        </w:tc>
        <w:tc>
          <w:tcPr>
            <w:tcW w:w="422" w:type="pct"/>
            <w:noWrap w:val="0"/>
            <w:vAlign w:val="center"/>
          </w:tcPr>
          <w:p w14:paraId="1BB872A7">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0.25</w:t>
            </w:r>
          </w:p>
        </w:tc>
        <w:tc>
          <w:tcPr>
            <w:tcW w:w="422" w:type="pct"/>
            <w:noWrap w:val="0"/>
            <w:vAlign w:val="center"/>
          </w:tcPr>
          <w:p w14:paraId="4A961C9B">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0.05</w:t>
            </w:r>
          </w:p>
        </w:tc>
        <w:tc>
          <w:tcPr>
            <w:tcW w:w="422" w:type="pct"/>
            <w:noWrap w:val="0"/>
            <w:vAlign w:val="center"/>
          </w:tcPr>
          <w:p w14:paraId="2122E793">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0.15</w:t>
            </w:r>
          </w:p>
        </w:tc>
      </w:tr>
      <w:tr w14:paraId="631B53F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5" w:hRule="exact"/>
          <w:jc w:val="center"/>
        </w:trPr>
        <w:tc>
          <w:tcPr>
            <w:tcW w:w="875" w:type="pct"/>
            <w:vMerge w:val="restart"/>
            <w:noWrap w:val="0"/>
            <w:vAlign w:val="center"/>
          </w:tcPr>
          <w:p w14:paraId="3853DDC1">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MBR</w:t>
            </w:r>
          </w:p>
        </w:tc>
        <w:tc>
          <w:tcPr>
            <w:tcW w:w="438" w:type="pct"/>
            <w:noWrap w:val="0"/>
            <w:vAlign w:val="center"/>
          </w:tcPr>
          <w:p w14:paraId="4D37520B">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进水</w:t>
            </w:r>
          </w:p>
        </w:tc>
        <w:tc>
          <w:tcPr>
            <w:tcW w:w="395" w:type="pct"/>
            <w:noWrap w:val="0"/>
            <w:vAlign w:val="center"/>
          </w:tcPr>
          <w:p w14:paraId="3D7E7E85">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154.24</w:t>
            </w:r>
          </w:p>
        </w:tc>
        <w:tc>
          <w:tcPr>
            <w:tcW w:w="388" w:type="pct"/>
            <w:noWrap w:val="0"/>
            <w:vAlign w:val="center"/>
          </w:tcPr>
          <w:p w14:paraId="2544F0C6">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68.2</w:t>
            </w:r>
          </w:p>
        </w:tc>
        <w:tc>
          <w:tcPr>
            <w:tcW w:w="362" w:type="pct"/>
            <w:noWrap w:val="0"/>
            <w:vAlign w:val="center"/>
          </w:tcPr>
          <w:p w14:paraId="30B1D298">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6.21</w:t>
            </w:r>
          </w:p>
        </w:tc>
        <w:tc>
          <w:tcPr>
            <w:tcW w:w="426" w:type="pct"/>
            <w:noWrap w:val="0"/>
            <w:vAlign w:val="center"/>
          </w:tcPr>
          <w:p w14:paraId="3526E7F5">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1.69</w:t>
            </w:r>
          </w:p>
        </w:tc>
        <w:tc>
          <w:tcPr>
            <w:tcW w:w="422" w:type="pct"/>
            <w:noWrap w:val="0"/>
            <w:vAlign w:val="center"/>
          </w:tcPr>
          <w:p w14:paraId="62F19786">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156.9</w:t>
            </w:r>
          </w:p>
        </w:tc>
        <w:tc>
          <w:tcPr>
            <w:tcW w:w="422" w:type="pct"/>
            <w:noWrap w:val="0"/>
            <w:vAlign w:val="center"/>
          </w:tcPr>
          <w:p w14:paraId="7BD10D27">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2.5</w:t>
            </w:r>
          </w:p>
        </w:tc>
        <w:tc>
          <w:tcPr>
            <w:tcW w:w="422" w:type="pct"/>
            <w:noWrap w:val="0"/>
            <w:vAlign w:val="center"/>
          </w:tcPr>
          <w:p w14:paraId="4F5484B2">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0.25</w:t>
            </w:r>
          </w:p>
        </w:tc>
        <w:tc>
          <w:tcPr>
            <w:tcW w:w="422" w:type="pct"/>
            <w:noWrap w:val="0"/>
            <w:vAlign w:val="center"/>
          </w:tcPr>
          <w:p w14:paraId="3D1D3485">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0.05</w:t>
            </w:r>
          </w:p>
        </w:tc>
        <w:tc>
          <w:tcPr>
            <w:tcW w:w="422" w:type="pct"/>
            <w:noWrap w:val="0"/>
            <w:vAlign w:val="center"/>
          </w:tcPr>
          <w:p w14:paraId="32866CC9">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0.15</w:t>
            </w:r>
          </w:p>
        </w:tc>
      </w:tr>
      <w:tr w14:paraId="5729B95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5" w:hRule="exact"/>
          <w:jc w:val="center"/>
        </w:trPr>
        <w:tc>
          <w:tcPr>
            <w:tcW w:w="875" w:type="pct"/>
            <w:vMerge w:val="continue"/>
            <w:noWrap w:val="0"/>
            <w:vAlign w:val="center"/>
          </w:tcPr>
          <w:p w14:paraId="0929C79C">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p>
        </w:tc>
        <w:tc>
          <w:tcPr>
            <w:tcW w:w="438" w:type="pct"/>
            <w:noWrap w:val="0"/>
            <w:vAlign w:val="center"/>
          </w:tcPr>
          <w:p w14:paraId="6938AD4C">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去除率</w:t>
            </w:r>
          </w:p>
        </w:tc>
        <w:tc>
          <w:tcPr>
            <w:tcW w:w="395" w:type="pct"/>
            <w:noWrap w:val="0"/>
            <w:vAlign w:val="center"/>
          </w:tcPr>
          <w:p w14:paraId="7F9FB258">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15%</w:t>
            </w:r>
          </w:p>
        </w:tc>
        <w:tc>
          <w:tcPr>
            <w:tcW w:w="388" w:type="pct"/>
            <w:noWrap w:val="0"/>
            <w:vAlign w:val="center"/>
          </w:tcPr>
          <w:p w14:paraId="7E0EBBD1">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10%</w:t>
            </w:r>
          </w:p>
        </w:tc>
        <w:tc>
          <w:tcPr>
            <w:tcW w:w="362" w:type="pct"/>
            <w:noWrap w:val="0"/>
            <w:vAlign w:val="center"/>
          </w:tcPr>
          <w:p w14:paraId="7A3E0445">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w:t>
            </w:r>
          </w:p>
        </w:tc>
        <w:tc>
          <w:tcPr>
            <w:tcW w:w="426" w:type="pct"/>
            <w:noWrap w:val="0"/>
            <w:vAlign w:val="center"/>
          </w:tcPr>
          <w:p w14:paraId="599E194A">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15%</w:t>
            </w:r>
          </w:p>
        </w:tc>
        <w:tc>
          <w:tcPr>
            <w:tcW w:w="422" w:type="pct"/>
            <w:noWrap w:val="0"/>
            <w:vAlign w:val="center"/>
          </w:tcPr>
          <w:p w14:paraId="6C504D40">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98%</w:t>
            </w:r>
          </w:p>
        </w:tc>
        <w:tc>
          <w:tcPr>
            <w:tcW w:w="422" w:type="pct"/>
            <w:noWrap w:val="0"/>
            <w:vAlign w:val="center"/>
          </w:tcPr>
          <w:p w14:paraId="47938156">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10%</w:t>
            </w:r>
          </w:p>
        </w:tc>
        <w:tc>
          <w:tcPr>
            <w:tcW w:w="422" w:type="pct"/>
            <w:noWrap w:val="0"/>
            <w:vAlign w:val="center"/>
          </w:tcPr>
          <w:p w14:paraId="1FA36704">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15%</w:t>
            </w:r>
          </w:p>
        </w:tc>
        <w:tc>
          <w:tcPr>
            <w:tcW w:w="422" w:type="pct"/>
            <w:noWrap w:val="0"/>
            <w:vAlign w:val="center"/>
          </w:tcPr>
          <w:p w14:paraId="3794C508">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15%</w:t>
            </w:r>
          </w:p>
        </w:tc>
        <w:tc>
          <w:tcPr>
            <w:tcW w:w="422" w:type="pct"/>
            <w:noWrap w:val="0"/>
            <w:vAlign w:val="center"/>
          </w:tcPr>
          <w:p w14:paraId="42AE29E7">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15%</w:t>
            </w:r>
          </w:p>
        </w:tc>
      </w:tr>
      <w:tr w14:paraId="659DDDB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5" w:hRule="exact"/>
          <w:jc w:val="center"/>
        </w:trPr>
        <w:tc>
          <w:tcPr>
            <w:tcW w:w="875" w:type="pct"/>
            <w:vMerge w:val="continue"/>
            <w:noWrap w:val="0"/>
            <w:vAlign w:val="center"/>
          </w:tcPr>
          <w:p w14:paraId="5F723582">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p>
        </w:tc>
        <w:tc>
          <w:tcPr>
            <w:tcW w:w="438" w:type="pct"/>
            <w:noWrap w:val="0"/>
            <w:vAlign w:val="center"/>
          </w:tcPr>
          <w:p w14:paraId="5DD296D5">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出水</w:t>
            </w:r>
          </w:p>
        </w:tc>
        <w:tc>
          <w:tcPr>
            <w:tcW w:w="395" w:type="pct"/>
            <w:noWrap w:val="0"/>
            <w:vAlign w:val="center"/>
          </w:tcPr>
          <w:p w14:paraId="7D0FD11F">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131.1</w:t>
            </w:r>
          </w:p>
        </w:tc>
        <w:tc>
          <w:tcPr>
            <w:tcW w:w="388" w:type="pct"/>
            <w:noWrap w:val="0"/>
            <w:vAlign w:val="center"/>
          </w:tcPr>
          <w:p w14:paraId="48151AB9">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61.4</w:t>
            </w:r>
          </w:p>
        </w:tc>
        <w:tc>
          <w:tcPr>
            <w:tcW w:w="362" w:type="pct"/>
            <w:noWrap w:val="0"/>
            <w:vAlign w:val="center"/>
          </w:tcPr>
          <w:p w14:paraId="38EB94EB">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6.21</w:t>
            </w:r>
          </w:p>
        </w:tc>
        <w:tc>
          <w:tcPr>
            <w:tcW w:w="426" w:type="pct"/>
            <w:noWrap w:val="0"/>
            <w:vAlign w:val="center"/>
          </w:tcPr>
          <w:p w14:paraId="2073C1F5">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1.44</w:t>
            </w:r>
          </w:p>
        </w:tc>
        <w:tc>
          <w:tcPr>
            <w:tcW w:w="422" w:type="pct"/>
            <w:noWrap w:val="0"/>
            <w:vAlign w:val="center"/>
          </w:tcPr>
          <w:p w14:paraId="1F049663">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3.14</w:t>
            </w:r>
          </w:p>
        </w:tc>
        <w:tc>
          <w:tcPr>
            <w:tcW w:w="422" w:type="pct"/>
            <w:noWrap w:val="0"/>
            <w:vAlign w:val="center"/>
          </w:tcPr>
          <w:p w14:paraId="5E10B0F1">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2.25</w:t>
            </w:r>
          </w:p>
        </w:tc>
        <w:tc>
          <w:tcPr>
            <w:tcW w:w="422" w:type="pct"/>
            <w:noWrap w:val="0"/>
            <w:vAlign w:val="center"/>
          </w:tcPr>
          <w:p w14:paraId="609CB262">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0.21</w:t>
            </w:r>
          </w:p>
        </w:tc>
        <w:tc>
          <w:tcPr>
            <w:tcW w:w="422" w:type="pct"/>
            <w:noWrap w:val="0"/>
            <w:vAlign w:val="center"/>
          </w:tcPr>
          <w:p w14:paraId="6F239D28">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0.04</w:t>
            </w:r>
          </w:p>
        </w:tc>
        <w:tc>
          <w:tcPr>
            <w:tcW w:w="422" w:type="pct"/>
            <w:noWrap w:val="0"/>
            <w:vAlign w:val="center"/>
          </w:tcPr>
          <w:p w14:paraId="314A512F">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0.13</w:t>
            </w:r>
          </w:p>
        </w:tc>
      </w:tr>
      <w:tr w14:paraId="7ACAE5B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0" w:hRule="exact"/>
          <w:jc w:val="center"/>
        </w:trPr>
        <w:tc>
          <w:tcPr>
            <w:tcW w:w="1313" w:type="pct"/>
            <w:gridSpan w:val="2"/>
            <w:noWrap w:val="0"/>
            <w:vAlign w:val="center"/>
          </w:tcPr>
          <w:p w14:paraId="5B1A5B13">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cs="Times New Roman"/>
                <w:b w:val="0"/>
                <w:bCs w:val="0"/>
                <w:i w:val="0"/>
                <w:caps w:val="0"/>
                <w:color w:val="auto"/>
                <w:spacing w:val="0"/>
                <w:sz w:val="21"/>
                <w:szCs w:val="21"/>
                <w:highlight w:val="none"/>
                <w:shd w:val="clear" w:color="auto" w:fill="FFFFFF"/>
                <w:vertAlign w:val="baseline"/>
                <w:lang w:val="en-US" w:eastAsia="zh-CN"/>
              </w:rPr>
              <w:t>排放标准</w:t>
            </w:r>
          </w:p>
        </w:tc>
        <w:tc>
          <w:tcPr>
            <w:tcW w:w="395" w:type="pct"/>
            <w:noWrap w:val="0"/>
            <w:vAlign w:val="center"/>
          </w:tcPr>
          <w:p w14:paraId="62ACE931">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150</w:t>
            </w:r>
          </w:p>
        </w:tc>
        <w:tc>
          <w:tcPr>
            <w:tcW w:w="388" w:type="pct"/>
            <w:noWrap w:val="0"/>
            <w:vAlign w:val="center"/>
          </w:tcPr>
          <w:p w14:paraId="5CB72772">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500</w:t>
            </w:r>
          </w:p>
        </w:tc>
        <w:tc>
          <w:tcPr>
            <w:tcW w:w="362" w:type="pct"/>
            <w:noWrap w:val="0"/>
            <w:vAlign w:val="center"/>
          </w:tcPr>
          <w:p w14:paraId="3799F9BB">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30</w:t>
            </w:r>
          </w:p>
        </w:tc>
        <w:tc>
          <w:tcPr>
            <w:tcW w:w="426" w:type="pct"/>
            <w:noWrap w:val="0"/>
            <w:vAlign w:val="center"/>
          </w:tcPr>
          <w:p w14:paraId="5B05F621">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2.0</w:t>
            </w:r>
          </w:p>
        </w:tc>
        <w:tc>
          <w:tcPr>
            <w:tcW w:w="422" w:type="pct"/>
            <w:noWrap w:val="0"/>
            <w:vAlign w:val="center"/>
          </w:tcPr>
          <w:p w14:paraId="7C7240B4">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pPr>
            <w:r>
              <w:rPr>
                <w:rFonts w:hint="eastAsia" w:ascii="Times New Roman" w:hAnsi="Times New Roman" w:eastAsia="宋体" w:cs="Times New Roman"/>
                <w:b w:val="0"/>
                <w:bCs w:val="0"/>
                <w:i w:val="0"/>
                <w:caps w:val="0"/>
                <w:color w:val="auto"/>
                <w:spacing w:val="0"/>
                <w:sz w:val="21"/>
                <w:szCs w:val="21"/>
                <w:highlight w:val="none"/>
                <w:shd w:val="clear" w:color="auto" w:fill="FFFFFF"/>
                <w:vertAlign w:val="baseline"/>
                <w:lang w:val="en-US" w:eastAsia="zh-CN"/>
              </w:rPr>
              <w:t>140</w:t>
            </w:r>
          </w:p>
        </w:tc>
        <w:tc>
          <w:tcPr>
            <w:tcW w:w="422" w:type="pct"/>
            <w:noWrap w:val="0"/>
            <w:vAlign w:val="center"/>
          </w:tcPr>
          <w:p w14:paraId="71DDB4A6">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cs="Times New Roman"/>
                <w:b w:val="0"/>
                <w:bCs w:val="0"/>
                <w:i w:val="0"/>
                <w:caps w:val="0"/>
                <w:color w:val="auto"/>
                <w:spacing w:val="0"/>
                <w:sz w:val="21"/>
                <w:szCs w:val="21"/>
                <w:highlight w:val="none"/>
                <w:shd w:val="clear" w:color="auto" w:fill="FFFFFF"/>
                <w:vertAlign w:val="baseline"/>
                <w:lang w:val="en-US" w:eastAsia="zh-CN"/>
              </w:rPr>
            </w:pPr>
            <w:r>
              <w:rPr>
                <w:rFonts w:hint="eastAsia" w:cs="Times New Roman"/>
                <w:b w:val="0"/>
                <w:bCs w:val="0"/>
                <w:i w:val="0"/>
                <w:caps w:val="0"/>
                <w:color w:val="auto"/>
                <w:spacing w:val="0"/>
                <w:sz w:val="21"/>
                <w:szCs w:val="21"/>
                <w:highlight w:val="none"/>
                <w:shd w:val="clear" w:color="auto" w:fill="FFFFFF"/>
                <w:vertAlign w:val="baseline"/>
                <w:lang w:val="en-US" w:eastAsia="zh-CN"/>
              </w:rPr>
              <w:t>8</w:t>
            </w:r>
          </w:p>
        </w:tc>
        <w:tc>
          <w:tcPr>
            <w:tcW w:w="422" w:type="pct"/>
            <w:noWrap w:val="0"/>
            <w:vAlign w:val="center"/>
          </w:tcPr>
          <w:p w14:paraId="6A005EC9">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cs="Times New Roman"/>
                <w:b w:val="0"/>
                <w:bCs w:val="0"/>
                <w:i w:val="0"/>
                <w:caps w:val="0"/>
                <w:color w:val="auto"/>
                <w:spacing w:val="0"/>
                <w:sz w:val="21"/>
                <w:szCs w:val="21"/>
                <w:highlight w:val="none"/>
                <w:shd w:val="clear" w:color="auto" w:fill="FFFFFF"/>
                <w:vertAlign w:val="baseline"/>
                <w:lang w:val="en-US" w:eastAsia="zh-CN"/>
              </w:rPr>
            </w:pPr>
            <w:r>
              <w:rPr>
                <w:rFonts w:hint="eastAsia" w:cs="Times New Roman"/>
                <w:b w:val="0"/>
                <w:bCs w:val="0"/>
                <w:i w:val="0"/>
                <w:caps w:val="0"/>
                <w:color w:val="auto"/>
                <w:spacing w:val="0"/>
                <w:sz w:val="21"/>
                <w:szCs w:val="21"/>
                <w:highlight w:val="none"/>
                <w:shd w:val="clear" w:color="auto" w:fill="FFFFFF"/>
                <w:vertAlign w:val="baseline"/>
                <w:lang w:val="en-US" w:eastAsia="zh-CN"/>
              </w:rPr>
              <w:t>0.5</w:t>
            </w:r>
          </w:p>
        </w:tc>
        <w:tc>
          <w:tcPr>
            <w:tcW w:w="422" w:type="pct"/>
            <w:noWrap w:val="0"/>
            <w:vAlign w:val="center"/>
          </w:tcPr>
          <w:p w14:paraId="2F391BD5">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cs="Times New Roman"/>
                <w:b w:val="0"/>
                <w:bCs w:val="0"/>
                <w:i w:val="0"/>
                <w:caps w:val="0"/>
                <w:color w:val="auto"/>
                <w:spacing w:val="0"/>
                <w:sz w:val="21"/>
                <w:szCs w:val="21"/>
                <w:highlight w:val="none"/>
                <w:shd w:val="clear" w:color="auto" w:fill="FFFFFF"/>
                <w:vertAlign w:val="baseline"/>
                <w:lang w:val="en-US" w:eastAsia="zh-CN"/>
              </w:rPr>
            </w:pPr>
            <w:r>
              <w:rPr>
                <w:rFonts w:hint="eastAsia" w:cs="Times New Roman"/>
                <w:b w:val="0"/>
                <w:bCs w:val="0"/>
                <w:i w:val="0"/>
                <w:caps w:val="0"/>
                <w:color w:val="auto"/>
                <w:spacing w:val="0"/>
                <w:sz w:val="21"/>
                <w:szCs w:val="21"/>
                <w:highlight w:val="none"/>
                <w:shd w:val="clear" w:color="auto" w:fill="FFFFFF"/>
                <w:vertAlign w:val="baseline"/>
                <w:lang w:val="en-US" w:eastAsia="zh-CN"/>
              </w:rPr>
              <w:t>0.1</w:t>
            </w:r>
          </w:p>
        </w:tc>
        <w:tc>
          <w:tcPr>
            <w:tcW w:w="422" w:type="pct"/>
            <w:noWrap w:val="0"/>
            <w:vAlign w:val="center"/>
          </w:tcPr>
          <w:p w14:paraId="71F84447">
            <w:pPr>
              <w:keepNext w:val="0"/>
              <w:keepLines w:val="0"/>
              <w:pageBreakBefore w:val="0"/>
              <w:widowControl w:val="0"/>
              <w:shd w:val="clear"/>
              <w:kinsoku/>
              <w:wordWrap/>
              <w:overflowPunct/>
              <w:topLinePunct w:val="0"/>
              <w:autoSpaceDE/>
              <w:autoSpaceDN/>
              <w:bidi w:val="0"/>
              <w:adjustRightInd/>
              <w:snapToGrid/>
              <w:spacing w:before="0" w:after="0" w:line="280" w:lineRule="exact"/>
              <w:jc w:val="center"/>
              <w:textAlignment w:val="auto"/>
              <w:rPr>
                <w:rFonts w:hint="default" w:cs="Times New Roman"/>
                <w:b w:val="0"/>
                <w:bCs w:val="0"/>
                <w:i w:val="0"/>
                <w:caps w:val="0"/>
                <w:color w:val="auto"/>
                <w:spacing w:val="0"/>
                <w:sz w:val="21"/>
                <w:szCs w:val="21"/>
                <w:highlight w:val="none"/>
                <w:shd w:val="clear" w:color="auto" w:fill="FFFFFF"/>
                <w:vertAlign w:val="baseline"/>
                <w:lang w:val="en-US" w:eastAsia="zh-CN"/>
              </w:rPr>
            </w:pPr>
            <w:r>
              <w:rPr>
                <w:rFonts w:hint="eastAsia" w:cs="Times New Roman"/>
                <w:b w:val="0"/>
                <w:bCs w:val="0"/>
                <w:i w:val="0"/>
                <w:caps w:val="0"/>
                <w:color w:val="auto"/>
                <w:spacing w:val="0"/>
                <w:sz w:val="21"/>
                <w:szCs w:val="21"/>
                <w:highlight w:val="none"/>
                <w:shd w:val="clear" w:color="auto" w:fill="FFFFFF"/>
                <w:vertAlign w:val="baseline"/>
                <w:lang w:val="en-US" w:eastAsia="zh-CN"/>
              </w:rPr>
              <w:t>1.5</w:t>
            </w:r>
          </w:p>
        </w:tc>
      </w:tr>
      <w:bookmarkEnd w:id="21"/>
    </w:tbl>
    <w:p w14:paraId="3D4C8084">
      <w:pPr>
        <w:pStyle w:val="68"/>
        <w:rPr>
          <w:color w:val="auto"/>
        </w:rPr>
        <w:sectPr>
          <w:pgSz w:w="16838" w:h="11906" w:orient="landscape"/>
          <w:pgMar w:top="1531" w:right="1701" w:bottom="1531" w:left="1701" w:header="851" w:footer="1021" w:gutter="0"/>
          <w:cols w:space="720" w:num="1"/>
          <w:docGrid w:linePitch="312" w:charSpace="0"/>
        </w:sectPr>
      </w:pPr>
    </w:p>
    <w:tbl>
      <w:tblPr>
        <w:tblStyle w:val="4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1"/>
        <w:gridCol w:w="7829"/>
      </w:tblGrid>
      <w:tr w14:paraId="689AD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31CC3CE3">
            <w:pPr>
              <w:pStyle w:val="68"/>
              <w:rPr>
                <w:color w:val="auto"/>
                <w:vertAlign w:val="baseline"/>
              </w:rPr>
            </w:pPr>
          </w:p>
        </w:tc>
        <w:tc>
          <w:tcPr>
            <w:tcW w:w="7829" w:type="dxa"/>
          </w:tcPr>
          <w:p w14:paraId="71281208">
            <w:pPr>
              <w:keepNext w:val="0"/>
              <w:keepLines w:val="0"/>
              <w:pageBreakBefore w:val="0"/>
              <w:widowControl w:val="0"/>
              <w:shd w:val="clear"/>
              <w:kinsoku/>
              <w:wordWrap/>
              <w:overflowPunct/>
              <w:topLinePunct w:val="0"/>
              <w:autoSpaceDE w:val="0"/>
              <w:autoSpaceDN w:val="0"/>
              <w:bidi w:val="0"/>
              <w:adjustRightInd/>
              <w:snapToGrid/>
              <w:spacing w:line="360" w:lineRule="auto"/>
              <w:ind w:firstLine="480" w:firstLineChars="200"/>
              <w:textAlignment w:val="auto"/>
              <w:rPr>
                <w:rFonts w:hint="default" w:ascii="Times New Roman" w:hAnsi="Times New Roman" w:eastAsia="宋体" w:cs="Times New Roman"/>
                <w:b w:val="0"/>
                <w:bCs w:val="0"/>
                <w:color w:val="auto"/>
                <w:sz w:val="24"/>
                <w:highlight w:val="none"/>
                <w:lang w:val="en-US" w:eastAsia="zh-CN"/>
              </w:rPr>
            </w:pPr>
            <w:r>
              <w:rPr>
                <w:rFonts w:hint="eastAsia" w:ascii="Times New Roman" w:hAnsi="Times New Roman" w:eastAsia="宋体" w:cs="Times New Roman"/>
                <w:b w:val="0"/>
                <w:bCs w:val="0"/>
                <w:color w:val="auto"/>
                <w:sz w:val="24"/>
                <w:highlight w:val="none"/>
                <w:lang w:val="en-US" w:eastAsia="zh-CN"/>
              </w:rPr>
              <w:t>综上，项目生产废水经厂区自建污水处理站处理后，COD、SS、</w:t>
            </w:r>
            <w:r>
              <w:rPr>
                <w:rFonts w:hint="eastAsia" w:cs="Times New Roman"/>
                <w:b w:val="0"/>
                <w:bCs w:val="0"/>
                <w:color w:val="auto"/>
                <w:sz w:val="24"/>
                <w:highlight w:val="none"/>
                <w:lang w:val="en-US" w:eastAsia="zh-CN"/>
              </w:rPr>
              <w:t>氨氮</w:t>
            </w:r>
            <w:r>
              <w:rPr>
                <w:rFonts w:hint="eastAsia" w:ascii="Times New Roman" w:hAnsi="Times New Roman" w:eastAsia="宋体" w:cs="Times New Roman"/>
                <w:b w:val="0"/>
                <w:bCs w:val="0"/>
                <w:color w:val="auto"/>
                <w:sz w:val="24"/>
                <w:highlight w:val="none"/>
                <w:lang w:val="en-US" w:eastAsia="zh-CN"/>
              </w:rPr>
              <w:t>、</w:t>
            </w:r>
            <w:r>
              <w:rPr>
                <w:rFonts w:hint="eastAsia" w:cs="Times New Roman"/>
                <w:b w:val="0"/>
                <w:bCs w:val="0"/>
                <w:color w:val="auto"/>
                <w:sz w:val="24"/>
                <w:highlight w:val="none"/>
                <w:lang w:val="en-US" w:eastAsia="zh-CN"/>
              </w:rPr>
              <w:t>TP、TN</w:t>
            </w:r>
            <w:r>
              <w:rPr>
                <w:rFonts w:hint="eastAsia" w:ascii="Times New Roman" w:hAnsi="Times New Roman" w:eastAsia="宋体" w:cs="Times New Roman"/>
                <w:b w:val="0"/>
                <w:bCs w:val="0"/>
                <w:color w:val="auto"/>
                <w:sz w:val="24"/>
                <w:highlight w:val="none"/>
                <w:lang w:val="en-US" w:eastAsia="zh-CN"/>
              </w:rPr>
              <w:t>满足</w:t>
            </w:r>
            <w:r>
              <w:rPr>
                <w:rFonts w:hint="eastAsia" w:ascii="Times New Roman" w:hAnsi="Times New Roman" w:eastAsia="宋体" w:cs="Times New Roman"/>
                <w:color w:val="auto"/>
                <w:sz w:val="24"/>
              </w:rPr>
              <w:t>《</w:t>
            </w:r>
            <w:r>
              <w:rPr>
                <w:rFonts w:hint="eastAsia" w:cs="Times New Roman"/>
                <w:color w:val="auto"/>
                <w:sz w:val="24"/>
                <w:lang w:val="en-US" w:eastAsia="zh-CN"/>
              </w:rPr>
              <w:t>电池工业污染物排放标准</w:t>
            </w:r>
            <w:r>
              <w:rPr>
                <w:rFonts w:hint="eastAsia" w:ascii="Times New Roman" w:hAnsi="Times New Roman" w:eastAsia="宋体" w:cs="Times New Roman"/>
                <w:color w:val="auto"/>
                <w:sz w:val="24"/>
              </w:rPr>
              <w:t>》（GB</w:t>
            </w:r>
            <w:r>
              <w:rPr>
                <w:rFonts w:hint="eastAsia" w:cs="Times New Roman"/>
                <w:color w:val="auto"/>
                <w:sz w:val="24"/>
                <w:lang w:val="en-US" w:eastAsia="zh-CN"/>
              </w:rPr>
              <w:t>30484-2013</w:t>
            </w:r>
            <w:r>
              <w:rPr>
                <w:rFonts w:hint="eastAsia" w:ascii="Times New Roman" w:hAnsi="Times New Roman" w:eastAsia="宋体" w:cs="Times New Roman"/>
                <w:color w:val="auto"/>
                <w:sz w:val="24"/>
              </w:rPr>
              <w:t>）</w:t>
            </w:r>
            <w:r>
              <w:rPr>
                <w:rFonts w:hint="eastAsia" w:cs="Times New Roman"/>
                <w:color w:val="auto"/>
                <w:sz w:val="24"/>
                <w:lang w:val="en-US" w:eastAsia="zh-CN"/>
              </w:rPr>
              <w:t>表2“间接排放”</w:t>
            </w:r>
            <w:r>
              <w:rPr>
                <w:rFonts w:hint="eastAsia" w:ascii="Times New Roman" w:hAnsi="Times New Roman" w:eastAsia="宋体" w:cs="Times New Roman"/>
                <w:color w:val="auto"/>
                <w:sz w:val="24"/>
              </w:rPr>
              <w:t>标准</w:t>
            </w:r>
            <w:r>
              <w:rPr>
                <w:rFonts w:hint="eastAsia" w:cs="Times New Roman"/>
                <w:color w:val="auto"/>
                <w:sz w:val="24"/>
                <w:lang w:val="en-US" w:eastAsia="zh-CN"/>
              </w:rPr>
              <w:t>限值</w:t>
            </w:r>
            <w:r>
              <w:rPr>
                <w:rFonts w:hint="eastAsia" w:ascii="宋体" w:hAnsi="宋体" w:eastAsia="宋体" w:cs="宋体"/>
                <w:b w:val="0"/>
                <w:bCs w:val="0"/>
                <w:color w:val="auto"/>
                <w:kern w:val="0"/>
                <w:sz w:val="24"/>
                <w:szCs w:val="24"/>
                <w:highlight w:val="none"/>
                <w:lang w:val="en-US" w:eastAsia="zh-CN"/>
              </w:rPr>
              <w:t>。</w:t>
            </w:r>
          </w:p>
          <w:p w14:paraId="1F55CFB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3）依托巴中经开区污水处理厂可行性分析</w:t>
            </w:r>
          </w:p>
          <w:p w14:paraId="7D6DCA88">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cs="Times New Roman"/>
                <w:color w:val="auto"/>
                <w:sz w:val="24"/>
                <w:szCs w:val="24"/>
              </w:rPr>
              <w:t>巴中经开区污水处理厂位于经开区南侧、河流下游的L13地块内（巴中兴文沙溪村），主要接纳经开区兴文片区的生活污水以及工业废水，占地6.40公顷，目前污水处理厂一期工程（设计规模1.99万</w:t>
            </w:r>
            <w:r>
              <w:rPr>
                <w:rFonts w:hint="default" w:ascii="Times New Roman" w:hAnsi="Times New Roman" w:cs="Times New Roman"/>
                <w:color w:val="auto"/>
                <w:sz w:val="24"/>
                <w:szCs w:val="24"/>
                <w:lang w:eastAsia="zh-CN"/>
              </w:rPr>
              <w:t>m</w:t>
            </w:r>
            <w:r>
              <w:rPr>
                <w:rFonts w:hint="default" w:ascii="Times New Roman" w:hAnsi="Times New Roman" w:cs="Times New Roman"/>
                <w:color w:val="auto"/>
                <w:sz w:val="24"/>
                <w:szCs w:val="24"/>
                <w:vertAlign w:val="superscript"/>
                <w:lang w:eastAsia="zh-CN"/>
              </w:rPr>
              <w:t>3</w:t>
            </w:r>
            <w:r>
              <w:rPr>
                <w:rFonts w:hint="default" w:ascii="Times New Roman" w:hAnsi="Times New Roman" w:cs="Times New Roman"/>
                <w:color w:val="auto"/>
                <w:sz w:val="24"/>
                <w:szCs w:val="24"/>
              </w:rPr>
              <w:t>/d）已建成运行，</w:t>
            </w:r>
            <w:r>
              <w:rPr>
                <w:rFonts w:hint="default" w:ascii="Times New Roman" w:hAnsi="Times New Roman" w:cs="Times New Roman"/>
                <w:bCs/>
                <w:color w:val="auto"/>
                <w:sz w:val="24"/>
                <w:szCs w:val="24"/>
              </w:rPr>
              <w:t>处理工艺为改良型A/A/O工艺，出水满足</w:t>
            </w:r>
            <w:r>
              <w:rPr>
                <w:rFonts w:hint="default" w:ascii="Times New Roman" w:hAnsi="Times New Roman" w:cs="Times New Roman"/>
                <w:color w:val="auto"/>
                <w:sz w:val="24"/>
                <w:szCs w:val="24"/>
              </w:rPr>
              <w:t>《城镇污水处理厂污染物排放标准》（GB18918-2002）中一级A标要求，尾水经专管引至巴河干流（曾口场镇下游）排放</w:t>
            </w:r>
            <w:r>
              <w:rPr>
                <w:rFonts w:hint="default" w:ascii="Times New Roman" w:hAnsi="Times New Roman" w:eastAsia="宋体" w:cs="Times New Roman"/>
                <w:color w:val="auto"/>
                <w:sz w:val="24"/>
                <w:szCs w:val="24"/>
              </w:rPr>
              <w:t>。</w:t>
            </w:r>
          </w:p>
          <w:p w14:paraId="5B85E876">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imes New Roman" w:hAnsi="Times New Roman" w:eastAsia="宋体" w:cs="Times New Roman"/>
                <w:bCs/>
                <w:color w:val="auto"/>
                <w:sz w:val="24"/>
                <w:szCs w:val="24"/>
                <w:lang w:val="en-US" w:eastAsia="zh-CN"/>
              </w:rPr>
            </w:pPr>
            <w:r>
              <w:rPr>
                <w:rFonts w:hint="eastAsia" w:ascii="Times New Roman" w:hAnsi="Times New Roman" w:eastAsia="宋体" w:cs="Times New Roman"/>
                <w:bCs/>
                <w:color w:val="auto"/>
                <w:kern w:val="2"/>
                <w:sz w:val="24"/>
                <w:szCs w:val="24"/>
                <w:lang w:val="en-US" w:eastAsia="zh-CN" w:bidi="ar-SA"/>
              </w:rPr>
              <w:t>目前污水处理厂接纳污水量约占最大处理量的50.25%，即约1万m</w:t>
            </w:r>
            <w:r>
              <w:rPr>
                <w:rFonts w:hint="eastAsia" w:ascii="Times New Roman" w:hAnsi="Times New Roman" w:eastAsia="宋体" w:cs="Times New Roman"/>
                <w:bCs/>
                <w:color w:val="auto"/>
                <w:kern w:val="2"/>
                <w:sz w:val="24"/>
                <w:szCs w:val="24"/>
                <w:vertAlign w:val="superscript"/>
                <w:lang w:val="en-US" w:eastAsia="zh-CN" w:bidi="ar-SA"/>
              </w:rPr>
              <w:t>3</w:t>
            </w:r>
            <w:r>
              <w:rPr>
                <w:rFonts w:hint="eastAsia" w:ascii="Times New Roman" w:hAnsi="Times New Roman" w:eastAsia="宋体" w:cs="Times New Roman"/>
                <w:bCs/>
                <w:color w:val="auto"/>
                <w:kern w:val="2"/>
                <w:sz w:val="24"/>
                <w:szCs w:val="24"/>
                <w:lang w:val="en-US" w:eastAsia="zh-CN" w:bidi="ar-SA"/>
              </w:rPr>
              <w:t>/d，还剩余0.99万m</w:t>
            </w:r>
            <w:r>
              <w:rPr>
                <w:rFonts w:hint="eastAsia" w:ascii="Times New Roman" w:hAnsi="Times New Roman" w:eastAsia="宋体" w:cs="Times New Roman"/>
                <w:bCs/>
                <w:color w:val="auto"/>
                <w:kern w:val="2"/>
                <w:sz w:val="24"/>
                <w:szCs w:val="24"/>
                <w:vertAlign w:val="superscript"/>
                <w:lang w:val="en-US" w:eastAsia="zh-CN" w:bidi="ar-SA"/>
              </w:rPr>
              <w:t>3</w:t>
            </w:r>
            <w:r>
              <w:rPr>
                <w:rFonts w:hint="eastAsia" w:ascii="Times New Roman" w:hAnsi="Times New Roman" w:eastAsia="宋体" w:cs="Times New Roman"/>
                <w:bCs/>
                <w:color w:val="auto"/>
                <w:kern w:val="2"/>
                <w:sz w:val="24"/>
                <w:szCs w:val="24"/>
                <w:lang w:val="en-US" w:eastAsia="zh-CN" w:bidi="ar-SA"/>
              </w:rPr>
              <w:t>/d的处理能力，本项目建设后全厂废水日最大排放量共</w:t>
            </w:r>
            <w:r>
              <w:rPr>
                <w:rFonts w:hint="eastAsia" w:cs="Times New Roman"/>
                <w:color w:val="auto"/>
                <w:sz w:val="24"/>
                <w:szCs w:val="24"/>
                <w:lang w:val="en-US" w:eastAsia="zh-CN"/>
              </w:rPr>
              <w:t>14.88</w:t>
            </w:r>
            <w:r>
              <w:rPr>
                <w:rFonts w:hint="default" w:ascii="Times New Roman" w:hAnsi="Times New Roman" w:eastAsia="宋体" w:cs="Times New Roman"/>
                <w:color w:val="auto"/>
                <w:sz w:val="24"/>
                <w:szCs w:val="24"/>
              </w:rPr>
              <w:t>m³/d</w:t>
            </w:r>
            <w:r>
              <w:rPr>
                <w:rFonts w:hint="eastAsia" w:ascii="Times New Roman" w:hAnsi="Times New Roman" w:eastAsia="宋体" w:cs="Times New Roman"/>
                <w:bCs/>
                <w:color w:val="auto"/>
                <w:kern w:val="2"/>
                <w:sz w:val="24"/>
                <w:szCs w:val="24"/>
                <w:lang w:val="en-US" w:eastAsia="zh-CN" w:bidi="ar-SA"/>
              </w:rPr>
              <w:t>，故</w:t>
            </w:r>
            <w:r>
              <w:rPr>
                <w:rFonts w:hint="default" w:ascii="Times New Roman" w:hAnsi="Times New Roman" w:cs="Times New Roman"/>
                <w:color w:val="auto"/>
                <w:sz w:val="24"/>
                <w:szCs w:val="24"/>
              </w:rPr>
              <w:t>巴中经开区污水处理厂</w:t>
            </w:r>
            <w:r>
              <w:rPr>
                <w:rFonts w:hint="eastAsia" w:ascii="Times New Roman" w:hAnsi="Times New Roman" w:eastAsia="宋体" w:cs="Times New Roman"/>
                <w:bCs/>
                <w:color w:val="auto"/>
                <w:kern w:val="2"/>
                <w:sz w:val="24"/>
                <w:szCs w:val="24"/>
                <w:lang w:val="en-US" w:eastAsia="zh-CN" w:bidi="ar-SA"/>
              </w:rPr>
              <w:t>的剩余处理能力可以满足本项目废水纳入。因此</w:t>
            </w:r>
            <w:r>
              <w:rPr>
                <w:rFonts w:hint="eastAsia" w:ascii="Times New Roman" w:hAnsi="Times New Roman" w:eastAsia="宋体" w:cs="Times New Roman"/>
                <w:bCs/>
                <w:color w:val="auto"/>
                <w:sz w:val="24"/>
                <w:szCs w:val="24"/>
                <w:lang w:val="en-US" w:eastAsia="zh-CN"/>
              </w:rPr>
              <w:t>本项目废水进入</w:t>
            </w:r>
            <w:r>
              <w:rPr>
                <w:rFonts w:hint="default" w:ascii="Times New Roman" w:hAnsi="Times New Roman" w:cs="Times New Roman"/>
                <w:color w:val="auto"/>
                <w:sz w:val="24"/>
                <w:szCs w:val="24"/>
              </w:rPr>
              <w:t>巴中经开区污水处理厂</w:t>
            </w:r>
            <w:r>
              <w:rPr>
                <w:rFonts w:hint="eastAsia" w:ascii="Times New Roman" w:hAnsi="Times New Roman" w:eastAsia="宋体" w:cs="Times New Roman"/>
                <w:bCs/>
                <w:color w:val="auto"/>
                <w:sz w:val="24"/>
                <w:szCs w:val="24"/>
                <w:lang w:val="en-US" w:eastAsia="zh-CN"/>
              </w:rPr>
              <w:t>处理是可行的。</w:t>
            </w:r>
          </w:p>
          <w:p w14:paraId="1019BC2A">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imes New Roman" w:hAnsi="Times New Roman" w:eastAsia="宋体" w:cs="Times New Roman"/>
                <w:bCs/>
                <w:color w:val="auto"/>
                <w:kern w:val="2"/>
                <w:sz w:val="24"/>
                <w:szCs w:val="24"/>
                <w:lang w:val="en-US" w:eastAsia="zh-CN" w:bidi="ar-SA"/>
              </w:rPr>
            </w:pPr>
            <w:r>
              <w:rPr>
                <w:rFonts w:hint="eastAsia" w:ascii="Times New Roman" w:hAnsi="Times New Roman" w:eastAsia="宋体" w:cs="Times New Roman"/>
                <w:bCs/>
                <w:color w:val="auto"/>
                <w:sz w:val="24"/>
                <w:szCs w:val="24"/>
                <w:lang w:val="en-US" w:eastAsia="zh-CN"/>
              </w:rPr>
              <w:t>综上所述，</w:t>
            </w:r>
            <w:r>
              <w:rPr>
                <w:rFonts w:hint="eastAsia" w:ascii="Times New Roman" w:hAnsi="Times New Roman" w:eastAsia="宋体" w:cs="Times New Roman"/>
                <w:bCs/>
                <w:color w:val="auto"/>
                <w:kern w:val="2"/>
                <w:sz w:val="24"/>
                <w:szCs w:val="24"/>
                <w:lang w:val="en-US" w:eastAsia="zh-CN" w:bidi="ar-SA"/>
              </w:rPr>
              <w:t>项目外排废水经过上述措施后不会对当地地表水环境造成不良影响。</w:t>
            </w:r>
          </w:p>
          <w:p w14:paraId="24CC7C7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w:t>
            </w:r>
            <w:r>
              <w:rPr>
                <w:rFonts w:hint="eastAsia" w:ascii="Times New Roman" w:hAnsi="Times New Roman" w:eastAsia="宋体" w:cs="Times New Roman"/>
                <w:color w:val="auto"/>
                <w:sz w:val="24"/>
                <w:lang w:val="en-US" w:eastAsia="zh-CN"/>
              </w:rPr>
              <w:t>4</w:t>
            </w:r>
            <w:r>
              <w:rPr>
                <w:rFonts w:hint="default" w:ascii="Times New Roman" w:hAnsi="Times New Roman" w:eastAsia="宋体" w:cs="Times New Roman"/>
                <w:color w:val="auto"/>
                <w:sz w:val="24"/>
                <w:lang w:val="en-US" w:eastAsia="zh-CN"/>
              </w:rPr>
              <w:t>）自行监测</w:t>
            </w:r>
          </w:p>
          <w:p w14:paraId="001AFB4B">
            <w:pPr>
              <w:spacing w:line="360" w:lineRule="auto"/>
              <w:ind w:firstLine="480" w:firstLineChars="200"/>
              <w:rPr>
                <w:rFonts w:hint="default" w:ascii="Times New Roman" w:hAnsi="Times New Roman" w:eastAsia="宋体" w:cs="Times New Roman"/>
                <w:color w:val="auto"/>
                <w:sz w:val="24"/>
                <w:szCs w:val="24"/>
                <w:highlight w:val="none"/>
              </w:rPr>
            </w:pPr>
            <w:r>
              <w:rPr>
                <w:rFonts w:hint="eastAsia"/>
                <w:color w:val="auto"/>
                <w:sz w:val="24"/>
                <w:szCs w:val="24"/>
                <w:highlight w:val="none"/>
              </w:rPr>
              <w:t>参</w:t>
            </w:r>
            <w:r>
              <w:rPr>
                <w:rFonts w:hint="eastAsia" w:ascii="宋体" w:hAnsi="宋体" w:eastAsia="宋体" w:cs="宋体"/>
                <w:color w:val="auto"/>
                <w:sz w:val="24"/>
                <w:szCs w:val="24"/>
                <w:highlight w:val="none"/>
              </w:rPr>
              <w:t>照《</w:t>
            </w:r>
            <w:r>
              <w:rPr>
                <w:rFonts w:hint="default" w:ascii="宋体" w:hAnsi="宋体" w:eastAsia="宋体" w:cs="宋体"/>
                <w:color w:val="auto"/>
                <w:sz w:val="24"/>
                <w:szCs w:val="24"/>
                <w:highlight w:val="none"/>
              </w:rPr>
              <w:t>排污许可证</w:t>
            </w:r>
            <w:r>
              <w:rPr>
                <w:rFonts w:hint="default" w:ascii="Times New Roman" w:hAnsi="Times New Roman" w:eastAsia="宋体" w:cs="Times New Roman"/>
                <w:color w:val="auto"/>
                <w:sz w:val="24"/>
                <w:szCs w:val="24"/>
                <w:highlight w:val="none"/>
              </w:rPr>
              <w:t>申请与核发技术规范 电池工业》（HJ967-2018）</w:t>
            </w: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排污单位自行监测技术指南 电池工业</w:t>
            </w: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HJ 1204-2021</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本项目</w:t>
            </w:r>
            <w:r>
              <w:rPr>
                <w:rFonts w:hint="default" w:ascii="Times New Roman" w:hAnsi="Times New Roman" w:eastAsia="宋体" w:cs="Times New Roman"/>
                <w:color w:val="auto"/>
                <w:sz w:val="24"/>
                <w:szCs w:val="24"/>
                <w:highlight w:val="none"/>
              </w:rPr>
              <w:t>营运期废水监测计划如下：</w:t>
            </w:r>
          </w:p>
          <w:p w14:paraId="0C9D6A3D">
            <w:pPr>
              <w:pStyle w:val="40"/>
              <w:spacing w:after="0"/>
              <w:ind w:left="0" w:leftChars="0" w:firstLine="0" w:firstLineChars="0"/>
              <w:jc w:val="center"/>
              <w:rPr>
                <w:rStyle w:val="48"/>
                <w:rFonts w:hint="default" w:ascii="Times New Roman" w:hAnsi="Times New Roman" w:eastAsia="宋体" w:cs="Times New Roman"/>
                <w:b/>
                <w:bCs/>
                <w:color w:val="auto"/>
                <w:sz w:val="21"/>
                <w:szCs w:val="21"/>
              </w:rPr>
            </w:pPr>
            <w:r>
              <w:rPr>
                <w:rStyle w:val="48"/>
                <w:rFonts w:hint="default" w:ascii="Times New Roman" w:hAnsi="Times New Roman" w:eastAsia="宋体" w:cs="Times New Roman"/>
                <w:b/>
                <w:bCs/>
                <w:color w:val="auto"/>
                <w:sz w:val="21"/>
                <w:szCs w:val="21"/>
              </w:rPr>
              <w:t>表4-</w:t>
            </w:r>
            <w:r>
              <w:rPr>
                <w:rStyle w:val="48"/>
                <w:rFonts w:hint="eastAsia" w:cs="Times New Roman"/>
                <w:b/>
                <w:bCs/>
                <w:color w:val="auto"/>
                <w:sz w:val="21"/>
                <w:szCs w:val="21"/>
                <w:lang w:val="en-US" w:eastAsia="zh-CN"/>
              </w:rPr>
              <w:t>14</w:t>
            </w:r>
            <w:r>
              <w:rPr>
                <w:rStyle w:val="48"/>
                <w:rFonts w:hint="default" w:ascii="Times New Roman" w:hAnsi="Times New Roman" w:eastAsia="宋体" w:cs="Times New Roman"/>
                <w:b/>
                <w:bCs/>
                <w:color w:val="auto"/>
                <w:sz w:val="21"/>
                <w:szCs w:val="21"/>
              </w:rPr>
              <w:t xml:space="preserve"> 项目营运期废水监测方案</w:t>
            </w:r>
          </w:p>
          <w:tbl>
            <w:tblPr>
              <w:tblStyle w:val="41"/>
              <w:tblW w:w="767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1424"/>
              <w:gridCol w:w="1758"/>
              <w:gridCol w:w="922"/>
              <w:gridCol w:w="3574"/>
            </w:tblGrid>
            <w:tr w14:paraId="621CBA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85" w:hRule="atLeast"/>
                <w:jc w:val="center"/>
              </w:trPr>
              <w:tc>
                <w:tcPr>
                  <w:tcW w:w="1424" w:type="dxa"/>
                  <w:noWrap w:val="0"/>
                  <w:tcMar>
                    <w:left w:w="0" w:type="dxa"/>
                    <w:right w:w="0" w:type="dxa"/>
                  </w:tcMar>
                  <w:vAlign w:val="center"/>
                </w:tcPr>
                <w:p w14:paraId="7A55471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监测点位</w:t>
                  </w:r>
                </w:p>
              </w:tc>
              <w:tc>
                <w:tcPr>
                  <w:tcW w:w="1758" w:type="dxa"/>
                  <w:noWrap w:val="0"/>
                  <w:tcMar>
                    <w:left w:w="0" w:type="dxa"/>
                    <w:right w:w="0" w:type="dxa"/>
                  </w:tcMar>
                  <w:vAlign w:val="center"/>
                </w:tcPr>
                <w:p w14:paraId="1D0438F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监测指标</w:t>
                  </w:r>
                </w:p>
              </w:tc>
              <w:tc>
                <w:tcPr>
                  <w:tcW w:w="922" w:type="dxa"/>
                  <w:noWrap w:val="0"/>
                  <w:tcMar>
                    <w:left w:w="0" w:type="dxa"/>
                    <w:right w:w="0" w:type="dxa"/>
                  </w:tcMar>
                  <w:vAlign w:val="center"/>
                </w:tcPr>
                <w:p w14:paraId="6218123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监测频次</w:t>
                  </w:r>
                </w:p>
              </w:tc>
              <w:tc>
                <w:tcPr>
                  <w:tcW w:w="3574" w:type="dxa"/>
                  <w:noWrap w:val="0"/>
                  <w:tcMar>
                    <w:left w:w="0" w:type="dxa"/>
                    <w:right w:w="0" w:type="dxa"/>
                  </w:tcMar>
                  <w:vAlign w:val="center"/>
                </w:tcPr>
                <w:p w14:paraId="5102FC2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执行排放标准</w:t>
                  </w:r>
                </w:p>
              </w:tc>
            </w:tr>
            <w:tr w14:paraId="6780E96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778" w:hRule="atLeast"/>
                <w:jc w:val="center"/>
              </w:trPr>
              <w:tc>
                <w:tcPr>
                  <w:tcW w:w="1424" w:type="dxa"/>
                  <w:noWrap w:val="0"/>
                  <w:tcMar>
                    <w:left w:w="0" w:type="dxa"/>
                    <w:right w:w="0" w:type="dxa"/>
                  </w:tcMar>
                  <w:vAlign w:val="center"/>
                </w:tcPr>
                <w:p w14:paraId="14D9990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rPr>
                  </w:pPr>
                  <w:r>
                    <w:rPr>
                      <w:rFonts w:hint="eastAsia" w:cs="Times New Roman"/>
                      <w:color w:val="auto"/>
                      <w:kern w:val="0"/>
                      <w:sz w:val="21"/>
                      <w:szCs w:val="21"/>
                      <w:lang w:val="en-US" w:eastAsia="zh-CN"/>
                    </w:rPr>
                    <w:t>车间处理设施排放口</w:t>
                  </w:r>
                </w:p>
              </w:tc>
              <w:tc>
                <w:tcPr>
                  <w:tcW w:w="1758" w:type="dxa"/>
                  <w:noWrap w:val="0"/>
                  <w:tcMar>
                    <w:left w:w="0" w:type="dxa"/>
                    <w:right w:w="0" w:type="dxa"/>
                  </w:tcMar>
                  <w:vAlign w:val="center"/>
                </w:tcPr>
                <w:p w14:paraId="40C7ED7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rPr>
                  </w:pPr>
                  <w:r>
                    <w:rPr>
                      <w:rFonts w:hint="eastAsia" w:cs="Times New Roman"/>
                      <w:color w:val="auto"/>
                      <w:sz w:val="21"/>
                      <w:szCs w:val="21"/>
                      <w:vertAlign w:val="baseline"/>
                      <w:lang w:val="en-US" w:eastAsia="zh-CN"/>
                    </w:rPr>
                    <w:t>Ni、Co</w:t>
                  </w:r>
                </w:p>
              </w:tc>
              <w:tc>
                <w:tcPr>
                  <w:tcW w:w="922" w:type="dxa"/>
                  <w:noWrap w:val="0"/>
                  <w:tcMar>
                    <w:left w:w="0" w:type="dxa"/>
                    <w:right w:w="0" w:type="dxa"/>
                  </w:tcMar>
                  <w:vAlign w:val="center"/>
                </w:tcPr>
                <w:p w14:paraId="74E78F4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rPr>
                  </w:pPr>
                  <w:r>
                    <w:rPr>
                      <w:rFonts w:hint="eastAsia" w:cs="Times New Roman"/>
                      <w:color w:val="auto"/>
                      <w:kern w:val="0"/>
                      <w:sz w:val="21"/>
                      <w:szCs w:val="21"/>
                      <w:lang w:val="en-US" w:eastAsia="zh-CN"/>
                    </w:rPr>
                    <w:t>1次/季</w:t>
                  </w:r>
                </w:p>
              </w:tc>
              <w:tc>
                <w:tcPr>
                  <w:tcW w:w="3574" w:type="dxa"/>
                  <w:noWrap w:val="0"/>
                  <w:tcMar>
                    <w:left w:w="0" w:type="dxa"/>
                    <w:right w:w="0" w:type="dxa"/>
                  </w:tcMar>
                  <w:vAlign w:val="center"/>
                </w:tcPr>
                <w:p w14:paraId="5B833AB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kern w:val="0"/>
                      <w:sz w:val="21"/>
                      <w:szCs w:val="21"/>
                    </w:rPr>
                  </w:pPr>
                  <w:r>
                    <w:rPr>
                      <w:rFonts w:hint="default" w:ascii="Times New Roman" w:hAnsi="Times New Roman" w:eastAsia="宋体" w:cs="Times New Roman"/>
                      <w:color w:val="auto"/>
                      <w:sz w:val="21"/>
                      <w:szCs w:val="21"/>
                    </w:rPr>
                    <w:t>《电池工业污染物排放标准》（GB 30484-2013）</w:t>
                  </w:r>
                </w:p>
              </w:tc>
            </w:tr>
            <w:tr w14:paraId="30B83A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1575" w:hRule="atLeast"/>
                <w:jc w:val="center"/>
              </w:trPr>
              <w:tc>
                <w:tcPr>
                  <w:tcW w:w="1424" w:type="dxa"/>
                  <w:noWrap w:val="0"/>
                  <w:tcMar>
                    <w:left w:w="0" w:type="dxa"/>
                    <w:right w:w="0" w:type="dxa"/>
                  </w:tcMar>
                  <w:vAlign w:val="center"/>
                </w:tcPr>
                <w:p w14:paraId="3235633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rPr>
                  </w:pPr>
                  <w:r>
                    <w:rPr>
                      <w:rFonts w:hint="eastAsia" w:cs="Times New Roman"/>
                      <w:color w:val="auto"/>
                      <w:kern w:val="0"/>
                      <w:sz w:val="21"/>
                      <w:szCs w:val="21"/>
                      <w:lang w:val="en-US" w:eastAsia="zh-CN"/>
                    </w:rPr>
                    <w:t>DW001</w:t>
                  </w:r>
                </w:p>
              </w:tc>
              <w:tc>
                <w:tcPr>
                  <w:tcW w:w="1758" w:type="dxa"/>
                  <w:noWrap w:val="0"/>
                  <w:tcMar>
                    <w:left w:w="0" w:type="dxa"/>
                    <w:right w:w="0" w:type="dxa"/>
                  </w:tcMar>
                  <w:vAlign w:val="center"/>
                </w:tcPr>
                <w:p w14:paraId="78D04FA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pH、</w:t>
                  </w:r>
                  <w:r>
                    <w:rPr>
                      <w:rFonts w:hint="default" w:ascii="Times New Roman" w:hAnsi="Times New Roman" w:cs="Times New Roman"/>
                      <w:color w:val="auto"/>
                      <w:sz w:val="21"/>
                      <w:szCs w:val="21"/>
                      <w:lang w:val="en-US" w:eastAsia="zh-CN"/>
                    </w:rPr>
                    <w:t>流量、</w:t>
                  </w:r>
                  <w:r>
                    <w:rPr>
                      <w:rFonts w:hint="default" w:ascii="Times New Roman" w:hAnsi="Times New Roman" w:cs="Times New Roman"/>
                      <w:color w:val="auto"/>
                      <w:sz w:val="21"/>
                      <w:szCs w:val="21"/>
                    </w:rPr>
                    <w:t>COD、SS</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rPr>
                    <w:t>NH</w:t>
                  </w:r>
                  <w:r>
                    <w:rPr>
                      <w:rFonts w:hint="default" w:ascii="Times New Roman" w:hAnsi="Times New Roman" w:cs="Times New Roman"/>
                      <w:color w:val="auto"/>
                      <w:sz w:val="21"/>
                      <w:szCs w:val="21"/>
                      <w:vertAlign w:val="subscript"/>
                    </w:rPr>
                    <w:t>3</w:t>
                  </w:r>
                  <w:r>
                    <w:rPr>
                      <w:rFonts w:hint="default" w:ascii="Times New Roman" w:hAnsi="Times New Roman" w:cs="Times New Roman"/>
                      <w:color w:val="auto"/>
                      <w:sz w:val="21"/>
                      <w:szCs w:val="21"/>
                    </w:rPr>
                    <w:t>-N</w:t>
                  </w:r>
                  <w:r>
                    <w:rPr>
                      <w:rFonts w:hint="default" w:ascii="Times New Roman" w:hAnsi="Times New Roman" w:cs="Times New Roman"/>
                      <w:color w:val="auto"/>
                      <w:sz w:val="21"/>
                      <w:szCs w:val="21"/>
                      <w:lang w:val="en-US" w:eastAsia="zh-CN"/>
                    </w:rPr>
                    <w:t>、</w:t>
                  </w:r>
                  <w:r>
                    <w:rPr>
                      <w:rFonts w:hint="default" w:ascii="Times New Roman" w:hAnsi="Times New Roman" w:cs="Times New Roman"/>
                      <w:color w:val="auto"/>
                      <w:sz w:val="21"/>
                      <w:szCs w:val="21"/>
                    </w:rPr>
                    <w:t>BOD</w:t>
                  </w:r>
                  <w:r>
                    <w:rPr>
                      <w:rFonts w:hint="default" w:ascii="Times New Roman" w:hAnsi="Times New Roman" w:cs="Times New Roman"/>
                      <w:color w:val="auto"/>
                      <w:sz w:val="21"/>
                      <w:szCs w:val="21"/>
                      <w:vertAlign w:val="subscript"/>
                    </w:rPr>
                    <w:t>5</w:t>
                  </w:r>
                  <w:r>
                    <w:rPr>
                      <w:rFonts w:hint="eastAsia" w:cs="Times New Roman"/>
                      <w:color w:val="auto"/>
                      <w:sz w:val="21"/>
                      <w:szCs w:val="21"/>
                      <w:vertAlign w:val="baseline"/>
                      <w:lang w:eastAsia="zh-CN"/>
                    </w:rPr>
                    <w:t>、</w:t>
                  </w:r>
                  <w:r>
                    <w:rPr>
                      <w:rFonts w:hint="eastAsia" w:cs="Times New Roman"/>
                      <w:color w:val="auto"/>
                      <w:sz w:val="21"/>
                      <w:szCs w:val="21"/>
                      <w:vertAlign w:val="baseline"/>
                      <w:lang w:val="en-US" w:eastAsia="zh-CN"/>
                    </w:rPr>
                    <w:t>TN、TP、Mn</w:t>
                  </w:r>
                  <w:r>
                    <w:rPr>
                      <w:rFonts w:hint="default" w:ascii="Times New Roman" w:hAnsi="Times New Roman" w:cs="Times New Roman"/>
                      <w:color w:val="auto"/>
                      <w:sz w:val="21"/>
                      <w:szCs w:val="21"/>
                      <w:lang w:val="en-US" w:eastAsia="zh-CN"/>
                    </w:rPr>
                    <w:t>等</w:t>
                  </w:r>
                </w:p>
              </w:tc>
              <w:tc>
                <w:tcPr>
                  <w:tcW w:w="922" w:type="dxa"/>
                  <w:noWrap w:val="0"/>
                  <w:tcMar>
                    <w:left w:w="0" w:type="dxa"/>
                    <w:right w:w="0" w:type="dxa"/>
                  </w:tcMar>
                  <w:vAlign w:val="center"/>
                </w:tcPr>
                <w:p w14:paraId="5A5C355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cs="Times New Roman"/>
                      <w:color w:val="auto"/>
                      <w:kern w:val="0"/>
                      <w:sz w:val="21"/>
                      <w:szCs w:val="21"/>
                    </w:rPr>
                    <w:t>1次/</w:t>
                  </w:r>
                  <w:r>
                    <w:rPr>
                      <w:rFonts w:hint="default" w:ascii="Times New Roman" w:hAnsi="Times New Roman" w:cs="Times New Roman"/>
                      <w:color w:val="auto"/>
                      <w:kern w:val="0"/>
                      <w:sz w:val="21"/>
                      <w:szCs w:val="21"/>
                      <w:lang w:val="en-US" w:eastAsia="zh-CN"/>
                    </w:rPr>
                    <w:t>半年</w:t>
                  </w:r>
                </w:p>
              </w:tc>
              <w:tc>
                <w:tcPr>
                  <w:tcW w:w="3574" w:type="dxa"/>
                  <w:noWrap w:val="0"/>
                  <w:tcMar>
                    <w:left w:w="0" w:type="dxa"/>
                    <w:right w:w="0" w:type="dxa"/>
                  </w:tcMar>
                  <w:vAlign w:val="center"/>
                </w:tcPr>
                <w:p w14:paraId="6F0229F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BOD</w:t>
                  </w:r>
                  <w:r>
                    <w:rPr>
                      <w:rFonts w:hint="default" w:ascii="Times New Roman" w:hAnsi="Times New Roman" w:eastAsia="宋体" w:cs="Times New Roman"/>
                      <w:color w:val="auto"/>
                      <w:sz w:val="21"/>
                      <w:szCs w:val="21"/>
                      <w:vertAlign w:val="subscript"/>
                    </w:rPr>
                    <w:t>5</w:t>
                  </w:r>
                  <w:r>
                    <w:rPr>
                      <w:rFonts w:hint="default" w:ascii="Times New Roman" w:hAnsi="Times New Roman" w:eastAsia="宋体" w:cs="Times New Roman"/>
                      <w:color w:val="auto"/>
                      <w:sz w:val="21"/>
                      <w:szCs w:val="21"/>
                    </w:rPr>
                    <w:t>执行巴中经开区污水处理厂进水水质标准（即《污水综合排放标准》（GB8978-1996）</w:t>
                  </w:r>
                  <w:r>
                    <w:rPr>
                      <w:rFonts w:hint="default" w:ascii="Times New Roman" w:hAnsi="Times New Roman" w:eastAsia="宋体" w:cs="Times New Roman"/>
                      <w:color w:val="auto"/>
                      <w:sz w:val="21"/>
                      <w:szCs w:val="21"/>
                      <w:lang w:eastAsia="zh-CN"/>
                    </w:rPr>
                    <w:t>三级标准</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lang w:val="en-US" w:eastAsia="zh-CN"/>
                    </w:rPr>
                    <w:t>其余指标执行</w:t>
                  </w:r>
                  <w:r>
                    <w:rPr>
                      <w:rFonts w:hint="default" w:ascii="Times New Roman" w:hAnsi="Times New Roman" w:eastAsia="宋体" w:cs="Times New Roman"/>
                      <w:color w:val="auto"/>
                      <w:sz w:val="21"/>
                      <w:szCs w:val="21"/>
                    </w:rPr>
                    <w:t>《电池工业污染物排放标准》（GB 30484-2013）表2中</w:t>
                  </w:r>
                  <w:r>
                    <w:rPr>
                      <w:rFonts w:hint="eastAsia" w:cs="Times New Roman"/>
                      <w:color w:val="auto"/>
                      <w:sz w:val="21"/>
                      <w:szCs w:val="21"/>
                      <w:lang w:eastAsia="zh-CN"/>
                    </w:rPr>
                    <w:t>“</w:t>
                  </w:r>
                  <w:r>
                    <w:rPr>
                      <w:rFonts w:hint="default" w:ascii="Times New Roman" w:hAnsi="Times New Roman" w:eastAsia="宋体" w:cs="Times New Roman"/>
                      <w:color w:val="auto"/>
                      <w:sz w:val="21"/>
                      <w:szCs w:val="21"/>
                    </w:rPr>
                    <w:t>间接排放</w:t>
                  </w:r>
                  <w:r>
                    <w:rPr>
                      <w:rFonts w:hint="eastAsia" w:cs="Times New Roman"/>
                      <w:color w:val="auto"/>
                      <w:sz w:val="21"/>
                      <w:szCs w:val="21"/>
                      <w:lang w:eastAsia="zh-CN"/>
                    </w:rPr>
                    <w:t>”</w:t>
                  </w:r>
                  <w:r>
                    <w:rPr>
                      <w:rFonts w:hint="default" w:ascii="Times New Roman" w:hAnsi="Times New Roman" w:eastAsia="宋体" w:cs="Times New Roman"/>
                      <w:color w:val="auto"/>
                      <w:sz w:val="21"/>
                      <w:szCs w:val="21"/>
                    </w:rPr>
                    <w:t>限值</w:t>
                  </w:r>
                </w:p>
              </w:tc>
            </w:tr>
          </w:tbl>
          <w:p w14:paraId="3A604A3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3</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噪声</w:t>
            </w:r>
          </w:p>
          <w:p w14:paraId="0C4E4BDE">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w:t>
            </w:r>
            <w:r>
              <w:rPr>
                <w:rFonts w:hint="eastAsia" w:ascii="Times New Roman" w:hAnsi="Times New Roman"/>
                <w:b w:val="0"/>
                <w:bCs w:val="0"/>
                <w:color w:val="auto"/>
                <w:sz w:val="24"/>
                <w:highlight w:val="none"/>
              </w:rPr>
              <w:t>声环境保护目标</w:t>
            </w:r>
          </w:p>
          <w:p w14:paraId="45EE4CD1">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imes New Roman" w:hAnsi="Times New Roman" w:eastAsia="宋体" w:cs="Times New Roman"/>
                <w:color w:val="auto"/>
                <w:sz w:val="24"/>
                <w:szCs w:val="24"/>
                <w:lang w:eastAsia="zh-CN"/>
              </w:rPr>
            </w:pPr>
            <w:r>
              <w:rPr>
                <w:rFonts w:hint="eastAsia"/>
                <w:color w:val="auto"/>
                <w:sz w:val="24"/>
                <w:highlight w:val="none"/>
                <w:lang w:val="en-US" w:eastAsia="zh-CN"/>
              </w:rPr>
              <w:t>本项目位于工业园区内</w:t>
            </w:r>
            <w:r>
              <w:rPr>
                <w:rFonts w:hint="eastAsia" w:ascii="Times New Roman" w:hAnsi="Times New Roman"/>
                <w:color w:val="auto"/>
                <w:sz w:val="24"/>
                <w:highlight w:val="none"/>
                <w:lang w:val="en-US" w:eastAsia="zh-CN"/>
              </w:rPr>
              <w:t>，且本项目厂界外</w:t>
            </w:r>
            <w:r>
              <w:rPr>
                <w:rFonts w:hint="eastAsia"/>
                <w:color w:val="auto"/>
                <w:sz w:val="24"/>
                <w:highlight w:val="none"/>
                <w:lang w:val="en-US" w:eastAsia="zh-CN"/>
              </w:rPr>
              <w:t>北侧51</w:t>
            </w:r>
            <w:r>
              <w:rPr>
                <w:rFonts w:hint="eastAsia" w:ascii="Times New Roman" w:hAnsi="Times New Roman"/>
                <w:color w:val="auto"/>
                <w:sz w:val="24"/>
                <w:highlight w:val="none"/>
                <w:lang w:val="en-US" w:eastAsia="zh-CN"/>
              </w:rPr>
              <w:t>m处为</w:t>
            </w:r>
            <w:r>
              <w:rPr>
                <w:rFonts w:hint="eastAsia"/>
                <w:color w:val="auto"/>
                <w:sz w:val="24"/>
                <w:highlight w:val="none"/>
                <w:lang w:val="en-US" w:eastAsia="zh-CN"/>
              </w:rPr>
              <w:t>公租房</w:t>
            </w:r>
            <w:r>
              <w:rPr>
                <w:rFonts w:hint="eastAsia"/>
                <w:color w:val="auto"/>
                <w:sz w:val="24"/>
                <w:lang w:eastAsia="zh-CN"/>
              </w:rPr>
              <w:t>。</w:t>
            </w:r>
          </w:p>
          <w:p w14:paraId="7C3716D5">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lang w:eastAsia="zh-CN"/>
              </w:rPr>
              <w:t>（</w:t>
            </w:r>
            <w:r>
              <w:rPr>
                <w:rFonts w:hint="eastAsia" w:ascii="Times New Roman" w:hAnsi="Times New Roman" w:cs="Times New Roman"/>
                <w:color w:val="auto"/>
                <w:sz w:val="24"/>
                <w:szCs w:val="24"/>
                <w:lang w:val="en-US" w:eastAsia="zh-CN"/>
              </w:rPr>
              <w:t>2</w:t>
            </w:r>
            <w:r>
              <w:rPr>
                <w:rFonts w:hint="eastAsia" w:ascii="Times New Roman" w:hAnsi="Times New Roman" w:cs="Times New Roman"/>
                <w:color w:val="auto"/>
                <w:sz w:val="24"/>
                <w:szCs w:val="24"/>
                <w:lang w:eastAsia="zh-CN"/>
              </w:rPr>
              <w:t>）</w:t>
            </w:r>
            <w:r>
              <w:rPr>
                <w:rFonts w:hint="eastAsia" w:ascii="Times New Roman" w:hAnsi="Times New Roman"/>
                <w:b w:val="0"/>
                <w:bCs w:val="0"/>
                <w:color w:val="auto"/>
                <w:sz w:val="24"/>
                <w:highlight w:val="none"/>
              </w:rPr>
              <w:t>噪声源强</w:t>
            </w:r>
          </w:p>
          <w:p w14:paraId="4BCCF621">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本项目噪声源主要来自设备运行噪声、风机噪声、空压机</w:t>
            </w:r>
            <w:r>
              <w:rPr>
                <w:rFonts w:hint="eastAsia" w:cs="Times New Roman"/>
                <w:color w:val="auto"/>
                <w:sz w:val="24"/>
                <w:highlight w:val="none"/>
                <w:lang w:val="en-US" w:eastAsia="zh-CN"/>
              </w:rPr>
              <w:t>、制氮机</w:t>
            </w:r>
            <w:r>
              <w:rPr>
                <w:rFonts w:hint="eastAsia" w:ascii="Times New Roman" w:hAnsi="Times New Roman" w:eastAsia="宋体" w:cs="Times New Roman"/>
                <w:color w:val="auto"/>
                <w:sz w:val="24"/>
                <w:highlight w:val="none"/>
                <w:lang w:val="en-US" w:eastAsia="zh-CN"/>
              </w:rPr>
              <w:t>等，噪声源强在</w:t>
            </w:r>
            <w:r>
              <w:rPr>
                <w:rFonts w:hint="eastAsia" w:cs="Times New Roman"/>
                <w:color w:val="auto"/>
                <w:sz w:val="24"/>
                <w:highlight w:val="none"/>
                <w:lang w:val="en-US" w:eastAsia="zh-CN"/>
              </w:rPr>
              <w:t>70</w:t>
            </w:r>
            <w:r>
              <w:rPr>
                <w:rFonts w:hint="default" w:ascii="Times New Roman" w:hAnsi="Times New Roman" w:eastAsia="宋体" w:cs="Times New Roman"/>
                <w:color w:val="auto"/>
                <w:sz w:val="24"/>
                <w:highlight w:val="none"/>
                <w:lang w:val="en-US" w:eastAsia="zh-CN"/>
              </w:rPr>
              <w:t>~</w:t>
            </w:r>
            <w:r>
              <w:rPr>
                <w:rFonts w:hint="eastAsia" w:cs="Times New Roman"/>
                <w:color w:val="auto"/>
                <w:sz w:val="24"/>
                <w:highlight w:val="none"/>
                <w:lang w:val="en-US" w:eastAsia="zh-CN"/>
              </w:rPr>
              <w:t>9</w:t>
            </w:r>
            <w:r>
              <w:rPr>
                <w:rFonts w:hint="eastAsia" w:ascii="Times New Roman" w:hAnsi="Times New Roman" w:eastAsia="宋体" w:cs="Times New Roman"/>
                <w:color w:val="auto"/>
                <w:sz w:val="24"/>
                <w:highlight w:val="none"/>
                <w:lang w:val="en-US" w:eastAsia="zh-CN"/>
              </w:rPr>
              <w:t>5dB（A）之间</w:t>
            </w:r>
            <w:r>
              <w:rPr>
                <w:rFonts w:hint="eastAsia" w:cs="Times New Roman"/>
                <w:color w:val="auto"/>
                <w:sz w:val="24"/>
                <w:highlight w:val="none"/>
                <w:lang w:val="en-US" w:eastAsia="zh-CN"/>
              </w:rPr>
              <w:t>。</w:t>
            </w:r>
          </w:p>
          <w:p w14:paraId="3C54D539">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cs="Times New Roman"/>
                <w:color w:val="auto"/>
                <w:sz w:val="24"/>
                <w:highlight w:val="none"/>
                <w:lang w:val="en-US" w:eastAsia="zh-CN"/>
              </w:rPr>
            </w:pPr>
            <w:r>
              <w:rPr>
                <w:rFonts w:hint="eastAsia" w:cs="Times New Roman"/>
                <w:color w:val="auto"/>
                <w:sz w:val="24"/>
                <w:highlight w:val="none"/>
                <w:lang w:val="en-US" w:eastAsia="zh-CN"/>
              </w:rPr>
              <w:t>（3）噪声源强调查清单参数</w:t>
            </w:r>
          </w:p>
          <w:p w14:paraId="25B6DD21">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根据《环境影响评价技术导则 声环境》（HJ2.4-2021）附录B的公式计算设备噪声的室内边界及室外建筑噪声</w:t>
            </w:r>
            <w:r>
              <w:rPr>
                <w:rFonts w:hint="eastAsia" w:cs="Times New Roman"/>
                <w:color w:val="auto"/>
                <w:sz w:val="24"/>
                <w:szCs w:val="24"/>
                <w:highlight w:val="none"/>
                <w:lang w:val="en-US" w:eastAsia="zh-CN"/>
              </w:rPr>
              <w:t>。</w:t>
            </w:r>
          </w:p>
          <w:p w14:paraId="0419BAD2">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imes New Roman" w:hAnsi="Times New Roman" w:eastAsia="宋体" w:cs="Times New Roman"/>
                <w:b w:val="0"/>
                <w:bCs w:val="0"/>
                <w:color w:val="auto"/>
                <w:sz w:val="24"/>
                <w:highlight w:val="none"/>
                <w:lang w:val="en-US" w:eastAsia="zh-CN"/>
              </w:rPr>
            </w:pPr>
            <w:r>
              <w:rPr>
                <w:rFonts w:hint="eastAsia" w:ascii="Times New Roman" w:hAnsi="Times New Roman" w:eastAsia="宋体" w:cs="Times New Roman"/>
                <w:b w:val="0"/>
                <w:bCs w:val="0"/>
                <w:color w:val="auto"/>
                <w:sz w:val="24"/>
                <w:highlight w:val="none"/>
                <w:lang w:val="en-US" w:eastAsia="zh-CN"/>
              </w:rPr>
              <w:t>1）室内边界声级计算公式</w:t>
            </w:r>
          </w:p>
          <w:p w14:paraId="682798F3">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计算某一室内声源靠近围护结构处产生的倍频带声压级或A声级的公式如下：</w:t>
            </w:r>
          </w:p>
          <w:p w14:paraId="4F73B166">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jc w:val="center"/>
              <w:textAlignment w:val="auto"/>
              <w:rPr>
                <w:rFonts w:hint="eastAsia"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1"/>
                <w:szCs w:val="21"/>
                <w:highlight w:val="none"/>
              </w:rPr>
              <w:drawing>
                <wp:inline distT="0" distB="0" distL="114300" distR="114300">
                  <wp:extent cx="2105025" cy="546100"/>
                  <wp:effectExtent l="0" t="0" r="9525" b="6350"/>
                  <wp:docPr id="1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2"/>
                          <pic:cNvPicPr>
                            <a:picLocks noChangeAspect="1"/>
                          </pic:cNvPicPr>
                        </pic:nvPicPr>
                        <pic:blipFill>
                          <a:blip r:embed="rId37"/>
                          <a:stretch>
                            <a:fillRect/>
                          </a:stretch>
                        </pic:blipFill>
                        <pic:spPr>
                          <a:xfrm>
                            <a:off x="0" y="0"/>
                            <a:ext cx="2105025" cy="546100"/>
                          </a:xfrm>
                          <a:prstGeom prst="rect">
                            <a:avLst/>
                          </a:prstGeom>
                          <a:noFill/>
                          <a:ln>
                            <a:noFill/>
                          </a:ln>
                        </pic:spPr>
                      </pic:pic>
                    </a:graphicData>
                  </a:graphic>
                </wp:inline>
              </w:drawing>
            </w:r>
          </w:p>
          <w:p w14:paraId="15C2C241">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式中：L</w:t>
            </w:r>
            <w:r>
              <w:rPr>
                <w:rFonts w:hint="eastAsia" w:ascii="Times New Roman" w:hAnsi="Times New Roman" w:eastAsia="宋体" w:cs="Times New Roman"/>
                <w:color w:val="auto"/>
                <w:sz w:val="24"/>
                <w:szCs w:val="24"/>
                <w:highlight w:val="none"/>
                <w:vertAlign w:val="subscript"/>
                <w:lang w:val="en-US" w:eastAsia="zh-CN"/>
              </w:rPr>
              <w:t>P1</w:t>
            </w:r>
            <w:r>
              <w:rPr>
                <w:rFonts w:hint="eastAsia" w:ascii="Times New Roman" w:hAnsi="Times New Roman" w:eastAsia="宋体" w:cs="Times New Roman"/>
                <w:color w:val="auto"/>
                <w:sz w:val="24"/>
                <w:szCs w:val="24"/>
                <w:highlight w:val="none"/>
                <w:lang w:val="en-US" w:eastAsia="zh-CN"/>
              </w:rPr>
              <w:t>—靠近开口处（或窗户）室内某倍频带的声压级或A声级，dB；</w:t>
            </w:r>
          </w:p>
          <w:p w14:paraId="71F3860A">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Q—指向性因数；通常对无指向性声源，当声源放在房间中心时，Q=1；当放在一面墙的中心时，Q=2；当放在两面墙夹角处时，Q=4；当放在三面墙夹角处时，Q=8；</w:t>
            </w:r>
          </w:p>
          <w:p w14:paraId="6FAC93CB">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R—房间常数；R=Sa/（1-a），S为房间内表面面积，m</w:t>
            </w:r>
            <w:r>
              <w:rPr>
                <w:rFonts w:hint="eastAsia" w:ascii="Times New Roman" w:hAnsi="Times New Roman" w:eastAsia="宋体" w:cs="Times New Roman"/>
                <w:color w:val="auto"/>
                <w:sz w:val="24"/>
                <w:szCs w:val="24"/>
                <w:highlight w:val="none"/>
                <w:vertAlign w:val="superscript"/>
                <w:lang w:val="en-US" w:eastAsia="zh-CN"/>
              </w:rPr>
              <w:t>2</w:t>
            </w:r>
            <w:r>
              <w:rPr>
                <w:rFonts w:hint="eastAsia" w:ascii="Times New Roman" w:hAnsi="Times New Roman" w:eastAsia="宋体" w:cs="Times New Roman"/>
                <w:color w:val="auto"/>
                <w:sz w:val="24"/>
                <w:szCs w:val="24"/>
                <w:highlight w:val="none"/>
                <w:lang w:val="en-US" w:eastAsia="zh-CN"/>
              </w:rPr>
              <w:t>；α为平均吸声系数；</w:t>
            </w:r>
          </w:p>
          <w:p w14:paraId="05B04768">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r—声源到靠近围护结构某点处的距离，m。</w:t>
            </w:r>
          </w:p>
          <w:p w14:paraId="7BDB68F9">
            <w:pPr>
              <w:keepNext w:val="0"/>
              <w:keepLines w:val="0"/>
              <w:pageBreakBefore w:val="0"/>
              <w:widowControl w:val="0"/>
              <w:shd w:val="clear"/>
              <w:kinsoku/>
              <w:wordWrap/>
              <w:overflowPunct/>
              <w:topLinePunct w:val="0"/>
              <w:autoSpaceDE w:val="0"/>
              <w:autoSpaceDN w:val="0"/>
              <w:bidi w:val="0"/>
              <w:adjustRightInd/>
              <w:snapToGrid/>
              <w:spacing w:line="360" w:lineRule="auto"/>
              <w:ind w:firstLine="480" w:firstLineChars="200"/>
              <w:textAlignment w:val="auto"/>
              <w:rPr>
                <w:rFonts w:hint="eastAsia"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auto"/>
                <w:kern w:val="0"/>
                <w:sz w:val="24"/>
                <w:szCs w:val="24"/>
                <w:highlight w:val="none"/>
                <w:lang w:val="en-US" w:eastAsia="zh-CN" w:bidi="ar-SA"/>
              </w:rPr>
              <w:t>本项目生产车间为钢筋框架结构，参考《环境工程手册 环境噪声控制卷》（2</w:t>
            </w:r>
            <w:r>
              <w:rPr>
                <w:rFonts w:hint="eastAsia"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t>000年）中表4-1常用建筑材料类的吸声系数，地面为混凝土刷漆，吸声系数取0.07，厂房均为钢板结构，吸声系数取低值0.01，参数取值详见下表：</w:t>
            </w:r>
          </w:p>
          <w:p w14:paraId="47CE535E">
            <w:pPr>
              <w:shd w:val="clear"/>
              <w:autoSpaceDE w:val="0"/>
              <w:autoSpaceDN w:val="0"/>
              <w:adjustRightInd w:val="0"/>
              <w:spacing w:line="240" w:lineRule="auto"/>
              <w:jc w:val="center"/>
              <w:rPr>
                <w:rFonts w:hint="default"/>
                <w:color w:val="000000" w:themeColor="text1"/>
                <w:sz w:val="21"/>
                <w:szCs w:val="21"/>
                <w:highlight w:val="none"/>
                <w:lang w:val="en-US"/>
                <w14:textFill>
                  <w14:solidFill>
                    <w14:schemeClr w14:val="tx1"/>
                  </w14:solidFill>
                </w14:textFill>
              </w:rPr>
            </w:pPr>
            <w:r>
              <w:rPr>
                <w:b/>
                <w:bCs/>
                <w:color w:val="000000" w:themeColor="text1"/>
                <w:kern w:val="0"/>
                <w:sz w:val="21"/>
                <w:szCs w:val="21"/>
                <w:highlight w:val="none"/>
                <w14:textFill>
                  <w14:solidFill>
                    <w14:schemeClr w14:val="tx1"/>
                  </w14:solidFill>
                </w14:textFill>
              </w:rPr>
              <w:t>表</w:t>
            </w:r>
            <w:r>
              <w:rPr>
                <w:rFonts w:hint="eastAsia"/>
                <w:b/>
                <w:bCs/>
                <w:color w:val="000000" w:themeColor="text1"/>
                <w:kern w:val="0"/>
                <w:sz w:val="21"/>
                <w:szCs w:val="21"/>
                <w:highlight w:val="none"/>
                <w14:textFill>
                  <w14:solidFill>
                    <w14:schemeClr w14:val="tx1"/>
                  </w14:solidFill>
                </w14:textFill>
              </w:rPr>
              <w:t>4-</w:t>
            </w:r>
            <w:r>
              <w:rPr>
                <w:rFonts w:hint="eastAsia"/>
                <w:b/>
                <w:bCs/>
                <w:color w:val="000000" w:themeColor="text1"/>
                <w:kern w:val="0"/>
                <w:sz w:val="21"/>
                <w:szCs w:val="21"/>
                <w:highlight w:val="none"/>
                <w:lang w:val="en-US" w:eastAsia="zh-CN"/>
                <w14:textFill>
                  <w14:solidFill>
                    <w14:schemeClr w14:val="tx1"/>
                  </w14:solidFill>
                </w14:textFill>
              </w:rPr>
              <w:t>15 本项目噪声计算参数一览表</w:t>
            </w:r>
          </w:p>
          <w:tbl>
            <w:tblPr>
              <w:tblStyle w:val="42"/>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84"/>
              <w:gridCol w:w="1086"/>
              <w:gridCol w:w="857"/>
              <w:gridCol w:w="1319"/>
              <w:gridCol w:w="1090"/>
              <w:gridCol w:w="1087"/>
              <w:gridCol w:w="1088"/>
            </w:tblGrid>
            <w:tr w14:paraId="574B2B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pct"/>
                  <w:tcBorders>
                    <w:tl2br w:val="nil"/>
                    <w:tr2bl w:val="nil"/>
                  </w:tcBorders>
                  <w:shd w:val="clear" w:color="auto" w:fill="auto"/>
                  <w:noWrap w:val="0"/>
                  <w:vAlign w:val="center"/>
                </w:tcPr>
                <w:p w14:paraId="0CD950CB">
                  <w:pPr>
                    <w:pStyle w:val="208"/>
                    <w:keepNext w:val="0"/>
                    <w:keepLines w:val="0"/>
                    <w:pageBreakBefore w:val="0"/>
                    <w:widowControl w:val="0"/>
                    <w:shd w:val="clear"/>
                    <w:kinsoku/>
                    <w:wordWrap/>
                    <w:overflowPunct/>
                    <w:topLinePunct w:val="0"/>
                    <w:autoSpaceDE/>
                    <w:autoSpaceDN/>
                    <w:bidi w:val="0"/>
                    <w:adjustRightInd/>
                    <w:snapToGrid/>
                    <w:spacing w:before="0" w:line="280" w:lineRule="exact"/>
                    <w:ind w:left="0" w:leftChars="0" w:firstLine="0" w:firstLineChars="0"/>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vertAlign w:val="baseline"/>
                      <w:lang w:val="en-US" w:eastAsia="zh-CN"/>
                      <w14:textFill>
                        <w14:solidFill>
                          <w14:schemeClr w14:val="tx1"/>
                        </w14:solidFill>
                      </w14:textFill>
                    </w:rPr>
                    <w:t>生产车间</w:t>
                  </w:r>
                </w:p>
              </w:tc>
              <w:tc>
                <w:tcPr>
                  <w:tcW w:w="1276" w:type="pct"/>
                  <w:gridSpan w:val="2"/>
                  <w:tcBorders>
                    <w:tl2br w:val="nil"/>
                    <w:tr2bl w:val="nil"/>
                  </w:tcBorders>
                  <w:shd w:val="clear" w:color="auto" w:fill="auto"/>
                  <w:noWrap w:val="0"/>
                  <w:vAlign w:val="center"/>
                </w:tcPr>
                <w:p w14:paraId="2B1C61E5">
                  <w:pPr>
                    <w:pStyle w:val="208"/>
                    <w:keepNext w:val="0"/>
                    <w:keepLines w:val="0"/>
                    <w:pageBreakBefore w:val="0"/>
                    <w:widowControl w:val="0"/>
                    <w:shd w:val="clear"/>
                    <w:kinsoku/>
                    <w:wordWrap/>
                    <w:overflowPunct/>
                    <w:topLinePunct w:val="0"/>
                    <w:autoSpaceDE/>
                    <w:autoSpaceDN/>
                    <w:bidi w:val="0"/>
                    <w:adjustRightInd/>
                    <w:snapToGrid/>
                    <w:spacing w:before="0" w:line="280" w:lineRule="exact"/>
                    <w:ind w:left="0" w:leftChars="0" w:firstLine="0" w:firstLineChars="0"/>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vertAlign w:val="baseline"/>
                      <w:lang w:val="en-US" w:eastAsia="zh-CN"/>
                      <w14:textFill>
                        <w14:solidFill>
                          <w14:schemeClr w14:val="tx1"/>
                        </w14:solidFill>
                      </w14:textFill>
                    </w:rPr>
                    <w:t>吸声系数</w:t>
                  </w:r>
                </w:p>
              </w:tc>
              <w:tc>
                <w:tcPr>
                  <w:tcW w:w="1582" w:type="pct"/>
                  <w:gridSpan w:val="2"/>
                  <w:tcBorders>
                    <w:tl2br w:val="nil"/>
                    <w:tr2bl w:val="nil"/>
                  </w:tcBorders>
                  <w:shd w:val="clear" w:color="auto" w:fill="auto"/>
                  <w:noWrap w:val="0"/>
                  <w:vAlign w:val="center"/>
                </w:tcPr>
                <w:p w14:paraId="3B5918F0">
                  <w:pPr>
                    <w:pStyle w:val="208"/>
                    <w:keepNext w:val="0"/>
                    <w:keepLines w:val="0"/>
                    <w:pageBreakBefore w:val="0"/>
                    <w:widowControl w:val="0"/>
                    <w:shd w:val="clear"/>
                    <w:kinsoku/>
                    <w:wordWrap/>
                    <w:overflowPunct/>
                    <w:topLinePunct w:val="0"/>
                    <w:autoSpaceDE/>
                    <w:autoSpaceDN/>
                    <w:bidi w:val="0"/>
                    <w:adjustRightInd/>
                    <w:snapToGrid/>
                    <w:spacing w:before="0" w:line="280" w:lineRule="exact"/>
                    <w:ind w:left="0" w:leftChars="0" w:firstLine="0" w:firstLineChars="0"/>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vertAlign w:val="baseline"/>
                      <w:lang w:val="en-US" w:eastAsia="zh-CN"/>
                      <w14:textFill>
                        <w14:solidFill>
                          <w14:schemeClr w14:val="tx1"/>
                        </w14:solidFill>
                      </w14:textFill>
                    </w:rPr>
                    <w:t>S房间表面积（m</w:t>
                  </w:r>
                  <w:r>
                    <w:rPr>
                      <w:rFonts w:hint="default" w:ascii="Times New Roman" w:hAnsi="Times New Roman" w:cs="Times New Roman"/>
                      <w:b/>
                      <w:bCs/>
                      <w:color w:val="000000" w:themeColor="text1"/>
                      <w:sz w:val="21"/>
                      <w:szCs w:val="21"/>
                      <w:highlight w:val="none"/>
                      <w:vertAlign w:val="superscript"/>
                      <w:lang w:val="en-US" w:eastAsia="zh-CN"/>
                      <w14:textFill>
                        <w14:solidFill>
                          <w14:schemeClr w14:val="tx1"/>
                        </w14:solidFill>
                      </w14:textFill>
                    </w:rPr>
                    <w:t>2</w:t>
                  </w:r>
                  <w:r>
                    <w:rPr>
                      <w:rFonts w:hint="default" w:ascii="Times New Roman" w:hAnsi="Times New Roman" w:cs="Times New Roman"/>
                      <w:b/>
                      <w:bCs/>
                      <w:color w:val="000000" w:themeColor="text1"/>
                      <w:sz w:val="21"/>
                      <w:szCs w:val="21"/>
                      <w:highlight w:val="none"/>
                      <w:vertAlign w:val="baseline"/>
                      <w:lang w:val="en-US" w:eastAsia="zh-CN"/>
                      <w14:textFill>
                        <w14:solidFill>
                          <w14:schemeClr w14:val="tx1"/>
                        </w14:solidFill>
                      </w14:textFill>
                    </w:rPr>
                    <w:t>）</w:t>
                  </w:r>
                </w:p>
              </w:tc>
              <w:tc>
                <w:tcPr>
                  <w:tcW w:w="714" w:type="pct"/>
                  <w:tcBorders>
                    <w:tl2br w:val="nil"/>
                    <w:tr2bl w:val="nil"/>
                  </w:tcBorders>
                  <w:shd w:val="clear" w:color="auto" w:fill="auto"/>
                  <w:noWrap w:val="0"/>
                  <w:vAlign w:val="center"/>
                </w:tcPr>
                <w:p w14:paraId="072B38BA">
                  <w:pPr>
                    <w:pStyle w:val="208"/>
                    <w:keepNext w:val="0"/>
                    <w:keepLines w:val="0"/>
                    <w:pageBreakBefore w:val="0"/>
                    <w:widowControl w:val="0"/>
                    <w:shd w:val="clear"/>
                    <w:kinsoku/>
                    <w:wordWrap/>
                    <w:overflowPunct/>
                    <w:topLinePunct w:val="0"/>
                    <w:autoSpaceDE/>
                    <w:autoSpaceDN/>
                    <w:bidi w:val="0"/>
                    <w:adjustRightInd/>
                    <w:snapToGrid/>
                    <w:spacing w:before="0" w:line="280" w:lineRule="exact"/>
                    <w:ind w:left="0" w:leftChars="0" w:firstLine="0" w:firstLineChars="0"/>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bCs/>
                      <w:color w:val="000000" w:themeColor="text1"/>
                      <w:sz w:val="21"/>
                      <w:szCs w:val="21"/>
                      <w:highlight w:val="none"/>
                      <w:vertAlign w:val="baseline"/>
                      <w:lang w:val="en-US" w:eastAsia="zh-CN"/>
                      <w14:textFill>
                        <w14:solidFill>
                          <w14:schemeClr w14:val="tx1"/>
                        </w14:solidFill>
                      </w14:textFill>
                    </w:rPr>
                    <w:t>平均吸声系数</w:t>
                  </w:r>
                </w:p>
              </w:tc>
              <w:tc>
                <w:tcPr>
                  <w:tcW w:w="714" w:type="pct"/>
                  <w:tcBorders>
                    <w:tl2br w:val="nil"/>
                    <w:tr2bl w:val="nil"/>
                  </w:tcBorders>
                  <w:shd w:val="clear" w:color="auto" w:fill="auto"/>
                  <w:noWrap w:val="0"/>
                  <w:vAlign w:val="center"/>
                </w:tcPr>
                <w:p w14:paraId="7D9F1ADB">
                  <w:pPr>
                    <w:pStyle w:val="208"/>
                    <w:keepNext w:val="0"/>
                    <w:keepLines w:val="0"/>
                    <w:pageBreakBefore w:val="0"/>
                    <w:widowControl w:val="0"/>
                    <w:shd w:val="clear"/>
                    <w:kinsoku/>
                    <w:wordWrap/>
                    <w:overflowPunct/>
                    <w:topLinePunct w:val="0"/>
                    <w:autoSpaceDE/>
                    <w:autoSpaceDN/>
                    <w:bidi w:val="0"/>
                    <w:adjustRightInd/>
                    <w:snapToGrid/>
                    <w:spacing w:before="0" w:line="280" w:lineRule="exact"/>
                    <w:ind w:left="0" w:leftChars="0" w:firstLine="0" w:firstLineChars="0"/>
                    <w:jc w:val="center"/>
                    <w:textAlignment w:val="auto"/>
                    <w:rPr>
                      <w:rFonts w:hint="default" w:ascii="Times New Roman" w:hAnsi="Times New Roman" w:cs="Times New Roman"/>
                      <w:b/>
                      <w:bCs/>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bCs/>
                      <w:color w:val="000000" w:themeColor="text1"/>
                      <w:sz w:val="21"/>
                      <w:szCs w:val="21"/>
                      <w:highlight w:val="none"/>
                      <w:vertAlign w:val="baseline"/>
                      <w:lang w:val="en-US" w:eastAsia="zh-CN"/>
                      <w14:textFill>
                        <w14:solidFill>
                          <w14:schemeClr w14:val="tx1"/>
                        </w14:solidFill>
                      </w14:textFill>
                    </w:rPr>
                    <w:t>房间常数</w:t>
                  </w:r>
                </w:p>
              </w:tc>
            </w:tr>
            <w:tr w14:paraId="4A62A4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12" w:type="pct"/>
                  <w:vMerge w:val="restart"/>
                  <w:tcBorders>
                    <w:tl2br w:val="nil"/>
                    <w:tr2bl w:val="nil"/>
                  </w:tcBorders>
                  <w:noWrap w:val="0"/>
                  <w:vAlign w:val="center"/>
                </w:tcPr>
                <w:p w14:paraId="785158F8">
                  <w:pPr>
                    <w:pStyle w:val="208"/>
                    <w:keepNext w:val="0"/>
                    <w:keepLines w:val="0"/>
                    <w:pageBreakBefore w:val="0"/>
                    <w:widowControl w:val="0"/>
                    <w:shd w:val="clear"/>
                    <w:kinsoku/>
                    <w:wordWrap/>
                    <w:overflowPunct/>
                    <w:topLinePunct w:val="0"/>
                    <w:autoSpaceDE/>
                    <w:autoSpaceDN/>
                    <w:bidi w:val="0"/>
                    <w:adjustRightInd/>
                    <w:snapToGrid/>
                    <w:spacing w:before="0" w:line="280" w:lineRule="exact"/>
                    <w:ind w:left="0" w:leftChars="0" w:firstLine="0" w:firstLineChars="0"/>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cs="Times New Roman"/>
                      <w:color w:val="000000" w:themeColor="text1"/>
                      <w:sz w:val="21"/>
                      <w:szCs w:val="21"/>
                      <w:highlight w:val="none"/>
                      <w:vertAlign w:val="baseline"/>
                      <w:lang w:val="en-US" w:eastAsia="zh-CN"/>
                      <w14:textFill>
                        <w14:solidFill>
                          <w14:schemeClr w14:val="tx1"/>
                        </w14:solidFill>
                      </w14:textFill>
                    </w:rPr>
                    <w:t>电芯车间</w:t>
                  </w:r>
                </w:p>
              </w:tc>
              <w:tc>
                <w:tcPr>
                  <w:tcW w:w="713" w:type="pct"/>
                  <w:tcBorders>
                    <w:tl2br w:val="nil"/>
                    <w:tr2bl w:val="nil"/>
                  </w:tcBorders>
                  <w:noWrap w:val="0"/>
                  <w:vAlign w:val="center"/>
                </w:tcPr>
                <w:p w14:paraId="4BF54308">
                  <w:pPr>
                    <w:pStyle w:val="208"/>
                    <w:keepNext w:val="0"/>
                    <w:keepLines w:val="0"/>
                    <w:pageBreakBefore w:val="0"/>
                    <w:widowControl w:val="0"/>
                    <w:shd w:val="clear"/>
                    <w:kinsoku/>
                    <w:wordWrap/>
                    <w:overflowPunct/>
                    <w:topLinePunct w:val="0"/>
                    <w:autoSpaceDE/>
                    <w:autoSpaceDN/>
                    <w:bidi w:val="0"/>
                    <w:adjustRightInd/>
                    <w:snapToGrid/>
                    <w:spacing w:before="0" w:line="280" w:lineRule="exact"/>
                    <w:ind w:left="0" w:leftChars="0" w:firstLine="0" w:firstLineChars="0"/>
                    <w:jc w:val="center"/>
                    <w:textAlignment w:val="auto"/>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t>顶面</w:t>
                  </w:r>
                </w:p>
              </w:tc>
              <w:tc>
                <w:tcPr>
                  <w:tcW w:w="563" w:type="pct"/>
                  <w:tcBorders>
                    <w:tl2br w:val="nil"/>
                    <w:tr2bl w:val="nil"/>
                  </w:tcBorders>
                  <w:noWrap w:val="0"/>
                  <w:vAlign w:val="center"/>
                </w:tcPr>
                <w:p w14:paraId="2673B32A">
                  <w:pPr>
                    <w:pStyle w:val="208"/>
                    <w:keepNext w:val="0"/>
                    <w:keepLines w:val="0"/>
                    <w:pageBreakBefore w:val="0"/>
                    <w:widowControl w:val="0"/>
                    <w:shd w:val="clear"/>
                    <w:kinsoku/>
                    <w:wordWrap/>
                    <w:overflowPunct/>
                    <w:topLinePunct w:val="0"/>
                    <w:autoSpaceDE/>
                    <w:autoSpaceDN/>
                    <w:bidi w:val="0"/>
                    <w:adjustRightInd/>
                    <w:snapToGrid/>
                    <w:spacing w:before="0" w:line="280" w:lineRule="exact"/>
                    <w:ind w:left="0" w:leftChars="0" w:firstLine="0" w:firstLineChars="0"/>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0.01</w:t>
                  </w:r>
                </w:p>
              </w:tc>
              <w:tc>
                <w:tcPr>
                  <w:tcW w:w="866" w:type="pct"/>
                  <w:tcBorders>
                    <w:tl2br w:val="nil"/>
                    <w:tr2bl w:val="nil"/>
                  </w:tcBorders>
                  <w:noWrap w:val="0"/>
                  <w:vAlign w:val="center"/>
                </w:tcPr>
                <w:p w14:paraId="0B8DA765">
                  <w:pPr>
                    <w:pStyle w:val="208"/>
                    <w:keepNext w:val="0"/>
                    <w:keepLines w:val="0"/>
                    <w:pageBreakBefore w:val="0"/>
                    <w:widowControl w:val="0"/>
                    <w:shd w:val="clear"/>
                    <w:kinsoku/>
                    <w:wordWrap/>
                    <w:overflowPunct/>
                    <w:topLinePunct w:val="0"/>
                    <w:autoSpaceDE/>
                    <w:autoSpaceDN/>
                    <w:bidi w:val="0"/>
                    <w:adjustRightInd/>
                    <w:snapToGrid/>
                    <w:spacing w:before="0" w:line="280" w:lineRule="exact"/>
                    <w:ind w:left="0" w:leftChars="0" w:firstLine="0" w:firstLineChars="0"/>
                    <w:jc w:val="center"/>
                    <w:textAlignment w:val="auto"/>
                    <w:rPr>
                      <w:rFonts w:hint="default" w:ascii="Times New Roman" w:hAnsi="Times New Roman" w:cs="Times New Roman"/>
                      <w:color w:val="000000" w:themeColor="text1"/>
                      <w:sz w:val="21"/>
                      <w:szCs w:val="21"/>
                      <w:highlight w:val="none"/>
                      <w:vertAlign w:val="baseline"/>
                      <w:lang w:val="en-US"/>
                      <w14:textFill>
                        <w14:solidFill>
                          <w14:schemeClr w14:val="tx1"/>
                        </w14:solidFill>
                      </w14:textFill>
                    </w:rPr>
                  </w:pPr>
                  <w: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t>顶面</w:t>
                  </w:r>
                </w:p>
              </w:tc>
              <w:tc>
                <w:tcPr>
                  <w:tcW w:w="716" w:type="pct"/>
                  <w:tcBorders>
                    <w:tl2br w:val="nil"/>
                    <w:tr2bl w:val="nil"/>
                  </w:tcBorders>
                  <w:noWrap w:val="0"/>
                  <w:vAlign w:val="center"/>
                </w:tcPr>
                <w:p w14:paraId="0423EA8C">
                  <w:pPr>
                    <w:pStyle w:val="208"/>
                    <w:keepNext w:val="0"/>
                    <w:keepLines w:val="0"/>
                    <w:pageBreakBefore w:val="0"/>
                    <w:widowControl w:val="0"/>
                    <w:shd w:val="clear"/>
                    <w:kinsoku/>
                    <w:wordWrap/>
                    <w:overflowPunct/>
                    <w:topLinePunct w:val="0"/>
                    <w:autoSpaceDE/>
                    <w:autoSpaceDN/>
                    <w:bidi w:val="0"/>
                    <w:adjustRightInd/>
                    <w:snapToGrid/>
                    <w:spacing w:before="0" w:line="280" w:lineRule="exact"/>
                    <w:ind w:left="0" w:leftChars="0" w:firstLine="0" w:firstLineChars="0"/>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cs="Times New Roman"/>
                      <w:color w:val="000000" w:themeColor="text1"/>
                      <w:sz w:val="21"/>
                      <w:szCs w:val="21"/>
                      <w:highlight w:val="none"/>
                      <w:vertAlign w:val="baseline"/>
                      <w:lang w:val="en-US" w:eastAsia="zh-CN"/>
                      <w14:textFill>
                        <w14:solidFill>
                          <w14:schemeClr w14:val="tx1"/>
                        </w14:solidFill>
                      </w14:textFill>
                    </w:rPr>
                    <w:t>16112</w:t>
                  </w:r>
                </w:p>
              </w:tc>
              <w:tc>
                <w:tcPr>
                  <w:tcW w:w="714" w:type="pct"/>
                  <w:vMerge w:val="restart"/>
                  <w:tcBorders>
                    <w:tl2br w:val="nil"/>
                    <w:tr2bl w:val="nil"/>
                  </w:tcBorders>
                  <w:noWrap w:val="0"/>
                  <w:vAlign w:val="center"/>
                </w:tcPr>
                <w:p w14:paraId="57F608C5">
                  <w:pPr>
                    <w:pStyle w:val="208"/>
                    <w:keepNext w:val="0"/>
                    <w:keepLines w:val="0"/>
                    <w:pageBreakBefore w:val="0"/>
                    <w:widowControl w:val="0"/>
                    <w:shd w:val="clear"/>
                    <w:kinsoku/>
                    <w:wordWrap/>
                    <w:overflowPunct/>
                    <w:topLinePunct w:val="0"/>
                    <w:autoSpaceDE/>
                    <w:autoSpaceDN/>
                    <w:bidi w:val="0"/>
                    <w:adjustRightInd/>
                    <w:snapToGrid/>
                    <w:spacing w:before="0" w:line="280" w:lineRule="exact"/>
                    <w:ind w:left="0" w:leftChars="0" w:firstLine="0" w:firstLineChars="0"/>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cs="Times New Roman"/>
                      <w:color w:val="000000" w:themeColor="text1"/>
                      <w:sz w:val="21"/>
                      <w:szCs w:val="21"/>
                      <w:highlight w:val="none"/>
                      <w:vertAlign w:val="baseline"/>
                      <w:lang w:val="en-US" w:eastAsia="zh-CN"/>
                      <w14:textFill>
                        <w14:solidFill>
                          <w14:schemeClr w14:val="tx1"/>
                        </w14:solidFill>
                      </w14:textFill>
                    </w:rPr>
                    <w:t>0.03</w:t>
                  </w:r>
                </w:p>
              </w:tc>
              <w:tc>
                <w:tcPr>
                  <w:tcW w:w="714" w:type="pct"/>
                  <w:vMerge w:val="restart"/>
                  <w:tcBorders>
                    <w:tl2br w:val="nil"/>
                    <w:tr2bl w:val="nil"/>
                  </w:tcBorders>
                  <w:noWrap w:val="0"/>
                  <w:vAlign w:val="center"/>
                </w:tcPr>
                <w:p w14:paraId="5CCBC651">
                  <w:pPr>
                    <w:pStyle w:val="208"/>
                    <w:keepNext w:val="0"/>
                    <w:keepLines w:val="0"/>
                    <w:pageBreakBefore w:val="0"/>
                    <w:widowControl w:val="0"/>
                    <w:shd w:val="clear"/>
                    <w:kinsoku/>
                    <w:wordWrap/>
                    <w:overflowPunct/>
                    <w:topLinePunct w:val="0"/>
                    <w:autoSpaceDE/>
                    <w:autoSpaceDN/>
                    <w:bidi w:val="0"/>
                    <w:adjustRightInd/>
                    <w:snapToGrid/>
                    <w:spacing w:before="0" w:line="280" w:lineRule="exact"/>
                    <w:ind w:left="0" w:leftChars="0" w:firstLine="0" w:firstLineChars="0"/>
                    <w:jc w:val="center"/>
                    <w:textAlignment w:val="auto"/>
                    <w:rPr>
                      <w:rFonts w:hint="default" w:ascii="Times New Roman" w:hAnsi="Times New Roman"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cs="Times New Roman"/>
                      <w:color w:val="000000" w:themeColor="text1"/>
                      <w:sz w:val="21"/>
                      <w:szCs w:val="21"/>
                      <w:highlight w:val="none"/>
                      <w:vertAlign w:val="baseline"/>
                      <w:lang w:val="en-US" w:eastAsia="zh-CN"/>
                      <w14:textFill>
                        <w14:solidFill>
                          <w14:schemeClr w14:val="tx1"/>
                        </w14:solidFill>
                      </w14:textFill>
                    </w:rPr>
                    <w:t>1336.23</w:t>
                  </w:r>
                </w:p>
              </w:tc>
            </w:tr>
            <w:tr w14:paraId="4F11E6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12" w:type="pct"/>
                  <w:vMerge w:val="continue"/>
                  <w:tcBorders>
                    <w:tl2br w:val="nil"/>
                    <w:tr2bl w:val="nil"/>
                  </w:tcBorders>
                  <w:noWrap w:val="0"/>
                  <w:vAlign w:val="center"/>
                </w:tcPr>
                <w:p w14:paraId="5DE9885C">
                  <w:pPr>
                    <w:pStyle w:val="208"/>
                    <w:keepNext w:val="0"/>
                    <w:keepLines w:val="0"/>
                    <w:pageBreakBefore w:val="0"/>
                    <w:widowControl w:val="0"/>
                    <w:shd w:val="clear"/>
                    <w:kinsoku/>
                    <w:wordWrap/>
                    <w:overflowPunct/>
                    <w:topLinePunct w:val="0"/>
                    <w:autoSpaceDE/>
                    <w:autoSpaceDN/>
                    <w:bidi w:val="0"/>
                    <w:adjustRightInd/>
                    <w:snapToGrid/>
                    <w:spacing w:before="0" w:line="280" w:lineRule="exact"/>
                    <w:ind w:left="0" w:leftChars="0" w:firstLine="0" w:firstLineChars="0"/>
                    <w:jc w:val="center"/>
                    <w:textAlignment w:val="auto"/>
                    <w:rPr>
                      <w:rFonts w:hint="default" w:ascii="Times New Roman" w:hAnsi="Times New Roman" w:cs="Times New Roman"/>
                      <w:color w:val="000000" w:themeColor="text1"/>
                      <w:sz w:val="21"/>
                      <w:szCs w:val="21"/>
                      <w:highlight w:val="none"/>
                      <w:vertAlign w:val="baseline"/>
                      <w:lang w:val="en-US"/>
                      <w14:textFill>
                        <w14:solidFill>
                          <w14:schemeClr w14:val="tx1"/>
                        </w14:solidFill>
                      </w14:textFill>
                    </w:rPr>
                  </w:pPr>
                </w:p>
              </w:tc>
              <w:tc>
                <w:tcPr>
                  <w:tcW w:w="713" w:type="pct"/>
                  <w:tcBorders>
                    <w:tl2br w:val="nil"/>
                    <w:tr2bl w:val="nil"/>
                  </w:tcBorders>
                  <w:noWrap w:val="0"/>
                  <w:vAlign w:val="center"/>
                </w:tcPr>
                <w:p w14:paraId="1DEB8ED2">
                  <w:pPr>
                    <w:pStyle w:val="208"/>
                    <w:keepNext w:val="0"/>
                    <w:keepLines w:val="0"/>
                    <w:pageBreakBefore w:val="0"/>
                    <w:widowControl w:val="0"/>
                    <w:shd w:val="clear"/>
                    <w:kinsoku/>
                    <w:wordWrap/>
                    <w:overflowPunct/>
                    <w:topLinePunct w:val="0"/>
                    <w:autoSpaceDE/>
                    <w:autoSpaceDN/>
                    <w:bidi w:val="0"/>
                    <w:adjustRightInd/>
                    <w:snapToGrid/>
                    <w:spacing w:before="0" w:line="280" w:lineRule="exact"/>
                    <w:ind w:left="0" w:leftChars="0" w:firstLine="0" w:firstLineChars="0"/>
                    <w:jc w:val="center"/>
                    <w:textAlignment w:val="auto"/>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t>墙面</w:t>
                  </w:r>
                </w:p>
              </w:tc>
              <w:tc>
                <w:tcPr>
                  <w:tcW w:w="563" w:type="pct"/>
                  <w:tcBorders>
                    <w:tl2br w:val="nil"/>
                    <w:tr2bl w:val="nil"/>
                  </w:tcBorders>
                  <w:noWrap w:val="0"/>
                  <w:vAlign w:val="center"/>
                </w:tcPr>
                <w:p w14:paraId="2B02362F">
                  <w:pPr>
                    <w:pStyle w:val="208"/>
                    <w:keepNext w:val="0"/>
                    <w:keepLines w:val="0"/>
                    <w:pageBreakBefore w:val="0"/>
                    <w:widowControl w:val="0"/>
                    <w:shd w:val="clear"/>
                    <w:kinsoku/>
                    <w:wordWrap/>
                    <w:overflowPunct/>
                    <w:topLinePunct w:val="0"/>
                    <w:autoSpaceDE/>
                    <w:autoSpaceDN/>
                    <w:bidi w:val="0"/>
                    <w:adjustRightInd/>
                    <w:snapToGrid/>
                    <w:spacing w:before="0" w:line="280" w:lineRule="exact"/>
                    <w:ind w:left="0" w:leftChars="0" w:firstLine="0" w:firstLineChars="0"/>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0.01</w:t>
                  </w:r>
                </w:p>
              </w:tc>
              <w:tc>
                <w:tcPr>
                  <w:tcW w:w="866" w:type="pct"/>
                  <w:tcBorders>
                    <w:tl2br w:val="nil"/>
                    <w:tr2bl w:val="nil"/>
                  </w:tcBorders>
                  <w:noWrap w:val="0"/>
                  <w:vAlign w:val="center"/>
                </w:tcPr>
                <w:p w14:paraId="009284D9">
                  <w:pPr>
                    <w:pStyle w:val="208"/>
                    <w:keepNext w:val="0"/>
                    <w:keepLines w:val="0"/>
                    <w:pageBreakBefore w:val="0"/>
                    <w:widowControl w:val="0"/>
                    <w:shd w:val="clear"/>
                    <w:kinsoku/>
                    <w:wordWrap/>
                    <w:overflowPunct/>
                    <w:topLinePunct w:val="0"/>
                    <w:autoSpaceDE/>
                    <w:autoSpaceDN/>
                    <w:bidi w:val="0"/>
                    <w:adjustRightInd/>
                    <w:snapToGrid/>
                    <w:spacing w:before="0" w:line="280" w:lineRule="exact"/>
                    <w:ind w:left="0" w:leftChars="0" w:firstLine="0" w:firstLineChars="0"/>
                    <w:jc w:val="center"/>
                    <w:textAlignment w:val="auto"/>
                    <w:rPr>
                      <w:rFonts w:hint="default" w:ascii="Times New Roman" w:hAnsi="Times New Roman" w:cs="Times New Roman"/>
                      <w:color w:val="000000" w:themeColor="text1"/>
                      <w:sz w:val="21"/>
                      <w:szCs w:val="21"/>
                      <w:highlight w:val="none"/>
                      <w:vertAlign w:val="baseline"/>
                      <w:lang w:val="en-US"/>
                      <w14:textFill>
                        <w14:solidFill>
                          <w14:schemeClr w14:val="tx1"/>
                        </w14:solidFill>
                      </w14:textFill>
                    </w:rPr>
                  </w:pPr>
                  <w: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t>厂房钢材结构（四周）</w:t>
                  </w:r>
                </w:p>
              </w:tc>
              <w:tc>
                <w:tcPr>
                  <w:tcW w:w="716" w:type="pct"/>
                  <w:tcBorders>
                    <w:tl2br w:val="nil"/>
                    <w:tr2bl w:val="nil"/>
                  </w:tcBorders>
                  <w:noWrap w:val="0"/>
                  <w:vAlign w:val="center"/>
                </w:tcPr>
                <w:p w14:paraId="7A7A8DB7">
                  <w:pPr>
                    <w:pStyle w:val="208"/>
                    <w:keepNext w:val="0"/>
                    <w:keepLines w:val="0"/>
                    <w:pageBreakBefore w:val="0"/>
                    <w:widowControl w:val="0"/>
                    <w:shd w:val="clear"/>
                    <w:kinsoku/>
                    <w:wordWrap/>
                    <w:overflowPunct/>
                    <w:topLinePunct w:val="0"/>
                    <w:autoSpaceDE/>
                    <w:autoSpaceDN/>
                    <w:bidi w:val="0"/>
                    <w:adjustRightInd/>
                    <w:snapToGrid/>
                    <w:spacing w:before="0" w:line="280" w:lineRule="exact"/>
                    <w:ind w:left="0" w:leftChars="0" w:firstLine="0" w:firstLineChars="0"/>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cs="Times New Roman"/>
                      <w:color w:val="000000" w:themeColor="text1"/>
                      <w:sz w:val="21"/>
                      <w:szCs w:val="21"/>
                      <w:highlight w:val="none"/>
                      <w:vertAlign w:val="baseline"/>
                      <w:lang w:val="en-US" w:eastAsia="zh-CN"/>
                      <w14:textFill>
                        <w14:solidFill>
                          <w14:schemeClr w14:val="tx1"/>
                        </w14:solidFill>
                      </w14:textFill>
                    </w:rPr>
                    <w:t>10980.62</w:t>
                  </w:r>
                </w:p>
              </w:tc>
              <w:tc>
                <w:tcPr>
                  <w:tcW w:w="714" w:type="pct"/>
                  <w:vMerge w:val="continue"/>
                  <w:tcBorders>
                    <w:tl2br w:val="nil"/>
                    <w:tr2bl w:val="nil"/>
                  </w:tcBorders>
                  <w:noWrap w:val="0"/>
                  <w:vAlign w:val="center"/>
                </w:tcPr>
                <w:p w14:paraId="452ABB73">
                  <w:pPr>
                    <w:pStyle w:val="208"/>
                    <w:keepNext w:val="0"/>
                    <w:keepLines w:val="0"/>
                    <w:pageBreakBefore w:val="0"/>
                    <w:widowControl w:val="0"/>
                    <w:shd w:val="clear"/>
                    <w:kinsoku/>
                    <w:wordWrap/>
                    <w:overflowPunct/>
                    <w:topLinePunct w:val="0"/>
                    <w:autoSpaceDE/>
                    <w:autoSpaceDN/>
                    <w:bidi w:val="0"/>
                    <w:adjustRightInd/>
                    <w:snapToGrid/>
                    <w:spacing w:before="0" w:line="280" w:lineRule="exact"/>
                    <w:ind w:left="0" w:leftChars="0" w:firstLine="0" w:firstLineChars="0"/>
                    <w:jc w:val="center"/>
                    <w:textAlignment w:val="auto"/>
                    <w:rPr>
                      <w:rFonts w:hint="default" w:ascii="Times New Roman" w:hAnsi="Times New Roman" w:cs="Times New Roman"/>
                      <w:color w:val="000000" w:themeColor="text1"/>
                      <w:sz w:val="21"/>
                      <w:szCs w:val="21"/>
                      <w:highlight w:val="none"/>
                      <w:vertAlign w:val="baseline"/>
                      <w:lang w:val="en-US"/>
                      <w14:textFill>
                        <w14:solidFill>
                          <w14:schemeClr w14:val="tx1"/>
                        </w14:solidFill>
                      </w14:textFill>
                    </w:rPr>
                  </w:pPr>
                </w:p>
              </w:tc>
              <w:tc>
                <w:tcPr>
                  <w:tcW w:w="714" w:type="pct"/>
                  <w:vMerge w:val="continue"/>
                  <w:tcBorders>
                    <w:tl2br w:val="nil"/>
                    <w:tr2bl w:val="nil"/>
                  </w:tcBorders>
                  <w:noWrap w:val="0"/>
                  <w:vAlign w:val="center"/>
                </w:tcPr>
                <w:p w14:paraId="17F68004">
                  <w:pPr>
                    <w:pStyle w:val="208"/>
                    <w:keepNext w:val="0"/>
                    <w:keepLines w:val="0"/>
                    <w:pageBreakBefore w:val="0"/>
                    <w:widowControl w:val="0"/>
                    <w:shd w:val="clear"/>
                    <w:kinsoku/>
                    <w:wordWrap/>
                    <w:overflowPunct/>
                    <w:topLinePunct w:val="0"/>
                    <w:autoSpaceDE/>
                    <w:autoSpaceDN/>
                    <w:bidi w:val="0"/>
                    <w:adjustRightInd/>
                    <w:snapToGrid/>
                    <w:spacing w:before="0" w:line="280" w:lineRule="exact"/>
                    <w:ind w:left="0" w:leftChars="0" w:firstLine="0" w:firstLineChars="0"/>
                    <w:jc w:val="center"/>
                    <w:textAlignment w:val="auto"/>
                    <w:rPr>
                      <w:rFonts w:hint="default" w:ascii="Times New Roman" w:hAnsi="Times New Roman" w:cs="Times New Roman"/>
                      <w:color w:val="000000" w:themeColor="text1"/>
                      <w:sz w:val="21"/>
                      <w:szCs w:val="21"/>
                      <w:highlight w:val="none"/>
                      <w:vertAlign w:val="baseline"/>
                      <w:lang w:val="en-US"/>
                      <w14:textFill>
                        <w14:solidFill>
                          <w14:schemeClr w14:val="tx1"/>
                        </w14:solidFill>
                      </w14:textFill>
                    </w:rPr>
                  </w:pPr>
                </w:p>
              </w:tc>
            </w:tr>
            <w:tr w14:paraId="7D7841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12" w:type="pct"/>
                  <w:vMerge w:val="continue"/>
                  <w:tcBorders>
                    <w:tl2br w:val="nil"/>
                    <w:tr2bl w:val="nil"/>
                  </w:tcBorders>
                  <w:noWrap w:val="0"/>
                  <w:vAlign w:val="center"/>
                </w:tcPr>
                <w:p w14:paraId="67FFC896">
                  <w:pPr>
                    <w:pStyle w:val="208"/>
                    <w:keepNext w:val="0"/>
                    <w:keepLines w:val="0"/>
                    <w:pageBreakBefore w:val="0"/>
                    <w:widowControl w:val="0"/>
                    <w:shd w:val="clear"/>
                    <w:kinsoku/>
                    <w:wordWrap/>
                    <w:overflowPunct/>
                    <w:topLinePunct w:val="0"/>
                    <w:autoSpaceDE/>
                    <w:autoSpaceDN/>
                    <w:bidi w:val="0"/>
                    <w:adjustRightInd/>
                    <w:snapToGrid/>
                    <w:spacing w:before="0" w:line="280" w:lineRule="exact"/>
                    <w:ind w:left="0" w:leftChars="0" w:firstLine="0" w:firstLineChars="0"/>
                    <w:jc w:val="center"/>
                    <w:textAlignment w:val="auto"/>
                    <w:rPr>
                      <w:rFonts w:hint="default" w:ascii="Times New Roman" w:hAnsi="Times New Roman" w:cs="Times New Roman"/>
                      <w:color w:val="000000" w:themeColor="text1"/>
                      <w:sz w:val="21"/>
                      <w:szCs w:val="21"/>
                      <w:highlight w:val="none"/>
                      <w:vertAlign w:val="baseline"/>
                      <w:lang w:val="en-US"/>
                      <w14:textFill>
                        <w14:solidFill>
                          <w14:schemeClr w14:val="tx1"/>
                        </w14:solidFill>
                      </w14:textFill>
                    </w:rPr>
                  </w:pPr>
                </w:p>
              </w:tc>
              <w:tc>
                <w:tcPr>
                  <w:tcW w:w="713" w:type="pct"/>
                  <w:tcBorders>
                    <w:tl2br w:val="nil"/>
                    <w:tr2bl w:val="nil"/>
                  </w:tcBorders>
                  <w:noWrap w:val="0"/>
                  <w:vAlign w:val="center"/>
                </w:tcPr>
                <w:p w14:paraId="1D1CD46D">
                  <w:pPr>
                    <w:pStyle w:val="208"/>
                    <w:keepNext w:val="0"/>
                    <w:keepLines w:val="0"/>
                    <w:pageBreakBefore w:val="0"/>
                    <w:widowControl w:val="0"/>
                    <w:shd w:val="clear"/>
                    <w:kinsoku/>
                    <w:wordWrap/>
                    <w:overflowPunct/>
                    <w:topLinePunct w:val="0"/>
                    <w:autoSpaceDE/>
                    <w:autoSpaceDN/>
                    <w:bidi w:val="0"/>
                    <w:adjustRightInd/>
                    <w:snapToGrid/>
                    <w:spacing w:before="0" w:line="280" w:lineRule="exact"/>
                    <w:ind w:left="0" w:leftChars="0" w:firstLine="0" w:firstLineChars="0"/>
                    <w:jc w:val="center"/>
                    <w:textAlignment w:val="auto"/>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t>地面</w:t>
                  </w:r>
                </w:p>
              </w:tc>
              <w:tc>
                <w:tcPr>
                  <w:tcW w:w="563" w:type="pct"/>
                  <w:tcBorders>
                    <w:tl2br w:val="nil"/>
                    <w:tr2bl w:val="nil"/>
                  </w:tcBorders>
                  <w:noWrap w:val="0"/>
                  <w:vAlign w:val="center"/>
                </w:tcPr>
                <w:p w14:paraId="7738E925">
                  <w:pPr>
                    <w:pStyle w:val="208"/>
                    <w:keepNext w:val="0"/>
                    <w:keepLines w:val="0"/>
                    <w:pageBreakBefore w:val="0"/>
                    <w:widowControl w:val="0"/>
                    <w:shd w:val="clear"/>
                    <w:kinsoku/>
                    <w:wordWrap/>
                    <w:overflowPunct/>
                    <w:topLinePunct w:val="0"/>
                    <w:autoSpaceDE/>
                    <w:autoSpaceDN/>
                    <w:bidi w:val="0"/>
                    <w:adjustRightInd/>
                    <w:snapToGrid/>
                    <w:spacing w:before="0" w:line="280" w:lineRule="exact"/>
                    <w:ind w:left="0" w:leftChars="0" w:firstLine="0" w:firstLineChars="0"/>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0.07</w:t>
                  </w:r>
                </w:p>
              </w:tc>
              <w:tc>
                <w:tcPr>
                  <w:tcW w:w="866" w:type="pct"/>
                  <w:tcBorders>
                    <w:tl2br w:val="nil"/>
                    <w:tr2bl w:val="nil"/>
                  </w:tcBorders>
                  <w:noWrap w:val="0"/>
                  <w:vAlign w:val="center"/>
                </w:tcPr>
                <w:p w14:paraId="4801A488">
                  <w:pPr>
                    <w:pStyle w:val="208"/>
                    <w:keepNext w:val="0"/>
                    <w:keepLines w:val="0"/>
                    <w:pageBreakBefore w:val="0"/>
                    <w:widowControl w:val="0"/>
                    <w:shd w:val="clear"/>
                    <w:kinsoku/>
                    <w:wordWrap/>
                    <w:overflowPunct/>
                    <w:topLinePunct w:val="0"/>
                    <w:autoSpaceDE/>
                    <w:autoSpaceDN/>
                    <w:bidi w:val="0"/>
                    <w:adjustRightInd/>
                    <w:snapToGrid/>
                    <w:spacing w:before="0" w:line="280" w:lineRule="exact"/>
                    <w:ind w:left="0" w:leftChars="0" w:firstLine="0" w:firstLineChars="0"/>
                    <w:jc w:val="center"/>
                    <w:textAlignment w:val="auto"/>
                    <w:rPr>
                      <w:rFonts w:hint="default" w:ascii="Times New Roman" w:hAnsi="Times New Roman" w:cs="Times New Roman"/>
                      <w:color w:val="000000" w:themeColor="text1"/>
                      <w:sz w:val="21"/>
                      <w:szCs w:val="21"/>
                      <w:highlight w:val="none"/>
                      <w:vertAlign w:val="baseline"/>
                      <w:lang w:val="en-US"/>
                      <w14:textFill>
                        <w14:solidFill>
                          <w14:schemeClr w14:val="tx1"/>
                        </w14:solidFill>
                      </w14:textFill>
                    </w:rPr>
                  </w:pPr>
                  <w: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t>地面</w:t>
                  </w:r>
                </w:p>
              </w:tc>
              <w:tc>
                <w:tcPr>
                  <w:tcW w:w="716" w:type="pct"/>
                  <w:tcBorders>
                    <w:tl2br w:val="nil"/>
                    <w:tr2bl w:val="nil"/>
                  </w:tcBorders>
                  <w:noWrap w:val="0"/>
                  <w:vAlign w:val="center"/>
                </w:tcPr>
                <w:p w14:paraId="23DF88F5">
                  <w:pPr>
                    <w:pStyle w:val="208"/>
                    <w:keepNext w:val="0"/>
                    <w:keepLines w:val="0"/>
                    <w:pageBreakBefore w:val="0"/>
                    <w:widowControl w:val="0"/>
                    <w:shd w:val="clear"/>
                    <w:kinsoku/>
                    <w:wordWrap/>
                    <w:overflowPunct/>
                    <w:topLinePunct w:val="0"/>
                    <w:autoSpaceDE/>
                    <w:autoSpaceDN/>
                    <w:bidi w:val="0"/>
                    <w:adjustRightInd/>
                    <w:snapToGrid/>
                    <w:spacing w:before="0" w:line="280" w:lineRule="exact"/>
                    <w:ind w:left="0" w:leftChars="0" w:firstLine="0" w:firstLineChars="0"/>
                    <w:jc w:val="center"/>
                    <w:textAlignment w:val="auto"/>
                    <w:rPr>
                      <w:rFonts w:hint="default" w:ascii="Times New Roman" w:hAnsi="Times New Roman" w:cs="Times New Roman"/>
                      <w:color w:val="000000" w:themeColor="text1"/>
                      <w:sz w:val="21"/>
                      <w:szCs w:val="21"/>
                      <w:highlight w:val="none"/>
                      <w:vertAlign w:val="baseline"/>
                      <w:lang w:val="en-US"/>
                      <w14:textFill>
                        <w14:solidFill>
                          <w14:schemeClr w14:val="tx1"/>
                        </w14:solidFill>
                      </w14:textFill>
                    </w:rPr>
                  </w:pPr>
                  <w:r>
                    <w:rPr>
                      <w:rFonts w:hint="eastAsia" w:ascii="Times New Roman" w:cs="Times New Roman"/>
                      <w:color w:val="000000" w:themeColor="text1"/>
                      <w:sz w:val="21"/>
                      <w:szCs w:val="21"/>
                      <w:highlight w:val="none"/>
                      <w:vertAlign w:val="baseline"/>
                      <w:lang w:val="en-US" w:eastAsia="zh-CN"/>
                      <w14:textFill>
                        <w14:solidFill>
                          <w14:schemeClr w14:val="tx1"/>
                        </w14:solidFill>
                      </w14:textFill>
                    </w:rPr>
                    <w:t>16112</w:t>
                  </w:r>
                </w:p>
              </w:tc>
              <w:tc>
                <w:tcPr>
                  <w:tcW w:w="714" w:type="pct"/>
                  <w:vMerge w:val="continue"/>
                  <w:tcBorders>
                    <w:tl2br w:val="nil"/>
                    <w:tr2bl w:val="nil"/>
                  </w:tcBorders>
                  <w:noWrap w:val="0"/>
                  <w:vAlign w:val="center"/>
                </w:tcPr>
                <w:p w14:paraId="6EFF87F1">
                  <w:pPr>
                    <w:pStyle w:val="208"/>
                    <w:keepNext w:val="0"/>
                    <w:keepLines w:val="0"/>
                    <w:pageBreakBefore w:val="0"/>
                    <w:widowControl w:val="0"/>
                    <w:shd w:val="clear"/>
                    <w:kinsoku/>
                    <w:wordWrap/>
                    <w:overflowPunct/>
                    <w:topLinePunct w:val="0"/>
                    <w:autoSpaceDE/>
                    <w:autoSpaceDN/>
                    <w:bidi w:val="0"/>
                    <w:adjustRightInd/>
                    <w:snapToGrid/>
                    <w:spacing w:before="0" w:line="280" w:lineRule="exact"/>
                    <w:ind w:left="0" w:leftChars="0" w:firstLine="0" w:firstLineChars="0"/>
                    <w:jc w:val="center"/>
                    <w:textAlignment w:val="auto"/>
                    <w:rPr>
                      <w:rFonts w:hint="default" w:ascii="Times New Roman" w:hAnsi="Times New Roman" w:cs="Times New Roman"/>
                      <w:color w:val="000000" w:themeColor="text1"/>
                      <w:sz w:val="21"/>
                      <w:szCs w:val="21"/>
                      <w:highlight w:val="none"/>
                      <w:vertAlign w:val="baseline"/>
                      <w:lang w:val="en-US"/>
                      <w14:textFill>
                        <w14:solidFill>
                          <w14:schemeClr w14:val="tx1"/>
                        </w14:solidFill>
                      </w14:textFill>
                    </w:rPr>
                  </w:pPr>
                </w:p>
              </w:tc>
              <w:tc>
                <w:tcPr>
                  <w:tcW w:w="714" w:type="pct"/>
                  <w:vMerge w:val="continue"/>
                  <w:tcBorders>
                    <w:tl2br w:val="nil"/>
                    <w:tr2bl w:val="nil"/>
                  </w:tcBorders>
                  <w:noWrap w:val="0"/>
                  <w:vAlign w:val="center"/>
                </w:tcPr>
                <w:p w14:paraId="47328DE1">
                  <w:pPr>
                    <w:pStyle w:val="208"/>
                    <w:keepNext w:val="0"/>
                    <w:keepLines w:val="0"/>
                    <w:pageBreakBefore w:val="0"/>
                    <w:widowControl w:val="0"/>
                    <w:shd w:val="clear"/>
                    <w:kinsoku/>
                    <w:wordWrap/>
                    <w:overflowPunct/>
                    <w:topLinePunct w:val="0"/>
                    <w:autoSpaceDE/>
                    <w:autoSpaceDN/>
                    <w:bidi w:val="0"/>
                    <w:adjustRightInd/>
                    <w:snapToGrid/>
                    <w:spacing w:before="0" w:line="280" w:lineRule="exact"/>
                    <w:ind w:left="0" w:leftChars="0" w:firstLine="0" w:firstLineChars="0"/>
                    <w:jc w:val="center"/>
                    <w:textAlignment w:val="auto"/>
                    <w:rPr>
                      <w:rFonts w:hint="default" w:ascii="Times New Roman" w:hAnsi="Times New Roman" w:cs="Times New Roman"/>
                      <w:color w:val="000000" w:themeColor="text1"/>
                      <w:sz w:val="21"/>
                      <w:szCs w:val="21"/>
                      <w:highlight w:val="none"/>
                      <w:vertAlign w:val="baseline"/>
                      <w:lang w:val="en-US"/>
                      <w14:textFill>
                        <w14:solidFill>
                          <w14:schemeClr w14:val="tx1"/>
                        </w14:solidFill>
                      </w14:textFill>
                    </w:rPr>
                  </w:pPr>
                </w:p>
              </w:tc>
            </w:tr>
            <w:tr w14:paraId="228B6F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12" w:type="pct"/>
                  <w:vMerge w:val="restart"/>
                  <w:tcBorders>
                    <w:tl2br w:val="nil"/>
                    <w:tr2bl w:val="nil"/>
                  </w:tcBorders>
                  <w:noWrap w:val="0"/>
                  <w:vAlign w:val="center"/>
                </w:tcPr>
                <w:p w14:paraId="4C645DAE">
                  <w:pPr>
                    <w:pStyle w:val="208"/>
                    <w:keepNext w:val="0"/>
                    <w:keepLines w:val="0"/>
                    <w:pageBreakBefore w:val="0"/>
                    <w:widowControl w:val="0"/>
                    <w:shd w:val="clear"/>
                    <w:kinsoku/>
                    <w:wordWrap/>
                    <w:overflowPunct/>
                    <w:topLinePunct w:val="0"/>
                    <w:autoSpaceDE/>
                    <w:autoSpaceDN/>
                    <w:bidi w:val="0"/>
                    <w:adjustRightInd/>
                    <w:snapToGrid/>
                    <w:spacing w:before="0" w:line="280" w:lineRule="exact"/>
                    <w:ind w:left="0" w:leftChars="0" w:firstLine="0" w:firstLineChars="0"/>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cs="Times New Roman"/>
                      <w:color w:val="000000" w:themeColor="text1"/>
                      <w:sz w:val="21"/>
                      <w:szCs w:val="21"/>
                      <w:highlight w:val="none"/>
                      <w:vertAlign w:val="baseline"/>
                      <w:lang w:val="en-US" w:eastAsia="zh-CN"/>
                      <w14:textFill>
                        <w14:solidFill>
                          <w14:schemeClr w14:val="tx1"/>
                        </w14:solidFill>
                      </w14:textFill>
                    </w:rPr>
                    <w:t>集成车间</w:t>
                  </w:r>
                </w:p>
              </w:tc>
              <w:tc>
                <w:tcPr>
                  <w:tcW w:w="713" w:type="pct"/>
                  <w:tcBorders>
                    <w:tl2br w:val="nil"/>
                    <w:tr2bl w:val="nil"/>
                  </w:tcBorders>
                  <w:noWrap w:val="0"/>
                  <w:vAlign w:val="center"/>
                </w:tcPr>
                <w:p w14:paraId="0D1A96A6">
                  <w:pPr>
                    <w:pStyle w:val="208"/>
                    <w:keepNext w:val="0"/>
                    <w:keepLines w:val="0"/>
                    <w:pageBreakBefore w:val="0"/>
                    <w:widowControl w:val="0"/>
                    <w:shd w:val="clear"/>
                    <w:kinsoku/>
                    <w:wordWrap/>
                    <w:overflowPunct/>
                    <w:topLinePunct w:val="0"/>
                    <w:autoSpaceDE/>
                    <w:autoSpaceDN/>
                    <w:bidi w:val="0"/>
                    <w:adjustRightInd/>
                    <w:snapToGrid/>
                    <w:spacing w:before="0" w:line="280" w:lineRule="exact"/>
                    <w:ind w:left="0" w:leftChars="0" w:firstLine="0" w:firstLineChars="0"/>
                    <w:jc w:val="center"/>
                    <w:textAlignment w:val="auto"/>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t>顶面</w:t>
                  </w:r>
                </w:p>
              </w:tc>
              <w:tc>
                <w:tcPr>
                  <w:tcW w:w="563" w:type="pct"/>
                  <w:tcBorders>
                    <w:tl2br w:val="nil"/>
                    <w:tr2bl w:val="nil"/>
                  </w:tcBorders>
                  <w:noWrap w:val="0"/>
                  <w:vAlign w:val="center"/>
                </w:tcPr>
                <w:p w14:paraId="69F4C0BA">
                  <w:pPr>
                    <w:pStyle w:val="208"/>
                    <w:keepNext w:val="0"/>
                    <w:keepLines w:val="0"/>
                    <w:pageBreakBefore w:val="0"/>
                    <w:widowControl w:val="0"/>
                    <w:shd w:val="clear"/>
                    <w:kinsoku/>
                    <w:wordWrap/>
                    <w:overflowPunct/>
                    <w:topLinePunct w:val="0"/>
                    <w:autoSpaceDE/>
                    <w:autoSpaceDN/>
                    <w:bidi w:val="0"/>
                    <w:adjustRightInd/>
                    <w:snapToGrid/>
                    <w:spacing w:before="0" w:line="280" w:lineRule="exact"/>
                    <w:ind w:left="0" w:leftChars="0" w:firstLine="0" w:firstLineChars="0"/>
                    <w:jc w:val="center"/>
                    <w:textAlignment w:val="auto"/>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0.01</w:t>
                  </w:r>
                </w:p>
              </w:tc>
              <w:tc>
                <w:tcPr>
                  <w:tcW w:w="866" w:type="pct"/>
                  <w:tcBorders>
                    <w:tl2br w:val="nil"/>
                    <w:tr2bl w:val="nil"/>
                  </w:tcBorders>
                  <w:noWrap w:val="0"/>
                  <w:vAlign w:val="center"/>
                </w:tcPr>
                <w:p w14:paraId="18745253">
                  <w:pPr>
                    <w:pStyle w:val="208"/>
                    <w:keepNext w:val="0"/>
                    <w:keepLines w:val="0"/>
                    <w:pageBreakBefore w:val="0"/>
                    <w:widowControl w:val="0"/>
                    <w:shd w:val="clear"/>
                    <w:kinsoku/>
                    <w:wordWrap/>
                    <w:overflowPunct/>
                    <w:topLinePunct w:val="0"/>
                    <w:autoSpaceDE/>
                    <w:autoSpaceDN/>
                    <w:bidi w:val="0"/>
                    <w:adjustRightInd/>
                    <w:snapToGrid/>
                    <w:spacing w:before="0" w:line="280" w:lineRule="exact"/>
                    <w:ind w:left="0" w:leftChars="0" w:firstLine="0" w:firstLineChars="0"/>
                    <w:jc w:val="center"/>
                    <w:textAlignment w:val="auto"/>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t>顶面</w:t>
                  </w:r>
                </w:p>
              </w:tc>
              <w:tc>
                <w:tcPr>
                  <w:tcW w:w="716" w:type="pct"/>
                  <w:tcBorders>
                    <w:tl2br w:val="nil"/>
                    <w:tr2bl w:val="nil"/>
                  </w:tcBorders>
                  <w:noWrap w:val="0"/>
                  <w:vAlign w:val="center"/>
                </w:tcPr>
                <w:p w14:paraId="0C0536E1">
                  <w:pPr>
                    <w:pStyle w:val="208"/>
                    <w:keepNext w:val="0"/>
                    <w:keepLines w:val="0"/>
                    <w:pageBreakBefore w:val="0"/>
                    <w:widowControl w:val="0"/>
                    <w:shd w:val="clear"/>
                    <w:kinsoku/>
                    <w:wordWrap/>
                    <w:overflowPunct/>
                    <w:topLinePunct w:val="0"/>
                    <w:autoSpaceDE/>
                    <w:autoSpaceDN/>
                    <w:bidi w:val="0"/>
                    <w:adjustRightInd/>
                    <w:snapToGrid/>
                    <w:spacing w:before="0" w:line="280" w:lineRule="exact"/>
                    <w:ind w:left="0" w:leftChars="0" w:firstLine="0" w:firstLineChars="0"/>
                    <w:jc w:val="center"/>
                    <w:textAlignment w:val="auto"/>
                    <w:rPr>
                      <w:rFonts w:hint="default" w:ascii="Times New Roman"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cs="Times New Roman"/>
                      <w:color w:val="000000" w:themeColor="text1"/>
                      <w:sz w:val="21"/>
                      <w:szCs w:val="21"/>
                      <w:highlight w:val="none"/>
                      <w:vertAlign w:val="baseline"/>
                      <w:lang w:val="en-US" w:eastAsia="zh-CN"/>
                      <w14:textFill>
                        <w14:solidFill>
                          <w14:schemeClr w14:val="tx1"/>
                        </w14:solidFill>
                      </w14:textFill>
                    </w:rPr>
                    <w:t>7732.78</w:t>
                  </w:r>
                </w:p>
              </w:tc>
              <w:tc>
                <w:tcPr>
                  <w:tcW w:w="714" w:type="pct"/>
                  <w:vMerge w:val="restart"/>
                  <w:tcBorders>
                    <w:tl2br w:val="nil"/>
                    <w:tr2bl w:val="nil"/>
                  </w:tcBorders>
                  <w:noWrap w:val="0"/>
                  <w:vAlign w:val="center"/>
                </w:tcPr>
                <w:p w14:paraId="15063B7F">
                  <w:pPr>
                    <w:pStyle w:val="208"/>
                    <w:keepNext w:val="0"/>
                    <w:keepLines w:val="0"/>
                    <w:pageBreakBefore w:val="0"/>
                    <w:widowControl w:val="0"/>
                    <w:shd w:val="clear"/>
                    <w:kinsoku/>
                    <w:wordWrap/>
                    <w:overflowPunct/>
                    <w:topLinePunct w:val="0"/>
                    <w:autoSpaceDE/>
                    <w:autoSpaceDN/>
                    <w:bidi w:val="0"/>
                    <w:adjustRightInd/>
                    <w:snapToGrid/>
                    <w:spacing w:before="0" w:line="280" w:lineRule="exact"/>
                    <w:ind w:left="0" w:leftChars="0" w:firstLine="0" w:firstLineChars="0"/>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cs="Times New Roman"/>
                      <w:color w:val="000000" w:themeColor="text1"/>
                      <w:sz w:val="21"/>
                      <w:szCs w:val="21"/>
                      <w:highlight w:val="none"/>
                      <w:vertAlign w:val="baseline"/>
                      <w:lang w:val="en-US" w:eastAsia="zh-CN"/>
                      <w14:textFill>
                        <w14:solidFill>
                          <w14:schemeClr w14:val="tx1"/>
                        </w14:solidFill>
                      </w14:textFill>
                    </w:rPr>
                    <w:t>0.03</w:t>
                  </w:r>
                </w:p>
              </w:tc>
              <w:tc>
                <w:tcPr>
                  <w:tcW w:w="714" w:type="pct"/>
                  <w:vMerge w:val="restart"/>
                  <w:tcBorders>
                    <w:tl2br w:val="nil"/>
                    <w:tr2bl w:val="nil"/>
                  </w:tcBorders>
                  <w:noWrap w:val="0"/>
                  <w:vAlign w:val="center"/>
                </w:tcPr>
                <w:p w14:paraId="60144451">
                  <w:pPr>
                    <w:pStyle w:val="208"/>
                    <w:keepNext w:val="0"/>
                    <w:keepLines w:val="0"/>
                    <w:pageBreakBefore w:val="0"/>
                    <w:widowControl w:val="0"/>
                    <w:shd w:val="clear"/>
                    <w:kinsoku/>
                    <w:wordWrap/>
                    <w:overflowPunct/>
                    <w:topLinePunct w:val="0"/>
                    <w:autoSpaceDE/>
                    <w:autoSpaceDN/>
                    <w:bidi w:val="0"/>
                    <w:adjustRightInd/>
                    <w:snapToGrid/>
                    <w:spacing w:before="0" w:line="280" w:lineRule="exact"/>
                    <w:ind w:left="0" w:leftChars="0" w:firstLine="0" w:firstLineChars="0"/>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cs="Times New Roman"/>
                      <w:color w:val="000000" w:themeColor="text1"/>
                      <w:sz w:val="21"/>
                      <w:szCs w:val="21"/>
                      <w:highlight w:val="none"/>
                      <w:vertAlign w:val="baseline"/>
                      <w:lang w:val="en-US" w:eastAsia="zh-CN"/>
                      <w14:textFill>
                        <w14:solidFill>
                          <w14:schemeClr w14:val="tx1"/>
                        </w14:solidFill>
                      </w14:textFill>
                    </w:rPr>
                    <w:t>508.9</w:t>
                  </w:r>
                </w:p>
              </w:tc>
            </w:tr>
            <w:tr w14:paraId="05097D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12" w:type="pct"/>
                  <w:vMerge w:val="continue"/>
                  <w:tcBorders>
                    <w:tl2br w:val="nil"/>
                    <w:tr2bl w:val="nil"/>
                  </w:tcBorders>
                  <w:noWrap w:val="0"/>
                  <w:vAlign w:val="center"/>
                </w:tcPr>
                <w:p w14:paraId="40A876F9">
                  <w:pPr>
                    <w:pStyle w:val="208"/>
                    <w:keepNext w:val="0"/>
                    <w:keepLines w:val="0"/>
                    <w:pageBreakBefore w:val="0"/>
                    <w:widowControl w:val="0"/>
                    <w:shd w:val="clear"/>
                    <w:kinsoku/>
                    <w:wordWrap/>
                    <w:overflowPunct/>
                    <w:topLinePunct w:val="0"/>
                    <w:autoSpaceDE/>
                    <w:autoSpaceDN/>
                    <w:bidi w:val="0"/>
                    <w:adjustRightInd/>
                    <w:snapToGrid/>
                    <w:spacing w:before="0" w:line="280" w:lineRule="exact"/>
                    <w:ind w:left="0" w:leftChars="0" w:firstLine="0" w:firstLineChars="0"/>
                    <w:jc w:val="center"/>
                    <w:textAlignment w:val="auto"/>
                    <w:rPr>
                      <w:rFonts w:hint="default" w:ascii="Times New Roman" w:hAnsi="Times New Roman" w:cs="Times New Roman"/>
                      <w:color w:val="000000" w:themeColor="text1"/>
                      <w:sz w:val="21"/>
                      <w:szCs w:val="21"/>
                      <w:highlight w:val="none"/>
                      <w:vertAlign w:val="baseline"/>
                      <w:lang w:val="en-US"/>
                      <w14:textFill>
                        <w14:solidFill>
                          <w14:schemeClr w14:val="tx1"/>
                        </w14:solidFill>
                      </w14:textFill>
                    </w:rPr>
                  </w:pPr>
                </w:p>
              </w:tc>
              <w:tc>
                <w:tcPr>
                  <w:tcW w:w="713" w:type="pct"/>
                  <w:tcBorders>
                    <w:tl2br w:val="nil"/>
                    <w:tr2bl w:val="nil"/>
                  </w:tcBorders>
                  <w:noWrap w:val="0"/>
                  <w:vAlign w:val="center"/>
                </w:tcPr>
                <w:p w14:paraId="18FAF678">
                  <w:pPr>
                    <w:pStyle w:val="208"/>
                    <w:keepNext w:val="0"/>
                    <w:keepLines w:val="0"/>
                    <w:pageBreakBefore w:val="0"/>
                    <w:widowControl w:val="0"/>
                    <w:shd w:val="clear"/>
                    <w:kinsoku/>
                    <w:wordWrap/>
                    <w:overflowPunct/>
                    <w:topLinePunct w:val="0"/>
                    <w:autoSpaceDE/>
                    <w:autoSpaceDN/>
                    <w:bidi w:val="0"/>
                    <w:adjustRightInd/>
                    <w:snapToGrid/>
                    <w:spacing w:before="0" w:line="280" w:lineRule="exact"/>
                    <w:ind w:left="0" w:leftChars="0" w:firstLine="0" w:firstLineChars="0"/>
                    <w:jc w:val="center"/>
                    <w:textAlignment w:val="auto"/>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t>墙面</w:t>
                  </w:r>
                </w:p>
              </w:tc>
              <w:tc>
                <w:tcPr>
                  <w:tcW w:w="563" w:type="pct"/>
                  <w:tcBorders>
                    <w:tl2br w:val="nil"/>
                    <w:tr2bl w:val="nil"/>
                  </w:tcBorders>
                  <w:noWrap w:val="0"/>
                  <w:vAlign w:val="center"/>
                </w:tcPr>
                <w:p w14:paraId="4D086C49">
                  <w:pPr>
                    <w:pStyle w:val="208"/>
                    <w:keepNext w:val="0"/>
                    <w:keepLines w:val="0"/>
                    <w:pageBreakBefore w:val="0"/>
                    <w:widowControl w:val="0"/>
                    <w:shd w:val="clear"/>
                    <w:kinsoku/>
                    <w:wordWrap/>
                    <w:overflowPunct/>
                    <w:topLinePunct w:val="0"/>
                    <w:autoSpaceDE/>
                    <w:autoSpaceDN/>
                    <w:bidi w:val="0"/>
                    <w:adjustRightInd/>
                    <w:snapToGrid/>
                    <w:spacing w:before="0" w:line="280" w:lineRule="exact"/>
                    <w:ind w:left="0" w:leftChars="0" w:firstLine="0" w:firstLineChars="0"/>
                    <w:jc w:val="center"/>
                    <w:textAlignment w:val="auto"/>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0.01</w:t>
                  </w:r>
                </w:p>
              </w:tc>
              <w:tc>
                <w:tcPr>
                  <w:tcW w:w="866" w:type="pct"/>
                  <w:tcBorders>
                    <w:tl2br w:val="nil"/>
                    <w:tr2bl w:val="nil"/>
                  </w:tcBorders>
                  <w:noWrap w:val="0"/>
                  <w:vAlign w:val="center"/>
                </w:tcPr>
                <w:p w14:paraId="46E63DDD">
                  <w:pPr>
                    <w:pStyle w:val="208"/>
                    <w:keepNext w:val="0"/>
                    <w:keepLines w:val="0"/>
                    <w:pageBreakBefore w:val="0"/>
                    <w:widowControl w:val="0"/>
                    <w:shd w:val="clear"/>
                    <w:kinsoku/>
                    <w:wordWrap/>
                    <w:overflowPunct/>
                    <w:topLinePunct w:val="0"/>
                    <w:autoSpaceDE/>
                    <w:autoSpaceDN/>
                    <w:bidi w:val="0"/>
                    <w:adjustRightInd/>
                    <w:snapToGrid/>
                    <w:spacing w:before="0" w:line="280" w:lineRule="exact"/>
                    <w:ind w:left="0" w:leftChars="0" w:firstLine="0" w:firstLineChars="0"/>
                    <w:jc w:val="center"/>
                    <w:textAlignment w:val="auto"/>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t>厂房钢材结构（四周）</w:t>
                  </w:r>
                </w:p>
              </w:tc>
              <w:tc>
                <w:tcPr>
                  <w:tcW w:w="716" w:type="pct"/>
                  <w:tcBorders>
                    <w:tl2br w:val="nil"/>
                    <w:tr2bl w:val="nil"/>
                  </w:tcBorders>
                  <w:noWrap w:val="0"/>
                  <w:vAlign w:val="center"/>
                </w:tcPr>
                <w:p w14:paraId="245BB74B">
                  <w:pPr>
                    <w:pStyle w:val="208"/>
                    <w:keepNext w:val="0"/>
                    <w:keepLines w:val="0"/>
                    <w:pageBreakBefore w:val="0"/>
                    <w:widowControl w:val="0"/>
                    <w:shd w:val="clear"/>
                    <w:kinsoku/>
                    <w:wordWrap/>
                    <w:overflowPunct/>
                    <w:topLinePunct w:val="0"/>
                    <w:autoSpaceDE/>
                    <w:autoSpaceDN/>
                    <w:bidi w:val="0"/>
                    <w:adjustRightInd/>
                    <w:snapToGrid/>
                    <w:spacing w:before="0" w:line="280" w:lineRule="exact"/>
                    <w:ind w:left="0" w:leftChars="0" w:firstLine="0" w:firstLineChars="0"/>
                    <w:jc w:val="center"/>
                    <w:textAlignment w:val="auto"/>
                    <w:rPr>
                      <w:rFonts w:hint="default" w:ascii="Times New Roman"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cs="Times New Roman"/>
                      <w:color w:val="000000" w:themeColor="text1"/>
                      <w:sz w:val="21"/>
                      <w:szCs w:val="21"/>
                      <w:highlight w:val="none"/>
                      <w:vertAlign w:val="baseline"/>
                      <w:lang w:val="en-US" w:eastAsia="zh-CN"/>
                      <w14:textFill>
                        <w14:solidFill>
                          <w14:schemeClr w14:val="tx1"/>
                        </w14:solidFill>
                      </w14:textFill>
                    </w:rPr>
                    <w:t>987.48</w:t>
                  </w:r>
                </w:p>
              </w:tc>
              <w:tc>
                <w:tcPr>
                  <w:tcW w:w="714" w:type="pct"/>
                  <w:vMerge w:val="continue"/>
                  <w:tcBorders>
                    <w:tl2br w:val="nil"/>
                    <w:tr2bl w:val="nil"/>
                  </w:tcBorders>
                  <w:noWrap w:val="0"/>
                  <w:vAlign w:val="center"/>
                </w:tcPr>
                <w:p w14:paraId="359217F2">
                  <w:pPr>
                    <w:pStyle w:val="208"/>
                    <w:keepNext w:val="0"/>
                    <w:keepLines w:val="0"/>
                    <w:pageBreakBefore w:val="0"/>
                    <w:widowControl w:val="0"/>
                    <w:shd w:val="clear"/>
                    <w:kinsoku/>
                    <w:wordWrap/>
                    <w:overflowPunct/>
                    <w:topLinePunct w:val="0"/>
                    <w:autoSpaceDE/>
                    <w:autoSpaceDN/>
                    <w:bidi w:val="0"/>
                    <w:adjustRightInd/>
                    <w:snapToGrid/>
                    <w:spacing w:before="0" w:line="280" w:lineRule="exact"/>
                    <w:ind w:left="0" w:leftChars="0" w:firstLine="0" w:firstLineChars="0"/>
                    <w:jc w:val="center"/>
                    <w:textAlignment w:val="auto"/>
                    <w:rPr>
                      <w:rFonts w:hint="default" w:ascii="Times New Roman" w:hAnsi="Times New Roman" w:cs="Times New Roman"/>
                      <w:color w:val="000000" w:themeColor="text1"/>
                      <w:sz w:val="21"/>
                      <w:szCs w:val="21"/>
                      <w:highlight w:val="none"/>
                      <w:vertAlign w:val="baseline"/>
                      <w:lang w:val="en-US"/>
                      <w14:textFill>
                        <w14:solidFill>
                          <w14:schemeClr w14:val="tx1"/>
                        </w14:solidFill>
                      </w14:textFill>
                    </w:rPr>
                  </w:pPr>
                </w:p>
              </w:tc>
              <w:tc>
                <w:tcPr>
                  <w:tcW w:w="714" w:type="pct"/>
                  <w:vMerge w:val="continue"/>
                  <w:tcBorders>
                    <w:tl2br w:val="nil"/>
                    <w:tr2bl w:val="nil"/>
                  </w:tcBorders>
                  <w:noWrap w:val="0"/>
                  <w:vAlign w:val="center"/>
                </w:tcPr>
                <w:p w14:paraId="6DB343FA">
                  <w:pPr>
                    <w:pStyle w:val="208"/>
                    <w:keepNext w:val="0"/>
                    <w:keepLines w:val="0"/>
                    <w:pageBreakBefore w:val="0"/>
                    <w:widowControl w:val="0"/>
                    <w:shd w:val="clear"/>
                    <w:kinsoku/>
                    <w:wordWrap/>
                    <w:overflowPunct/>
                    <w:topLinePunct w:val="0"/>
                    <w:autoSpaceDE/>
                    <w:autoSpaceDN/>
                    <w:bidi w:val="0"/>
                    <w:adjustRightInd/>
                    <w:snapToGrid/>
                    <w:spacing w:before="0" w:line="280" w:lineRule="exact"/>
                    <w:ind w:left="0" w:leftChars="0" w:firstLine="0" w:firstLineChars="0"/>
                    <w:jc w:val="center"/>
                    <w:textAlignment w:val="auto"/>
                    <w:rPr>
                      <w:rFonts w:hint="default" w:ascii="Times New Roman" w:hAnsi="Times New Roman" w:cs="Times New Roman"/>
                      <w:color w:val="000000" w:themeColor="text1"/>
                      <w:sz w:val="21"/>
                      <w:szCs w:val="21"/>
                      <w:highlight w:val="none"/>
                      <w:vertAlign w:val="baseline"/>
                      <w:lang w:val="en-US"/>
                      <w14:textFill>
                        <w14:solidFill>
                          <w14:schemeClr w14:val="tx1"/>
                        </w14:solidFill>
                      </w14:textFill>
                    </w:rPr>
                  </w:pPr>
                </w:p>
              </w:tc>
            </w:tr>
            <w:tr w14:paraId="0A5FCB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12" w:type="pct"/>
                  <w:vMerge w:val="continue"/>
                  <w:tcBorders>
                    <w:tl2br w:val="nil"/>
                    <w:tr2bl w:val="nil"/>
                  </w:tcBorders>
                  <w:noWrap w:val="0"/>
                  <w:vAlign w:val="center"/>
                </w:tcPr>
                <w:p w14:paraId="4EF2C9E9">
                  <w:pPr>
                    <w:pStyle w:val="208"/>
                    <w:keepNext w:val="0"/>
                    <w:keepLines w:val="0"/>
                    <w:pageBreakBefore w:val="0"/>
                    <w:widowControl w:val="0"/>
                    <w:shd w:val="clear"/>
                    <w:kinsoku/>
                    <w:wordWrap/>
                    <w:overflowPunct/>
                    <w:topLinePunct w:val="0"/>
                    <w:autoSpaceDE/>
                    <w:autoSpaceDN/>
                    <w:bidi w:val="0"/>
                    <w:adjustRightInd/>
                    <w:snapToGrid/>
                    <w:spacing w:before="0" w:line="280" w:lineRule="exact"/>
                    <w:ind w:left="0" w:leftChars="0" w:firstLine="0" w:firstLineChars="0"/>
                    <w:jc w:val="center"/>
                    <w:textAlignment w:val="auto"/>
                    <w:rPr>
                      <w:rFonts w:hint="default" w:ascii="Times New Roman" w:hAnsi="Times New Roman" w:cs="Times New Roman"/>
                      <w:color w:val="000000" w:themeColor="text1"/>
                      <w:sz w:val="21"/>
                      <w:szCs w:val="21"/>
                      <w:highlight w:val="none"/>
                      <w:vertAlign w:val="baseline"/>
                      <w:lang w:val="en-US"/>
                      <w14:textFill>
                        <w14:solidFill>
                          <w14:schemeClr w14:val="tx1"/>
                        </w14:solidFill>
                      </w14:textFill>
                    </w:rPr>
                  </w:pPr>
                </w:p>
              </w:tc>
              <w:tc>
                <w:tcPr>
                  <w:tcW w:w="713" w:type="pct"/>
                  <w:tcBorders>
                    <w:tl2br w:val="nil"/>
                    <w:tr2bl w:val="nil"/>
                  </w:tcBorders>
                  <w:noWrap w:val="0"/>
                  <w:vAlign w:val="center"/>
                </w:tcPr>
                <w:p w14:paraId="23542107">
                  <w:pPr>
                    <w:pStyle w:val="208"/>
                    <w:keepNext w:val="0"/>
                    <w:keepLines w:val="0"/>
                    <w:pageBreakBefore w:val="0"/>
                    <w:widowControl w:val="0"/>
                    <w:shd w:val="clear"/>
                    <w:kinsoku/>
                    <w:wordWrap/>
                    <w:overflowPunct/>
                    <w:topLinePunct w:val="0"/>
                    <w:autoSpaceDE/>
                    <w:autoSpaceDN/>
                    <w:bidi w:val="0"/>
                    <w:adjustRightInd/>
                    <w:snapToGrid/>
                    <w:spacing w:before="0" w:line="280" w:lineRule="exact"/>
                    <w:ind w:left="0" w:leftChars="0" w:firstLine="0" w:firstLineChars="0"/>
                    <w:jc w:val="center"/>
                    <w:textAlignment w:val="auto"/>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t>地面</w:t>
                  </w:r>
                </w:p>
              </w:tc>
              <w:tc>
                <w:tcPr>
                  <w:tcW w:w="563" w:type="pct"/>
                  <w:tcBorders>
                    <w:tl2br w:val="nil"/>
                    <w:tr2bl w:val="nil"/>
                  </w:tcBorders>
                  <w:noWrap w:val="0"/>
                  <w:vAlign w:val="center"/>
                </w:tcPr>
                <w:p w14:paraId="2DCB3CAC">
                  <w:pPr>
                    <w:pStyle w:val="208"/>
                    <w:keepNext w:val="0"/>
                    <w:keepLines w:val="0"/>
                    <w:pageBreakBefore w:val="0"/>
                    <w:widowControl w:val="0"/>
                    <w:shd w:val="clear"/>
                    <w:kinsoku/>
                    <w:wordWrap/>
                    <w:overflowPunct/>
                    <w:topLinePunct w:val="0"/>
                    <w:autoSpaceDE/>
                    <w:autoSpaceDN/>
                    <w:bidi w:val="0"/>
                    <w:adjustRightInd/>
                    <w:snapToGrid/>
                    <w:spacing w:before="0" w:line="280" w:lineRule="exact"/>
                    <w:ind w:left="0" w:leftChars="0" w:firstLine="0" w:firstLineChars="0"/>
                    <w:jc w:val="center"/>
                    <w:textAlignment w:val="auto"/>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0.07</w:t>
                  </w:r>
                </w:p>
              </w:tc>
              <w:tc>
                <w:tcPr>
                  <w:tcW w:w="866" w:type="pct"/>
                  <w:tcBorders>
                    <w:tl2br w:val="nil"/>
                    <w:tr2bl w:val="nil"/>
                  </w:tcBorders>
                  <w:noWrap w:val="0"/>
                  <w:vAlign w:val="center"/>
                </w:tcPr>
                <w:p w14:paraId="554A50E5">
                  <w:pPr>
                    <w:pStyle w:val="208"/>
                    <w:keepNext w:val="0"/>
                    <w:keepLines w:val="0"/>
                    <w:pageBreakBefore w:val="0"/>
                    <w:widowControl w:val="0"/>
                    <w:shd w:val="clear"/>
                    <w:kinsoku/>
                    <w:wordWrap/>
                    <w:overflowPunct/>
                    <w:topLinePunct w:val="0"/>
                    <w:autoSpaceDE/>
                    <w:autoSpaceDN/>
                    <w:bidi w:val="0"/>
                    <w:adjustRightInd/>
                    <w:snapToGrid/>
                    <w:spacing w:before="0" w:line="280" w:lineRule="exact"/>
                    <w:ind w:left="0" w:leftChars="0" w:firstLine="0" w:firstLineChars="0"/>
                    <w:jc w:val="center"/>
                    <w:textAlignment w:val="auto"/>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t>地面</w:t>
                  </w:r>
                </w:p>
              </w:tc>
              <w:tc>
                <w:tcPr>
                  <w:tcW w:w="716" w:type="pct"/>
                  <w:tcBorders>
                    <w:tl2br w:val="nil"/>
                    <w:tr2bl w:val="nil"/>
                  </w:tcBorders>
                  <w:noWrap w:val="0"/>
                  <w:vAlign w:val="center"/>
                </w:tcPr>
                <w:p w14:paraId="605D3382">
                  <w:pPr>
                    <w:pStyle w:val="208"/>
                    <w:keepNext w:val="0"/>
                    <w:keepLines w:val="0"/>
                    <w:pageBreakBefore w:val="0"/>
                    <w:widowControl w:val="0"/>
                    <w:shd w:val="clear"/>
                    <w:kinsoku/>
                    <w:wordWrap/>
                    <w:overflowPunct/>
                    <w:topLinePunct w:val="0"/>
                    <w:autoSpaceDE/>
                    <w:autoSpaceDN/>
                    <w:bidi w:val="0"/>
                    <w:adjustRightInd/>
                    <w:snapToGrid/>
                    <w:spacing w:before="0" w:line="280" w:lineRule="exact"/>
                    <w:ind w:left="0" w:leftChars="0" w:firstLine="0" w:firstLineChars="0"/>
                    <w:jc w:val="center"/>
                    <w:textAlignment w:val="auto"/>
                    <w:rPr>
                      <w:rFonts w:hint="default" w:ascii="Times New Roman"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cs="Times New Roman"/>
                      <w:color w:val="000000" w:themeColor="text1"/>
                      <w:sz w:val="21"/>
                      <w:szCs w:val="21"/>
                      <w:highlight w:val="none"/>
                      <w:vertAlign w:val="baseline"/>
                      <w:lang w:val="en-US" w:eastAsia="zh-CN"/>
                      <w14:textFill>
                        <w14:solidFill>
                          <w14:schemeClr w14:val="tx1"/>
                        </w14:solidFill>
                      </w14:textFill>
                    </w:rPr>
                    <w:t>7732.78</w:t>
                  </w:r>
                </w:p>
              </w:tc>
              <w:tc>
                <w:tcPr>
                  <w:tcW w:w="714" w:type="pct"/>
                  <w:vMerge w:val="continue"/>
                  <w:tcBorders>
                    <w:tl2br w:val="nil"/>
                    <w:tr2bl w:val="nil"/>
                  </w:tcBorders>
                  <w:noWrap w:val="0"/>
                  <w:vAlign w:val="center"/>
                </w:tcPr>
                <w:p w14:paraId="5AA80812">
                  <w:pPr>
                    <w:pStyle w:val="208"/>
                    <w:keepNext w:val="0"/>
                    <w:keepLines w:val="0"/>
                    <w:pageBreakBefore w:val="0"/>
                    <w:widowControl w:val="0"/>
                    <w:shd w:val="clear"/>
                    <w:kinsoku/>
                    <w:wordWrap/>
                    <w:overflowPunct/>
                    <w:topLinePunct w:val="0"/>
                    <w:autoSpaceDE/>
                    <w:autoSpaceDN/>
                    <w:bidi w:val="0"/>
                    <w:adjustRightInd/>
                    <w:snapToGrid/>
                    <w:spacing w:before="0" w:line="280" w:lineRule="exact"/>
                    <w:ind w:left="0" w:leftChars="0" w:firstLine="0" w:firstLineChars="0"/>
                    <w:jc w:val="center"/>
                    <w:textAlignment w:val="auto"/>
                    <w:rPr>
                      <w:rFonts w:hint="default" w:ascii="Times New Roman" w:hAnsi="Times New Roman" w:cs="Times New Roman"/>
                      <w:color w:val="000000" w:themeColor="text1"/>
                      <w:sz w:val="21"/>
                      <w:szCs w:val="21"/>
                      <w:highlight w:val="none"/>
                      <w:vertAlign w:val="baseline"/>
                      <w:lang w:val="en-US"/>
                      <w14:textFill>
                        <w14:solidFill>
                          <w14:schemeClr w14:val="tx1"/>
                        </w14:solidFill>
                      </w14:textFill>
                    </w:rPr>
                  </w:pPr>
                </w:p>
              </w:tc>
              <w:tc>
                <w:tcPr>
                  <w:tcW w:w="714" w:type="pct"/>
                  <w:vMerge w:val="continue"/>
                  <w:tcBorders>
                    <w:tl2br w:val="nil"/>
                    <w:tr2bl w:val="nil"/>
                  </w:tcBorders>
                  <w:noWrap w:val="0"/>
                  <w:vAlign w:val="center"/>
                </w:tcPr>
                <w:p w14:paraId="2CD35E44">
                  <w:pPr>
                    <w:pStyle w:val="208"/>
                    <w:keepNext w:val="0"/>
                    <w:keepLines w:val="0"/>
                    <w:pageBreakBefore w:val="0"/>
                    <w:widowControl w:val="0"/>
                    <w:shd w:val="clear"/>
                    <w:kinsoku/>
                    <w:wordWrap/>
                    <w:overflowPunct/>
                    <w:topLinePunct w:val="0"/>
                    <w:autoSpaceDE/>
                    <w:autoSpaceDN/>
                    <w:bidi w:val="0"/>
                    <w:adjustRightInd/>
                    <w:snapToGrid/>
                    <w:spacing w:before="0" w:line="280" w:lineRule="exact"/>
                    <w:ind w:left="0" w:leftChars="0" w:firstLine="0" w:firstLineChars="0"/>
                    <w:jc w:val="center"/>
                    <w:textAlignment w:val="auto"/>
                    <w:rPr>
                      <w:rFonts w:hint="default" w:ascii="Times New Roman" w:hAnsi="Times New Roman" w:cs="Times New Roman"/>
                      <w:color w:val="000000" w:themeColor="text1"/>
                      <w:sz w:val="21"/>
                      <w:szCs w:val="21"/>
                      <w:highlight w:val="none"/>
                      <w:vertAlign w:val="baseline"/>
                      <w:lang w:val="en-US"/>
                      <w14:textFill>
                        <w14:solidFill>
                          <w14:schemeClr w14:val="tx1"/>
                        </w14:solidFill>
                      </w14:textFill>
                    </w:rPr>
                  </w:pPr>
                </w:p>
              </w:tc>
            </w:tr>
          </w:tbl>
          <w:p w14:paraId="62CCFCD3">
            <w:pPr>
              <w:keepNext w:val="0"/>
              <w:keepLines w:val="0"/>
              <w:pageBreakBefore w:val="0"/>
              <w:widowControl w:val="0"/>
              <w:shd w:val="clear"/>
              <w:kinsoku/>
              <w:wordWrap/>
              <w:overflowPunct/>
              <w:topLinePunct w:val="0"/>
              <w:autoSpaceDE w:val="0"/>
              <w:autoSpaceDN w:val="0"/>
              <w:bidi w:val="0"/>
              <w:adjustRightInd w:val="0"/>
              <w:snapToGrid/>
              <w:spacing w:before="313" w:beforeLines="100" w:line="360" w:lineRule="auto"/>
              <w:ind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由上表可知，本项目</w:t>
            </w:r>
            <w:r>
              <w:rPr>
                <w:rFonts w:hint="eastAsia" w:cs="Times New Roman"/>
                <w:color w:val="000000" w:themeColor="text1"/>
                <w:sz w:val="24"/>
                <w:szCs w:val="24"/>
                <w:highlight w:val="none"/>
                <w:lang w:val="en-US" w:eastAsia="zh-CN"/>
                <w14:textFill>
                  <w14:solidFill>
                    <w14:schemeClr w14:val="tx1"/>
                  </w14:solidFill>
                </w14:textFill>
              </w:rPr>
              <w:t>电芯车间</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房间常数</w:t>
            </w:r>
            <w:r>
              <w:rPr>
                <w:rFonts w:hint="eastAsia" w:cs="Times New Roman"/>
                <w:color w:val="000000" w:themeColor="text1"/>
                <w:sz w:val="24"/>
                <w:szCs w:val="24"/>
                <w:highlight w:val="none"/>
                <w:lang w:val="en-US" w:eastAsia="zh-CN"/>
                <w14:textFill>
                  <w14:solidFill>
                    <w14:schemeClr w14:val="tx1"/>
                  </w14:solidFill>
                </w14:textFill>
              </w:rPr>
              <w:t>约</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为</w:t>
            </w:r>
            <w:r>
              <w:rPr>
                <w:rFonts w:hint="eastAsia" w:cs="Times New Roman"/>
                <w:color w:val="000000" w:themeColor="text1"/>
                <w:sz w:val="24"/>
                <w:szCs w:val="24"/>
                <w:highlight w:val="none"/>
                <w:lang w:val="en-US" w:eastAsia="zh-CN"/>
                <w14:textFill>
                  <w14:solidFill>
                    <w14:schemeClr w14:val="tx1"/>
                  </w14:solidFill>
                </w14:textFill>
              </w:rPr>
              <w:t>1336.23，集成车间房间常数约为508.9</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p>
          <w:p w14:paraId="2178D455">
            <w:pPr>
              <w:shd w:val="clear"/>
              <w:autoSpaceDE w:val="0"/>
              <w:autoSpaceDN w:val="0"/>
              <w:adjustRightInd w:val="0"/>
              <w:spacing w:line="360" w:lineRule="auto"/>
              <w:ind w:firstLine="960" w:firstLineChars="400"/>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L</w:t>
            </w:r>
            <w:r>
              <w:rPr>
                <w:rFonts w:hint="eastAsia"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W</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—点声源声功率级（A</w:t>
            </w:r>
            <w:r>
              <w:rPr>
                <w:rFonts w:hint="eastAsia" w:ascii="Times New Roman" w:hAnsi="Times New Roman" w:eastAsia="宋体" w:cs="Times New Roman"/>
                <w:color w:val="auto"/>
                <w:sz w:val="24"/>
                <w:szCs w:val="24"/>
                <w:highlight w:val="none"/>
                <w:lang w:val="en-US" w:eastAsia="zh-CN"/>
              </w:rPr>
              <w:t>计权或倍频带），dB；</w:t>
            </w:r>
          </w:p>
          <w:p w14:paraId="04D1CF2A">
            <w:pPr>
              <w:autoSpaceDE w:val="0"/>
              <w:autoSpaceDN w:val="0"/>
              <w:adjustRightInd w:val="0"/>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声源处于半自由声场，按如下公式计算：</w:t>
            </w:r>
          </w:p>
          <w:p w14:paraId="445323BB">
            <w:pPr>
              <w:keepNext w:val="0"/>
              <w:keepLines w:val="0"/>
              <w:pageBreakBefore w:val="0"/>
              <w:widowControl w:val="0"/>
              <w:kinsoku/>
              <w:wordWrap/>
              <w:overflowPunct/>
              <w:topLinePunct w:val="0"/>
              <w:autoSpaceDE/>
              <w:autoSpaceDN/>
              <w:bidi w:val="0"/>
              <w:adjustRightInd w:val="0"/>
              <w:snapToGrid w:val="0"/>
              <w:spacing w:before="63" w:beforeLines="20" w:after="63" w:afterLines="20" w:line="360" w:lineRule="auto"/>
              <w:ind w:right="0"/>
              <w:jc w:val="center"/>
              <w:textAlignment w:val="auto"/>
              <w:rPr>
                <w:rFonts w:hint="default" w:ascii="Times New Roman" w:hAnsi="Times New Roman" w:eastAsia="宋体" w:cs="Times New Roman"/>
                <w:color w:val="auto"/>
                <w:sz w:val="22"/>
                <w:szCs w:val="22"/>
                <w:highlight w:val="none"/>
              </w:rPr>
            </w:pPr>
            <w:r>
              <w:rPr>
                <w:rFonts w:ascii="Times New Roman" w:hAnsi="Times New Roman"/>
                <w:i/>
                <w:color w:val="auto"/>
                <w:position w:val="2"/>
                <w:sz w:val="28"/>
                <w:szCs w:val="28"/>
                <w:highlight w:val="none"/>
              </w:rPr>
              <w:t>L</w:t>
            </w:r>
            <w:r>
              <w:rPr>
                <w:rFonts w:hint="eastAsia" w:ascii="Times New Roman" w:hAnsi="Times New Roman"/>
                <w:i w:val="0"/>
                <w:iCs/>
                <w:color w:val="auto"/>
                <w:position w:val="-4"/>
                <w:sz w:val="28"/>
                <w:szCs w:val="28"/>
                <w:highlight w:val="none"/>
                <w:vertAlign w:val="subscript"/>
                <w:lang w:val="en-US" w:eastAsia="zh-CN"/>
              </w:rPr>
              <w:t>A</w:t>
            </w:r>
            <w:r>
              <w:rPr>
                <w:rFonts w:ascii="Symbol" w:hAnsi="Symbol"/>
                <w:color w:val="auto"/>
                <w:sz w:val="28"/>
                <w:szCs w:val="28"/>
                <w:highlight w:val="none"/>
              </w:rPr>
              <w:t></w:t>
            </w:r>
            <w:r>
              <w:rPr>
                <w:rFonts w:ascii="Times New Roman" w:hAnsi="Times New Roman"/>
                <w:i/>
                <w:color w:val="auto"/>
                <w:position w:val="2"/>
                <w:sz w:val="28"/>
                <w:szCs w:val="28"/>
                <w:highlight w:val="none"/>
              </w:rPr>
              <w:t>r</w:t>
            </w:r>
            <w:r>
              <w:rPr>
                <w:rFonts w:ascii="Symbol" w:hAnsi="Symbol"/>
                <w:color w:val="auto"/>
                <w:sz w:val="28"/>
                <w:szCs w:val="28"/>
                <w:highlight w:val="none"/>
              </w:rPr>
              <w:t></w:t>
            </w:r>
            <w:r>
              <w:rPr>
                <w:rFonts w:ascii="Symbol" w:hAnsi="Symbol"/>
                <w:color w:val="auto"/>
                <w:position w:val="2"/>
                <w:sz w:val="28"/>
                <w:szCs w:val="28"/>
                <w:highlight w:val="none"/>
              </w:rPr>
              <w:t></w:t>
            </w:r>
            <w:r>
              <w:rPr>
                <w:rFonts w:ascii="Times New Roman" w:hAnsi="Times New Roman"/>
                <w:i/>
                <w:color w:val="auto"/>
                <w:position w:val="2"/>
                <w:sz w:val="28"/>
                <w:szCs w:val="28"/>
                <w:highlight w:val="none"/>
              </w:rPr>
              <w:t>L</w:t>
            </w:r>
            <w:r>
              <w:rPr>
                <w:rFonts w:hint="eastAsia" w:ascii="Times New Roman" w:hAnsi="Times New Roman"/>
                <w:i w:val="0"/>
                <w:iCs/>
                <w:color w:val="auto"/>
                <w:position w:val="-4"/>
                <w:sz w:val="28"/>
                <w:szCs w:val="28"/>
                <w:highlight w:val="none"/>
                <w:vertAlign w:val="subscript"/>
                <w:lang w:val="en-US" w:eastAsia="zh-CN"/>
              </w:rPr>
              <w:t>A</w:t>
            </w:r>
            <w:r>
              <w:rPr>
                <w:rFonts w:ascii="Times New Roman" w:hAnsi="Times New Roman"/>
                <w:i/>
                <w:color w:val="auto"/>
                <w:position w:val="-4"/>
                <w:sz w:val="28"/>
                <w:szCs w:val="28"/>
                <w:highlight w:val="none"/>
              </w:rPr>
              <w:t>w</w:t>
            </w:r>
            <w:r>
              <w:rPr>
                <w:rFonts w:ascii="Symbol" w:hAnsi="Symbol"/>
                <w:color w:val="auto"/>
                <w:position w:val="2"/>
                <w:sz w:val="28"/>
                <w:szCs w:val="28"/>
                <w:highlight w:val="none"/>
              </w:rPr>
              <w:t></w:t>
            </w:r>
            <w:r>
              <w:rPr>
                <w:rFonts w:ascii="Times New Roman" w:hAnsi="Times New Roman"/>
                <w:color w:val="auto"/>
                <w:position w:val="2"/>
                <w:sz w:val="28"/>
                <w:szCs w:val="28"/>
                <w:highlight w:val="none"/>
              </w:rPr>
              <w:t>20lg</w:t>
            </w:r>
            <w:r>
              <w:rPr>
                <w:rFonts w:ascii="Times New Roman" w:hAnsi="Times New Roman"/>
                <w:i/>
                <w:color w:val="auto"/>
                <w:position w:val="2"/>
                <w:sz w:val="28"/>
                <w:szCs w:val="28"/>
                <w:highlight w:val="none"/>
              </w:rPr>
              <w:t>r</w:t>
            </w:r>
            <w:r>
              <w:rPr>
                <w:rFonts w:ascii="Symbol" w:hAnsi="Symbol"/>
                <w:color w:val="auto"/>
                <w:position w:val="2"/>
                <w:sz w:val="28"/>
                <w:szCs w:val="28"/>
                <w:highlight w:val="none"/>
              </w:rPr>
              <w:t></w:t>
            </w:r>
            <w:r>
              <w:rPr>
                <w:rFonts w:ascii="Times New Roman" w:hAnsi="Times New Roman"/>
                <w:color w:val="auto"/>
                <w:position w:val="2"/>
                <w:sz w:val="28"/>
                <w:szCs w:val="28"/>
                <w:highlight w:val="none"/>
              </w:rPr>
              <w:t>8</w:t>
            </w:r>
          </w:p>
          <w:p w14:paraId="5D2A62A1">
            <w:pPr>
              <w:autoSpaceDE w:val="0"/>
              <w:autoSpaceDN w:val="0"/>
              <w:adjustRightIn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式中：LA（R）—距声源r处的A声级，dB（A）；</w:t>
            </w:r>
          </w:p>
          <w:p w14:paraId="7C15154F">
            <w:pPr>
              <w:autoSpaceDE w:val="0"/>
              <w:autoSpaceDN w:val="0"/>
              <w:adjustRightInd w:val="0"/>
              <w:spacing w:line="360" w:lineRule="auto"/>
              <w:ind w:firstLine="1200" w:firstLineChars="5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L</w:t>
            </w:r>
            <w:r>
              <w:rPr>
                <w:rFonts w:hint="eastAsia" w:ascii="Times New Roman" w:hAnsi="Times New Roman" w:eastAsia="宋体" w:cs="Times New Roman"/>
                <w:color w:val="auto"/>
                <w:sz w:val="24"/>
                <w:szCs w:val="24"/>
                <w:highlight w:val="none"/>
                <w:vertAlign w:val="subscript"/>
                <w:lang w:val="en-US" w:eastAsia="zh-CN"/>
              </w:rPr>
              <w:t>AW</w:t>
            </w:r>
            <w:r>
              <w:rPr>
                <w:rFonts w:hint="eastAsia" w:ascii="Times New Roman" w:hAnsi="Times New Roman" w:eastAsia="宋体" w:cs="Times New Roman"/>
                <w:color w:val="auto"/>
                <w:sz w:val="24"/>
                <w:szCs w:val="24"/>
                <w:highlight w:val="none"/>
                <w:lang w:val="en-US" w:eastAsia="zh-CN"/>
              </w:rPr>
              <w:t>—点声源A计权声功率级，dB；</w:t>
            </w:r>
          </w:p>
          <w:p w14:paraId="5D5B0796">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r—预测点距声源的距离。（对声源取1）；</w:t>
            </w:r>
          </w:p>
          <w:p w14:paraId="7C0DE495">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imes New Roman" w:hAnsi="Times New Roman" w:eastAsia="宋体" w:cs="Times New Roman"/>
                <w:b w:val="0"/>
                <w:bCs w:val="0"/>
                <w:color w:val="auto"/>
                <w:sz w:val="24"/>
                <w:highlight w:val="none"/>
                <w:lang w:val="en-US" w:eastAsia="zh-CN"/>
              </w:rPr>
            </w:pPr>
            <w:r>
              <w:rPr>
                <w:rFonts w:hint="eastAsia" w:ascii="Times New Roman" w:hAnsi="Times New Roman" w:eastAsia="宋体" w:cs="Times New Roman"/>
                <w:b w:val="0"/>
                <w:bCs w:val="0"/>
                <w:color w:val="auto"/>
                <w:sz w:val="24"/>
                <w:highlight w:val="none"/>
                <w:lang w:val="en-US" w:eastAsia="zh-CN"/>
              </w:rPr>
              <w:t>2）建筑物隔声量</w:t>
            </w:r>
          </w:p>
          <w:p w14:paraId="165A27AB">
            <w:pPr>
              <w:keepNext w:val="0"/>
              <w:keepLines w:val="0"/>
              <w:pageBreakBefore w:val="0"/>
              <w:widowControl w:val="0"/>
              <w:kinsoku/>
              <w:wordWrap/>
              <w:overflowPunct/>
              <w:topLinePunct w:val="0"/>
              <w:autoSpaceDE w:val="0"/>
              <w:autoSpaceDN w:val="0"/>
              <w:bidi w:val="0"/>
              <w:adjustRightIn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根据《环境影响评价技术导则 声环境》（HJ2.4-2021）附录B.1.3室内声源等效室外声源声功率级计算方法，</w:t>
            </w:r>
            <w:r>
              <w:rPr>
                <w:rFonts w:hint="eastAsia" w:cs="Times New Roman"/>
                <w:color w:val="auto"/>
                <w:sz w:val="24"/>
                <w:szCs w:val="24"/>
                <w:highlight w:val="none"/>
                <w:lang w:val="en-US" w:eastAsia="zh-CN"/>
              </w:rPr>
              <w:t>公式</w:t>
            </w:r>
            <w:r>
              <w:rPr>
                <w:rFonts w:hint="eastAsia" w:ascii="Times New Roman" w:hAnsi="Times New Roman" w:eastAsia="宋体" w:cs="Times New Roman"/>
                <w:color w:val="auto"/>
                <w:sz w:val="24"/>
                <w:szCs w:val="24"/>
                <w:highlight w:val="none"/>
                <w:lang w:val="en-US" w:eastAsia="zh-CN"/>
              </w:rPr>
              <w:t>如下：</w:t>
            </w:r>
          </w:p>
          <w:p w14:paraId="6DC0181B">
            <w:pPr>
              <w:pStyle w:val="222"/>
              <w:keepNext w:val="0"/>
              <w:keepLines w:val="0"/>
              <w:pageBreakBefore w:val="0"/>
              <w:widowControl w:val="0"/>
              <w:kinsoku/>
              <w:wordWrap/>
              <w:overflowPunct/>
              <w:topLinePunct w:val="0"/>
              <w:autoSpaceDE/>
              <w:autoSpaceDN/>
              <w:bidi w:val="0"/>
              <w:adjustRightInd/>
              <w:snapToGrid w:val="0"/>
              <w:spacing w:line="360" w:lineRule="auto"/>
              <w:ind w:left="0" w:leftChars="0" w:firstLine="480" w:firstLineChars="200"/>
              <w:jc w:val="center"/>
              <w:textAlignment w:val="auto"/>
              <w:rPr>
                <w:rFonts w:hint="default" w:cs="Times New Roman"/>
                <w:color w:val="auto"/>
                <w:sz w:val="21"/>
                <w:szCs w:val="21"/>
                <w:highlight w:val="none"/>
                <w:lang w:val="en-US" w:eastAsia="zh-CN"/>
              </w:rPr>
            </w:pPr>
            <w:r>
              <w:rPr>
                <w:rFonts w:hint="eastAsia" w:cs="Times New Roman"/>
                <w:color w:val="auto"/>
                <w:highlight w:val="none"/>
                <w:lang w:val="en-US" w:eastAsia="zh-CN"/>
              </w:rPr>
              <w:t>L</w:t>
            </w:r>
            <w:r>
              <w:rPr>
                <w:rFonts w:hint="eastAsia" w:cs="Times New Roman"/>
                <w:color w:val="auto"/>
                <w:highlight w:val="none"/>
                <w:vertAlign w:val="subscript"/>
                <w:lang w:val="en-US" w:eastAsia="zh-CN"/>
              </w:rPr>
              <w:t>p2</w:t>
            </w:r>
            <w:r>
              <w:rPr>
                <w:rFonts w:hint="eastAsia" w:cs="Times New Roman"/>
                <w:color w:val="auto"/>
                <w:highlight w:val="none"/>
                <w:lang w:val="en-US" w:eastAsia="zh-CN"/>
              </w:rPr>
              <w:t>=L</w:t>
            </w:r>
            <w:r>
              <w:rPr>
                <w:rFonts w:hint="eastAsia" w:cs="Times New Roman"/>
                <w:color w:val="auto"/>
                <w:highlight w:val="none"/>
                <w:vertAlign w:val="subscript"/>
                <w:lang w:val="en-US" w:eastAsia="zh-CN"/>
              </w:rPr>
              <w:t>p1</w:t>
            </w:r>
            <w:r>
              <w:rPr>
                <w:rFonts w:hint="eastAsia" w:cs="Times New Roman"/>
                <w:color w:val="auto"/>
                <w:highlight w:val="none"/>
                <w:lang w:val="en-US" w:eastAsia="zh-CN"/>
              </w:rPr>
              <w:t>-（TL+6）</w:t>
            </w:r>
          </w:p>
          <w:p w14:paraId="50A8CF63">
            <w:pPr>
              <w:keepNext w:val="0"/>
              <w:keepLines w:val="0"/>
              <w:pageBreakBefore w:val="0"/>
              <w:widowControl w:val="0"/>
              <w:kinsoku/>
              <w:wordWrap/>
              <w:overflowPunct/>
              <w:topLinePunct w:val="0"/>
              <w:autoSpaceDE w:val="0"/>
              <w:autoSpaceDN w:val="0"/>
              <w:bidi w:val="0"/>
              <w:adjustRightIn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式中：L</w:t>
            </w:r>
            <w:r>
              <w:rPr>
                <w:rFonts w:hint="eastAsia" w:ascii="Times New Roman" w:hAnsi="Times New Roman" w:eastAsia="宋体" w:cs="Times New Roman"/>
                <w:color w:val="auto"/>
                <w:sz w:val="24"/>
                <w:szCs w:val="24"/>
                <w:highlight w:val="none"/>
                <w:vertAlign w:val="subscript"/>
                <w:lang w:val="en-US" w:eastAsia="zh-CN"/>
              </w:rPr>
              <w:t>P1</w:t>
            </w:r>
            <w:r>
              <w:rPr>
                <w:rFonts w:hint="eastAsia" w:ascii="Times New Roman" w:hAnsi="Times New Roman" w:eastAsia="宋体" w:cs="Times New Roman"/>
                <w:color w:val="auto"/>
                <w:sz w:val="24"/>
                <w:szCs w:val="24"/>
                <w:highlight w:val="none"/>
                <w:lang w:val="en-US" w:eastAsia="zh-CN"/>
              </w:rPr>
              <w:t>—靠近开口处（或窗户）室内某倍频带的声压级或A声级，dB；</w:t>
            </w:r>
          </w:p>
          <w:p w14:paraId="34B68F87">
            <w:pPr>
              <w:keepNext w:val="0"/>
              <w:keepLines w:val="0"/>
              <w:pageBreakBefore w:val="0"/>
              <w:widowControl w:val="0"/>
              <w:kinsoku/>
              <w:wordWrap/>
              <w:overflowPunct/>
              <w:topLinePunct w:val="0"/>
              <w:autoSpaceDE w:val="0"/>
              <w:autoSpaceDN w:val="0"/>
              <w:bidi w:val="0"/>
              <w:adjustRightIn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L</w:t>
            </w:r>
            <w:r>
              <w:rPr>
                <w:rFonts w:hint="eastAsia" w:ascii="Times New Roman" w:hAnsi="Times New Roman" w:eastAsia="宋体" w:cs="Times New Roman"/>
                <w:color w:val="auto"/>
                <w:sz w:val="24"/>
                <w:szCs w:val="24"/>
                <w:highlight w:val="none"/>
                <w:vertAlign w:val="subscript"/>
                <w:lang w:val="en-US" w:eastAsia="zh-CN"/>
              </w:rPr>
              <w:t>P2</w:t>
            </w:r>
            <w:r>
              <w:rPr>
                <w:rFonts w:hint="eastAsia" w:ascii="Times New Roman" w:hAnsi="Times New Roman" w:eastAsia="宋体" w:cs="Times New Roman"/>
                <w:color w:val="auto"/>
                <w:sz w:val="24"/>
                <w:szCs w:val="24"/>
                <w:highlight w:val="none"/>
                <w:lang w:val="en-US" w:eastAsia="zh-CN"/>
              </w:rPr>
              <w:t>—靠近开口处（或窗户）室外某倍频带的声压级或A声级，dB；</w:t>
            </w:r>
          </w:p>
          <w:p w14:paraId="7F536D09">
            <w:pPr>
              <w:keepNext w:val="0"/>
              <w:keepLines w:val="0"/>
              <w:pageBreakBefore w:val="0"/>
              <w:widowControl w:val="0"/>
              <w:kinsoku/>
              <w:wordWrap/>
              <w:overflowPunct/>
              <w:topLinePunct w:val="0"/>
              <w:autoSpaceDE w:val="0"/>
              <w:autoSpaceDN w:val="0"/>
              <w:bidi w:val="0"/>
              <w:adjustRightIn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TL—隔窗（或窗户）倍频带或A声级的隔声量，dB。</w:t>
            </w:r>
          </w:p>
          <w:p w14:paraId="56D6145E">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default" w:ascii="Times New Roman" w:hAnsi="Times New Roman" w:eastAsia="宋体" w:cs="Times New Roman"/>
                <w:b w:val="0"/>
                <w:bCs w:val="0"/>
                <w:color w:val="auto"/>
                <w:sz w:val="24"/>
                <w:highlight w:val="none"/>
                <w:lang w:val="en-US" w:eastAsia="zh-CN"/>
              </w:rPr>
            </w:pPr>
            <w:r>
              <w:rPr>
                <w:rFonts w:hint="eastAsia" w:ascii="Times New Roman" w:hAnsi="Times New Roman" w:eastAsia="宋体" w:cs="Times New Roman"/>
                <w:color w:val="auto"/>
                <w:sz w:val="24"/>
                <w:szCs w:val="24"/>
                <w:highlight w:val="none"/>
                <w:lang w:val="en-US" w:eastAsia="zh-CN"/>
              </w:rPr>
              <w:t>本项目</w:t>
            </w:r>
            <w:r>
              <w:rPr>
                <w:rFonts w:hint="eastAsia" w:ascii="Times New Roman" w:hAnsi="Times New Roman" w:eastAsia="宋体" w:cs="Times New Roman"/>
                <w:b w:val="0"/>
                <w:bCs w:val="0"/>
                <w:color w:val="auto"/>
                <w:kern w:val="0"/>
                <w:sz w:val="24"/>
                <w:szCs w:val="24"/>
                <w:highlight w:val="none"/>
                <w:lang w:val="en-US" w:eastAsia="zh-CN" w:bidi="ar-SA"/>
              </w:rPr>
              <w:t>为钢筋混凝土框架结构，根据《环境工程手册 环境噪声控制卷》（2000年）中表4-15可知，厂房窗户为中空玻璃，无乳胶条，隔声量为18.3dB。因此，本项目厂房的隔声量TL取</w:t>
            </w:r>
            <w:r>
              <w:rPr>
                <w:rFonts w:hint="eastAsia" w:cs="Times New Roman"/>
                <w:b w:val="0"/>
                <w:bCs w:val="0"/>
                <w:color w:val="auto"/>
                <w:kern w:val="0"/>
                <w:sz w:val="24"/>
                <w:szCs w:val="24"/>
                <w:highlight w:val="none"/>
                <w:lang w:val="en-US" w:eastAsia="zh-CN" w:bidi="ar-SA"/>
              </w:rPr>
              <w:t>24.3</w:t>
            </w:r>
            <w:r>
              <w:rPr>
                <w:rFonts w:hint="eastAsia" w:ascii="Times New Roman" w:hAnsi="Times New Roman" w:eastAsia="宋体" w:cs="Times New Roman"/>
                <w:b w:val="0"/>
                <w:bCs w:val="0"/>
                <w:color w:val="auto"/>
                <w:kern w:val="0"/>
                <w:sz w:val="24"/>
                <w:szCs w:val="24"/>
                <w:highlight w:val="none"/>
                <w:lang w:val="en-US" w:eastAsia="zh-CN" w:bidi="ar-SA"/>
              </w:rPr>
              <w:t>dB</w:t>
            </w:r>
            <w:r>
              <w:rPr>
                <w:rFonts w:hint="eastAsia" w:cs="Times New Roman"/>
                <w:b w:val="0"/>
                <w:bCs w:val="0"/>
                <w:color w:val="auto"/>
                <w:kern w:val="0"/>
                <w:sz w:val="24"/>
                <w:szCs w:val="24"/>
                <w:highlight w:val="none"/>
                <w:lang w:val="en-US" w:eastAsia="zh-CN" w:bidi="ar-SA"/>
              </w:rPr>
              <w:t>。</w:t>
            </w:r>
          </w:p>
          <w:p w14:paraId="02280E3E">
            <w:pPr>
              <w:pStyle w:val="66"/>
              <w:spacing w:line="360" w:lineRule="auto"/>
              <w:rPr>
                <w:rFonts w:hint="eastAsia"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根据以上公式计算，本项目噪声源强调查清单见下表</w:t>
            </w:r>
            <w:r>
              <w:rPr>
                <w:rFonts w:hint="eastAsia" w:cs="Times New Roman"/>
                <w:color w:val="auto"/>
                <w:sz w:val="24"/>
                <w:szCs w:val="24"/>
                <w:highlight w:val="none"/>
                <w:lang w:val="en-US" w:eastAsia="zh-CN"/>
              </w:rPr>
              <w:t>。</w:t>
            </w:r>
          </w:p>
          <w:p w14:paraId="1F8EDC3D">
            <w:pPr>
              <w:pStyle w:val="66"/>
              <w:spacing w:line="360" w:lineRule="auto"/>
              <w:rPr>
                <w:rFonts w:hint="eastAsia" w:cs="Times New Roman"/>
                <w:color w:val="auto"/>
                <w:sz w:val="24"/>
                <w:szCs w:val="24"/>
                <w:highlight w:val="none"/>
                <w:lang w:val="en-US" w:eastAsia="zh-CN"/>
              </w:rPr>
            </w:pPr>
          </w:p>
          <w:p w14:paraId="4F0F6F14">
            <w:pPr>
              <w:pStyle w:val="68"/>
              <w:rPr>
                <w:color w:val="auto"/>
                <w:vertAlign w:val="baseline"/>
              </w:rPr>
            </w:pPr>
          </w:p>
        </w:tc>
      </w:tr>
    </w:tbl>
    <w:p w14:paraId="44AFD188">
      <w:pPr>
        <w:pStyle w:val="68"/>
        <w:rPr>
          <w:color w:val="auto"/>
        </w:rPr>
        <w:sectPr>
          <w:pgSz w:w="11906" w:h="16838"/>
          <w:pgMar w:top="1701" w:right="1531" w:bottom="1701" w:left="1531" w:header="851" w:footer="1021" w:gutter="0"/>
          <w:cols w:space="720" w:num="1"/>
          <w:docGrid w:linePitch="312" w:charSpace="0"/>
        </w:sectPr>
      </w:pPr>
    </w:p>
    <w:p w14:paraId="07B1600B">
      <w:pPr>
        <w:pStyle w:val="68"/>
        <w:rPr>
          <w:rFonts w:hint="default" w:ascii="Times New Roman" w:hAnsi="Times New Roman" w:eastAsia="宋体" w:cs="Times New Roman"/>
          <w:b/>
          <w:bCs/>
          <w:color w:val="000000" w:themeColor="text1"/>
          <w14:textFill>
            <w14:solidFill>
              <w14:schemeClr w14:val="tx1"/>
            </w14:solidFill>
          </w14:textFill>
        </w:rPr>
      </w:pPr>
      <w:r>
        <w:rPr>
          <w:rFonts w:hint="default" w:ascii="Times New Roman" w:hAnsi="Times New Roman" w:eastAsia="宋体" w:cs="Times New Roman"/>
          <w:b/>
          <w:bCs/>
          <w:color w:val="000000" w:themeColor="text1"/>
          <w14:textFill>
            <w14:solidFill>
              <w14:schemeClr w14:val="tx1"/>
            </w14:solidFill>
          </w14:textFill>
        </w:rPr>
        <w:t>表4-</w:t>
      </w:r>
      <w:r>
        <w:rPr>
          <w:rFonts w:hint="eastAsia" w:eastAsia="宋体" w:cs="Times New Roman"/>
          <w:b/>
          <w:bCs/>
          <w:color w:val="000000" w:themeColor="text1"/>
          <w:lang w:val="en-US" w:eastAsia="zh-CN"/>
          <w14:textFill>
            <w14:solidFill>
              <w14:schemeClr w14:val="tx1"/>
            </w14:solidFill>
          </w14:textFill>
        </w:rPr>
        <w:t>16</w:t>
      </w:r>
      <w:r>
        <w:rPr>
          <w:rFonts w:hint="default" w:ascii="Times New Roman" w:hAnsi="Times New Roman" w:eastAsia="宋体" w:cs="Times New Roman"/>
          <w:b/>
          <w:bCs/>
          <w:color w:val="000000" w:themeColor="text1"/>
          <w14:textFill>
            <w14:solidFill>
              <w14:schemeClr w14:val="tx1"/>
            </w14:solidFill>
          </w14:textFill>
        </w:rPr>
        <w:t xml:space="preserve">  </w:t>
      </w:r>
      <w:r>
        <w:rPr>
          <w:rFonts w:hint="eastAsia"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t>室内噪声设备与室内边界距离及建筑物外距离一览表（单位：dB（A））</w:t>
      </w:r>
    </w:p>
    <w:tbl>
      <w:tblPr>
        <w:tblStyle w:val="41"/>
        <w:tblW w:w="1393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427"/>
        <w:gridCol w:w="714"/>
        <w:gridCol w:w="714"/>
        <w:gridCol w:w="537"/>
        <w:gridCol w:w="537"/>
        <w:gridCol w:w="537"/>
        <w:gridCol w:w="558"/>
        <w:gridCol w:w="537"/>
        <w:gridCol w:w="537"/>
        <w:gridCol w:w="542"/>
        <w:gridCol w:w="558"/>
        <w:gridCol w:w="542"/>
        <w:gridCol w:w="542"/>
        <w:gridCol w:w="542"/>
        <w:gridCol w:w="555"/>
        <w:gridCol w:w="542"/>
        <w:gridCol w:w="897"/>
        <w:gridCol w:w="746"/>
        <w:gridCol w:w="689"/>
        <w:gridCol w:w="838"/>
        <w:gridCol w:w="750"/>
        <w:gridCol w:w="1096"/>
      </w:tblGrid>
      <w:tr w14:paraId="5C6181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427" w:type="dxa"/>
            <w:vMerge w:val="restart"/>
            <w:shd w:val="clear" w:color="auto" w:fill="auto"/>
            <w:noWrap w:val="0"/>
            <w:vAlign w:val="center"/>
          </w:tcPr>
          <w:p w14:paraId="1233BB8C">
            <w:pPr>
              <w:spacing w:line="280" w:lineRule="exact"/>
              <w:jc w:val="center"/>
              <w:rPr>
                <w:rFonts w:ascii="Times New Roman" w:hAnsi="Times New Roman"/>
                <w:b/>
                <w:bCs/>
                <w:color w:val="000000" w:themeColor="text1"/>
                <w:szCs w:val="21"/>
                <w:highlight w:val="none"/>
                <w14:textFill>
                  <w14:solidFill>
                    <w14:schemeClr w14:val="tx1"/>
                  </w14:solidFill>
                </w14:textFill>
              </w:rPr>
            </w:pPr>
            <w:r>
              <w:rPr>
                <w:rFonts w:hint="eastAsia" w:ascii="Times New Roman" w:hAnsi="Times New Roman"/>
                <w:b/>
                <w:bCs/>
                <w:color w:val="000000" w:themeColor="text1"/>
                <w:szCs w:val="21"/>
                <w:highlight w:val="none"/>
                <w14:textFill>
                  <w14:solidFill>
                    <w14:schemeClr w14:val="tx1"/>
                  </w14:solidFill>
                </w14:textFill>
              </w:rPr>
              <w:t>序号</w:t>
            </w:r>
          </w:p>
        </w:tc>
        <w:tc>
          <w:tcPr>
            <w:tcW w:w="1428" w:type="dxa"/>
            <w:gridSpan w:val="2"/>
            <w:vMerge w:val="restart"/>
            <w:shd w:val="clear" w:color="auto" w:fill="auto"/>
            <w:noWrap w:val="0"/>
            <w:vAlign w:val="center"/>
          </w:tcPr>
          <w:p w14:paraId="64BF1777">
            <w:pPr>
              <w:spacing w:line="280" w:lineRule="exact"/>
              <w:jc w:val="center"/>
              <w:rPr>
                <w:rFonts w:ascii="Times New Roman" w:hAnsi="Times New Roman"/>
                <w:b/>
                <w:bCs/>
                <w:color w:val="000000" w:themeColor="text1"/>
                <w:szCs w:val="21"/>
                <w:highlight w:val="none"/>
                <w14:textFill>
                  <w14:solidFill>
                    <w14:schemeClr w14:val="tx1"/>
                  </w14:solidFill>
                </w14:textFill>
              </w:rPr>
            </w:pPr>
            <w:r>
              <w:rPr>
                <w:rFonts w:hint="eastAsia" w:ascii="Times New Roman" w:hAnsi="Times New Roman"/>
                <w:b/>
                <w:bCs/>
                <w:color w:val="000000" w:themeColor="text1"/>
                <w:szCs w:val="21"/>
                <w:highlight w:val="none"/>
                <w14:textFill>
                  <w14:solidFill>
                    <w14:schemeClr w14:val="tx1"/>
                  </w14:solidFill>
                </w14:textFill>
              </w:rPr>
              <w:t>声源名称</w:t>
            </w:r>
          </w:p>
        </w:tc>
        <w:tc>
          <w:tcPr>
            <w:tcW w:w="537" w:type="dxa"/>
            <w:vMerge w:val="restart"/>
            <w:shd w:val="clear" w:color="auto" w:fill="auto"/>
            <w:noWrap w:val="0"/>
            <w:vAlign w:val="center"/>
          </w:tcPr>
          <w:p w14:paraId="49FB9D4B">
            <w:pPr>
              <w:spacing w:line="280" w:lineRule="exact"/>
              <w:jc w:val="center"/>
              <w:rPr>
                <w:rFonts w:ascii="Times New Roman" w:hAnsi="Times New Roman"/>
                <w:b/>
                <w:bCs/>
                <w:color w:val="000000" w:themeColor="text1"/>
                <w:szCs w:val="21"/>
                <w:highlight w:val="none"/>
                <w14:textFill>
                  <w14:solidFill>
                    <w14:schemeClr w14:val="tx1"/>
                  </w14:solidFill>
                </w14:textFill>
              </w:rPr>
            </w:pPr>
            <w:r>
              <w:rPr>
                <w:rFonts w:hint="eastAsia" w:ascii="Times New Roman" w:hAnsi="Times New Roman"/>
                <w:b/>
                <w:bCs/>
                <w:color w:val="000000" w:themeColor="text1"/>
                <w:szCs w:val="21"/>
                <w:highlight w:val="none"/>
                <w14:textFill>
                  <w14:solidFill>
                    <w14:schemeClr w14:val="tx1"/>
                  </w14:solidFill>
                </w14:textFill>
              </w:rPr>
              <w:t>源强</w:t>
            </w:r>
          </w:p>
        </w:tc>
        <w:tc>
          <w:tcPr>
            <w:tcW w:w="1632" w:type="dxa"/>
            <w:gridSpan w:val="3"/>
            <w:vMerge w:val="restart"/>
            <w:shd w:val="clear" w:color="auto" w:fill="auto"/>
            <w:noWrap w:val="0"/>
            <w:vAlign w:val="center"/>
          </w:tcPr>
          <w:p w14:paraId="6066113D">
            <w:pPr>
              <w:spacing w:line="280" w:lineRule="exact"/>
              <w:jc w:val="center"/>
              <w:rPr>
                <w:rFonts w:ascii="Times New Roman" w:hAnsi="Times New Roman"/>
                <w:b/>
                <w:bCs/>
                <w:color w:val="000000" w:themeColor="text1"/>
                <w:szCs w:val="21"/>
                <w:highlight w:val="none"/>
                <w14:textFill>
                  <w14:solidFill>
                    <w14:schemeClr w14:val="tx1"/>
                  </w14:solidFill>
                </w14:textFill>
              </w:rPr>
            </w:pPr>
            <w:r>
              <w:rPr>
                <w:rFonts w:hint="eastAsia" w:ascii="Times New Roman" w:hAnsi="Times New Roman"/>
                <w:b/>
                <w:bCs/>
                <w:color w:val="000000" w:themeColor="text1"/>
                <w:szCs w:val="21"/>
                <w:highlight w:val="none"/>
                <w14:textFill>
                  <w14:solidFill>
                    <w14:schemeClr w14:val="tx1"/>
                  </w14:solidFill>
                </w14:textFill>
              </w:rPr>
              <w:t>空间相对位置/m</w:t>
            </w:r>
          </w:p>
        </w:tc>
        <w:tc>
          <w:tcPr>
            <w:tcW w:w="4355" w:type="dxa"/>
            <w:gridSpan w:val="8"/>
            <w:shd w:val="clear" w:color="auto" w:fill="auto"/>
            <w:noWrap w:val="0"/>
            <w:vAlign w:val="center"/>
          </w:tcPr>
          <w:p w14:paraId="7AB69C9C">
            <w:pPr>
              <w:spacing w:line="280" w:lineRule="exact"/>
              <w:jc w:val="center"/>
              <w:rPr>
                <w:rFonts w:ascii="Times New Roman" w:hAnsi="Times New Roman"/>
                <w:b/>
                <w:bCs/>
                <w:color w:val="000000" w:themeColor="text1"/>
                <w:szCs w:val="21"/>
                <w:highlight w:val="none"/>
                <w14:textFill>
                  <w14:solidFill>
                    <w14:schemeClr w14:val="tx1"/>
                  </w14:solidFill>
                </w14:textFill>
              </w:rPr>
            </w:pPr>
            <w:r>
              <w:rPr>
                <w:rFonts w:hint="eastAsia" w:ascii="Times New Roman" w:hAnsi="Times New Roman"/>
                <w:b/>
                <w:bCs/>
                <w:color w:val="000000" w:themeColor="text1"/>
                <w:szCs w:val="21"/>
                <w:highlight w:val="none"/>
                <w14:textFill>
                  <w14:solidFill>
                    <w14:schemeClr w14:val="tx1"/>
                  </w14:solidFill>
                </w14:textFill>
              </w:rPr>
              <w:t>室内边界噪声</w:t>
            </w:r>
          </w:p>
        </w:tc>
        <w:tc>
          <w:tcPr>
            <w:tcW w:w="542" w:type="dxa"/>
            <w:vMerge w:val="restart"/>
            <w:shd w:val="clear" w:color="auto" w:fill="auto"/>
            <w:noWrap w:val="0"/>
            <w:vAlign w:val="center"/>
          </w:tcPr>
          <w:p w14:paraId="7C205153">
            <w:pPr>
              <w:spacing w:line="280" w:lineRule="exact"/>
              <w:jc w:val="center"/>
              <w:rPr>
                <w:rFonts w:ascii="Times New Roman" w:hAnsi="Times New Roman"/>
                <w:b/>
                <w:bCs/>
                <w:color w:val="000000" w:themeColor="text1"/>
                <w:szCs w:val="21"/>
                <w:highlight w:val="none"/>
                <w14:textFill>
                  <w14:solidFill>
                    <w14:schemeClr w14:val="tx1"/>
                  </w14:solidFill>
                </w14:textFill>
              </w:rPr>
            </w:pPr>
            <w:r>
              <w:rPr>
                <w:rFonts w:hint="eastAsia" w:ascii="Times New Roman" w:hAnsi="Times New Roman"/>
                <w:b/>
                <w:bCs/>
                <w:color w:val="000000" w:themeColor="text1"/>
                <w:szCs w:val="21"/>
                <w:highlight w:val="none"/>
                <w14:textFill>
                  <w14:solidFill>
                    <w14:schemeClr w14:val="tx1"/>
                  </w14:solidFill>
                </w14:textFill>
              </w:rPr>
              <w:t>运行时段</w:t>
            </w:r>
          </w:p>
        </w:tc>
        <w:tc>
          <w:tcPr>
            <w:tcW w:w="897" w:type="dxa"/>
            <w:vMerge w:val="restart"/>
            <w:shd w:val="clear" w:color="auto" w:fill="auto"/>
            <w:noWrap w:val="0"/>
            <w:vAlign w:val="center"/>
          </w:tcPr>
          <w:p w14:paraId="2DCCA315">
            <w:pPr>
              <w:spacing w:line="280" w:lineRule="exact"/>
              <w:jc w:val="center"/>
              <w:rPr>
                <w:rFonts w:ascii="Times New Roman" w:hAnsi="Times New Roman"/>
                <w:b/>
                <w:bCs/>
                <w:color w:val="000000" w:themeColor="text1"/>
                <w:szCs w:val="21"/>
                <w:highlight w:val="none"/>
                <w14:textFill>
                  <w14:solidFill>
                    <w14:schemeClr w14:val="tx1"/>
                  </w14:solidFill>
                </w14:textFill>
              </w:rPr>
            </w:pPr>
            <w:r>
              <w:rPr>
                <w:rFonts w:hint="eastAsia" w:ascii="Times New Roman" w:hAnsi="Times New Roman"/>
                <w:b/>
                <w:bCs/>
                <w:color w:val="000000" w:themeColor="text1"/>
                <w:szCs w:val="21"/>
                <w:highlight w:val="none"/>
                <w14:textFill>
                  <w14:solidFill>
                    <w14:schemeClr w14:val="tx1"/>
                  </w14:solidFill>
                </w14:textFill>
              </w:rPr>
              <w:t>建筑插入损失</w:t>
            </w:r>
          </w:p>
        </w:tc>
        <w:tc>
          <w:tcPr>
            <w:tcW w:w="4119" w:type="dxa"/>
            <w:gridSpan w:val="5"/>
            <w:shd w:val="clear" w:color="auto" w:fill="auto"/>
            <w:noWrap w:val="0"/>
            <w:vAlign w:val="center"/>
          </w:tcPr>
          <w:p w14:paraId="6D286AEE">
            <w:pPr>
              <w:spacing w:line="280" w:lineRule="exact"/>
              <w:jc w:val="center"/>
              <w:rPr>
                <w:rFonts w:ascii="Times New Roman" w:hAnsi="Times New Roman"/>
                <w:b/>
                <w:bCs/>
                <w:color w:val="000000" w:themeColor="text1"/>
                <w:szCs w:val="21"/>
                <w:highlight w:val="none"/>
                <w14:textFill>
                  <w14:solidFill>
                    <w14:schemeClr w14:val="tx1"/>
                  </w14:solidFill>
                </w14:textFill>
              </w:rPr>
            </w:pPr>
            <w:r>
              <w:rPr>
                <w:rFonts w:hint="eastAsia" w:ascii="Times New Roman" w:hAnsi="Times New Roman"/>
                <w:b/>
                <w:bCs/>
                <w:color w:val="000000" w:themeColor="text1"/>
                <w:szCs w:val="21"/>
                <w:highlight w:val="none"/>
                <w14:textFill>
                  <w14:solidFill>
                    <w14:schemeClr w14:val="tx1"/>
                  </w14:solidFill>
                </w14:textFill>
              </w:rPr>
              <w:t>建筑物外噪声</w:t>
            </w:r>
          </w:p>
        </w:tc>
      </w:tr>
      <w:tr w14:paraId="6D9C67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vMerge w:val="continue"/>
            <w:shd w:val="clear" w:color="auto" w:fill="auto"/>
            <w:noWrap w:val="0"/>
            <w:vAlign w:val="center"/>
          </w:tcPr>
          <w:p w14:paraId="0C5CB927">
            <w:pPr>
              <w:spacing w:line="280" w:lineRule="exact"/>
              <w:jc w:val="center"/>
              <w:rPr>
                <w:rFonts w:ascii="Times New Roman" w:hAnsi="Times New Roman"/>
                <w:b/>
                <w:bCs/>
                <w:color w:val="000000" w:themeColor="text1"/>
                <w:szCs w:val="21"/>
                <w:highlight w:val="none"/>
                <w14:textFill>
                  <w14:solidFill>
                    <w14:schemeClr w14:val="tx1"/>
                  </w14:solidFill>
                </w14:textFill>
              </w:rPr>
            </w:pPr>
          </w:p>
        </w:tc>
        <w:tc>
          <w:tcPr>
            <w:tcW w:w="1428" w:type="dxa"/>
            <w:gridSpan w:val="2"/>
            <w:vMerge w:val="continue"/>
            <w:shd w:val="clear" w:color="auto" w:fill="auto"/>
            <w:noWrap w:val="0"/>
            <w:vAlign w:val="center"/>
          </w:tcPr>
          <w:p w14:paraId="62680334">
            <w:pPr>
              <w:spacing w:line="280" w:lineRule="exact"/>
              <w:jc w:val="center"/>
              <w:rPr>
                <w:rFonts w:ascii="Times New Roman" w:hAnsi="Times New Roman"/>
                <w:b/>
                <w:bCs/>
                <w:color w:val="000000" w:themeColor="text1"/>
                <w:szCs w:val="21"/>
                <w:highlight w:val="none"/>
                <w14:textFill>
                  <w14:solidFill>
                    <w14:schemeClr w14:val="tx1"/>
                  </w14:solidFill>
                </w14:textFill>
              </w:rPr>
            </w:pPr>
          </w:p>
        </w:tc>
        <w:tc>
          <w:tcPr>
            <w:tcW w:w="537" w:type="dxa"/>
            <w:vMerge w:val="continue"/>
            <w:shd w:val="clear" w:color="auto" w:fill="auto"/>
            <w:noWrap w:val="0"/>
            <w:vAlign w:val="center"/>
          </w:tcPr>
          <w:p w14:paraId="673E5621">
            <w:pPr>
              <w:spacing w:line="280" w:lineRule="exact"/>
              <w:jc w:val="center"/>
              <w:rPr>
                <w:rFonts w:ascii="Times New Roman" w:hAnsi="Times New Roman"/>
                <w:b/>
                <w:bCs/>
                <w:color w:val="000000" w:themeColor="text1"/>
                <w:szCs w:val="21"/>
                <w:highlight w:val="none"/>
                <w14:textFill>
                  <w14:solidFill>
                    <w14:schemeClr w14:val="tx1"/>
                  </w14:solidFill>
                </w14:textFill>
              </w:rPr>
            </w:pPr>
          </w:p>
        </w:tc>
        <w:tc>
          <w:tcPr>
            <w:tcW w:w="1632" w:type="dxa"/>
            <w:gridSpan w:val="3"/>
            <w:vMerge w:val="continue"/>
            <w:shd w:val="clear" w:color="auto" w:fill="auto"/>
            <w:noWrap w:val="0"/>
            <w:vAlign w:val="center"/>
          </w:tcPr>
          <w:p w14:paraId="4740C18D">
            <w:pPr>
              <w:spacing w:line="280" w:lineRule="exact"/>
              <w:jc w:val="center"/>
              <w:rPr>
                <w:rFonts w:ascii="Times New Roman" w:hAnsi="Times New Roman"/>
                <w:b/>
                <w:bCs/>
                <w:color w:val="000000" w:themeColor="text1"/>
                <w:szCs w:val="21"/>
                <w:highlight w:val="none"/>
                <w14:textFill>
                  <w14:solidFill>
                    <w14:schemeClr w14:val="tx1"/>
                  </w14:solidFill>
                </w14:textFill>
              </w:rPr>
            </w:pPr>
          </w:p>
        </w:tc>
        <w:tc>
          <w:tcPr>
            <w:tcW w:w="2174" w:type="dxa"/>
            <w:gridSpan w:val="4"/>
            <w:shd w:val="clear" w:color="auto" w:fill="auto"/>
            <w:noWrap w:val="0"/>
            <w:vAlign w:val="center"/>
          </w:tcPr>
          <w:p w14:paraId="17D34E8B">
            <w:pPr>
              <w:spacing w:line="280" w:lineRule="exact"/>
              <w:jc w:val="center"/>
              <w:rPr>
                <w:rFonts w:ascii="Times New Roman" w:hAnsi="Times New Roman"/>
                <w:b/>
                <w:bCs/>
                <w:color w:val="000000" w:themeColor="text1"/>
                <w:szCs w:val="21"/>
                <w:highlight w:val="none"/>
                <w14:textFill>
                  <w14:solidFill>
                    <w14:schemeClr w14:val="tx1"/>
                  </w14:solidFill>
                </w14:textFill>
              </w:rPr>
            </w:pPr>
            <w:r>
              <w:rPr>
                <w:rFonts w:hint="eastAsia" w:ascii="Times New Roman" w:hAnsi="Times New Roman"/>
                <w:b/>
                <w:bCs/>
                <w:color w:val="000000" w:themeColor="text1"/>
                <w:szCs w:val="21"/>
                <w:highlight w:val="none"/>
                <w14:textFill>
                  <w14:solidFill>
                    <w14:schemeClr w14:val="tx1"/>
                  </w14:solidFill>
                </w14:textFill>
              </w:rPr>
              <w:t>距室内边界距离</w:t>
            </w:r>
          </w:p>
        </w:tc>
        <w:tc>
          <w:tcPr>
            <w:tcW w:w="2181" w:type="dxa"/>
            <w:gridSpan w:val="4"/>
            <w:shd w:val="clear" w:color="auto" w:fill="auto"/>
            <w:noWrap w:val="0"/>
            <w:vAlign w:val="center"/>
          </w:tcPr>
          <w:p w14:paraId="4488577F">
            <w:pPr>
              <w:spacing w:line="280" w:lineRule="exact"/>
              <w:jc w:val="center"/>
              <w:rPr>
                <w:rFonts w:ascii="Times New Roman" w:hAnsi="Times New Roman"/>
                <w:b/>
                <w:bCs/>
                <w:color w:val="000000" w:themeColor="text1"/>
                <w:szCs w:val="21"/>
                <w:highlight w:val="none"/>
                <w14:textFill>
                  <w14:solidFill>
                    <w14:schemeClr w14:val="tx1"/>
                  </w14:solidFill>
                </w14:textFill>
              </w:rPr>
            </w:pPr>
            <w:r>
              <w:rPr>
                <w:rFonts w:hint="eastAsia" w:ascii="Times New Roman" w:hAnsi="Times New Roman"/>
                <w:b/>
                <w:bCs/>
                <w:color w:val="000000" w:themeColor="text1"/>
                <w:szCs w:val="21"/>
                <w:highlight w:val="none"/>
                <w14:textFill>
                  <w14:solidFill>
                    <w14:schemeClr w14:val="tx1"/>
                  </w14:solidFill>
                </w14:textFill>
              </w:rPr>
              <w:t>室内边界声级</w:t>
            </w:r>
          </w:p>
        </w:tc>
        <w:tc>
          <w:tcPr>
            <w:tcW w:w="542" w:type="dxa"/>
            <w:vMerge w:val="continue"/>
            <w:shd w:val="clear" w:color="auto" w:fill="auto"/>
            <w:noWrap w:val="0"/>
            <w:vAlign w:val="center"/>
          </w:tcPr>
          <w:p w14:paraId="600CF80F">
            <w:pPr>
              <w:spacing w:line="280" w:lineRule="exact"/>
              <w:jc w:val="center"/>
              <w:rPr>
                <w:rFonts w:ascii="Times New Roman" w:hAnsi="Times New Roman"/>
                <w:b/>
                <w:bCs/>
                <w:color w:val="000000" w:themeColor="text1"/>
                <w:szCs w:val="21"/>
                <w:highlight w:val="none"/>
                <w14:textFill>
                  <w14:solidFill>
                    <w14:schemeClr w14:val="tx1"/>
                  </w14:solidFill>
                </w14:textFill>
              </w:rPr>
            </w:pPr>
          </w:p>
        </w:tc>
        <w:tc>
          <w:tcPr>
            <w:tcW w:w="897" w:type="dxa"/>
            <w:vMerge w:val="continue"/>
            <w:shd w:val="clear" w:color="auto" w:fill="auto"/>
            <w:noWrap w:val="0"/>
            <w:vAlign w:val="center"/>
          </w:tcPr>
          <w:p w14:paraId="39535A12">
            <w:pPr>
              <w:spacing w:line="280" w:lineRule="exact"/>
              <w:jc w:val="center"/>
              <w:rPr>
                <w:rFonts w:ascii="Times New Roman" w:hAnsi="Times New Roman"/>
                <w:b/>
                <w:bCs/>
                <w:color w:val="000000" w:themeColor="text1"/>
                <w:szCs w:val="21"/>
                <w:highlight w:val="none"/>
                <w14:textFill>
                  <w14:solidFill>
                    <w14:schemeClr w14:val="tx1"/>
                  </w14:solidFill>
                </w14:textFill>
              </w:rPr>
            </w:pPr>
          </w:p>
        </w:tc>
        <w:tc>
          <w:tcPr>
            <w:tcW w:w="3023" w:type="dxa"/>
            <w:gridSpan w:val="4"/>
            <w:shd w:val="clear" w:color="auto" w:fill="auto"/>
            <w:noWrap w:val="0"/>
            <w:vAlign w:val="center"/>
          </w:tcPr>
          <w:p w14:paraId="76CA0742">
            <w:pPr>
              <w:spacing w:line="280" w:lineRule="exact"/>
              <w:jc w:val="center"/>
              <w:rPr>
                <w:rFonts w:ascii="Times New Roman" w:hAnsi="Times New Roman"/>
                <w:b/>
                <w:bCs/>
                <w:color w:val="000000" w:themeColor="text1"/>
                <w:szCs w:val="21"/>
                <w:highlight w:val="none"/>
                <w14:textFill>
                  <w14:solidFill>
                    <w14:schemeClr w14:val="tx1"/>
                  </w14:solidFill>
                </w14:textFill>
              </w:rPr>
            </w:pPr>
            <w:r>
              <w:rPr>
                <w:rFonts w:hint="eastAsia" w:ascii="Times New Roman" w:hAnsi="Times New Roman"/>
                <w:b/>
                <w:bCs/>
                <w:color w:val="000000" w:themeColor="text1"/>
                <w:szCs w:val="21"/>
                <w:highlight w:val="none"/>
                <w14:textFill>
                  <w14:solidFill>
                    <w14:schemeClr w14:val="tx1"/>
                  </w14:solidFill>
                </w14:textFill>
              </w:rPr>
              <w:t>声压级</w:t>
            </w:r>
          </w:p>
        </w:tc>
        <w:tc>
          <w:tcPr>
            <w:tcW w:w="1096" w:type="dxa"/>
            <w:vMerge w:val="restart"/>
            <w:shd w:val="clear" w:color="auto" w:fill="auto"/>
            <w:noWrap w:val="0"/>
            <w:vAlign w:val="center"/>
          </w:tcPr>
          <w:p w14:paraId="00BBCBB5">
            <w:pPr>
              <w:spacing w:line="280" w:lineRule="exact"/>
              <w:jc w:val="center"/>
              <w:rPr>
                <w:rFonts w:ascii="Times New Roman" w:hAnsi="Times New Roman"/>
                <w:b/>
                <w:bCs/>
                <w:color w:val="000000" w:themeColor="text1"/>
                <w:szCs w:val="21"/>
                <w:highlight w:val="none"/>
                <w14:textFill>
                  <w14:solidFill>
                    <w14:schemeClr w14:val="tx1"/>
                  </w14:solidFill>
                </w14:textFill>
              </w:rPr>
            </w:pPr>
            <w:r>
              <w:rPr>
                <w:rFonts w:hint="eastAsia" w:ascii="Times New Roman" w:hAnsi="Times New Roman"/>
                <w:b/>
                <w:bCs/>
                <w:color w:val="000000" w:themeColor="text1"/>
                <w:szCs w:val="21"/>
                <w:highlight w:val="none"/>
                <w14:textFill>
                  <w14:solidFill>
                    <w14:schemeClr w14:val="tx1"/>
                  </w14:solidFill>
                </w14:textFill>
              </w:rPr>
              <w:t>建筑物外距离/m</w:t>
            </w:r>
          </w:p>
        </w:tc>
      </w:tr>
      <w:tr w14:paraId="65E8C6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vMerge w:val="continue"/>
            <w:shd w:val="clear" w:color="auto" w:fill="auto"/>
            <w:noWrap w:val="0"/>
            <w:vAlign w:val="center"/>
          </w:tcPr>
          <w:p w14:paraId="7700D2C9">
            <w:pPr>
              <w:spacing w:line="280" w:lineRule="exact"/>
              <w:jc w:val="center"/>
              <w:rPr>
                <w:rFonts w:ascii="Times New Roman" w:hAnsi="Times New Roman"/>
                <w:b/>
                <w:bCs/>
                <w:color w:val="000000" w:themeColor="text1"/>
                <w:szCs w:val="21"/>
                <w:highlight w:val="none"/>
                <w14:textFill>
                  <w14:solidFill>
                    <w14:schemeClr w14:val="tx1"/>
                  </w14:solidFill>
                </w14:textFill>
              </w:rPr>
            </w:pPr>
          </w:p>
        </w:tc>
        <w:tc>
          <w:tcPr>
            <w:tcW w:w="1428" w:type="dxa"/>
            <w:gridSpan w:val="2"/>
            <w:vMerge w:val="continue"/>
            <w:shd w:val="clear" w:color="auto" w:fill="auto"/>
            <w:noWrap w:val="0"/>
            <w:vAlign w:val="center"/>
          </w:tcPr>
          <w:p w14:paraId="0F8B49E4">
            <w:pPr>
              <w:spacing w:line="280" w:lineRule="exact"/>
              <w:jc w:val="center"/>
              <w:rPr>
                <w:rFonts w:ascii="Times New Roman" w:hAnsi="Times New Roman"/>
                <w:b/>
                <w:bCs/>
                <w:color w:val="000000" w:themeColor="text1"/>
                <w:szCs w:val="21"/>
                <w:highlight w:val="none"/>
                <w14:textFill>
                  <w14:solidFill>
                    <w14:schemeClr w14:val="tx1"/>
                  </w14:solidFill>
                </w14:textFill>
              </w:rPr>
            </w:pPr>
          </w:p>
        </w:tc>
        <w:tc>
          <w:tcPr>
            <w:tcW w:w="537" w:type="dxa"/>
            <w:vMerge w:val="continue"/>
            <w:shd w:val="clear" w:color="auto" w:fill="auto"/>
            <w:noWrap w:val="0"/>
            <w:vAlign w:val="center"/>
          </w:tcPr>
          <w:p w14:paraId="123E2E76">
            <w:pPr>
              <w:spacing w:line="280" w:lineRule="exact"/>
              <w:jc w:val="center"/>
              <w:rPr>
                <w:rFonts w:ascii="Times New Roman" w:hAnsi="Times New Roman"/>
                <w:b/>
                <w:bCs/>
                <w:color w:val="000000" w:themeColor="text1"/>
                <w:szCs w:val="21"/>
                <w:highlight w:val="none"/>
                <w14:textFill>
                  <w14:solidFill>
                    <w14:schemeClr w14:val="tx1"/>
                  </w14:solidFill>
                </w14:textFill>
              </w:rPr>
            </w:pPr>
          </w:p>
        </w:tc>
        <w:tc>
          <w:tcPr>
            <w:tcW w:w="537" w:type="dxa"/>
            <w:shd w:val="clear" w:color="auto" w:fill="auto"/>
            <w:noWrap w:val="0"/>
            <w:vAlign w:val="center"/>
          </w:tcPr>
          <w:p w14:paraId="30800C71">
            <w:pPr>
              <w:spacing w:line="280" w:lineRule="exact"/>
              <w:jc w:val="center"/>
              <w:rPr>
                <w:rFonts w:ascii="Times New Roman" w:hAnsi="Times New Roman"/>
                <w:b/>
                <w:bCs/>
                <w:color w:val="000000" w:themeColor="text1"/>
                <w:szCs w:val="21"/>
                <w:highlight w:val="none"/>
                <w14:textFill>
                  <w14:solidFill>
                    <w14:schemeClr w14:val="tx1"/>
                  </w14:solidFill>
                </w14:textFill>
              </w:rPr>
            </w:pPr>
            <w:r>
              <w:rPr>
                <w:rFonts w:hint="eastAsia" w:ascii="Times New Roman" w:hAnsi="Times New Roman"/>
                <w:b/>
                <w:bCs/>
                <w:color w:val="000000" w:themeColor="text1"/>
                <w:szCs w:val="21"/>
                <w:highlight w:val="none"/>
                <w14:textFill>
                  <w14:solidFill>
                    <w14:schemeClr w14:val="tx1"/>
                  </w14:solidFill>
                </w14:textFill>
              </w:rPr>
              <w:t>X</w:t>
            </w:r>
          </w:p>
        </w:tc>
        <w:tc>
          <w:tcPr>
            <w:tcW w:w="537" w:type="dxa"/>
            <w:shd w:val="clear" w:color="auto" w:fill="auto"/>
            <w:noWrap w:val="0"/>
            <w:vAlign w:val="center"/>
          </w:tcPr>
          <w:p w14:paraId="3DD41E26">
            <w:pPr>
              <w:spacing w:line="280" w:lineRule="exact"/>
              <w:jc w:val="center"/>
              <w:rPr>
                <w:rFonts w:ascii="Times New Roman" w:hAnsi="Times New Roman"/>
                <w:b/>
                <w:bCs/>
                <w:color w:val="000000" w:themeColor="text1"/>
                <w:szCs w:val="21"/>
                <w:highlight w:val="none"/>
                <w14:textFill>
                  <w14:solidFill>
                    <w14:schemeClr w14:val="tx1"/>
                  </w14:solidFill>
                </w14:textFill>
              </w:rPr>
            </w:pPr>
            <w:r>
              <w:rPr>
                <w:rFonts w:hint="eastAsia" w:ascii="Times New Roman" w:hAnsi="Times New Roman"/>
                <w:b/>
                <w:bCs/>
                <w:color w:val="000000" w:themeColor="text1"/>
                <w:szCs w:val="21"/>
                <w:highlight w:val="none"/>
                <w14:textFill>
                  <w14:solidFill>
                    <w14:schemeClr w14:val="tx1"/>
                  </w14:solidFill>
                </w14:textFill>
              </w:rPr>
              <w:t>Y</w:t>
            </w:r>
          </w:p>
        </w:tc>
        <w:tc>
          <w:tcPr>
            <w:tcW w:w="558" w:type="dxa"/>
            <w:shd w:val="clear" w:color="auto" w:fill="auto"/>
            <w:noWrap w:val="0"/>
            <w:vAlign w:val="center"/>
          </w:tcPr>
          <w:p w14:paraId="7EB772A9">
            <w:pPr>
              <w:spacing w:line="280" w:lineRule="exact"/>
              <w:jc w:val="center"/>
              <w:rPr>
                <w:rFonts w:ascii="Times New Roman" w:hAnsi="Times New Roman"/>
                <w:b/>
                <w:bCs/>
                <w:color w:val="000000" w:themeColor="text1"/>
                <w:szCs w:val="21"/>
                <w:highlight w:val="none"/>
                <w14:textFill>
                  <w14:solidFill>
                    <w14:schemeClr w14:val="tx1"/>
                  </w14:solidFill>
                </w14:textFill>
              </w:rPr>
            </w:pPr>
            <w:r>
              <w:rPr>
                <w:rFonts w:hint="eastAsia" w:ascii="Times New Roman" w:hAnsi="Times New Roman"/>
                <w:b/>
                <w:bCs/>
                <w:color w:val="000000" w:themeColor="text1"/>
                <w:szCs w:val="21"/>
                <w:highlight w:val="none"/>
                <w14:textFill>
                  <w14:solidFill>
                    <w14:schemeClr w14:val="tx1"/>
                  </w14:solidFill>
                </w14:textFill>
              </w:rPr>
              <w:t>Z</w:t>
            </w:r>
          </w:p>
        </w:tc>
        <w:tc>
          <w:tcPr>
            <w:tcW w:w="537" w:type="dxa"/>
            <w:shd w:val="clear" w:color="auto" w:fill="auto"/>
            <w:noWrap w:val="0"/>
            <w:vAlign w:val="center"/>
          </w:tcPr>
          <w:p w14:paraId="78B8923F">
            <w:pPr>
              <w:spacing w:line="280" w:lineRule="exact"/>
              <w:jc w:val="center"/>
              <w:rPr>
                <w:rFonts w:ascii="Times New Roman" w:hAnsi="Times New Roman"/>
                <w:b/>
                <w:bCs/>
                <w:color w:val="000000" w:themeColor="text1"/>
                <w:szCs w:val="21"/>
                <w:highlight w:val="none"/>
                <w14:textFill>
                  <w14:solidFill>
                    <w14:schemeClr w14:val="tx1"/>
                  </w14:solidFill>
                </w14:textFill>
              </w:rPr>
            </w:pPr>
            <w:r>
              <w:rPr>
                <w:rFonts w:hint="eastAsia" w:ascii="Times New Roman" w:hAnsi="Times New Roman"/>
                <w:b/>
                <w:bCs/>
                <w:color w:val="000000" w:themeColor="text1"/>
                <w:szCs w:val="21"/>
                <w:highlight w:val="none"/>
                <w14:textFill>
                  <w14:solidFill>
                    <w14:schemeClr w14:val="tx1"/>
                  </w14:solidFill>
                </w14:textFill>
              </w:rPr>
              <w:t>东</w:t>
            </w:r>
          </w:p>
        </w:tc>
        <w:tc>
          <w:tcPr>
            <w:tcW w:w="537" w:type="dxa"/>
            <w:shd w:val="clear" w:color="auto" w:fill="auto"/>
            <w:noWrap w:val="0"/>
            <w:vAlign w:val="center"/>
          </w:tcPr>
          <w:p w14:paraId="6BDFDCFE">
            <w:pPr>
              <w:spacing w:line="280" w:lineRule="exact"/>
              <w:jc w:val="center"/>
              <w:rPr>
                <w:rFonts w:ascii="Times New Roman" w:hAnsi="Times New Roman"/>
                <w:b/>
                <w:bCs/>
                <w:color w:val="000000" w:themeColor="text1"/>
                <w:szCs w:val="21"/>
                <w:highlight w:val="none"/>
                <w14:textFill>
                  <w14:solidFill>
                    <w14:schemeClr w14:val="tx1"/>
                  </w14:solidFill>
                </w14:textFill>
              </w:rPr>
            </w:pPr>
            <w:r>
              <w:rPr>
                <w:rFonts w:hint="eastAsia" w:ascii="Times New Roman" w:hAnsi="Times New Roman"/>
                <w:b/>
                <w:bCs/>
                <w:color w:val="000000" w:themeColor="text1"/>
                <w:szCs w:val="21"/>
                <w:highlight w:val="none"/>
                <w14:textFill>
                  <w14:solidFill>
                    <w14:schemeClr w14:val="tx1"/>
                  </w14:solidFill>
                </w14:textFill>
              </w:rPr>
              <w:t>南</w:t>
            </w:r>
          </w:p>
        </w:tc>
        <w:tc>
          <w:tcPr>
            <w:tcW w:w="542" w:type="dxa"/>
            <w:shd w:val="clear" w:color="auto" w:fill="auto"/>
            <w:noWrap w:val="0"/>
            <w:vAlign w:val="center"/>
          </w:tcPr>
          <w:p w14:paraId="5D299BB5">
            <w:pPr>
              <w:spacing w:line="280" w:lineRule="exact"/>
              <w:jc w:val="center"/>
              <w:rPr>
                <w:rFonts w:ascii="Times New Roman" w:hAnsi="Times New Roman"/>
                <w:b/>
                <w:bCs/>
                <w:color w:val="000000" w:themeColor="text1"/>
                <w:szCs w:val="21"/>
                <w:highlight w:val="none"/>
                <w14:textFill>
                  <w14:solidFill>
                    <w14:schemeClr w14:val="tx1"/>
                  </w14:solidFill>
                </w14:textFill>
              </w:rPr>
            </w:pPr>
            <w:r>
              <w:rPr>
                <w:rFonts w:hint="eastAsia" w:ascii="Times New Roman" w:hAnsi="Times New Roman"/>
                <w:b/>
                <w:bCs/>
                <w:color w:val="000000" w:themeColor="text1"/>
                <w:szCs w:val="21"/>
                <w:highlight w:val="none"/>
                <w14:textFill>
                  <w14:solidFill>
                    <w14:schemeClr w14:val="tx1"/>
                  </w14:solidFill>
                </w14:textFill>
              </w:rPr>
              <w:t>西</w:t>
            </w:r>
          </w:p>
        </w:tc>
        <w:tc>
          <w:tcPr>
            <w:tcW w:w="558" w:type="dxa"/>
            <w:shd w:val="clear" w:color="auto" w:fill="auto"/>
            <w:noWrap w:val="0"/>
            <w:vAlign w:val="center"/>
          </w:tcPr>
          <w:p w14:paraId="1E2F7B3E">
            <w:pPr>
              <w:spacing w:line="280" w:lineRule="exact"/>
              <w:jc w:val="center"/>
              <w:rPr>
                <w:rFonts w:ascii="Times New Roman" w:hAnsi="Times New Roman"/>
                <w:b/>
                <w:bCs/>
                <w:color w:val="000000" w:themeColor="text1"/>
                <w:szCs w:val="21"/>
                <w:highlight w:val="none"/>
                <w14:textFill>
                  <w14:solidFill>
                    <w14:schemeClr w14:val="tx1"/>
                  </w14:solidFill>
                </w14:textFill>
              </w:rPr>
            </w:pPr>
            <w:r>
              <w:rPr>
                <w:rFonts w:hint="eastAsia" w:ascii="Times New Roman" w:hAnsi="Times New Roman"/>
                <w:b/>
                <w:bCs/>
                <w:color w:val="000000" w:themeColor="text1"/>
                <w:szCs w:val="21"/>
                <w:highlight w:val="none"/>
                <w14:textFill>
                  <w14:solidFill>
                    <w14:schemeClr w14:val="tx1"/>
                  </w14:solidFill>
                </w14:textFill>
              </w:rPr>
              <w:t>北</w:t>
            </w:r>
          </w:p>
        </w:tc>
        <w:tc>
          <w:tcPr>
            <w:tcW w:w="542" w:type="dxa"/>
            <w:shd w:val="clear" w:color="auto" w:fill="auto"/>
            <w:noWrap w:val="0"/>
            <w:vAlign w:val="center"/>
          </w:tcPr>
          <w:p w14:paraId="00C881F2">
            <w:pPr>
              <w:spacing w:line="280" w:lineRule="exact"/>
              <w:jc w:val="center"/>
              <w:rPr>
                <w:rFonts w:ascii="Times New Roman" w:hAnsi="Times New Roman"/>
                <w:b/>
                <w:bCs/>
                <w:color w:val="000000" w:themeColor="text1"/>
                <w:szCs w:val="21"/>
                <w:highlight w:val="none"/>
                <w14:textFill>
                  <w14:solidFill>
                    <w14:schemeClr w14:val="tx1"/>
                  </w14:solidFill>
                </w14:textFill>
              </w:rPr>
            </w:pPr>
            <w:r>
              <w:rPr>
                <w:rFonts w:hint="eastAsia" w:ascii="Times New Roman" w:hAnsi="Times New Roman"/>
                <w:b/>
                <w:bCs/>
                <w:color w:val="000000" w:themeColor="text1"/>
                <w:szCs w:val="21"/>
                <w:highlight w:val="none"/>
                <w14:textFill>
                  <w14:solidFill>
                    <w14:schemeClr w14:val="tx1"/>
                  </w14:solidFill>
                </w14:textFill>
              </w:rPr>
              <w:t>东</w:t>
            </w:r>
          </w:p>
        </w:tc>
        <w:tc>
          <w:tcPr>
            <w:tcW w:w="542" w:type="dxa"/>
            <w:shd w:val="clear" w:color="auto" w:fill="auto"/>
            <w:noWrap w:val="0"/>
            <w:vAlign w:val="center"/>
          </w:tcPr>
          <w:p w14:paraId="61F81989">
            <w:pPr>
              <w:spacing w:line="280" w:lineRule="exact"/>
              <w:jc w:val="center"/>
              <w:rPr>
                <w:rFonts w:ascii="Times New Roman" w:hAnsi="Times New Roman"/>
                <w:b/>
                <w:bCs/>
                <w:color w:val="000000" w:themeColor="text1"/>
                <w:szCs w:val="21"/>
                <w:highlight w:val="none"/>
                <w14:textFill>
                  <w14:solidFill>
                    <w14:schemeClr w14:val="tx1"/>
                  </w14:solidFill>
                </w14:textFill>
              </w:rPr>
            </w:pPr>
            <w:r>
              <w:rPr>
                <w:rFonts w:hint="eastAsia" w:ascii="Times New Roman" w:hAnsi="Times New Roman"/>
                <w:b/>
                <w:bCs/>
                <w:color w:val="000000" w:themeColor="text1"/>
                <w:szCs w:val="21"/>
                <w:highlight w:val="none"/>
                <w14:textFill>
                  <w14:solidFill>
                    <w14:schemeClr w14:val="tx1"/>
                  </w14:solidFill>
                </w14:textFill>
              </w:rPr>
              <w:t>南</w:t>
            </w:r>
          </w:p>
        </w:tc>
        <w:tc>
          <w:tcPr>
            <w:tcW w:w="542" w:type="dxa"/>
            <w:shd w:val="clear" w:color="auto" w:fill="auto"/>
            <w:noWrap w:val="0"/>
            <w:vAlign w:val="center"/>
          </w:tcPr>
          <w:p w14:paraId="22D53980">
            <w:pPr>
              <w:spacing w:line="280" w:lineRule="exact"/>
              <w:jc w:val="center"/>
              <w:rPr>
                <w:rFonts w:ascii="Times New Roman" w:hAnsi="Times New Roman"/>
                <w:b/>
                <w:bCs/>
                <w:color w:val="000000" w:themeColor="text1"/>
                <w:szCs w:val="21"/>
                <w:highlight w:val="none"/>
                <w14:textFill>
                  <w14:solidFill>
                    <w14:schemeClr w14:val="tx1"/>
                  </w14:solidFill>
                </w14:textFill>
              </w:rPr>
            </w:pPr>
            <w:r>
              <w:rPr>
                <w:rFonts w:hint="eastAsia" w:ascii="Times New Roman" w:hAnsi="Times New Roman"/>
                <w:b/>
                <w:bCs/>
                <w:color w:val="000000" w:themeColor="text1"/>
                <w:szCs w:val="21"/>
                <w:highlight w:val="none"/>
                <w14:textFill>
                  <w14:solidFill>
                    <w14:schemeClr w14:val="tx1"/>
                  </w14:solidFill>
                </w14:textFill>
              </w:rPr>
              <w:t>西</w:t>
            </w:r>
          </w:p>
        </w:tc>
        <w:tc>
          <w:tcPr>
            <w:tcW w:w="555" w:type="dxa"/>
            <w:shd w:val="clear" w:color="auto" w:fill="auto"/>
            <w:noWrap w:val="0"/>
            <w:vAlign w:val="center"/>
          </w:tcPr>
          <w:p w14:paraId="632A3CAB">
            <w:pPr>
              <w:spacing w:line="280" w:lineRule="exact"/>
              <w:jc w:val="center"/>
              <w:rPr>
                <w:rFonts w:ascii="Times New Roman" w:hAnsi="Times New Roman"/>
                <w:b/>
                <w:bCs/>
                <w:color w:val="000000" w:themeColor="text1"/>
                <w:szCs w:val="21"/>
                <w:highlight w:val="none"/>
                <w14:textFill>
                  <w14:solidFill>
                    <w14:schemeClr w14:val="tx1"/>
                  </w14:solidFill>
                </w14:textFill>
              </w:rPr>
            </w:pPr>
            <w:r>
              <w:rPr>
                <w:rFonts w:hint="eastAsia" w:ascii="Times New Roman" w:hAnsi="Times New Roman"/>
                <w:b/>
                <w:bCs/>
                <w:color w:val="000000" w:themeColor="text1"/>
                <w:szCs w:val="21"/>
                <w:highlight w:val="none"/>
                <w14:textFill>
                  <w14:solidFill>
                    <w14:schemeClr w14:val="tx1"/>
                  </w14:solidFill>
                </w14:textFill>
              </w:rPr>
              <w:t>北</w:t>
            </w:r>
          </w:p>
        </w:tc>
        <w:tc>
          <w:tcPr>
            <w:tcW w:w="542" w:type="dxa"/>
            <w:vMerge w:val="continue"/>
            <w:shd w:val="clear" w:color="auto" w:fill="auto"/>
            <w:noWrap w:val="0"/>
            <w:vAlign w:val="center"/>
          </w:tcPr>
          <w:p w14:paraId="70976E5A">
            <w:pPr>
              <w:spacing w:line="280" w:lineRule="exact"/>
              <w:jc w:val="center"/>
              <w:rPr>
                <w:rFonts w:ascii="Times New Roman" w:hAnsi="Times New Roman"/>
                <w:b/>
                <w:bCs/>
                <w:color w:val="000000" w:themeColor="text1"/>
                <w:szCs w:val="21"/>
                <w:highlight w:val="none"/>
                <w14:textFill>
                  <w14:solidFill>
                    <w14:schemeClr w14:val="tx1"/>
                  </w14:solidFill>
                </w14:textFill>
              </w:rPr>
            </w:pPr>
          </w:p>
        </w:tc>
        <w:tc>
          <w:tcPr>
            <w:tcW w:w="897" w:type="dxa"/>
            <w:vMerge w:val="continue"/>
            <w:shd w:val="clear" w:color="auto" w:fill="auto"/>
            <w:noWrap w:val="0"/>
            <w:vAlign w:val="center"/>
          </w:tcPr>
          <w:p w14:paraId="4FBA514B">
            <w:pPr>
              <w:spacing w:line="280" w:lineRule="exact"/>
              <w:jc w:val="center"/>
              <w:rPr>
                <w:rFonts w:ascii="Times New Roman" w:hAnsi="Times New Roman"/>
                <w:b/>
                <w:bCs/>
                <w:color w:val="000000" w:themeColor="text1"/>
                <w:szCs w:val="21"/>
                <w:highlight w:val="none"/>
                <w14:textFill>
                  <w14:solidFill>
                    <w14:schemeClr w14:val="tx1"/>
                  </w14:solidFill>
                </w14:textFill>
              </w:rPr>
            </w:pPr>
          </w:p>
        </w:tc>
        <w:tc>
          <w:tcPr>
            <w:tcW w:w="746" w:type="dxa"/>
            <w:shd w:val="clear" w:color="auto" w:fill="auto"/>
            <w:noWrap w:val="0"/>
            <w:vAlign w:val="center"/>
          </w:tcPr>
          <w:p w14:paraId="64E824D1">
            <w:pPr>
              <w:spacing w:line="280" w:lineRule="exact"/>
              <w:jc w:val="center"/>
              <w:rPr>
                <w:rFonts w:ascii="Times New Roman" w:hAnsi="Times New Roman"/>
                <w:b/>
                <w:bCs/>
                <w:color w:val="000000" w:themeColor="text1"/>
                <w:szCs w:val="21"/>
                <w:highlight w:val="none"/>
                <w14:textFill>
                  <w14:solidFill>
                    <w14:schemeClr w14:val="tx1"/>
                  </w14:solidFill>
                </w14:textFill>
              </w:rPr>
            </w:pPr>
            <w:r>
              <w:rPr>
                <w:rFonts w:hint="eastAsia" w:ascii="Times New Roman" w:hAnsi="Times New Roman"/>
                <w:b/>
                <w:bCs/>
                <w:color w:val="000000" w:themeColor="text1"/>
                <w:szCs w:val="21"/>
                <w:highlight w:val="none"/>
                <w14:textFill>
                  <w14:solidFill>
                    <w14:schemeClr w14:val="tx1"/>
                  </w14:solidFill>
                </w14:textFill>
              </w:rPr>
              <w:t>东</w:t>
            </w:r>
          </w:p>
        </w:tc>
        <w:tc>
          <w:tcPr>
            <w:tcW w:w="689" w:type="dxa"/>
            <w:shd w:val="clear" w:color="auto" w:fill="auto"/>
            <w:noWrap w:val="0"/>
            <w:vAlign w:val="center"/>
          </w:tcPr>
          <w:p w14:paraId="36C4841A">
            <w:pPr>
              <w:spacing w:line="280" w:lineRule="exact"/>
              <w:jc w:val="center"/>
              <w:rPr>
                <w:rFonts w:ascii="Times New Roman" w:hAnsi="Times New Roman"/>
                <w:b/>
                <w:bCs/>
                <w:color w:val="000000" w:themeColor="text1"/>
                <w:szCs w:val="21"/>
                <w:highlight w:val="none"/>
                <w14:textFill>
                  <w14:solidFill>
                    <w14:schemeClr w14:val="tx1"/>
                  </w14:solidFill>
                </w14:textFill>
              </w:rPr>
            </w:pPr>
            <w:r>
              <w:rPr>
                <w:rFonts w:hint="eastAsia" w:ascii="Times New Roman" w:hAnsi="Times New Roman"/>
                <w:b/>
                <w:bCs/>
                <w:color w:val="000000" w:themeColor="text1"/>
                <w:szCs w:val="21"/>
                <w:highlight w:val="none"/>
                <w14:textFill>
                  <w14:solidFill>
                    <w14:schemeClr w14:val="tx1"/>
                  </w14:solidFill>
                </w14:textFill>
              </w:rPr>
              <w:t>南</w:t>
            </w:r>
          </w:p>
        </w:tc>
        <w:tc>
          <w:tcPr>
            <w:tcW w:w="838" w:type="dxa"/>
            <w:shd w:val="clear" w:color="auto" w:fill="auto"/>
            <w:noWrap w:val="0"/>
            <w:vAlign w:val="center"/>
          </w:tcPr>
          <w:p w14:paraId="0946BA87">
            <w:pPr>
              <w:spacing w:line="280" w:lineRule="exact"/>
              <w:jc w:val="center"/>
              <w:rPr>
                <w:rFonts w:ascii="Times New Roman" w:hAnsi="Times New Roman"/>
                <w:b/>
                <w:bCs/>
                <w:color w:val="000000" w:themeColor="text1"/>
                <w:szCs w:val="21"/>
                <w:highlight w:val="none"/>
                <w14:textFill>
                  <w14:solidFill>
                    <w14:schemeClr w14:val="tx1"/>
                  </w14:solidFill>
                </w14:textFill>
              </w:rPr>
            </w:pPr>
            <w:r>
              <w:rPr>
                <w:rFonts w:hint="eastAsia" w:ascii="Times New Roman" w:hAnsi="Times New Roman"/>
                <w:b/>
                <w:bCs/>
                <w:color w:val="000000" w:themeColor="text1"/>
                <w:szCs w:val="21"/>
                <w:highlight w:val="none"/>
                <w14:textFill>
                  <w14:solidFill>
                    <w14:schemeClr w14:val="tx1"/>
                  </w14:solidFill>
                </w14:textFill>
              </w:rPr>
              <w:t>西</w:t>
            </w:r>
          </w:p>
        </w:tc>
        <w:tc>
          <w:tcPr>
            <w:tcW w:w="750" w:type="dxa"/>
            <w:shd w:val="clear" w:color="auto" w:fill="auto"/>
            <w:noWrap w:val="0"/>
            <w:vAlign w:val="center"/>
          </w:tcPr>
          <w:p w14:paraId="010602E9">
            <w:pPr>
              <w:spacing w:line="280" w:lineRule="exact"/>
              <w:jc w:val="center"/>
              <w:rPr>
                <w:rFonts w:ascii="Times New Roman" w:hAnsi="Times New Roman"/>
                <w:b/>
                <w:bCs/>
                <w:color w:val="000000" w:themeColor="text1"/>
                <w:szCs w:val="21"/>
                <w:highlight w:val="none"/>
                <w14:textFill>
                  <w14:solidFill>
                    <w14:schemeClr w14:val="tx1"/>
                  </w14:solidFill>
                </w14:textFill>
              </w:rPr>
            </w:pPr>
            <w:r>
              <w:rPr>
                <w:rFonts w:hint="eastAsia" w:ascii="Times New Roman" w:hAnsi="Times New Roman"/>
                <w:b/>
                <w:bCs/>
                <w:color w:val="000000" w:themeColor="text1"/>
                <w:szCs w:val="21"/>
                <w:highlight w:val="none"/>
                <w14:textFill>
                  <w14:solidFill>
                    <w14:schemeClr w14:val="tx1"/>
                  </w14:solidFill>
                </w14:textFill>
              </w:rPr>
              <w:t>北</w:t>
            </w:r>
          </w:p>
        </w:tc>
        <w:tc>
          <w:tcPr>
            <w:tcW w:w="1096" w:type="dxa"/>
            <w:vMerge w:val="continue"/>
            <w:shd w:val="clear" w:color="auto" w:fill="auto"/>
            <w:noWrap w:val="0"/>
            <w:vAlign w:val="center"/>
          </w:tcPr>
          <w:p w14:paraId="438523AF">
            <w:pPr>
              <w:spacing w:line="280" w:lineRule="exact"/>
              <w:jc w:val="center"/>
              <w:rPr>
                <w:rFonts w:ascii="Times New Roman" w:hAnsi="Times New Roman"/>
                <w:color w:val="000000" w:themeColor="text1"/>
                <w:szCs w:val="21"/>
                <w:highlight w:val="none"/>
                <w14:textFill>
                  <w14:solidFill>
                    <w14:schemeClr w14:val="tx1"/>
                  </w14:solidFill>
                </w14:textFill>
              </w:rPr>
            </w:pPr>
          </w:p>
        </w:tc>
      </w:tr>
      <w:tr w14:paraId="2E4AA2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061D32DF">
            <w:pPr>
              <w:spacing w:line="280" w:lineRule="exact"/>
              <w:jc w:val="center"/>
              <w:rPr>
                <w:rFonts w:hint="default" w:ascii="Times New Roman" w:hAnsi="Times New Roman"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w:t>
            </w:r>
          </w:p>
        </w:tc>
        <w:tc>
          <w:tcPr>
            <w:tcW w:w="714" w:type="dxa"/>
            <w:vMerge w:val="restart"/>
            <w:shd w:val="clear" w:color="auto" w:fill="auto"/>
            <w:noWrap w:val="0"/>
            <w:vAlign w:val="center"/>
          </w:tcPr>
          <w:p w14:paraId="79E66F33">
            <w:pPr>
              <w:spacing w:line="280" w:lineRule="exact"/>
              <w:jc w:val="center"/>
              <w:rPr>
                <w:rFonts w:hint="default" w:ascii="Times New Roman" w:hAnsi="Times New Roman"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电芯车间</w:t>
            </w:r>
          </w:p>
        </w:tc>
        <w:tc>
          <w:tcPr>
            <w:tcW w:w="714" w:type="dxa"/>
            <w:shd w:val="clear" w:color="auto" w:fill="auto"/>
            <w:noWrap w:val="0"/>
            <w:vAlign w:val="center"/>
          </w:tcPr>
          <w:p w14:paraId="42F34ABF">
            <w:pPr>
              <w:spacing w:line="280" w:lineRule="exact"/>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正极</w:t>
            </w:r>
            <w:r>
              <w:rPr>
                <w:rFonts w:hint="default" w:ascii="Times New Roman" w:hAnsi="Times New Roman" w:cs="Times New Roman"/>
                <w:color w:val="000000" w:themeColor="text1"/>
                <w:szCs w:val="21"/>
                <w:highlight w:val="none"/>
                <w:lang w:val="en-US" w:eastAsia="zh-CN"/>
                <w14:textFill>
                  <w14:solidFill>
                    <w14:schemeClr w14:val="tx1"/>
                  </w14:solidFill>
                </w14:textFill>
              </w:rPr>
              <w:t>匀浆</w:t>
            </w:r>
            <w:r>
              <w:rPr>
                <w:rFonts w:hint="default" w:ascii="Times New Roman" w:hAnsi="Times New Roman" w:cs="Times New Roman"/>
                <w:color w:val="000000" w:themeColor="text1"/>
                <w:szCs w:val="21"/>
                <w:highlight w:val="none"/>
                <w14:textFill>
                  <w14:solidFill>
                    <w14:schemeClr w14:val="tx1"/>
                  </w14:solidFill>
                </w14:textFill>
              </w:rPr>
              <w:t>系统</w:t>
            </w:r>
            <w:r>
              <w:rPr>
                <w:rFonts w:hint="default" w:ascii="Times New Roman" w:hAnsi="Times New Roman" w:cs="Times New Roman"/>
                <w:color w:val="000000" w:themeColor="text1"/>
                <w:szCs w:val="21"/>
                <w:highlight w:val="none"/>
                <w:lang w:val="en-US" w:eastAsia="zh-CN"/>
                <w14:textFill>
                  <w14:solidFill>
                    <w14:schemeClr w14:val="tx1"/>
                  </w14:solidFill>
                </w14:textFill>
              </w:rPr>
              <w:t>1#</w:t>
            </w:r>
          </w:p>
        </w:tc>
        <w:tc>
          <w:tcPr>
            <w:tcW w:w="537" w:type="dxa"/>
            <w:shd w:val="clear" w:color="auto" w:fill="auto"/>
            <w:noWrap w:val="0"/>
            <w:vAlign w:val="center"/>
          </w:tcPr>
          <w:p w14:paraId="6C97D4A6">
            <w:pPr>
              <w:spacing w:line="280" w:lineRule="exact"/>
              <w:jc w:val="center"/>
              <w:rPr>
                <w:rFonts w:hint="default" w:ascii="Times New Roman" w:hAnsi="Times New Roman"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80</w:t>
            </w:r>
          </w:p>
        </w:tc>
        <w:tc>
          <w:tcPr>
            <w:tcW w:w="537" w:type="dxa"/>
            <w:shd w:val="clear" w:color="auto" w:fill="auto"/>
            <w:noWrap w:val="0"/>
            <w:vAlign w:val="center"/>
          </w:tcPr>
          <w:p w14:paraId="493DC4FC">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43.21</w:t>
            </w:r>
          </w:p>
        </w:tc>
        <w:tc>
          <w:tcPr>
            <w:tcW w:w="537" w:type="dxa"/>
            <w:shd w:val="clear" w:color="auto" w:fill="auto"/>
            <w:noWrap w:val="0"/>
            <w:vAlign w:val="center"/>
          </w:tcPr>
          <w:p w14:paraId="480A002A">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43.29</w:t>
            </w:r>
          </w:p>
        </w:tc>
        <w:tc>
          <w:tcPr>
            <w:tcW w:w="558" w:type="dxa"/>
            <w:shd w:val="clear" w:color="auto" w:fill="auto"/>
            <w:noWrap w:val="0"/>
            <w:vAlign w:val="center"/>
          </w:tcPr>
          <w:p w14:paraId="23D0635C">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1.4</w:t>
            </w:r>
          </w:p>
        </w:tc>
        <w:tc>
          <w:tcPr>
            <w:tcW w:w="537" w:type="dxa"/>
            <w:shd w:val="clear" w:color="auto" w:fill="auto"/>
            <w:noWrap w:val="0"/>
            <w:vAlign w:val="center"/>
          </w:tcPr>
          <w:p w14:paraId="3BBF0D57">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33.7</w:t>
            </w:r>
          </w:p>
        </w:tc>
        <w:tc>
          <w:tcPr>
            <w:tcW w:w="537" w:type="dxa"/>
            <w:shd w:val="clear" w:color="auto" w:fill="auto"/>
            <w:noWrap w:val="0"/>
            <w:vAlign w:val="center"/>
          </w:tcPr>
          <w:p w14:paraId="532B4974">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26.5</w:t>
            </w:r>
          </w:p>
        </w:tc>
        <w:tc>
          <w:tcPr>
            <w:tcW w:w="542" w:type="dxa"/>
            <w:shd w:val="clear" w:color="auto" w:fill="auto"/>
            <w:noWrap w:val="0"/>
            <w:vAlign w:val="center"/>
          </w:tcPr>
          <w:p w14:paraId="54BE6D84">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55.9</w:t>
            </w:r>
          </w:p>
        </w:tc>
        <w:tc>
          <w:tcPr>
            <w:tcW w:w="558" w:type="dxa"/>
            <w:shd w:val="clear" w:color="auto" w:fill="auto"/>
            <w:noWrap w:val="0"/>
            <w:vAlign w:val="center"/>
          </w:tcPr>
          <w:p w14:paraId="14695AFF">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140.7</w:t>
            </w:r>
          </w:p>
        </w:tc>
        <w:tc>
          <w:tcPr>
            <w:tcW w:w="542" w:type="dxa"/>
            <w:shd w:val="clear" w:color="auto" w:fill="auto"/>
            <w:noWrap w:val="0"/>
            <w:vAlign w:val="center"/>
          </w:tcPr>
          <w:p w14:paraId="733BA3C0">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54.9 </w:t>
            </w:r>
          </w:p>
        </w:tc>
        <w:tc>
          <w:tcPr>
            <w:tcW w:w="542" w:type="dxa"/>
            <w:shd w:val="clear" w:color="auto" w:fill="auto"/>
            <w:noWrap w:val="0"/>
            <w:vAlign w:val="center"/>
          </w:tcPr>
          <w:p w14:paraId="52BA8C82">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54.9 </w:t>
            </w:r>
          </w:p>
        </w:tc>
        <w:tc>
          <w:tcPr>
            <w:tcW w:w="542" w:type="dxa"/>
            <w:shd w:val="clear" w:color="auto" w:fill="auto"/>
            <w:noWrap w:val="0"/>
            <w:vAlign w:val="center"/>
          </w:tcPr>
          <w:p w14:paraId="12271F93">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55" w:type="dxa"/>
            <w:shd w:val="clear" w:color="auto" w:fill="auto"/>
            <w:noWrap w:val="0"/>
            <w:vAlign w:val="center"/>
          </w:tcPr>
          <w:p w14:paraId="798206DD">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42" w:type="dxa"/>
            <w:vMerge w:val="restart"/>
            <w:shd w:val="clear" w:color="auto" w:fill="auto"/>
            <w:noWrap w:val="0"/>
            <w:vAlign w:val="center"/>
          </w:tcPr>
          <w:p w14:paraId="3F6F48A6">
            <w:pPr>
              <w:spacing w:line="280" w:lineRule="exact"/>
              <w:jc w:val="center"/>
              <w:rPr>
                <w:rFonts w:hint="default" w:ascii="Times New Roman" w:hAnsi="Times New Roman" w:eastAsia="宋体"/>
                <w:color w:val="000000" w:themeColor="text1"/>
                <w:szCs w:val="21"/>
                <w:highlight w:val="none"/>
                <w:lang w:val="en-US" w:eastAsia="zh-CN"/>
                <w14:textFill>
                  <w14:solidFill>
                    <w14:schemeClr w14:val="tx1"/>
                  </w14:solidFill>
                </w14:textFill>
              </w:rPr>
            </w:pPr>
            <w:r>
              <w:rPr>
                <w:rFonts w:hint="eastAsia" w:ascii="Times New Roman" w:hAnsi="Times New Roman" w:eastAsia="宋体"/>
                <w:color w:val="000000" w:themeColor="text1"/>
                <w:szCs w:val="21"/>
                <w:highlight w:val="none"/>
                <w:lang w:val="en-US" w:eastAsia="zh-CN"/>
                <w14:textFill>
                  <w14:solidFill>
                    <w14:schemeClr w14:val="tx1"/>
                  </w14:solidFill>
                </w14:textFill>
              </w:rPr>
              <w:t>昼、夜间</w:t>
            </w:r>
          </w:p>
        </w:tc>
        <w:tc>
          <w:tcPr>
            <w:tcW w:w="897" w:type="dxa"/>
            <w:shd w:val="clear" w:color="auto" w:fill="auto"/>
            <w:noWrap w:val="0"/>
            <w:vAlign w:val="center"/>
          </w:tcPr>
          <w:p w14:paraId="3DEC2ED9">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24.3</w:t>
            </w:r>
          </w:p>
        </w:tc>
        <w:tc>
          <w:tcPr>
            <w:tcW w:w="746" w:type="dxa"/>
            <w:shd w:val="clear" w:color="auto" w:fill="auto"/>
            <w:noWrap w:val="0"/>
            <w:vAlign w:val="center"/>
          </w:tcPr>
          <w:p w14:paraId="7D01FA5B">
            <w:pPr>
              <w:spacing w:line="280" w:lineRule="exac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30.6</w:t>
            </w:r>
          </w:p>
        </w:tc>
        <w:tc>
          <w:tcPr>
            <w:tcW w:w="689" w:type="dxa"/>
            <w:shd w:val="clear" w:color="auto" w:fill="auto"/>
            <w:noWrap w:val="0"/>
            <w:vAlign w:val="center"/>
          </w:tcPr>
          <w:p w14:paraId="1E586FB6">
            <w:pPr>
              <w:spacing w:line="280" w:lineRule="exac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30.6</w:t>
            </w:r>
          </w:p>
        </w:tc>
        <w:tc>
          <w:tcPr>
            <w:tcW w:w="838" w:type="dxa"/>
            <w:shd w:val="clear" w:color="auto" w:fill="auto"/>
            <w:noWrap w:val="0"/>
            <w:vAlign w:val="center"/>
          </w:tcPr>
          <w:p w14:paraId="77E35D67">
            <w:pPr>
              <w:spacing w:line="280" w:lineRule="exac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750" w:type="dxa"/>
            <w:shd w:val="clear" w:color="auto" w:fill="auto"/>
            <w:noWrap w:val="0"/>
            <w:vAlign w:val="center"/>
          </w:tcPr>
          <w:p w14:paraId="45267C6A">
            <w:pPr>
              <w:spacing w:line="280" w:lineRule="exac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1096" w:type="dxa"/>
            <w:shd w:val="clear" w:color="auto" w:fill="auto"/>
            <w:noWrap w:val="0"/>
            <w:vAlign w:val="center"/>
          </w:tcPr>
          <w:p w14:paraId="122745CD">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r>
      <w:tr w14:paraId="1BD908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12" w:hRule="atLeast"/>
          <w:jc w:val="center"/>
        </w:trPr>
        <w:tc>
          <w:tcPr>
            <w:tcW w:w="427" w:type="dxa"/>
            <w:shd w:val="clear" w:color="auto" w:fill="auto"/>
            <w:noWrap w:val="0"/>
            <w:vAlign w:val="center"/>
          </w:tcPr>
          <w:p w14:paraId="13DBEBCB">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2</w:t>
            </w:r>
          </w:p>
        </w:tc>
        <w:tc>
          <w:tcPr>
            <w:tcW w:w="714" w:type="dxa"/>
            <w:vMerge w:val="continue"/>
            <w:shd w:val="clear" w:color="auto" w:fill="auto"/>
            <w:noWrap w:val="0"/>
            <w:vAlign w:val="center"/>
          </w:tcPr>
          <w:p w14:paraId="2EAF31EC">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p>
        </w:tc>
        <w:tc>
          <w:tcPr>
            <w:tcW w:w="714" w:type="dxa"/>
            <w:shd w:val="clear" w:color="auto" w:fill="auto"/>
            <w:noWrap w:val="0"/>
            <w:vAlign w:val="center"/>
          </w:tcPr>
          <w:p w14:paraId="2E20C39C">
            <w:pPr>
              <w:spacing w:line="280" w:lineRule="exact"/>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正极</w:t>
            </w:r>
            <w:r>
              <w:rPr>
                <w:rFonts w:hint="default" w:ascii="Times New Roman" w:hAnsi="Times New Roman" w:cs="Times New Roman"/>
                <w:color w:val="000000" w:themeColor="text1"/>
                <w:szCs w:val="21"/>
                <w:highlight w:val="none"/>
                <w:lang w:val="en-US" w:eastAsia="zh-CN"/>
                <w14:textFill>
                  <w14:solidFill>
                    <w14:schemeClr w14:val="tx1"/>
                  </w14:solidFill>
                </w14:textFill>
              </w:rPr>
              <w:t>匀浆</w:t>
            </w:r>
            <w:r>
              <w:rPr>
                <w:rFonts w:hint="default" w:ascii="Times New Roman" w:hAnsi="Times New Roman" w:cs="Times New Roman"/>
                <w:color w:val="000000" w:themeColor="text1"/>
                <w:szCs w:val="21"/>
                <w:highlight w:val="none"/>
                <w14:textFill>
                  <w14:solidFill>
                    <w14:schemeClr w14:val="tx1"/>
                  </w14:solidFill>
                </w14:textFill>
              </w:rPr>
              <w:t>系统</w:t>
            </w:r>
            <w:r>
              <w:rPr>
                <w:rFonts w:hint="eastAsia" w:ascii="Times New Roman" w:hAnsi="Times New Roman" w:cs="Times New Roman"/>
                <w:color w:val="000000" w:themeColor="text1"/>
                <w:szCs w:val="21"/>
                <w:highlight w:val="none"/>
                <w:lang w:val="en-US" w:eastAsia="zh-CN"/>
                <w14:textFill>
                  <w14:solidFill>
                    <w14:schemeClr w14:val="tx1"/>
                  </w14:solidFill>
                </w14:textFill>
              </w:rPr>
              <w:t>2</w:t>
            </w:r>
            <w:r>
              <w:rPr>
                <w:rFonts w:hint="default" w:ascii="Times New Roman" w:hAnsi="Times New Roman" w:cs="Times New Roman"/>
                <w:color w:val="000000" w:themeColor="text1"/>
                <w:szCs w:val="21"/>
                <w:highlight w:val="none"/>
                <w:lang w:val="en-US" w:eastAsia="zh-CN"/>
                <w14:textFill>
                  <w14:solidFill>
                    <w14:schemeClr w14:val="tx1"/>
                  </w14:solidFill>
                </w14:textFill>
              </w:rPr>
              <w:t>#</w:t>
            </w:r>
          </w:p>
        </w:tc>
        <w:tc>
          <w:tcPr>
            <w:tcW w:w="537" w:type="dxa"/>
            <w:shd w:val="clear" w:color="auto" w:fill="auto"/>
            <w:noWrap w:val="0"/>
            <w:vAlign w:val="center"/>
          </w:tcPr>
          <w:p w14:paraId="3377B60F">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80</w:t>
            </w:r>
          </w:p>
        </w:tc>
        <w:tc>
          <w:tcPr>
            <w:tcW w:w="537" w:type="dxa"/>
            <w:shd w:val="clear" w:color="auto" w:fill="auto"/>
            <w:noWrap w:val="0"/>
            <w:vAlign w:val="center"/>
          </w:tcPr>
          <w:p w14:paraId="6E4D6D56">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42.02</w:t>
            </w:r>
          </w:p>
        </w:tc>
        <w:tc>
          <w:tcPr>
            <w:tcW w:w="537" w:type="dxa"/>
            <w:shd w:val="clear" w:color="auto" w:fill="auto"/>
            <w:noWrap w:val="0"/>
            <w:vAlign w:val="center"/>
          </w:tcPr>
          <w:p w14:paraId="7B6F3F34">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46.37</w:t>
            </w:r>
          </w:p>
        </w:tc>
        <w:tc>
          <w:tcPr>
            <w:tcW w:w="558" w:type="dxa"/>
            <w:shd w:val="clear" w:color="auto" w:fill="auto"/>
            <w:noWrap w:val="0"/>
            <w:vAlign w:val="center"/>
          </w:tcPr>
          <w:p w14:paraId="22489C88">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1.4</w:t>
            </w:r>
          </w:p>
        </w:tc>
        <w:tc>
          <w:tcPr>
            <w:tcW w:w="537" w:type="dxa"/>
            <w:shd w:val="clear" w:color="auto" w:fill="auto"/>
            <w:noWrap w:val="0"/>
            <w:vAlign w:val="center"/>
          </w:tcPr>
          <w:p w14:paraId="45E102D0">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34.0</w:t>
            </w:r>
          </w:p>
        </w:tc>
        <w:tc>
          <w:tcPr>
            <w:tcW w:w="537" w:type="dxa"/>
            <w:shd w:val="clear" w:color="auto" w:fill="auto"/>
            <w:noWrap w:val="0"/>
            <w:vAlign w:val="center"/>
          </w:tcPr>
          <w:p w14:paraId="3D640F25">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30.6</w:t>
            </w:r>
          </w:p>
        </w:tc>
        <w:tc>
          <w:tcPr>
            <w:tcW w:w="542" w:type="dxa"/>
            <w:shd w:val="clear" w:color="auto" w:fill="auto"/>
            <w:noWrap w:val="0"/>
            <w:vAlign w:val="center"/>
          </w:tcPr>
          <w:p w14:paraId="7A401373">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55.7</w:t>
            </w:r>
          </w:p>
        </w:tc>
        <w:tc>
          <w:tcPr>
            <w:tcW w:w="558" w:type="dxa"/>
            <w:shd w:val="clear" w:color="auto" w:fill="auto"/>
            <w:noWrap w:val="0"/>
            <w:vAlign w:val="center"/>
          </w:tcPr>
          <w:p w14:paraId="6B4C29FA">
            <w:pPr>
              <w:spacing w:line="280" w:lineRule="exact"/>
              <w:jc w:val="both"/>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120.2</w:t>
            </w:r>
          </w:p>
        </w:tc>
        <w:tc>
          <w:tcPr>
            <w:tcW w:w="542" w:type="dxa"/>
            <w:shd w:val="clear" w:color="auto" w:fill="auto"/>
            <w:noWrap w:val="0"/>
            <w:vAlign w:val="center"/>
          </w:tcPr>
          <w:p w14:paraId="348A3E0B">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54.9 </w:t>
            </w:r>
          </w:p>
        </w:tc>
        <w:tc>
          <w:tcPr>
            <w:tcW w:w="542" w:type="dxa"/>
            <w:shd w:val="clear" w:color="auto" w:fill="auto"/>
            <w:noWrap w:val="0"/>
            <w:vAlign w:val="center"/>
          </w:tcPr>
          <w:p w14:paraId="17035729">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54.9 </w:t>
            </w:r>
          </w:p>
        </w:tc>
        <w:tc>
          <w:tcPr>
            <w:tcW w:w="542" w:type="dxa"/>
            <w:shd w:val="clear" w:color="auto" w:fill="auto"/>
            <w:noWrap w:val="0"/>
            <w:vAlign w:val="center"/>
          </w:tcPr>
          <w:p w14:paraId="67885416">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55" w:type="dxa"/>
            <w:shd w:val="clear" w:color="auto" w:fill="auto"/>
            <w:noWrap w:val="0"/>
            <w:vAlign w:val="center"/>
          </w:tcPr>
          <w:p w14:paraId="58A1CE0C">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42" w:type="dxa"/>
            <w:vMerge w:val="continue"/>
            <w:shd w:val="clear" w:color="auto" w:fill="auto"/>
            <w:noWrap w:val="0"/>
            <w:vAlign w:val="center"/>
          </w:tcPr>
          <w:p w14:paraId="609C5DBD">
            <w:pPr>
              <w:spacing w:line="280" w:lineRule="exact"/>
              <w:jc w:val="center"/>
              <w:rPr>
                <w:rFonts w:hint="default" w:ascii="Times New Roman" w:hAnsi="Times New Roman" w:eastAsia="宋体"/>
                <w:color w:val="000000" w:themeColor="text1"/>
                <w:szCs w:val="21"/>
                <w:highlight w:val="none"/>
                <w:lang w:val="en-US" w:eastAsia="zh-CN"/>
                <w14:textFill>
                  <w14:solidFill>
                    <w14:schemeClr w14:val="tx1"/>
                  </w14:solidFill>
                </w14:textFill>
              </w:rPr>
            </w:pPr>
          </w:p>
        </w:tc>
        <w:tc>
          <w:tcPr>
            <w:tcW w:w="897" w:type="dxa"/>
            <w:shd w:val="clear" w:color="auto" w:fill="auto"/>
            <w:noWrap w:val="0"/>
            <w:vAlign w:val="center"/>
          </w:tcPr>
          <w:p w14:paraId="0735757F">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24.3</w:t>
            </w:r>
          </w:p>
        </w:tc>
        <w:tc>
          <w:tcPr>
            <w:tcW w:w="746" w:type="dxa"/>
            <w:shd w:val="clear" w:color="auto" w:fill="auto"/>
            <w:noWrap w:val="0"/>
            <w:vAlign w:val="center"/>
          </w:tcPr>
          <w:p w14:paraId="4D2A6B3E">
            <w:pPr>
              <w:spacing w:line="280" w:lineRule="exac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30.6</w:t>
            </w:r>
          </w:p>
        </w:tc>
        <w:tc>
          <w:tcPr>
            <w:tcW w:w="689" w:type="dxa"/>
            <w:shd w:val="clear" w:color="auto" w:fill="auto"/>
            <w:noWrap w:val="0"/>
            <w:vAlign w:val="center"/>
          </w:tcPr>
          <w:p w14:paraId="45DFEF78">
            <w:pPr>
              <w:spacing w:line="280" w:lineRule="exac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30.6</w:t>
            </w:r>
          </w:p>
        </w:tc>
        <w:tc>
          <w:tcPr>
            <w:tcW w:w="838" w:type="dxa"/>
            <w:shd w:val="clear" w:color="auto" w:fill="auto"/>
            <w:noWrap w:val="0"/>
            <w:vAlign w:val="center"/>
          </w:tcPr>
          <w:p w14:paraId="727B81F7">
            <w:pPr>
              <w:spacing w:line="280" w:lineRule="exac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750" w:type="dxa"/>
            <w:shd w:val="clear" w:color="auto" w:fill="auto"/>
            <w:noWrap w:val="0"/>
            <w:vAlign w:val="center"/>
          </w:tcPr>
          <w:p w14:paraId="0C4B82A0">
            <w:pPr>
              <w:spacing w:line="280" w:lineRule="exac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1096" w:type="dxa"/>
            <w:shd w:val="clear" w:color="auto" w:fill="auto"/>
            <w:noWrap w:val="0"/>
            <w:vAlign w:val="center"/>
          </w:tcPr>
          <w:p w14:paraId="22E0FFD7">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r>
      <w:tr w14:paraId="080BB3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55D3CBF1">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3</w:t>
            </w:r>
          </w:p>
        </w:tc>
        <w:tc>
          <w:tcPr>
            <w:tcW w:w="714" w:type="dxa"/>
            <w:vMerge w:val="continue"/>
            <w:shd w:val="clear" w:color="auto" w:fill="auto"/>
            <w:noWrap w:val="0"/>
            <w:vAlign w:val="center"/>
          </w:tcPr>
          <w:p w14:paraId="0F87FA28">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color w:val="000000" w:themeColor="text1"/>
                <w:szCs w:val="21"/>
                <w:highlight w:val="none"/>
                <w:lang w:val="en-US" w:eastAsia="zh-CN"/>
                <w14:textFill>
                  <w14:solidFill>
                    <w14:schemeClr w14:val="tx1"/>
                  </w14:solidFill>
                </w14:textFill>
              </w:rPr>
            </w:pPr>
          </w:p>
        </w:tc>
        <w:tc>
          <w:tcPr>
            <w:tcW w:w="714" w:type="dxa"/>
            <w:shd w:val="clear" w:color="auto" w:fill="auto"/>
            <w:noWrap w:val="0"/>
            <w:vAlign w:val="center"/>
          </w:tcPr>
          <w:p w14:paraId="06646175">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正极</w:t>
            </w:r>
            <w:r>
              <w:rPr>
                <w:rFonts w:hint="default" w:ascii="Times New Roman" w:hAnsi="Times New Roman" w:cs="Times New Roman"/>
                <w:color w:val="000000" w:themeColor="text1"/>
                <w:szCs w:val="21"/>
                <w:highlight w:val="none"/>
                <w:lang w:val="en-US" w:eastAsia="zh-CN"/>
                <w14:textFill>
                  <w14:solidFill>
                    <w14:schemeClr w14:val="tx1"/>
                  </w14:solidFill>
                </w14:textFill>
              </w:rPr>
              <w:t>匀浆</w:t>
            </w:r>
            <w:r>
              <w:rPr>
                <w:rFonts w:hint="default" w:ascii="Times New Roman" w:hAnsi="Times New Roman" w:cs="Times New Roman"/>
                <w:color w:val="000000" w:themeColor="text1"/>
                <w:szCs w:val="21"/>
                <w:highlight w:val="none"/>
                <w14:textFill>
                  <w14:solidFill>
                    <w14:schemeClr w14:val="tx1"/>
                  </w14:solidFill>
                </w14:textFill>
              </w:rPr>
              <w:t>系统</w:t>
            </w:r>
            <w:r>
              <w:rPr>
                <w:rFonts w:hint="eastAsia" w:ascii="Times New Roman" w:hAnsi="Times New Roman" w:cs="Times New Roman"/>
                <w:color w:val="000000" w:themeColor="text1"/>
                <w:szCs w:val="21"/>
                <w:highlight w:val="none"/>
                <w:lang w:val="en-US" w:eastAsia="zh-CN"/>
                <w14:textFill>
                  <w14:solidFill>
                    <w14:schemeClr w14:val="tx1"/>
                  </w14:solidFill>
                </w14:textFill>
              </w:rPr>
              <w:t>3</w:t>
            </w:r>
            <w:r>
              <w:rPr>
                <w:rFonts w:hint="default" w:ascii="Times New Roman" w:hAnsi="Times New Roman" w:cs="Times New Roman"/>
                <w:color w:val="000000" w:themeColor="text1"/>
                <w:szCs w:val="21"/>
                <w:highlight w:val="none"/>
                <w:lang w:val="en-US" w:eastAsia="zh-CN"/>
                <w14:textFill>
                  <w14:solidFill>
                    <w14:schemeClr w14:val="tx1"/>
                  </w14:solidFill>
                </w14:textFill>
              </w:rPr>
              <w:t>#</w:t>
            </w:r>
          </w:p>
        </w:tc>
        <w:tc>
          <w:tcPr>
            <w:tcW w:w="537" w:type="dxa"/>
            <w:shd w:val="clear" w:color="auto" w:fill="auto"/>
            <w:noWrap w:val="0"/>
            <w:vAlign w:val="center"/>
          </w:tcPr>
          <w:p w14:paraId="36A1F0CE">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80</w:t>
            </w:r>
          </w:p>
        </w:tc>
        <w:tc>
          <w:tcPr>
            <w:tcW w:w="537" w:type="dxa"/>
            <w:shd w:val="clear" w:color="auto" w:fill="auto"/>
            <w:noWrap w:val="0"/>
            <w:vAlign w:val="center"/>
          </w:tcPr>
          <w:p w14:paraId="75447AC7">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41.13</w:t>
            </w:r>
          </w:p>
        </w:tc>
        <w:tc>
          <w:tcPr>
            <w:tcW w:w="537" w:type="dxa"/>
            <w:shd w:val="clear" w:color="auto" w:fill="auto"/>
            <w:noWrap w:val="0"/>
            <w:vAlign w:val="center"/>
          </w:tcPr>
          <w:p w14:paraId="0FF0C273">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49.35</w:t>
            </w:r>
          </w:p>
        </w:tc>
        <w:tc>
          <w:tcPr>
            <w:tcW w:w="558" w:type="dxa"/>
            <w:shd w:val="clear" w:color="auto" w:fill="auto"/>
            <w:noWrap w:val="0"/>
            <w:vAlign w:val="center"/>
          </w:tcPr>
          <w:p w14:paraId="6BD698FE">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1.4</w:t>
            </w:r>
          </w:p>
        </w:tc>
        <w:tc>
          <w:tcPr>
            <w:tcW w:w="537" w:type="dxa"/>
            <w:shd w:val="clear" w:color="auto" w:fill="auto"/>
            <w:noWrap w:val="0"/>
            <w:vAlign w:val="center"/>
          </w:tcPr>
          <w:p w14:paraId="3CFB1860">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35.6</w:t>
            </w:r>
          </w:p>
        </w:tc>
        <w:tc>
          <w:tcPr>
            <w:tcW w:w="537" w:type="dxa"/>
            <w:shd w:val="clear" w:color="auto" w:fill="auto"/>
            <w:noWrap w:val="0"/>
            <w:vAlign w:val="center"/>
          </w:tcPr>
          <w:p w14:paraId="5E1FE2CF">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33.8</w:t>
            </w:r>
          </w:p>
        </w:tc>
        <w:tc>
          <w:tcPr>
            <w:tcW w:w="542" w:type="dxa"/>
            <w:shd w:val="clear" w:color="auto" w:fill="auto"/>
            <w:noWrap w:val="0"/>
            <w:vAlign w:val="center"/>
          </w:tcPr>
          <w:p w14:paraId="69A25ED0">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56.2</w:t>
            </w:r>
          </w:p>
        </w:tc>
        <w:tc>
          <w:tcPr>
            <w:tcW w:w="558" w:type="dxa"/>
            <w:shd w:val="clear" w:color="auto" w:fill="auto"/>
            <w:noWrap w:val="0"/>
            <w:vAlign w:val="center"/>
          </w:tcPr>
          <w:p w14:paraId="326CDF2A">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117.2</w:t>
            </w:r>
          </w:p>
        </w:tc>
        <w:tc>
          <w:tcPr>
            <w:tcW w:w="542" w:type="dxa"/>
            <w:shd w:val="clear" w:color="auto" w:fill="auto"/>
            <w:noWrap w:val="0"/>
            <w:vAlign w:val="center"/>
          </w:tcPr>
          <w:p w14:paraId="3FA9DF6A">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54.9 </w:t>
            </w:r>
          </w:p>
        </w:tc>
        <w:tc>
          <w:tcPr>
            <w:tcW w:w="542" w:type="dxa"/>
            <w:shd w:val="clear" w:color="auto" w:fill="auto"/>
            <w:noWrap w:val="0"/>
            <w:vAlign w:val="center"/>
          </w:tcPr>
          <w:p w14:paraId="03A2BC82">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54.9 </w:t>
            </w:r>
          </w:p>
        </w:tc>
        <w:tc>
          <w:tcPr>
            <w:tcW w:w="542" w:type="dxa"/>
            <w:shd w:val="clear" w:color="auto" w:fill="auto"/>
            <w:noWrap w:val="0"/>
            <w:vAlign w:val="center"/>
          </w:tcPr>
          <w:p w14:paraId="5D653086">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55" w:type="dxa"/>
            <w:shd w:val="clear" w:color="auto" w:fill="auto"/>
            <w:noWrap w:val="0"/>
            <w:vAlign w:val="center"/>
          </w:tcPr>
          <w:p w14:paraId="3B04E880">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42" w:type="dxa"/>
            <w:vMerge w:val="continue"/>
            <w:shd w:val="clear" w:color="auto" w:fill="auto"/>
            <w:noWrap w:val="0"/>
            <w:vAlign w:val="center"/>
          </w:tcPr>
          <w:p w14:paraId="63954C60">
            <w:pPr>
              <w:spacing w:line="280" w:lineRule="exact"/>
              <w:jc w:val="center"/>
              <w:rPr>
                <w:rFonts w:hint="default" w:ascii="Times New Roman" w:hAnsi="Times New Roman" w:eastAsia="宋体"/>
                <w:color w:val="000000" w:themeColor="text1"/>
                <w:szCs w:val="21"/>
                <w:highlight w:val="none"/>
                <w:lang w:val="en-US" w:eastAsia="zh-CN"/>
                <w14:textFill>
                  <w14:solidFill>
                    <w14:schemeClr w14:val="tx1"/>
                  </w14:solidFill>
                </w14:textFill>
              </w:rPr>
            </w:pPr>
          </w:p>
        </w:tc>
        <w:tc>
          <w:tcPr>
            <w:tcW w:w="897" w:type="dxa"/>
            <w:shd w:val="clear" w:color="auto" w:fill="auto"/>
            <w:noWrap w:val="0"/>
            <w:vAlign w:val="center"/>
          </w:tcPr>
          <w:p w14:paraId="091600D0">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24.3</w:t>
            </w:r>
          </w:p>
        </w:tc>
        <w:tc>
          <w:tcPr>
            <w:tcW w:w="746" w:type="dxa"/>
            <w:shd w:val="clear" w:color="auto" w:fill="auto"/>
            <w:noWrap w:val="0"/>
            <w:vAlign w:val="center"/>
          </w:tcPr>
          <w:p w14:paraId="515BBBA1">
            <w:pPr>
              <w:spacing w:line="280" w:lineRule="exac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30.6</w:t>
            </w:r>
          </w:p>
        </w:tc>
        <w:tc>
          <w:tcPr>
            <w:tcW w:w="689" w:type="dxa"/>
            <w:shd w:val="clear" w:color="auto" w:fill="auto"/>
            <w:noWrap w:val="0"/>
            <w:vAlign w:val="center"/>
          </w:tcPr>
          <w:p w14:paraId="6CF0F645">
            <w:pPr>
              <w:spacing w:line="280" w:lineRule="exac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30.6</w:t>
            </w:r>
          </w:p>
        </w:tc>
        <w:tc>
          <w:tcPr>
            <w:tcW w:w="838" w:type="dxa"/>
            <w:shd w:val="clear" w:color="auto" w:fill="auto"/>
            <w:noWrap w:val="0"/>
            <w:vAlign w:val="center"/>
          </w:tcPr>
          <w:p w14:paraId="368C6FE9">
            <w:pPr>
              <w:spacing w:line="280" w:lineRule="exac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750" w:type="dxa"/>
            <w:shd w:val="clear" w:color="auto" w:fill="auto"/>
            <w:noWrap w:val="0"/>
            <w:vAlign w:val="center"/>
          </w:tcPr>
          <w:p w14:paraId="29D9073B">
            <w:pPr>
              <w:spacing w:line="280" w:lineRule="exac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1096" w:type="dxa"/>
            <w:shd w:val="clear" w:color="auto" w:fill="auto"/>
            <w:noWrap w:val="0"/>
            <w:vAlign w:val="center"/>
          </w:tcPr>
          <w:p w14:paraId="7BE03945">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r>
      <w:tr w14:paraId="7190DA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6E14562A">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4</w:t>
            </w:r>
          </w:p>
        </w:tc>
        <w:tc>
          <w:tcPr>
            <w:tcW w:w="714" w:type="dxa"/>
            <w:vMerge w:val="continue"/>
            <w:shd w:val="clear" w:color="auto" w:fill="auto"/>
            <w:noWrap w:val="0"/>
            <w:vAlign w:val="center"/>
          </w:tcPr>
          <w:p w14:paraId="06E42965">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eastAsia" w:ascii="Times New Roman" w:hAnsi="Times New Roman"/>
                <w:color w:val="000000" w:themeColor="text1"/>
                <w:szCs w:val="21"/>
                <w:highlight w:val="none"/>
                <w:lang w:val="en-US" w:eastAsia="zh-CN"/>
                <w14:textFill>
                  <w14:solidFill>
                    <w14:schemeClr w14:val="tx1"/>
                  </w14:solidFill>
                </w14:textFill>
              </w:rPr>
            </w:pPr>
          </w:p>
        </w:tc>
        <w:tc>
          <w:tcPr>
            <w:tcW w:w="714" w:type="dxa"/>
            <w:shd w:val="clear" w:color="auto" w:fill="auto"/>
            <w:noWrap w:val="0"/>
            <w:vAlign w:val="center"/>
          </w:tcPr>
          <w:p w14:paraId="7E0C4D99">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正极</w:t>
            </w:r>
            <w:r>
              <w:rPr>
                <w:rFonts w:hint="default" w:ascii="Times New Roman" w:hAnsi="Times New Roman" w:cs="Times New Roman"/>
                <w:color w:val="000000" w:themeColor="text1"/>
                <w:szCs w:val="21"/>
                <w:highlight w:val="none"/>
                <w:lang w:val="en-US" w:eastAsia="zh-CN"/>
                <w14:textFill>
                  <w14:solidFill>
                    <w14:schemeClr w14:val="tx1"/>
                  </w14:solidFill>
                </w14:textFill>
              </w:rPr>
              <w:t>匀浆</w:t>
            </w:r>
            <w:r>
              <w:rPr>
                <w:rFonts w:hint="default" w:ascii="Times New Roman" w:hAnsi="Times New Roman" w:cs="Times New Roman"/>
                <w:color w:val="000000" w:themeColor="text1"/>
                <w:szCs w:val="21"/>
                <w:highlight w:val="none"/>
                <w14:textFill>
                  <w14:solidFill>
                    <w14:schemeClr w14:val="tx1"/>
                  </w14:solidFill>
                </w14:textFill>
              </w:rPr>
              <w:t>系统</w:t>
            </w:r>
            <w:r>
              <w:rPr>
                <w:rFonts w:hint="eastAsia" w:ascii="Times New Roman" w:hAnsi="Times New Roman" w:cs="Times New Roman"/>
                <w:color w:val="000000" w:themeColor="text1"/>
                <w:szCs w:val="21"/>
                <w:highlight w:val="none"/>
                <w:lang w:val="en-US" w:eastAsia="zh-CN"/>
                <w14:textFill>
                  <w14:solidFill>
                    <w14:schemeClr w14:val="tx1"/>
                  </w14:solidFill>
                </w14:textFill>
              </w:rPr>
              <w:t>4</w:t>
            </w:r>
            <w:r>
              <w:rPr>
                <w:rFonts w:hint="default" w:ascii="Times New Roman" w:hAnsi="Times New Roman" w:cs="Times New Roman"/>
                <w:color w:val="000000" w:themeColor="text1"/>
                <w:szCs w:val="21"/>
                <w:highlight w:val="none"/>
                <w:lang w:val="en-US" w:eastAsia="zh-CN"/>
                <w14:textFill>
                  <w14:solidFill>
                    <w14:schemeClr w14:val="tx1"/>
                  </w14:solidFill>
                </w14:textFill>
              </w:rPr>
              <w:t>#</w:t>
            </w:r>
          </w:p>
        </w:tc>
        <w:tc>
          <w:tcPr>
            <w:tcW w:w="537" w:type="dxa"/>
            <w:shd w:val="clear" w:color="auto" w:fill="auto"/>
            <w:noWrap w:val="0"/>
            <w:vAlign w:val="center"/>
          </w:tcPr>
          <w:p w14:paraId="00F43ACF">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80</w:t>
            </w:r>
          </w:p>
        </w:tc>
        <w:tc>
          <w:tcPr>
            <w:tcW w:w="537" w:type="dxa"/>
            <w:shd w:val="clear" w:color="auto" w:fill="auto"/>
            <w:noWrap w:val="0"/>
            <w:vAlign w:val="center"/>
          </w:tcPr>
          <w:p w14:paraId="17942C14">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40.09</w:t>
            </w:r>
          </w:p>
        </w:tc>
        <w:tc>
          <w:tcPr>
            <w:tcW w:w="537" w:type="dxa"/>
            <w:shd w:val="clear" w:color="auto" w:fill="auto"/>
            <w:noWrap w:val="0"/>
            <w:vAlign w:val="center"/>
          </w:tcPr>
          <w:p w14:paraId="1AB2D4DB">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51.67</w:t>
            </w:r>
          </w:p>
        </w:tc>
        <w:tc>
          <w:tcPr>
            <w:tcW w:w="558" w:type="dxa"/>
            <w:shd w:val="clear" w:color="auto" w:fill="auto"/>
            <w:noWrap w:val="0"/>
            <w:vAlign w:val="center"/>
          </w:tcPr>
          <w:p w14:paraId="0EB9B456">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1.4</w:t>
            </w:r>
          </w:p>
        </w:tc>
        <w:tc>
          <w:tcPr>
            <w:tcW w:w="537" w:type="dxa"/>
            <w:shd w:val="clear" w:color="auto" w:fill="auto"/>
            <w:noWrap w:val="0"/>
            <w:vAlign w:val="center"/>
          </w:tcPr>
          <w:p w14:paraId="42B5CFA9">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34.6</w:t>
            </w:r>
          </w:p>
        </w:tc>
        <w:tc>
          <w:tcPr>
            <w:tcW w:w="537" w:type="dxa"/>
            <w:shd w:val="clear" w:color="auto" w:fill="auto"/>
            <w:noWrap w:val="0"/>
            <w:vAlign w:val="center"/>
          </w:tcPr>
          <w:p w14:paraId="2620CA30">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37.6</w:t>
            </w:r>
          </w:p>
        </w:tc>
        <w:tc>
          <w:tcPr>
            <w:tcW w:w="542" w:type="dxa"/>
            <w:shd w:val="clear" w:color="auto" w:fill="auto"/>
            <w:noWrap w:val="0"/>
            <w:vAlign w:val="center"/>
          </w:tcPr>
          <w:p w14:paraId="175BAE8C">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54.6</w:t>
            </w:r>
          </w:p>
        </w:tc>
        <w:tc>
          <w:tcPr>
            <w:tcW w:w="558" w:type="dxa"/>
            <w:shd w:val="clear" w:color="auto" w:fill="auto"/>
            <w:noWrap w:val="0"/>
            <w:vAlign w:val="center"/>
          </w:tcPr>
          <w:p w14:paraId="7FA870BD">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137.4</w:t>
            </w:r>
          </w:p>
        </w:tc>
        <w:tc>
          <w:tcPr>
            <w:tcW w:w="542" w:type="dxa"/>
            <w:shd w:val="clear" w:color="auto" w:fill="auto"/>
            <w:noWrap w:val="0"/>
            <w:vAlign w:val="center"/>
          </w:tcPr>
          <w:p w14:paraId="3626607C">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54.9 </w:t>
            </w:r>
          </w:p>
        </w:tc>
        <w:tc>
          <w:tcPr>
            <w:tcW w:w="542" w:type="dxa"/>
            <w:shd w:val="clear" w:color="auto" w:fill="auto"/>
            <w:noWrap w:val="0"/>
            <w:vAlign w:val="center"/>
          </w:tcPr>
          <w:p w14:paraId="61505F92">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42" w:type="dxa"/>
            <w:shd w:val="clear" w:color="auto" w:fill="auto"/>
            <w:noWrap w:val="0"/>
            <w:vAlign w:val="center"/>
          </w:tcPr>
          <w:p w14:paraId="058D6035">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55" w:type="dxa"/>
            <w:shd w:val="clear" w:color="auto" w:fill="auto"/>
            <w:noWrap w:val="0"/>
            <w:vAlign w:val="center"/>
          </w:tcPr>
          <w:p w14:paraId="63007BCF">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42" w:type="dxa"/>
            <w:vMerge w:val="continue"/>
            <w:shd w:val="clear" w:color="auto" w:fill="auto"/>
            <w:noWrap w:val="0"/>
            <w:vAlign w:val="center"/>
          </w:tcPr>
          <w:p w14:paraId="290A73F7">
            <w:pPr>
              <w:spacing w:line="280" w:lineRule="exact"/>
              <w:jc w:val="center"/>
              <w:rPr>
                <w:rFonts w:hint="default" w:ascii="Times New Roman" w:hAnsi="Times New Roman" w:eastAsia="宋体"/>
                <w:color w:val="000000" w:themeColor="text1"/>
                <w:szCs w:val="21"/>
                <w:highlight w:val="none"/>
                <w:lang w:val="en-US" w:eastAsia="zh-CN"/>
                <w14:textFill>
                  <w14:solidFill>
                    <w14:schemeClr w14:val="tx1"/>
                  </w14:solidFill>
                </w14:textFill>
              </w:rPr>
            </w:pPr>
          </w:p>
        </w:tc>
        <w:tc>
          <w:tcPr>
            <w:tcW w:w="897" w:type="dxa"/>
            <w:shd w:val="clear" w:color="auto" w:fill="auto"/>
            <w:noWrap w:val="0"/>
            <w:vAlign w:val="center"/>
          </w:tcPr>
          <w:p w14:paraId="1E8DFE92">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24.3</w:t>
            </w:r>
          </w:p>
        </w:tc>
        <w:tc>
          <w:tcPr>
            <w:tcW w:w="746" w:type="dxa"/>
            <w:shd w:val="clear" w:color="auto" w:fill="auto"/>
            <w:noWrap w:val="0"/>
            <w:vAlign w:val="center"/>
          </w:tcPr>
          <w:p w14:paraId="2913C388">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30.6</w:t>
            </w:r>
          </w:p>
        </w:tc>
        <w:tc>
          <w:tcPr>
            <w:tcW w:w="689" w:type="dxa"/>
            <w:shd w:val="clear" w:color="auto" w:fill="auto"/>
            <w:noWrap w:val="0"/>
            <w:vAlign w:val="center"/>
          </w:tcPr>
          <w:p w14:paraId="406B003D">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838" w:type="dxa"/>
            <w:shd w:val="clear" w:color="auto" w:fill="auto"/>
            <w:noWrap w:val="0"/>
            <w:vAlign w:val="center"/>
          </w:tcPr>
          <w:p w14:paraId="476C6459">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750" w:type="dxa"/>
            <w:shd w:val="clear" w:color="auto" w:fill="auto"/>
            <w:noWrap w:val="0"/>
            <w:vAlign w:val="center"/>
          </w:tcPr>
          <w:p w14:paraId="0C0D2E93">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1096" w:type="dxa"/>
            <w:shd w:val="clear" w:color="auto" w:fill="auto"/>
            <w:noWrap w:val="0"/>
            <w:vAlign w:val="center"/>
          </w:tcPr>
          <w:p w14:paraId="6815E63B">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r>
      <w:tr w14:paraId="00A85A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2780586F">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5</w:t>
            </w:r>
          </w:p>
        </w:tc>
        <w:tc>
          <w:tcPr>
            <w:tcW w:w="714" w:type="dxa"/>
            <w:vMerge w:val="continue"/>
            <w:shd w:val="clear" w:color="auto" w:fill="auto"/>
            <w:noWrap w:val="0"/>
            <w:vAlign w:val="center"/>
          </w:tcPr>
          <w:p w14:paraId="0CBE9AF5">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color w:val="000000" w:themeColor="text1"/>
                <w:szCs w:val="21"/>
                <w:highlight w:val="none"/>
                <w:lang w:val="en-US" w:eastAsia="zh-CN"/>
                <w14:textFill>
                  <w14:solidFill>
                    <w14:schemeClr w14:val="tx1"/>
                  </w14:solidFill>
                </w14:textFill>
              </w:rPr>
            </w:pPr>
          </w:p>
        </w:tc>
        <w:tc>
          <w:tcPr>
            <w:tcW w:w="714" w:type="dxa"/>
            <w:shd w:val="clear" w:color="auto" w:fill="auto"/>
            <w:noWrap w:val="0"/>
            <w:vAlign w:val="center"/>
          </w:tcPr>
          <w:p w14:paraId="7D01EC65">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正极</w:t>
            </w:r>
            <w:r>
              <w:rPr>
                <w:rFonts w:hint="default" w:ascii="Times New Roman" w:hAnsi="Times New Roman" w:cs="Times New Roman"/>
                <w:color w:val="000000" w:themeColor="text1"/>
                <w:szCs w:val="21"/>
                <w:highlight w:val="none"/>
                <w:lang w:val="en-US" w:eastAsia="zh-CN"/>
                <w14:textFill>
                  <w14:solidFill>
                    <w14:schemeClr w14:val="tx1"/>
                  </w14:solidFill>
                </w14:textFill>
              </w:rPr>
              <w:t>匀浆</w:t>
            </w:r>
            <w:r>
              <w:rPr>
                <w:rFonts w:hint="default" w:ascii="Times New Roman" w:hAnsi="Times New Roman" w:cs="Times New Roman"/>
                <w:color w:val="000000" w:themeColor="text1"/>
                <w:szCs w:val="21"/>
                <w:highlight w:val="none"/>
                <w14:textFill>
                  <w14:solidFill>
                    <w14:schemeClr w14:val="tx1"/>
                  </w14:solidFill>
                </w14:textFill>
              </w:rPr>
              <w:t>系统</w:t>
            </w:r>
            <w:r>
              <w:rPr>
                <w:rFonts w:hint="eastAsia" w:ascii="Times New Roman" w:hAnsi="Times New Roman" w:cs="Times New Roman"/>
                <w:color w:val="000000" w:themeColor="text1"/>
                <w:szCs w:val="21"/>
                <w:highlight w:val="none"/>
                <w:lang w:val="en-US" w:eastAsia="zh-CN"/>
                <w14:textFill>
                  <w14:solidFill>
                    <w14:schemeClr w14:val="tx1"/>
                  </w14:solidFill>
                </w14:textFill>
              </w:rPr>
              <w:t>5</w:t>
            </w:r>
            <w:r>
              <w:rPr>
                <w:rFonts w:hint="default" w:ascii="Times New Roman" w:hAnsi="Times New Roman" w:cs="Times New Roman"/>
                <w:color w:val="000000" w:themeColor="text1"/>
                <w:szCs w:val="21"/>
                <w:highlight w:val="none"/>
                <w:lang w:val="en-US" w:eastAsia="zh-CN"/>
                <w14:textFill>
                  <w14:solidFill>
                    <w14:schemeClr w14:val="tx1"/>
                  </w14:solidFill>
                </w14:textFill>
              </w:rPr>
              <w:t>#</w:t>
            </w:r>
          </w:p>
        </w:tc>
        <w:tc>
          <w:tcPr>
            <w:tcW w:w="537" w:type="dxa"/>
            <w:shd w:val="clear" w:color="auto" w:fill="auto"/>
            <w:noWrap w:val="0"/>
            <w:vAlign w:val="center"/>
          </w:tcPr>
          <w:p w14:paraId="060C4758">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80</w:t>
            </w:r>
          </w:p>
        </w:tc>
        <w:tc>
          <w:tcPr>
            <w:tcW w:w="537" w:type="dxa"/>
            <w:shd w:val="clear" w:color="auto" w:fill="auto"/>
            <w:noWrap w:val="0"/>
            <w:vAlign w:val="center"/>
          </w:tcPr>
          <w:p w14:paraId="255B1C01">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39.51</w:t>
            </w:r>
          </w:p>
        </w:tc>
        <w:tc>
          <w:tcPr>
            <w:tcW w:w="537" w:type="dxa"/>
            <w:shd w:val="clear" w:color="auto" w:fill="auto"/>
            <w:noWrap w:val="0"/>
            <w:vAlign w:val="center"/>
          </w:tcPr>
          <w:p w14:paraId="2EEE9B4A">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53.11</w:t>
            </w:r>
          </w:p>
        </w:tc>
        <w:tc>
          <w:tcPr>
            <w:tcW w:w="558" w:type="dxa"/>
            <w:shd w:val="clear" w:color="auto" w:fill="auto"/>
            <w:noWrap w:val="0"/>
            <w:vAlign w:val="center"/>
          </w:tcPr>
          <w:p w14:paraId="33355F39">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1.4</w:t>
            </w:r>
          </w:p>
        </w:tc>
        <w:tc>
          <w:tcPr>
            <w:tcW w:w="537" w:type="dxa"/>
            <w:shd w:val="clear" w:color="auto" w:fill="auto"/>
            <w:noWrap w:val="0"/>
            <w:vAlign w:val="center"/>
          </w:tcPr>
          <w:p w14:paraId="096344CE">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34.3</w:t>
            </w:r>
          </w:p>
        </w:tc>
        <w:tc>
          <w:tcPr>
            <w:tcW w:w="537" w:type="dxa"/>
            <w:shd w:val="clear" w:color="auto" w:fill="auto"/>
            <w:noWrap w:val="0"/>
            <w:vAlign w:val="center"/>
          </w:tcPr>
          <w:p w14:paraId="065B964C">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39.0</w:t>
            </w:r>
          </w:p>
        </w:tc>
        <w:tc>
          <w:tcPr>
            <w:tcW w:w="542" w:type="dxa"/>
            <w:shd w:val="clear" w:color="auto" w:fill="auto"/>
            <w:noWrap w:val="0"/>
            <w:vAlign w:val="center"/>
          </w:tcPr>
          <w:p w14:paraId="2BFDBECF">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55.1</w:t>
            </w:r>
          </w:p>
        </w:tc>
        <w:tc>
          <w:tcPr>
            <w:tcW w:w="558" w:type="dxa"/>
            <w:shd w:val="clear" w:color="auto" w:fill="auto"/>
            <w:noWrap w:val="0"/>
            <w:vAlign w:val="center"/>
          </w:tcPr>
          <w:p w14:paraId="726FD022">
            <w:pPr>
              <w:spacing w:line="280" w:lineRule="exact"/>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138.1</w:t>
            </w:r>
          </w:p>
        </w:tc>
        <w:tc>
          <w:tcPr>
            <w:tcW w:w="542" w:type="dxa"/>
            <w:shd w:val="clear" w:color="auto" w:fill="auto"/>
            <w:noWrap w:val="0"/>
            <w:vAlign w:val="center"/>
          </w:tcPr>
          <w:p w14:paraId="0BEA92AA">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54.9 </w:t>
            </w:r>
          </w:p>
        </w:tc>
        <w:tc>
          <w:tcPr>
            <w:tcW w:w="542" w:type="dxa"/>
            <w:shd w:val="clear" w:color="auto" w:fill="auto"/>
            <w:noWrap w:val="0"/>
            <w:vAlign w:val="center"/>
          </w:tcPr>
          <w:p w14:paraId="31642A20">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42" w:type="dxa"/>
            <w:shd w:val="clear" w:color="auto" w:fill="auto"/>
            <w:noWrap w:val="0"/>
            <w:vAlign w:val="center"/>
          </w:tcPr>
          <w:p w14:paraId="330FD363">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55" w:type="dxa"/>
            <w:shd w:val="clear" w:color="auto" w:fill="auto"/>
            <w:noWrap w:val="0"/>
            <w:vAlign w:val="center"/>
          </w:tcPr>
          <w:p w14:paraId="4D82CF48">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42" w:type="dxa"/>
            <w:vMerge w:val="continue"/>
            <w:shd w:val="clear" w:color="auto" w:fill="auto"/>
            <w:noWrap w:val="0"/>
            <w:vAlign w:val="center"/>
          </w:tcPr>
          <w:p w14:paraId="4588E354">
            <w:pPr>
              <w:spacing w:line="280" w:lineRule="exact"/>
              <w:jc w:val="center"/>
              <w:rPr>
                <w:rFonts w:hint="default" w:ascii="Times New Roman" w:hAnsi="Times New Roman" w:eastAsia="宋体"/>
                <w:color w:val="000000" w:themeColor="text1"/>
                <w:szCs w:val="21"/>
                <w:highlight w:val="none"/>
                <w:lang w:val="en-US" w:eastAsia="zh-CN"/>
                <w14:textFill>
                  <w14:solidFill>
                    <w14:schemeClr w14:val="tx1"/>
                  </w14:solidFill>
                </w14:textFill>
              </w:rPr>
            </w:pPr>
          </w:p>
        </w:tc>
        <w:tc>
          <w:tcPr>
            <w:tcW w:w="897" w:type="dxa"/>
            <w:shd w:val="clear" w:color="auto" w:fill="auto"/>
            <w:noWrap w:val="0"/>
            <w:vAlign w:val="center"/>
          </w:tcPr>
          <w:p w14:paraId="333A947C">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24.3</w:t>
            </w:r>
          </w:p>
        </w:tc>
        <w:tc>
          <w:tcPr>
            <w:tcW w:w="746" w:type="dxa"/>
            <w:shd w:val="clear" w:color="auto" w:fill="auto"/>
            <w:noWrap w:val="0"/>
            <w:vAlign w:val="center"/>
          </w:tcPr>
          <w:p w14:paraId="12803DDB">
            <w:pPr>
              <w:spacing w:line="280" w:lineRule="exac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30.6</w:t>
            </w:r>
          </w:p>
        </w:tc>
        <w:tc>
          <w:tcPr>
            <w:tcW w:w="689" w:type="dxa"/>
            <w:shd w:val="clear" w:color="auto" w:fill="auto"/>
            <w:noWrap w:val="0"/>
            <w:vAlign w:val="center"/>
          </w:tcPr>
          <w:p w14:paraId="311AE17F">
            <w:pPr>
              <w:spacing w:line="280" w:lineRule="exac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838" w:type="dxa"/>
            <w:shd w:val="clear" w:color="auto" w:fill="auto"/>
            <w:noWrap w:val="0"/>
            <w:vAlign w:val="center"/>
          </w:tcPr>
          <w:p w14:paraId="3CE7D5B4">
            <w:pPr>
              <w:spacing w:line="280" w:lineRule="exac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750" w:type="dxa"/>
            <w:shd w:val="clear" w:color="auto" w:fill="auto"/>
            <w:noWrap w:val="0"/>
            <w:vAlign w:val="center"/>
          </w:tcPr>
          <w:p w14:paraId="4F4026E2">
            <w:pPr>
              <w:spacing w:line="280" w:lineRule="exac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1096" w:type="dxa"/>
            <w:shd w:val="clear" w:color="auto" w:fill="auto"/>
            <w:noWrap w:val="0"/>
            <w:vAlign w:val="center"/>
          </w:tcPr>
          <w:p w14:paraId="5239A737">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r>
      <w:tr w14:paraId="056E83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2EFBC478">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6</w:t>
            </w:r>
          </w:p>
        </w:tc>
        <w:tc>
          <w:tcPr>
            <w:tcW w:w="714" w:type="dxa"/>
            <w:vMerge w:val="continue"/>
            <w:shd w:val="clear" w:color="auto" w:fill="auto"/>
            <w:noWrap w:val="0"/>
            <w:vAlign w:val="center"/>
          </w:tcPr>
          <w:p w14:paraId="2E5FA213">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714" w:type="dxa"/>
            <w:shd w:val="clear" w:color="auto" w:fill="auto"/>
            <w:noWrap w:val="0"/>
            <w:vAlign w:val="center"/>
          </w:tcPr>
          <w:p w14:paraId="7E623FAA">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负</w:t>
            </w:r>
            <w:r>
              <w:rPr>
                <w:rFonts w:hint="eastAsia" w:ascii="Times New Roman" w:hAnsi="Times New Roman" w:eastAsia="宋体" w:cs="Times New Roman"/>
                <w:color w:val="000000" w:themeColor="text1"/>
                <w:szCs w:val="21"/>
                <w:highlight w:val="none"/>
                <w14:textFill>
                  <w14:solidFill>
                    <w14:schemeClr w14:val="tx1"/>
                  </w14:solidFill>
                </w14:textFill>
              </w:rPr>
              <w:t>极</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匀浆</w:t>
            </w:r>
            <w:r>
              <w:rPr>
                <w:rFonts w:hint="eastAsia" w:ascii="Times New Roman" w:hAnsi="Times New Roman" w:eastAsia="宋体" w:cs="Times New Roman"/>
                <w:color w:val="000000" w:themeColor="text1"/>
                <w:szCs w:val="21"/>
                <w:highlight w:val="none"/>
                <w14:textFill>
                  <w14:solidFill>
                    <w14:schemeClr w14:val="tx1"/>
                  </w14:solidFill>
                </w14:textFill>
              </w:rPr>
              <w:t>系统</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1#</w:t>
            </w:r>
          </w:p>
        </w:tc>
        <w:tc>
          <w:tcPr>
            <w:tcW w:w="537" w:type="dxa"/>
            <w:shd w:val="clear" w:color="auto" w:fill="auto"/>
            <w:noWrap w:val="0"/>
            <w:vAlign w:val="center"/>
          </w:tcPr>
          <w:p w14:paraId="5C0CA7DF">
            <w:pPr>
              <w:spacing w:line="280" w:lineRule="exact"/>
              <w:jc w:val="center"/>
              <w:rPr>
                <w:rFonts w:hint="eastAsia"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80</w:t>
            </w:r>
          </w:p>
        </w:tc>
        <w:tc>
          <w:tcPr>
            <w:tcW w:w="537" w:type="dxa"/>
            <w:shd w:val="clear" w:color="auto" w:fill="auto"/>
            <w:noWrap w:val="0"/>
            <w:vAlign w:val="center"/>
          </w:tcPr>
          <w:p w14:paraId="510FBC5A">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38.34</w:t>
            </w:r>
          </w:p>
        </w:tc>
        <w:tc>
          <w:tcPr>
            <w:tcW w:w="537" w:type="dxa"/>
            <w:shd w:val="clear" w:color="auto" w:fill="auto"/>
            <w:noWrap w:val="0"/>
            <w:vAlign w:val="center"/>
          </w:tcPr>
          <w:p w14:paraId="4B9D7300">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40.92</w:t>
            </w:r>
          </w:p>
        </w:tc>
        <w:tc>
          <w:tcPr>
            <w:tcW w:w="558" w:type="dxa"/>
            <w:shd w:val="clear" w:color="auto" w:fill="auto"/>
            <w:noWrap w:val="0"/>
            <w:vAlign w:val="center"/>
          </w:tcPr>
          <w:p w14:paraId="765AA425">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1.4</w:t>
            </w:r>
          </w:p>
        </w:tc>
        <w:tc>
          <w:tcPr>
            <w:tcW w:w="537" w:type="dxa"/>
            <w:shd w:val="clear" w:color="auto" w:fill="auto"/>
            <w:noWrap w:val="0"/>
            <w:vAlign w:val="center"/>
          </w:tcPr>
          <w:p w14:paraId="2D6DE622">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40.0</w:t>
            </w:r>
          </w:p>
        </w:tc>
        <w:tc>
          <w:tcPr>
            <w:tcW w:w="537" w:type="dxa"/>
            <w:shd w:val="clear" w:color="auto" w:fill="auto"/>
            <w:noWrap w:val="0"/>
            <w:vAlign w:val="center"/>
          </w:tcPr>
          <w:p w14:paraId="044A6A2B">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26.5</w:t>
            </w:r>
          </w:p>
        </w:tc>
        <w:tc>
          <w:tcPr>
            <w:tcW w:w="542" w:type="dxa"/>
            <w:shd w:val="clear" w:color="auto" w:fill="auto"/>
            <w:noWrap w:val="0"/>
            <w:vAlign w:val="center"/>
          </w:tcPr>
          <w:p w14:paraId="2AF44A8A">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50.1</w:t>
            </w:r>
          </w:p>
        </w:tc>
        <w:tc>
          <w:tcPr>
            <w:tcW w:w="558" w:type="dxa"/>
            <w:shd w:val="clear" w:color="auto" w:fill="auto"/>
            <w:noWrap w:val="0"/>
            <w:vAlign w:val="center"/>
          </w:tcPr>
          <w:p w14:paraId="57BC5C06">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151.7</w:t>
            </w:r>
          </w:p>
        </w:tc>
        <w:tc>
          <w:tcPr>
            <w:tcW w:w="542" w:type="dxa"/>
            <w:shd w:val="clear" w:color="auto" w:fill="auto"/>
            <w:noWrap w:val="0"/>
            <w:vAlign w:val="center"/>
          </w:tcPr>
          <w:p w14:paraId="4D2AA786">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42" w:type="dxa"/>
            <w:shd w:val="clear" w:color="auto" w:fill="auto"/>
            <w:noWrap w:val="0"/>
            <w:vAlign w:val="center"/>
          </w:tcPr>
          <w:p w14:paraId="010E2A0C">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54.9 </w:t>
            </w:r>
          </w:p>
        </w:tc>
        <w:tc>
          <w:tcPr>
            <w:tcW w:w="542" w:type="dxa"/>
            <w:shd w:val="clear" w:color="auto" w:fill="auto"/>
            <w:noWrap w:val="0"/>
            <w:vAlign w:val="center"/>
          </w:tcPr>
          <w:p w14:paraId="1B8B2694">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55" w:type="dxa"/>
            <w:shd w:val="clear" w:color="auto" w:fill="auto"/>
            <w:noWrap w:val="0"/>
            <w:vAlign w:val="center"/>
          </w:tcPr>
          <w:p w14:paraId="5E4DBAFE">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42" w:type="dxa"/>
            <w:vMerge w:val="continue"/>
            <w:shd w:val="clear" w:color="auto" w:fill="auto"/>
            <w:noWrap w:val="0"/>
            <w:vAlign w:val="center"/>
          </w:tcPr>
          <w:p w14:paraId="4A3BC18A">
            <w:pPr>
              <w:spacing w:line="280" w:lineRule="exact"/>
              <w:jc w:val="center"/>
              <w:rPr>
                <w:rFonts w:hint="default" w:ascii="Times New Roman" w:hAnsi="Times New Roman" w:eastAsia="宋体"/>
                <w:color w:val="000000" w:themeColor="text1"/>
                <w:szCs w:val="21"/>
                <w:highlight w:val="none"/>
                <w:lang w:val="en-US" w:eastAsia="zh-CN"/>
                <w14:textFill>
                  <w14:solidFill>
                    <w14:schemeClr w14:val="tx1"/>
                  </w14:solidFill>
                </w14:textFill>
              </w:rPr>
            </w:pPr>
          </w:p>
        </w:tc>
        <w:tc>
          <w:tcPr>
            <w:tcW w:w="897" w:type="dxa"/>
            <w:shd w:val="clear" w:color="auto" w:fill="auto"/>
            <w:noWrap w:val="0"/>
            <w:vAlign w:val="center"/>
          </w:tcPr>
          <w:p w14:paraId="0232B8C3">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24.3</w:t>
            </w:r>
          </w:p>
        </w:tc>
        <w:tc>
          <w:tcPr>
            <w:tcW w:w="746" w:type="dxa"/>
            <w:shd w:val="clear" w:color="auto" w:fill="auto"/>
            <w:noWrap w:val="0"/>
            <w:vAlign w:val="center"/>
          </w:tcPr>
          <w:p w14:paraId="30BF3321">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689" w:type="dxa"/>
            <w:shd w:val="clear" w:color="auto" w:fill="auto"/>
            <w:noWrap w:val="0"/>
            <w:vAlign w:val="center"/>
          </w:tcPr>
          <w:p w14:paraId="5F160BB6">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30.6</w:t>
            </w:r>
          </w:p>
        </w:tc>
        <w:tc>
          <w:tcPr>
            <w:tcW w:w="838" w:type="dxa"/>
            <w:shd w:val="clear" w:color="auto" w:fill="auto"/>
            <w:noWrap w:val="0"/>
            <w:vAlign w:val="center"/>
          </w:tcPr>
          <w:p w14:paraId="12EF69C5">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750" w:type="dxa"/>
            <w:shd w:val="clear" w:color="auto" w:fill="auto"/>
            <w:noWrap w:val="0"/>
            <w:vAlign w:val="center"/>
          </w:tcPr>
          <w:p w14:paraId="1490BCEA">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1096" w:type="dxa"/>
            <w:shd w:val="clear" w:color="auto" w:fill="auto"/>
            <w:noWrap w:val="0"/>
            <w:vAlign w:val="center"/>
          </w:tcPr>
          <w:p w14:paraId="2D9879B7">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r>
      <w:tr w14:paraId="2FDD60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427" w:type="dxa"/>
            <w:shd w:val="clear" w:color="auto" w:fill="auto"/>
            <w:noWrap w:val="0"/>
            <w:vAlign w:val="center"/>
          </w:tcPr>
          <w:p w14:paraId="186918A5">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7</w:t>
            </w:r>
          </w:p>
        </w:tc>
        <w:tc>
          <w:tcPr>
            <w:tcW w:w="714" w:type="dxa"/>
            <w:vMerge w:val="continue"/>
            <w:shd w:val="clear" w:color="auto" w:fill="auto"/>
            <w:noWrap w:val="0"/>
            <w:vAlign w:val="center"/>
          </w:tcPr>
          <w:p w14:paraId="1134D3C3">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p>
        </w:tc>
        <w:tc>
          <w:tcPr>
            <w:tcW w:w="714" w:type="dxa"/>
            <w:shd w:val="clear" w:color="auto" w:fill="auto"/>
            <w:noWrap w:val="0"/>
            <w:vAlign w:val="center"/>
          </w:tcPr>
          <w:p w14:paraId="652181AC">
            <w:pPr>
              <w:spacing w:line="280" w:lineRule="exact"/>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负</w:t>
            </w:r>
            <w:r>
              <w:rPr>
                <w:rFonts w:hint="eastAsia" w:ascii="Times New Roman" w:hAnsi="Times New Roman" w:eastAsia="宋体" w:cs="Times New Roman"/>
                <w:color w:val="000000" w:themeColor="text1"/>
                <w:szCs w:val="21"/>
                <w:highlight w:val="none"/>
                <w14:textFill>
                  <w14:solidFill>
                    <w14:schemeClr w14:val="tx1"/>
                  </w14:solidFill>
                </w14:textFill>
              </w:rPr>
              <w:t>极</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匀浆</w:t>
            </w:r>
            <w:r>
              <w:rPr>
                <w:rFonts w:hint="eastAsia" w:ascii="Times New Roman" w:hAnsi="Times New Roman" w:eastAsia="宋体" w:cs="Times New Roman"/>
                <w:color w:val="000000" w:themeColor="text1"/>
                <w:szCs w:val="21"/>
                <w:highlight w:val="none"/>
                <w14:textFill>
                  <w14:solidFill>
                    <w14:schemeClr w14:val="tx1"/>
                  </w14:solidFill>
                </w14:textFill>
              </w:rPr>
              <w:t>系统</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w:t>
            </w:r>
          </w:p>
        </w:tc>
        <w:tc>
          <w:tcPr>
            <w:tcW w:w="537" w:type="dxa"/>
            <w:shd w:val="clear" w:color="auto" w:fill="auto"/>
            <w:noWrap w:val="0"/>
            <w:vAlign w:val="center"/>
          </w:tcPr>
          <w:p w14:paraId="743783A1">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80</w:t>
            </w:r>
          </w:p>
        </w:tc>
        <w:tc>
          <w:tcPr>
            <w:tcW w:w="537" w:type="dxa"/>
            <w:shd w:val="clear" w:color="auto" w:fill="auto"/>
            <w:noWrap w:val="0"/>
            <w:vAlign w:val="center"/>
          </w:tcPr>
          <w:p w14:paraId="240D14F7">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37.22</w:t>
            </w:r>
          </w:p>
        </w:tc>
        <w:tc>
          <w:tcPr>
            <w:tcW w:w="537" w:type="dxa"/>
            <w:shd w:val="clear" w:color="auto" w:fill="auto"/>
            <w:noWrap w:val="0"/>
            <w:vAlign w:val="center"/>
          </w:tcPr>
          <w:p w14:paraId="31A7FD38">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43.72</w:t>
            </w:r>
          </w:p>
        </w:tc>
        <w:tc>
          <w:tcPr>
            <w:tcW w:w="558" w:type="dxa"/>
            <w:shd w:val="clear" w:color="auto" w:fill="auto"/>
            <w:noWrap w:val="0"/>
            <w:vAlign w:val="center"/>
          </w:tcPr>
          <w:p w14:paraId="374B31FD">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1.4</w:t>
            </w:r>
          </w:p>
        </w:tc>
        <w:tc>
          <w:tcPr>
            <w:tcW w:w="537" w:type="dxa"/>
            <w:shd w:val="clear" w:color="auto" w:fill="auto"/>
            <w:noWrap w:val="0"/>
            <w:vAlign w:val="center"/>
          </w:tcPr>
          <w:p w14:paraId="6370B462">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39.4</w:t>
            </w:r>
          </w:p>
        </w:tc>
        <w:tc>
          <w:tcPr>
            <w:tcW w:w="537" w:type="dxa"/>
            <w:shd w:val="clear" w:color="auto" w:fill="auto"/>
            <w:noWrap w:val="0"/>
            <w:vAlign w:val="center"/>
          </w:tcPr>
          <w:p w14:paraId="23EAC137">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30.2</w:t>
            </w:r>
          </w:p>
        </w:tc>
        <w:tc>
          <w:tcPr>
            <w:tcW w:w="542" w:type="dxa"/>
            <w:shd w:val="clear" w:color="auto" w:fill="auto"/>
            <w:noWrap w:val="0"/>
            <w:vAlign w:val="center"/>
          </w:tcPr>
          <w:p w14:paraId="518C4706">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51.1</w:t>
            </w:r>
          </w:p>
        </w:tc>
        <w:tc>
          <w:tcPr>
            <w:tcW w:w="558" w:type="dxa"/>
            <w:shd w:val="clear" w:color="auto" w:fill="auto"/>
            <w:noWrap w:val="0"/>
            <w:vAlign w:val="center"/>
          </w:tcPr>
          <w:p w14:paraId="7511ACF3">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138.5</w:t>
            </w:r>
          </w:p>
        </w:tc>
        <w:tc>
          <w:tcPr>
            <w:tcW w:w="542" w:type="dxa"/>
            <w:shd w:val="clear" w:color="auto" w:fill="auto"/>
            <w:noWrap w:val="0"/>
            <w:vAlign w:val="center"/>
          </w:tcPr>
          <w:p w14:paraId="450B79E5">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42" w:type="dxa"/>
            <w:shd w:val="clear" w:color="auto" w:fill="auto"/>
            <w:noWrap w:val="0"/>
            <w:vAlign w:val="center"/>
          </w:tcPr>
          <w:p w14:paraId="2D600227">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54.9 </w:t>
            </w:r>
          </w:p>
        </w:tc>
        <w:tc>
          <w:tcPr>
            <w:tcW w:w="542" w:type="dxa"/>
            <w:shd w:val="clear" w:color="auto" w:fill="auto"/>
            <w:noWrap w:val="0"/>
            <w:vAlign w:val="center"/>
          </w:tcPr>
          <w:p w14:paraId="0A4CE74A">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55" w:type="dxa"/>
            <w:shd w:val="clear" w:color="auto" w:fill="auto"/>
            <w:noWrap w:val="0"/>
            <w:vAlign w:val="center"/>
          </w:tcPr>
          <w:p w14:paraId="2F635ADC">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42" w:type="dxa"/>
            <w:vMerge w:val="continue"/>
            <w:shd w:val="clear" w:color="auto" w:fill="auto"/>
            <w:noWrap w:val="0"/>
            <w:vAlign w:val="center"/>
          </w:tcPr>
          <w:p w14:paraId="6FF2F25C">
            <w:pPr>
              <w:spacing w:line="280" w:lineRule="exact"/>
              <w:jc w:val="center"/>
              <w:rPr>
                <w:rFonts w:hint="default" w:ascii="Times New Roman" w:hAnsi="Times New Roman" w:eastAsia="宋体"/>
                <w:color w:val="000000" w:themeColor="text1"/>
                <w:szCs w:val="21"/>
                <w:highlight w:val="none"/>
                <w:lang w:val="en-US" w:eastAsia="zh-CN"/>
                <w14:textFill>
                  <w14:solidFill>
                    <w14:schemeClr w14:val="tx1"/>
                  </w14:solidFill>
                </w14:textFill>
              </w:rPr>
            </w:pPr>
          </w:p>
        </w:tc>
        <w:tc>
          <w:tcPr>
            <w:tcW w:w="897" w:type="dxa"/>
            <w:shd w:val="clear" w:color="auto" w:fill="auto"/>
            <w:noWrap w:val="0"/>
            <w:vAlign w:val="center"/>
          </w:tcPr>
          <w:p w14:paraId="2D34E367">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24.3</w:t>
            </w:r>
          </w:p>
        </w:tc>
        <w:tc>
          <w:tcPr>
            <w:tcW w:w="746" w:type="dxa"/>
            <w:shd w:val="clear" w:color="auto" w:fill="auto"/>
            <w:noWrap w:val="0"/>
            <w:vAlign w:val="center"/>
          </w:tcPr>
          <w:p w14:paraId="1088BA1A">
            <w:pPr>
              <w:spacing w:line="280" w:lineRule="exac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689" w:type="dxa"/>
            <w:shd w:val="clear" w:color="auto" w:fill="auto"/>
            <w:noWrap w:val="0"/>
            <w:vAlign w:val="center"/>
          </w:tcPr>
          <w:p w14:paraId="7B0FBC37">
            <w:pPr>
              <w:spacing w:line="280" w:lineRule="exac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30.6</w:t>
            </w:r>
          </w:p>
        </w:tc>
        <w:tc>
          <w:tcPr>
            <w:tcW w:w="838" w:type="dxa"/>
            <w:shd w:val="clear" w:color="auto" w:fill="auto"/>
            <w:noWrap w:val="0"/>
            <w:vAlign w:val="center"/>
          </w:tcPr>
          <w:p w14:paraId="5B42D6D3">
            <w:pPr>
              <w:spacing w:line="280" w:lineRule="exac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750" w:type="dxa"/>
            <w:shd w:val="clear" w:color="auto" w:fill="auto"/>
            <w:noWrap w:val="0"/>
            <w:vAlign w:val="center"/>
          </w:tcPr>
          <w:p w14:paraId="085D1491">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1096" w:type="dxa"/>
            <w:shd w:val="clear" w:color="auto" w:fill="auto"/>
            <w:noWrap w:val="0"/>
            <w:vAlign w:val="center"/>
          </w:tcPr>
          <w:p w14:paraId="645A4D0F">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r>
      <w:tr w14:paraId="0BB1EE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0324CDC7">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8</w:t>
            </w:r>
          </w:p>
        </w:tc>
        <w:tc>
          <w:tcPr>
            <w:tcW w:w="714" w:type="dxa"/>
            <w:vMerge w:val="continue"/>
            <w:shd w:val="clear" w:color="auto" w:fill="auto"/>
            <w:noWrap w:val="0"/>
            <w:vAlign w:val="center"/>
          </w:tcPr>
          <w:p w14:paraId="704D6BC4">
            <w:pPr>
              <w:spacing w:line="280" w:lineRule="exact"/>
              <w:jc w:val="center"/>
              <w:rPr>
                <w:rFonts w:hint="eastAsia" w:ascii="Times New Roman" w:hAnsi="Times New Roman"/>
                <w:color w:val="000000" w:themeColor="text1"/>
                <w:szCs w:val="21"/>
                <w:highlight w:val="none"/>
                <w:lang w:val="en-US" w:eastAsia="zh-CN"/>
                <w14:textFill>
                  <w14:solidFill>
                    <w14:schemeClr w14:val="tx1"/>
                  </w14:solidFill>
                </w14:textFill>
              </w:rPr>
            </w:pPr>
          </w:p>
        </w:tc>
        <w:tc>
          <w:tcPr>
            <w:tcW w:w="714" w:type="dxa"/>
            <w:shd w:val="clear" w:color="auto" w:fill="auto"/>
            <w:noWrap w:val="0"/>
            <w:vAlign w:val="center"/>
          </w:tcPr>
          <w:p w14:paraId="77DEA300">
            <w:pPr>
              <w:spacing w:line="280" w:lineRule="exact"/>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负</w:t>
            </w:r>
            <w:r>
              <w:rPr>
                <w:rFonts w:hint="eastAsia" w:ascii="Times New Roman" w:hAnsi="Times New Roman" w:eastAsia="宋体" w:cs="Times New Roman"/>
                <w:color w:val="000000" w:themeColor="text1"/>
                <w:szCs w:val="21"/>
                <w:highlight w:val="none"/>
                <w14:textFill>
                  <w14:solidFill>
                    <w14:schemeClr w14:val="tx1"/>
                  </w14:solidFill>
                </w14:textFill>
              </w:rPr>
              <w:t>极</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匀浆</w:t>
            </w:r>
            <w:r>
              <w:rPr>
                <w:rFonts w:hint="eastAsia" w:ascii="Times New Roman" w:hAnsi="Times New Roman" w:eastAsia="宋体" w:cs="Times New Roman"/>
                <w:color w:val="000000" w:themeColor="text1"/>
                <w:szCs w:val="21"/>
                <w:highlight w:val="none"/>
                <w14:textFill>
                  <w14:solidFill>
                    <w14:schemeClr w14:val="tx1"/>
                  </w14:solidFill>
                </w14:textFill>
              </w:rPr>
              <w:t>系统</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3#</w:t>
            </w:r>
          </w:p>
        </w:tc>
        <w:tc>
          <w:tcPr>
            <w:tcW w:w="537" w:type="dxa"/>
            <w:shd w:val="clear" w:color="auto" w:fill="auto"/>
            <w:noWrap w:val="0"/>
            <w:vAlign w:val="center"/>
          </w:tcPr>
          <w:p w14:paraId="6D1256B2">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80</w:t>
            </w:r>
          </w:p>
        </w:tc>
        <w:tc>
          <w:tcPr>
            <w:tcW w:w="537" w:type="dxa"/>
            <w:shd w:val="clear" w:color="auto" w:fill="auto"/>
            <w:noWrap w:val="0"/>
            <w:vAlign w:val="center"/>
          </w:tcPr>
          <w:p w14:paraId="6880FFA2">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36.58</w:t>
            </w:r>
          </w:p>
        </w:tc>
        <w:tc>
          <w:tcPr>
            <w:tcW w:w="537" w:type="dxa"/>
            <w:shd w:val="clear" w:color="auto" w:fill="auto"/>
            <w:noWrap w:val="0"/>
            <w:vAlign w:val="center"/>
          </w:tcPr>
          <w:p w14:paraId="24D33272">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45.65</w:t>
            </w:r>
          </w:p>
        </w:tc>
        <w:tc>
          <w:tcPr>
            <w:tcW w:w="558" w:type="dxa"/>
            <w:shd w:val="clear" w:color="auto" w:fill="auto"/>
            <w:noWrap w:val="0"/>
            <w:vAlign w:val="center"/>
          </w:tcPr>
          <w:p w14:paraId="7AA49162">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1.4</w:t>
            </w:r>
          </w:p>
        </w:tc>
        <w:tc>
          <w:tcPr>
            <w:tcW w:w="537" w:type="dxa"/>
            <w:shd w:val="clear" w:color="auto" w:fill="auto"/>
            <w:noWrap w:val="0"/>
            <w:vAlign w:val="center"/>
          </w:tcPr>
          <w:p w14:paraId="23687D6E">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39.2</w:t>
            </w:r>
          </w:p>
        </w:tc>
        <w:tc>
          <w:tcPr>
            <w:tcW w:w="537" w:type="dxa"/>
            <w:shd w:val="clear" w:color="auto" w:fill="auto"/>
            <w:noWrap w:val="0"/>
            <w:vAlign w:val="center"/>
          </w:tcPr>
          <w:p w14:paraId="440EDFBE">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32.7</w:t>
            </w:r>
          </w:p>
        </w:tc>
        <w:tc>
          <w:tcPr>
            <w:tcW w:w="542" w:type="dxa"/>
            <w:shd w:val="clear" w:color="auto" w:fill="auto"/>
            <w:noWrap w:val="0"/>
            <w:vAlign w:val="center"/>
          </w:tcPr>
          <w:p w14:paraId="232DE54E">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51.1</w:t>
            </w:r>
          </w:p>
        </w:tc>
        <w:tc>
          <w:tcPr>
            <w:tcW w:w="558" w:type="dxa"/>
            <w:shd w:val="clear" w:color="auto" w:fill="auto"/>
            <w:noWrap w:val="0"/>
            <w:vAlign w:val="center"/>
          </w:tcPr>
          <w:p w14:paraId="776A53CF">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145.1</w:t>
            </w:r>
          </w:p>
        </w:tc>
        <w:tc>
          <w:tcPr>
            <w:tcW w:w="542" w:type="dxa"/>
            <w:shd w:val="clear" w:color="auto" w:fill="auto"/>
            <w:noWrap w:val="0"/>
            <w:vAlign w:val="center"/>
          </w:tcPr>
          <w:p w14:paraId="4CB81B94">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42" w:type="dxa"/>
            <w:shd w:val="clear" w:color="auto" w:fill="auto"/>
            <w:noWrap w:val="0"/>
            <w:vAlign w:val="center"/>
          </w:tcPr>
          <w:p w14:paraId="5A1F12EC">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54.9 </w:t>
            </w:r>
          </w:p>
        </w:tc>
        <w:tc>
          <w:tcPr>
            <w:tcW w:w="542" w:type="dxa"/>
            <w:shd w:val="clear" w:color="auto" w:fill="auto"/>
            <w:noWrap w:val="0"/>
            <w:vAlign w:val="center"/>
          </w:tcPr>
          <w:p w14:paraId="601441CE">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55" w:type="dxa"/>
            <w:shd w:val="clear" w:color="auto" w:fill="auto"/>
            <w:noWrap w:val="0"/>
            <w:vAlign w:val="center"/>
          </w:tcPr>
          <w:p w14:paraId="6C6358D4">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42" w:type="dxa"/>
            <w:vMerge w:val="continue"/>
            <w:shd w:val="clear" w:color="auto" w:fill="auto"/>
            <w:noWrap w:val="0"/>
            <w:vAlign w:val="center"/>
          </w:tcPr>
          <w:p w14:paraId="2FA95F2E">
            <w:pPr>
              <w:spacing w:line="280" w:lineRule="exact"/>
              <w:jc w:val="center"/>
              <w:rPr>
                <w:rFonts w:hint="default" w:ascii="Times New Roman" w:hAnsi="Times New Roman" w:eastAsia="宋体"/>
                <w:color w:val="000000" w:themeColor="text1"/>
                <w:szCs w:val="21"/>
                <w:highlight w:val="none"/>
                <w:lang w:val="en-US" w:eastAsia="zh-CN"/>
                <w14:textFill>
                  <w14:solidFill>
                    <w14:schemeClr w14:val="tx1"/>
                  </w14:solidFill>
                </w14:textFill>
              </w:rPr>
            </w:pPr>
          </w:p>
        </w:tc>
        <w:tc>
          <w:tcPr>
            <w:tcW w:w="897" w:type="dxa"/>
            <w:shd w:val="clear" w:color="auto" w:fill="auto"/>
            <w:noWrap w:val="0"/>
            <w:vAlign w:val="center"/>
          </w:tcPr>
          <w:p w14:paraId="3F8D93F9">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24.3</w:t>
            </w:r>
          </w:p>
        </w:tc>
        <w:tc>
          <w:tcPr>
            <w:tcW w:w="746" w:type="dxa"/>
            <w:shd w:val="clear" w:color="auto" w:fill="auto"/>
            <w:noWrap w:val="0"/>
            <w:vAlign w:val="center"/>
          </w:tcPr>
          <w:p w14:paraId="14A32C43">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689" w:type="dxa"/>
            <w:shd w:val="clear" w:color="auto" w:fill="auto"/>
            <w:noWrap w:val="0"/>
            <w:vAlign w:val="center"/>
          </w:tcPr>
          <w:p w14:paraId="24E3FFB0">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30.6</w:t>
            </w:r>
          </w:p>
        </w:tc>
        <w:tc>
          <w:tcPr>
            <w:tcW w:w="838" w:type="dxa"/>
            <w:shd w:val="clear" w:color="auto" w:fill="auto"/>
            <w:noWrap w:val="0"/>
            <w:vAlign w:val="center"/>
          </w:tcPr>
          <w:p w14:paraId="1E1EE926">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750" w:type="dxa"/>
            <w:shd w:val="clear" w:color="auto" w:fill="auto"/>
            <w:noWrap w:val="0"/>
            <w:vAlign w:val="center"/>
          </w:tcPr>
          <w:p w14:paraId="52F8735F">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1096" w:type="dxa"/>
            <w:shd w:val="clear" w:color="auto" w:fill="auto"/>
            <w:noWrap w:val="0"/>
            <w:vAlign w:val="center"/>
          </w:tcPr>
          <w:p w14:paraId="799CDBEB">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r>
      <w:tr w14:paraId="26F7ED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56499F3D">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9</w:t>
            </w:r>
          </w:p>
        </w:tc>
        <w:tc>
          <w:tcPr>
            <w:tcW w:w="714" w:type="dxa"/>
            <w:vMerge w:val="continue"/>
            <w:shd w:val="clear" w:color="auto" w:fill="auto"/>
            <w:noWrap w:val="0"/>
            <w:vAlign w:val="center"/>
          </w:tcPr>
          <w:p w14:paraId="63B5CA82">
            <w:pPr>
              <w:spacing w:line="280" w:lineRule="exact"/>
              <w:jc w:val="center"/>
              <w:rPr>
                <w:rFonts w:hint="default"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pPr>
          </w:p>
        </w:tc>
        <w:tc>
          <w:tcPr>
            <w:tcW w:w="714" w:type="dxa"/>
            <w:shd w:val="clear" w:color="auto" w:fill="auto"/>
            <w:noWrap w:val="0"/>
            <w:vAlign w:val="center"/>
          </w:tcPr>
          <w:p w14:paraId="5C3D6041">
            <w:pPr>
              <w:spacing w:line="280" w:lineRule="exact"/>
              <w:jc w:val="center"/>
              <w:rPr>
                <w:rFonts w:hint="eastAsia" w:ascii="Times New Roman" w:hAnsi="Times New Roman" w:eastAsia="宋体" w:cs="Times New Roman"/>
                <w:b w:val="0"/>
                <w:bCs w:val="0"/>
                <w:color w:val="000000" w:themeColor="text1"/>
                <w:ker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负</w:t>
            </w:r>
            <w:r>
              <w:rPr>
                <w:rFonts w:hint="eastAsia" w:ascii="Times New Roman" w:hAnsi="Times New Roman" w:eastAsia="宋体" w:cs="Times New Roman"/>
                <w:color w:val="000000" w:themeColor="text1"/>
                <w:szCs w:val="21"/>
                <w:highlight w:val="none"/>
                <w14:textFill>
                  <w14:solidFill>
                    <w14:schemeClr w14:val="tx1"/>
                  </w14:solidFill>
                </w14:textFill>
              </w:rPr>
              <w:t>极</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匀浆</w:t>
            </w:r>
            <w:r>
              <w:rPr>
                <w:rFonts w:hint="eastAsia" w:ascii="Times New Roman" w:hAnsi="Times New Roman" w:eastAsia="宋体" w:cs="Times New Roman"/>
                <w:color w:val="000000" w:themeColor="text1"/>
                <w:szCs w:val="21"/>
                <w:highlight w:val="none"/>
                <w14:textFill>
                  <w14:solidFill>
                    <w14:schemeClr w14:val="tx1"/>
                  </w14:solidFill>
                </w14:textFill>
              </w:rPr>
              <w:t>系统</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4#</w:t>
            </w:r>
          </w:p>
        </w:tc>
        <w:tc>
          <w:tcPr>
            <w:tcW w:w="537" w:type="dxa"/>
            <w:shd w:val="clear" w:color="auto" w:fill="auto"/>
            <w:noWrap w:val="0"/>
            <w:vAlign w:val="center"/>
          </w:tcPr>
          <w:p w14:paraId="3BB3D949">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80</w:t>
            </w:r>
          </w:p>
        </w:tc>
        <w:tc>
          <w:tcPr>
            <w:tcW w:w="537" w:type="dxa"/>
            <w:shd w:val="clear" w:color="auto" w:fill="auto"/>
            <w:noWrap w:val="0"/>
            <w:vAlign w:val="center"/>
          </w:tcPr>
          <w:p w14:paraId="7349F9AB">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35.72</w:t>
            </w:r>
          </w:p>
        </w:tc>
        <w:tc>
          <w:tcPr>
            <w:tcW w:w="537" w:type="dxa"/>
            <w:shd w:val="clear" w:color="auto" w:fill="auto"/>
            <w:noWrap w:val="0"/>
            <w:vAlign w:val="center"/>
          </w:tcPr>
          <w:p w14:paraId="587EAC9D">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47.57</w:t>
            </w:r>
          </w:p>
        </w:tc>
        <w:tc>
          <w:tcPr>
            <w:tcW w:w="558" w:type="dxa"/>
            <w:shd w:val="clear" w:color="auto" w:fill="auto"/>
            <w:noWrap w:val="0"/>
            <w:vAlign w:val="center"/>
          </w:tcPr>
          <w:p w14:paraId="1DEEF6A9">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1.4</w:t>
            </w:r>
          </w:p>
        </w:tc>
        <w:tc>
          <w:tcPr>
            <w:tcW w:w="537" w:type="dxa"/>
            <w:shd w:val="clear" w:color="auto" w:fill="auto"/>
            <w:noWrap w:val="0"/>
            <w:vAlign w:val="center"/>
          </w:tcPr>
          <w:p w14:paraId="37505D13">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39.4</w:t>
            </w:r>
          </w:p>
        </w:tc>
        <w:tc>
          <w:tcPr>
            <w:tcW w:w="537" w:type="dxa"/>
            <w:shd w:val="clear" w:color="auto" w:fill="auto"/>
            <w:noWrap w:val="0"/>
            <w:vAlign w:val="center"/>
          </w:tcPr>
          <w:p w14:paraId="24FCC564">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34.3</w:t>
            </w:r>
          </w:p>
        </w:tc>
        <w:tc>
          <w:tcPr>
            <w:tcW w:w="542" w:type="dxa"/>
            <w:shd w:val="clear" w:color="auto" w:fill="auto"/>
            <w:noWrap w:val="0"/>
            <w:vAlign w:val="center"/>
          </w:tcPr>
          <w:p w14:paraId="4BD915E6">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50.8</w:t>
            </w:r>
          </w:p>
        </w:tc>
        <w:tc>
          <w:tcPr>
            <w:tcW w:w="558" w:type="dxa"/>
            <w:shd w:val="clear" w:color="auto" w:fill="auto"/>
            <w:noWrap w:val="0"/>
            <w:vAlign w:val="center"/>
          </w:tcPr>
          <w:p w14:paraId="1CE4590B">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148.2</w:t>
            </w:r>
          </w:p>
        </w:tc>
        <w:tc>
          <w:tcPr>
            <w:tcW w:w="542" w:type="dxa"/>
            <w:shd w:val="clear" w:color="auto" w:fill="auto"/>
            <w:noWrap w:val="0"/>
            <w:vAlign w:val="center"/>
          </w:tcPr>
          <w:p w14:paraId="017B014C">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42" w:type="dxa"/>
            <w:shd w:val="clear" w:color="auto" w:fill="auto"/>
            <w:noWrap w:val="0"/>
            <w:vAlign w:val="center"/>
          </w:tcPr>
          <w:p w14:paraId="112D146A">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54.9 </w:t>
            </w:r>
          </w:p>
        </w:tc>
        <w:tc>
          <w:tcPr>
            <w:tcW w:w="542" w:type="dxa"/>
            <w:shd w:val="clear" w:color="auto" w:fill="auto"/>
            <w:noWrap w:val="0"/>
            <w:vAlign w:val="center"/>
          </w:tcPr>
          <w:p w14:paraId="44E8ACA8">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55" w:type="dxa"/>
            <w:shd w:val="clear" w:color="auto" w:fill="auto"/>
            <w:noWrap w:val="0"/>
            <w:vAlign w:val="center"/>
          </w:tcPr>
          <w:p w14:paraId="6138E2AD">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42" w:type="dxa"/>
            <w:vMerge w:val="continue"/>
            <w:shd w:val="clear" w:color="auto" w:fill="auto"/>
            <w:noWrap w:val="0"/>
            <w:vAlign w:val="center"/>
          </w:tcPr>
          <w:p w14:paraId="49365176">
            <w:pPr>
              <w:spacing w:line="280" w:lineRule="exact"/>
              <w:jc w:val="center"/>
              <w:rPr>
                <w:rFonts w:hint="default" w:ascii="Times New Roman" w:hAnsi="Times New Roman" w:eastAsia="宋体"/>
                <w:color w:val="000000" w:themeColor="text1"/>
                <w:szCs w:val="21"/>
                <w:highlight w:val="none"/>
                <w:lang w:val="en-US" w:eastAsia="zh-CN"/>
                <w14:textFill>
                  <w14:solidFill>
                    <w14:schemeClr w14:val="tx1"/>
                  </w14:solidFill>
                </w14:textFill>
              </w:rPr>
            </w:pPr>
          </w:p>
        </w:tc>
        <w:tc>
          <w:tcPr>
            <w:tcW w:w="897" w:type="dxa"/>
            <w:shd w:val="clear" w:color="auto" w:fill="auto"/>
            <w:noWrap w:val="0"/>
            <w:vAlign w:val="center"/>
          </w:tcPr>
          <w:p w14:paraId="40227F1F">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24.3</w:t>
            </w:r>
          </w:p>
        </w:tc>
        <w:tc>
          <w:tcPr>
            <w:tcW w:w="746" w:type="dxa"/>
            <w:shd w:val="clear" w:color="auto" w:fill="auto"/>
            <w:noWrap w:val="0"/>
            <w:vAlign w:val="center"/>
          </w:tcPr>
          <w:p w14:paraId="302D4B69">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689" w:type="dxa"/>
            <w:shd w:val="clear" w:color="auto" w:fill="auto"/>
            <w:noWrap w:val="0"/>
            <w:vAlign w:val="center"/>
          </w:tcPr>
          <w:p w14:paraId="074DF850">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30.6</w:t>
            </w:r>
          </w:p>
        </w:tc>
        <w:tc>
          <w:tcPr>
            <w:tcW w:w="838" w:type="dxa"/>
            <w:shd w:val="clear" w:color="auto" w:fill="auto"/>
            <w:noWrap w:val="0"/>
            <w:vAlign w:val="center"/>
          </w:tcPr>
          <w:p w14:paraId="4F38455C">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750" w:type="dxa"/>
            <w:shd w:val="clear" w:color="auto" w:fill="auto"/>
            <w:noWrap w:val="0"/>
            <w:vAlign w:val="center"/>
          </w:tcPr>
          <w:p w14:paraId="0FDC1960">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1096" w:type="dxa"/>
            <w:shd w:val="clear" w:color="auto" w:fill="auto"/>
            <w:noWrap w:val="0"/>
            <w:vAlign w:val="center"/>
          </w:tcPr>
          <w:p w14:paraId="48FEA1B7">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r>
      <w:tr w14:paraId="1A8BD3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793D023E">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10</w:t>
            </w:r>
          </w:p>
        </w:tc>
        <w:tc>
          <w:tcPr>
            <w:tcW w:w="714" w:type="dxa"/>
            <w:vMerge w:val="continue"/>
            <w:shd w:val="clear" w:color="auto" w:fill="auto"/>
            <w:noWrap w:val="0"/>
            <w:vAlign w:val="center"/>
          </w:tcPr>
          <w:p w14:paraId="203ABC77">
            <w:pPr>
              <w:spacing w:line="280" w:lineRule="exact"/>
              <w:jc w:val="center"/>
              <w:rPr>
                <w:rFonts w:hint="default"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pPr>
          </w:p>
        </w:tc>
        <w:tc>
          <w:tcPr>
            <w:tcW w:w="714" w:type="dxa"/>
            <w:shd w:val="clear" w:color="auto" w:fill="auto"/>
            <w:noWrap w:val="0"/>
            <w:vAlign w:val="center"/>
          </w:tcPr>
          <w:p w14:paraId="524FA2C2">
            <w:pPr>
              <w:spacing w:line="280" w:lineRule="exact"/>
              <w:jc w:val="center"/>
              <w:rPr>
                <w:rFonts w:hint="eastAsia" w:ascii="Times New Roman" w:hAnsi="Times New Roman" w:eastAsia="宋体" w:cs="Times New Roman"/>
                <w:b w:val="0"/>
                <w:bCs w:val="0"/>
                <w:color w:val="000000" w:themeColor="text1"/>
                <w:kern w:val="0"/>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14:textFill>
                  <w14:solidFill>
                    <w14:schemeClr w14:val="tx1"/>
                  </w14:solidFill>
                </w14:textFill>
              </w:rPr>
              <w:t>涂布机1#</w:t>
            </w:r>
          </w:p>
        </w:tc>
        <w:tc>
          <w:tcPr>
            <w:tcW w:w="537" w:type="dxa"/>
            <w:shd w:val="clear" w:color="auto" w:fill="auto"/>
            <w:noWrap w:val="0"/>
            <w:vAlign w:val="center"/>
          </w:tcPr>
          <w:p w14:paraId="0AF3CEAF">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80</w:t>
            </w:r>
          </w:p>
        </w:tc>
        <w:tc>
          <w:tcPr>
            <w:tcW w:w="537" w:type="dxa"/>
            <w:shd w:val="clear" w:color="auto" w:fill="auto"/>
            <w:noWrap w:val="0"/>
            <w:vAlign w:val="center"/>
          </w:tcPr>
          <w:p w14:paraId="79FEB5A9">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52.8</w:t>
            </w:r>
          </w:p>
        </w:tc>
        <w:tc>
          <w:tcPr>
            <w:tcW w:w="537" w:type="dxa"/>
            <w:shd w:val="clear" w:color="auto" w:fill="auto"/>
            <w:noWrap w:val="0"/>
            <w:vAlign w:val="center"/>
          </w:tcPr>
          <w:p w14:paraId="1109B52F">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80.17</w:t>
            </w:r>
          </w:p>
        </w:tc>
        <w:tc>
          <w:tcPr>
            <w:tcW w:w="558" w:type="dxa"/>
            <w:shd w:val="clear" w:color="auto" w:fill="auto"/>
            <w:noWrap w:val="0"/>
            <w:vAlign w:val="center"/>
          </w:tcPr>
          <w:p w14:paraId="47224997">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1.5</w:t>
            </w:r>
          </w:p>
        </w:tc>
        <w:tc>
          <w:tcPr>
            <w:tcW w:w="537" w:type="dxa"/>
            <w:shd w:val="clear" w:color="auto" w:fill="auto"/>
            <w:noWrap w:val="0"/>
            <w:vAlign w:val="center"/>
          </w:tcPr>
          <w:p w14:paraId="6725E5FB">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11.6</w:t>
            </w:r>
          </w:p>
        </w:tc>
        <w:tc>
          <w:tcPr>
            <w:tcW w:w="537" w:type="dxa"/>
            <w:shd w:val="clear" w:color="auto" w:fill="auto"/>
            <w:noWrap w:val="0"/>
            <w:vAlign w:val="center"/>
          </w:tcPr>
          <w:p w14:paraId="3AA810F7">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58.7</w:t>
            </w:r>
          </w:p>
        </w:tc>
        <w:tc>
          <w:tcPr>
            <w:tcW w:w="542" w:type="dxa"/>
            <w:shd w:val="clear" w:color="auto" w:fill="auto"/>
            <w:noWrap w:val="0"/>
            <w:vAlign w:val="center"/>
          </w:tcPr>
          <w:p w14:paraId="707A9C96">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78.9</w:t>
            </w:r>
          </w:p>
        </w:tc>
        <w:tc>
          <w:tcPr>
            <w:tcW w:w="558" w:type="dxa"/>
            <w:shd w:val="clear" w:color="auto" w:fill="auto"/>
            <w:noWrap w:val="0"/>
            <w:vAlign w:val="center"/>
          </w:tcPr>
          <w:p w14:paraId="4DBBD1A8">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68.5</w:t>
            </w:r>
          </w:p>
        </w:tc>
        <w:tc>
          <w:tcPr>
            <w:tcW w:w="542" w:type="dxa"/>
            <w:shd w:val="clear" w:color="auto" w:fill="auto"/>
            <w:noWrap w:val="0"/>
            <w:vAlign w:val="center"/>
          </w:tcPr>
          <w:p w14:paraId="717E475B">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55.5 </w:t>
            </w:r>
          </w:p>
        </w:tc>
        <w:tc>
          <w:tcPr>
            <w:tcW w:w="542" w:type="dxa"/>
            <w:shd w:val="clear" w:color="auto" w:fill="auto"/>
            <w:noWrap w:val="0"/>
            <w:vAlign w:val="center"/>
          </w:tcPr>
          <w:p w14:paraId="7B680769">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42" w:type="dxa"/>
            <w:shd w:val="clear" w:color="auto" w:fill="auto"/>
            <w:noWrap w:val="0"/>
            <w:vAlign w:val="center"/>
          </w:tcPr>
          <w:p w14:paraId="2CF3AC51">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55" w:type="dxa"/>
            <w:shd w:val="clear" w:color="auto" w:fill="auto"/>
            <w:noWrap w:val="0"/>
            <w:vAlign w:val="center"/>
          </w:tcPr>
          <w:p w14:paraId="6E67FEAB">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42" w:type="dxa"/>
            <w:vMerge w:val="continue"/>
            <w:shd w:val="clear" w:color="auto" w:fill="auto"/>
            <w:noWrap w:val="0"/>
            <w:vAlign w:val="center"/>
          </w:tcPr>
          <w:p w14:paraId="65332315">
            <w:pPr>
              <w:spacing w:line="280" w:lineRule="exact"/>
              <w:jc w:val="center"/>
              <w:rPr>
                <w:rFonts w:hint="default" w:ascii="Times New Roman" w:hAnsi="Times New Roman" w:eastAsia="宋体"/>
                <w:color w:val="000000" w:themeColor="text1"/>
                <w:szCs w:val="21"/>
                <w:highlight w:val="none"/>
                <w:lang w:val="en-US" w:eastAsia="zh-CN"/>
                <w14:textFill>
                  <w14:solidFill>
                    <w14:schemeClr w14:val="tx1"/>
                  </w14:solidFill>
                </w14:textFill>
              </w:rPr>
            </w:pPr>
          </w:p>
        </w:tc>
        <w:tc>
          <w:tcPr>
            <w:tcW w:w="897" w:type="dxa"/>
            <w:shd w:val="clear" w:color="auto" w:fill="auto"/>
            <w:noWrap w:val="0"/>
            <w:vAlign w:val="center"/>
          </w:tcPr>
          <w:p w14:paraId="4A7D893E">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24.3</w:t>
            </w:r>
          </w:p>
        </w:tc>
        <w:tc>
          <w:tcPr>
            <w:tcW w:w="746" w:type="dxa"/>
            <w:shd w:val="clear" w:color="auto" w:fill="auto"/>
            <w:noWrap w:val="0"/>
            <w:vAlign w:val="center"/>
          </w:tcPr>
          <w:p w14:paraId="15BFBE3E">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31.2</w:t>
            </w:r>
          </w:p>
        </w:tc>
        <w:tc>
          <w:tcPr>
            <w:tcW w:w="689" w:type="dxa"/>
            <w:shd w:val="clear" w:color="auto" w:fill="auto"/>
            <w:noWrap w:val="0"/>
            <w:vAlign w:val="center"/>
          </w:tcPr>
          <w:p w14:paraId="4F0945B9">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838" w:type="dxa"/>
            <w:shd w:val="clear" w:color="auto" w:fill="auto"/>
            <w:noWrap w:val="0"/>
            <w:vAlign w:val="center"/>
          </w:tcPr>
          <w:p w14:paraId="7CFE2C32">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750" w:type="dxa"/>
            <w:shd w:val="clear" w:color="auto" w:fill="auto"/>
            <w:noWrap w:val="0"/>
            <w:vAlign w:val="center"/>
          </w:tcPr>
          <w:p w14:paraId="6FA53BB4">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1096" w:type="dxa"/>
            <w:shd w:val="clear" w:color="auto" w:fill="auto"/>
            <w:noWrap w:val="0"/>
            <w:vAlign w:val="center"/>
          </w:tcPr>
          <w:p w14:paraId="4459F1C2">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r>
      <w:tr w14:paraId="1E04F4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1C987269">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11</w:t>
            </w:r>
          </w:p>
        </w:tc>
        <w:tc>
          <w:tcPr>
            <w:tcW w:w="714" w:type="dxa"/>
            <w:vMerge w:val="continue"/>
            <w:shd w:val="clear" w:color="auto" w:fill="auto"/>
            <w:noWrap w:val="0"/>
            <w:vAlign w:val="center"/>
          </w:tcPr>
          <w:p w14:paraId="33BAA983">
            <w:pPr>
              <w:spacing w:line="280" w:lineRule="exact"/>
              <w:jc w:val="center"/>
              <w:rPr>
                <w:rFonts w:hint="eastAsia" w:cs="Times New Roman"/>
                <w:b w:val="0"/>
                <w:bCs w:val="0"/>
                <w:color w:val="000000" w:themeColor="text1"/>
                <w:kern w:val="0"/>
                <w:sz w:val="21"/>
                <w:szCs w:val="21"/>
                <w:highlight w:val="none"/>
                <w:vertAlign w:val="baseline"/>
                <w:lang w:val="en-US" w:eastAsia="zh-CN"/>
                <w14:textFill>
                  <w14:solidFill>
                    <w14:schemeClr w14:val="tx1"/>
                  </w14:solidFill>
                </w14:textFill>
              </w:rPr>
            </w:pPr>
          </w:p>
        </w:tc>
        <w:tc>
          <w:tcPr>
            <w:tcW w:w="714" w:type="dxa"/>
            <w:shd w:val="clear" w:color="auto" w:fill="auto"/>
            <w:noWrap w:val="0"/>
            <w:vAlign w:val="center"/>
          </w:tcPr>
          <w:p w14:paraId="4D1E498D">
            <w:pPr>
              <w:spacing w:line="280" w:lineRule="exact"/>
              <w:jc w:val="center"/>
              <w:rPr>
                <w:rFonts w:hint="eastAsia" w:ascii="Times New Roman" w:hAnsi="Times New Roman" w:eastAsia="宋体" w:cs="Times New Roman"/>
                <w:b w:val="0"/>
                <w:bCs w:val="0"/>
                <w:color w:val="000000" w:themeColor="text1"/>
                <w:kern w:val="0"/>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14:textFill>
                  <w14:solidFill>
                    <w14:schemeClr w14:val="tx1"/>
                  </w14:solidFill>
                </w14:textFill>
              </w:rPr>
              <w:t>涂布机2#</w:t>
            </w:r>
          </w:p>
        </w:tc>
        <w:tc>
          <w:tcPr>
            <w:tcW w:w="537" w:type="dxa"/>
            <w:shd w:val="clear" w:color="auto" w:fill="auto"/>
            <w:noWrap w:val="0"/>
            <w:vAlign w:val="center"/>
          </w:tcPr>
          <w:p w14:paraId="46C77EFF">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80</w:t>
            </w:r>
          </w:p>
        </w:tc>
        <w:tc>
          <w:tcPr>
            <w:tcW w:w="537" w:type="dxa"/>
            <w:shd w:val="clear" w:color="auto" w:fill="auto"/>
            <w:noWrap w:val="0"/>
            <w:vAlign w:val="center"/>
          </w:tcPr>
          <w:p w14:paraId="534188EC">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13.53</w:t>
            </w:r>
          </w:p>
        </w:tc>
        <w:tc>
          <w:tcPr>
            <w:tcW w:w="537" w:type="dxa"/>
            <w:shd w:val="clear" w:color="auto" w:fill="auto"/>
            <w:noWrap w:val="0"/>
            <w:vAlign w:val="center"/>
          </w:tcPr>
          <w:p w14:paraId="10EFA7B8">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55.41</w:t>
            </w:r>
          </w:p>
        </w:tc>
        <w:tc>
          <w:tcPr>
            <w:tcW w:w="558" w:type="dxa"/>
            <w:shd w:val="clear" w:color="auto" w:fill="auto"/>
            <w:noWrap w:val="0"/>
            <w:vAlign w:val="center"/>
          </w:tcPr>
          <w:p w14:paraId="0A988329">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1.5</w:t>
            </w:r>
          </w:p>
        </w:tc>
        <w:tc>
          <w:tcPr>
            <w:tcW w:w="537" w:type="dxa"/>
            <w:shd w:val="clear" w:color="auto" w:fill="auto"/>
            <w:noWrap w:val="0"/>
            <w:vAlign w:val="center"/>
          </w:tcPr>
          <w:p w14:paraId="281D60C8">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57.7</w:t>
            </w:r>
          </w:p>
        </w:tc>
        <w:tc>
          <w:tcPr>
            <w:tcW w:w="537" w:type="dxa"/>
            <w:shd w:val="clear" w:color="auto" w:fill="auto"/>
            <w:noWrap w:val="0"/>
            <w:vAlign w:val="center"/>
          </w:tcPr>
          <w:p w14:paraId="4B2629DD">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49.2</w:t>
            </w:r>
          </w:p>
        </w:tc>
        <w:tc>
          <w:tcPr>
            <w:tcW w:w="542" w:type="dxa"/>
            <w:shd w:val="clear" w:color="auto" w:fill="auto"/>
            <w:noWrap w:val="0"/>
            <w:vAlign w:val="center"/>
          </w:tcPr>
          <w:p w14:paraId="0C0EC8A1">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31.7</w:t>
            </w:r>
          </w:p>
        </w:tc>
        <w:tc>
          <w:tcPr>
            <w:tcW w:w="558" w:type="dxa"/>
            <w:shd w:val="clear" w:color="auto" w:fill="auto"/>
            <w:noWrap w:val="0"/>
            <w:vAlign w:val="center"/>
          </w:tcPr>
          <w:p w14:paraId="56E75916">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128.6</w:t>
            </w:r>
          </w:p>
        </w:tc>
        <w:tc>
          <w:tcPr>
            <w:tcW w:w="542" w:type="dxa"/>
            <w:shd w:val="clear" w:color="auto" w:fill="auto"/>
            <w:noWrap w:val="0"/>
            <w:vAlign w:val="center"/>
          </w:tcPr>
          <w:p w14:paraId="7CF53A76">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42" w:type="dxa"/>
            <w:shd w:val="clear" w:color="auto" w:fill="auto"/>
            <w:noWrap w:val="0"/>
            <w:vAlign w:val="center"/>
          </w:tcPr>
          <w:p w14:paraId="7966D1BE">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42" w:type="dxa"/>
            <w:shd w:val="clear" w:color="auto" w:fill="auto"/>
            <w:noWrap w:val="0"/>
            <w:vAlign w:val="center"/>
          </w:tcPr>
          <w:p w14:paraId="167F98D4">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54.9 </w:t>
            </w:r>
          </w:p>
        </w:tc>
        <w:tc>
          <w:tcPr>
            <w:tcW w:w="555" w:type="dxa"/>
            <w:shd w:val="clear" w:color="auto" w:fill="auto"/>
            <w:noWrap w:val="0"/>
            <w:vAlign w:val="center"/>
          </w:tcPr>
          <w:p w14:paraId="576CDC83">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42" w:type="dxa"/>
            <w:vMerge w:val="continue"/>
            <w:shd w:val="clear" w:color="auto" w:fill="auto"/>
            <w:noWrap w:val="0"/>
            <w:vAlign w:val="center"/>
          </w:tcPr>
          <w:p w14:paraId="79B08E56">
            <w:pPr>
              <w:spacing w:line="280" w:lineRule="exact"/>
              <w:jc w:val="center"/>
              <w:rPr>
                <w:rFonts w:hint="default" w:ascii="Times New Roman" w:hAnsi="Times New Roman" w:eastAsia="宋体"/>
                <w:color w:val="000000" w:themeColor="text1"/>
                <w:szCs w:val="21"/>
                <w:highlight w:val="none"/>
                <w:lang w:val="en-US" w:eastAsia="zh-CN"/>
                <w14:textFill>
                  <w14:solidFill>
                    <w14:schemeClr w14:val="tx1"/>
                  </w14:solidFill>
                </w14:textFill>
              </w:rPr>
            </w:pPr>
          </w:p>
        </w:tc>
        <w:tc>
          <w:tcPr>
            <w:tcW w:w="897" w:type="dxa"/>
            <w:shd w:val="clear" w:color="auto" w:fill="auto"/>
            <w:noWrap w:val="0"/>
            <w:vAlign w:val="center"/>
          </w:tcPr>
          <w:p w14:paraId="36AB1543">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24.3</w:t>
            </w:r>
          </w:p>
        </w:tc>
        <w:tc>
          <w:tcPr>
            <w:tcW w:w="746" w:type="dxa"/>
            <w:shd w:val="clear" w:color="auto" w:fill="auto"/>
            <w:noWrap w:val="0"/>
            <w:vAlign w:val="center"/>
          </w:tcPr>
          <w:p w14:paraId="629B91F7">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689" w:type="dxa"/>
            <w:shd w:val="clear" w:color="auto" w:fill="auto"/>
            <w:noWrap w:val="0"/>
            <w:vAlign w:val="center"/>
          </w:tcPr>
          <w:p w14:paraId="5619FC83">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838" w:type="dxa"/>
            <w:shd w:val="clear" w:color="auto" w:fill="auto"/>
            <w:noWrap w:val="0"/>
            <w:vAlign w:val="center"/>
          </w:tcPr>
          <w:p w14:paraId="59019AC8">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30.6</w:t>
            </w:r>
          </w:p>
        </w:tc>
        <w:tc>
          <w:tcPr>
            <w:tcW w:w="750" w:type="dxa"/>
            <w:shd w:val="clear" w:color="auto" w:fill="auto"/>
            <w:noWrap w:val="0"/>
            <w:vAlign w:val="center"/>
          </w:tcPr>
          <w:p w14:paraId="3AD781DA">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1096" w:type="dxa"/>
            <w:shd w:val="clear" w:color="auto" w:fill="auto"/>
            <w:noWrap w:val="0"/>
            <w:vAlign w:val="center"/>
          </w:tcPr>
          <w:p w14:paraId="355BFB69">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r>
      <w:tr w14:paraId="6493A1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2AE562B4">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12</w:t>
            </w:r>
          </w:p>
        </w:tc>
        <w:tc>
          <w:tcPr>
            <w:tcW w:w="714" w:type="dxa"/>
            <w:vMerge w:val="continue"/>
            <w:shd w:val="clear" w:color="auto" w:fill="auto"/>
            <w:noWrap w:val="0"/>
            <w:vAlign w:val="center"/>
          </w:tcPr>
          <w:p w14:paraId="4A19CA1E">
            <w:pPr>
              <w:spacing w:line="280" w:lineRule="exact"/>
              <w:jc w:val="center"/>
              <w:rPr>
                <w:rFonts w:hint="default" w:cs="Times New Roman"/>
                <w:b w:val="0"/>
                <w:bCs w:val="0"/>
                <w:color w:val="000000" w:themeColor="text1"/>
                <w:kern w:val="0"/>
                <w:sz w:val="21"/>
                <w:szCs w:val="21"/>
                <w:highlight w:val="none"/>
                <w:vertAlign w:val="baseline"/>
                <w:lang w:val="en-US" w:eastAsia="zh-CN"/>
                <w14:textFill>
                  <w14:solidFill>
                    <w14:schemeClr w14:val="tx1"/>
                  </w14:solidFill>
                </w14:textFill>
              </w:rPr>
            </w:pPr>
          </w:p>
        </w:tc>
        <w:tc>
          <w:tcPr>
            <w:tcW w:w="714" w:type="dxa"/>
            <w:shd w:val="clear" w:color="auto" w:fill="auto"/>
            <w:noWrap w:val="0"/>
            <w:vAlign w:val="center"/>
          </w:tcPr>
          <w:p w14:paraId="12417ECA">
            <w:pPr>
              <w:spacing w:line="280" w:lineRule="exact"/>
              <w:jc w:val="center"/>
              <w:rPr>
                <w:rFonts w:hint="eastAsia" w:ascii="Times New Roman" w:hAnsi="Times New Roman" w:eastAsia="宋体" w:cs="Times New Roman"/>
                <w:b w:val="0"/>
                <w:bCs w:val="0"/>
                <w:color w:val="000000" w:themeColor="text1"/>
                <w:kern w:val="0"/>
                <w:sz w:val="21"/>
                <w:szCs w:val="21"/>
                <w:highlight w:val="none"/>
                <w:vertAlign w:val="baseline"/>
                <w:lang w:val="en-US" w:eastAsia="zh-CN" w:bidi="ar-SA"/>
                <w14:textFill>
                  <w14:solidFill>
                    <w14:schemeClr w14:val="tx1"/>
                  </w14:solidFill>
                </w14:textFill>
              </w:rPr>
            </w:pPr>
            <w:r>
              <w:rPr>
                <w:rFonts w:hint="eastAsia" w:ascii="宋体"/>
                <w:color w:val="000000" w:themeColor="text1"/>
                <w:szCs w:val="21"/>
                <w:highlight w:val="none"/>
                <w:lang w:val="en-US" w:eastAsia="zh-CN"/>
                <w14:textFill>
                  <w14:solidFill>
                    <w14:schemeClr w14:val="tx1"/>
                  </w14:solidFill>
                </w14:textFill>
              </w:rPr>
              <w:t>辊</w:t>
            </w:r>
            <w:r>
              <w:rPr>
                <w:rFonts w:hint="default" w:ascii="Times New Roman" w:hAnsi="Times New Roman" w:cs="Times New Roman"/>
                <w:color w:val="000000" w:themeColor="text1"/>
                <w:szCs w:val="21"/>
                <w:highlight w:val="none"/>
                <w:lang w:val="en-US" w:eastAsia="zh-CN"/>
                <w14:textFill>
                  <w14:solidFill>
                    <w14:schemeClr w14:val="tx1"/>
                  </w14:solidFill>
                </w14:textFill>
              </w:rPr>
              <w:t>分一体机1#</w:t>
            </w:r>
          </w:p>
        </w:tc>
        <w:tc>
          <w:tcPr>
            <w:tcW w:w="537" w:type="dxa"/>
            <w:shd w:val="clear" w:color="auto" w:fill="auto"/>
            <w:noWrap w:val="0"/>
            <w:vAlign w:val="center"/>
          </w:tcPr>
          <w:p w14:paraId="5ADBFE68">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80</w:t>
            </w:r>
          </w:p>
        </w:tc>
        <w:tc>
          <w:tcPr>
            <w:tcW w:w="537" w:type="dxa"/>
            <w:shd w:val="clear" w:color="auto" w:fill="auto"/>
            <w:noWrap w:val="0"/>
            <w:vAlign w:val="center"/>
          </w:tcPr>
          <w:p w14:paraId="7AA0C6F4">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31.85</w:t>
            </w:r>
          </w:p>
        </w:tc>
        <w:tc>
          <w:tcPr>
            <w:tcW w:w="537" w:type="dxa"/>
            <w:shd w:val="clear" w:color="auto" w:fill="auto"/>
            <w:noWrap w:val="0"/>
            <w:vAlign w:val="center"/>
          </w:tcPr>
          <w:p w14:paraId="67738958">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87.98</w:t>
            </w:r>
          </w:p>
        </w:tc>
        <w:tc>
          <w:tcPr>
            <w:tcW w:w="558" w:type="dxa"/>
            <w:shd w:val="clear" w:color="auto" w:fill="auto"/>
            <w:noWrap w:val="0"/>
            <w:vAlign w:val="center"/>
          </w:tcPr>
          <w:p w14:paraId="7F33A31F">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1.5</w:t>
            </w:r>
          </w:p>
        </w:tc>
        <w:tc>
          <w:tcPr>
            <w:tcW w:w="537" w:type="dxa"/>
            <w:shd w:val="clear" w:color="auto" w:fill="auto"/>
            <w:noWrap w:val="0"/>
            <w:vAlign w:val="center"/>
          </w:tcPr>
          <w:p w14:paraId="6AED1612">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30.4</w:t>
            </w:r>
          </w:p>
        </w:tc>
        <w:tc>
          <w:tcPr>
            <w:tcW w:w="537" w:type="dxa"/>
            <w:shd w:val="clear" w:color="auto" w:fill="auto"/>
            <w:noWrap w:val="0"/>
            <w:vAlign w:val="center"/>
          </w:tcPr>
          <w:p w14:paraId="2B9C2CCF">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75.9</w:t>
            </w:r>
          </w:p>
        </w:tc>
        <w:tc>
          <w:tcPr>
            <w:tcW w:w="542" w:type="dxa"/>
            <w:shd w:val="clear" w:color="auto" w:fill="auto"/>
            <w:noWrap w:val="0"/>
            <w:vAlign w:val="center"/>
          </w:tcPr>
          <w:p w14:paraId="4DD02427">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61.1</w:t>
            </w:r>
          </w:p>
        </w:tc>
        <w:tc>
          <w:tcPr>
            <w:tcW w:w="558" w:type="dxa"/>
            <w:shd w:val="clear" w:color="auto" w:fill="auto"/>
            <w:noWrap w:val="0"/>
            <w:vAlign w:val="center"/>
          </w:tcPr>
          <w:p w14:paraId="52E2CD51">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101.5</w:t>
            </w:r>
          </w:p>
        </w:tc>
        <w:tc>
          <w:tcPr>
            <w:tcW w:w="542" w:type="dxa"/>
            <w:shd w:val="clear" w:color="auto" w:fill="auto"/>
            <w:noWrap w:val="0"/>
            <w:vAlign w:val="center"/>
          </w:tcPr>
          <w:p w14:paraId="6940A81A">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54.9 </w:t>
            </w:r>
          </w:p>
        </w:tc>
        <w:tc>
          <w:tcPr>
            <w:tcW w:w="542" w:type="dxa"/>
            <w:shd w:val="clear" w:color="auto" w:fill="auto"/>
            <w:noWrap w:val="0"/>
            <w:vAlign w:val="center"/>
          </w:tcPr>
          <w:p w14:paraId="1CAFD585">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42" w:type="dxa"/>
            <w:shd w:val="clear" w:color="auto" w:fill="auto"/>
            <w:noWrap w:val="0"/>
            <w:vAlign w:val="center"/>
          </w:tcPr>
          <w:p w14:paraId="1237DEDB">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55" w:type="dxa"/>
            <w:shd w:val="clear" w:color="auto" w:fill="auto"/>
            <w:noWrap w:val="0"/>
            <w:vAlign w:val="center"/>
          </w:tcPr>
          <w:p w14:paraId="3428691F">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42" w:type="dxa"/>
            <w:vMerge w:val="continue"/>
            <w:shd w:val="clear" w:color="auto" w:fill="auto"/>
            <w:noWrap w:val="0"/>
            <w:vAlign w:val="center"/>
          </w:tcPr>
          <w:p w14:paraId="0BA412D3">
            <w:pPr>
              <w:spacing w:line="280" w:lineRule="exact"/>
              <w:jc w:val="center"/>
              <w:rPr>
                <w:rFonts w:hint="default" w:ascii="Times New Roman" w:hAnsi="Times New Roman" w:eastAsia="宋体"/>
                <w:color w:val="000000" w:themeColor="text1"/>
                <w:szCs w:val="21"/>
                <w:highlight w:val="none"/>
                <w:lang w:val="en-US" w:eastAsia="zh-CN"/>
                <w14:textFill>
                  <w14:solidFill>
                    <w14:schemeClr w14:val="tx1"/>
                  </w14:solidFill>
                </w14:textFill>
              </w:rPr>
            </w:pPr>
          </w:p>
        </w:tc>
        <w:tc>
          <w:tcPr>
            <w:tcW w:w="897" w:type="dxa"/>
            <w:shd w:val="clear" w:color="auto" w:fill="auto"/>
            <w:noWrap w:val="0"/>
            <w:vAlign w:val="center"/>
          </w:tcPr>
          <w:p w14:paraId="34122ED0">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24.3</w:t>
            </w:r>
          </w:p>
        </w:tc>
        <w:tc>
          <w:tcPr>
            <w:tcW w:w="746" w:type="dxa"/>
            <w:shd w:val="clear" w:color="auto" w:fill="auto"/>
            <w:noWrap w:val="0"/>
            <w:vAlign w:val="center"/>
          </w:tcPr>
          <w:p w14:paraId="1F1AA69A">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30.6</w:t>
            </w:r>
          </w:p>
        </w:tc>
        <w:tc>
          <w:tcPr>
            <w:tcW w:w="689" w:type="dxa"/>
            <w:shd w:val="clear" w:color="auto" w:fill="auto"/>
            <w:noWrap w:val="0"/>
            <w:vAlign w:val="center"/>
          </w:tcPr>
          <w:p w14:paraId="7D59853E">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838" w:type="dxa"/>
            <w:shd w:val="clear" w:color="auto" w:fill="auto"/>
            <w:noWrap w:val="0"/>
            <w:vAlign w:val="center"/>
          </w:tcPr>
          <w:p w14:paraId="308622AF">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750" w:type="dxa"/>
            <w:shd w:val="clear" w:color="auto" w:fill="auto"/>
            <w:noWrap w:val="0"/>
            <w:vAlign w:val="center"/>
          </w:tcPr>
          <w:p w14:paraId="07353C0E">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1096" w:type="dxa"/>
            <w:shd w:val="clear" w:color="auto" w:fill="auto"/>
            <w:noWrap w:val="0"/>
            <w:vAlign w:val="center"/>
          </w:tcPr>
          <w:p w14:paraId="612BFC38">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r>
      <w:tr w14:paraId="0A7D29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10D76214">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13</w:t>
            </w:r>
          </w:p>
        </w:tc>
        <w:tc>
          <w:tcPr>
            <w:tcW w:w="714" w:type="dxa"/>
            <w:vMerge w:val="continue"/>
            <w:shd w:val="clear" w:color="auto" w:fill="auto"/>
            <w:noWrap w:val="0"/>
            <w:vAlign w:val="center"/>
          </w:tcPr>
          <w:p w14:paraId="54B069B5">
            <w:pPr>
              <w:spacing w:line="280" w:lineRule="exact"/>
              <w:jc w:val="center"/>
              <w:rPr>
                <w:rFonts w:hint="eastAsia" w:cs="Times New Roman"/>
                <w:b w:val="0"/>
                <w:bCs w:val="0"/>
                <w:color w:val="000000" w:themeColor="text1"/>
                <w:kern w:val="0"/>
                <w:sz w:val="21"/>
                <w:szCs w:val="21"/>
                <w:highlight w:val="none"/>
                <w:vertAlign w:val="baseline"/>
                <w:lang w:val="en-US" w:eastAsia="zh-CN"/>
                <w14:textFill>
                  <w14:solidFill>
                    <w14:schemeClr w14:val="tx1"/>
                  </w14:solidFill>
                </w14:textFill>
              </w:rPr>
            </w:pPr>
          </w:p>
        </w:tc>
        <w:tc>
          <w:tcPr>
            <w:tcW w:w="714" w:type="dxa"/>
            <w:shd w:val="clear" w:color="auto" w:fill="auto"/>
            <w:noWrap w:val="0"/>
            <w:vAlign w:val="center"/>
          </w:tcPr>
          <w:p w14:paraId="4E7F720F">
            <w:pPr>
              <w:spacing w:line="280" w:lineRule="exact"/>
              <w:jc w:val="center"/>
              <w:rPr>
                <w:rFonts w:hint="eastAsia" w:ascii="Times New Roman" w:hAnsi="Times New Roman" w:eastAsia="宋体" w:cs="Times New Roman"/>
                <w:b w:val="0"/>
                <w:bCs w:val="0"/>
                <w:color w:val="000000" w:themeColor="text1"/>
                <w:kern w:val="0"/>
                <w:sz w:val="21"/>
                <w:szCs w:val="21"/>
                <w:highlight w:val="none"/>
                <w:vertAlign w:val="baseline"/>
                <w:lang w:val="en-US" w:eastAsia="zh-CN" w:bidi="ar-SA"/>
                <w14:textFill>
                  <w14:solidFill>
                    <w14:schemeClr w14:val="tx1"/>
                  </w14:solidFill>
                </w14:textFill>
              </w:rPr>
            </w:pPr>
            <w:r>
              <w:rPr>
                <w:rFonts w:hint="eastAsia" w:ascii="宋体"/>
                <w:color w:val="000000" w:themeColor="text1"/>
                <w:szCs w:val="21"/>
                <w:highlight w:val="none"/>
                <w:lang w:val="en-US" w:eastAsia="zh-CN"/>
                <w14:textFill>
                  <w14:solidFill>
                    <w14:schemeClr w14:val="tx1"/>
                  </w14:solidFill>
                </w14:textFill>
              </w:rPr>
              <w:t>辊</w:t>
            </w:r>
            <w:r>
              <w:rPr>
                <w:rFonts w:hint="default" w:ascii="Times New Roman" w:hAnsi="Times New Roman" w:cs="Times New Roman"/>
                <w:color w:val="000000" w:themeColor="text1"/>
                <w:szCs w:val="21"/>
                <w:highlight w:val="none"/>
                <w:lang w:val="en-US" w:eastAsia="zh-CN"/>
                <w14:textFill>
                  <w14:solidFill>
                    <w14:schemeClr w14:val="tx1"/>
                  </w14:solidFill>
                </w14:textFill>
              </w:rPr>
              <w:t>分一体机</w:t>
            </w:r>
            <w:r>
              <w:rPr>
                <w:rFonts w:hint="eastAsia" w:ascii="Times New Roman" w:hAnsi="Times New Roman" w:cs="Times New Roman"/>
                <w:color w:val="000000" w:themeColor="text1"/>
                <w:szCs w:val="21"/>
                <w:highlight w:val="none"/>
                <w:lang w:val="en-US" w:eastAsia="zh-CN"/>
                <w14:textFill>
                  <w14:solidFill>
                    <w14:schemeClr w14:val="tx1"/>
                  </w14:solidFill>
                </w14:textFill>
              </w:rPr>
              <w:t>2</w:t>
            </w:r>
            <w:r>
              <w:rPr>
                <w:rFonts w:hint="default" w:ascii="Times New Roman" w:hAnsi="Times New Roman" w:cs="Times New Roman"/>
                <w:color w:val="000000" w:themeColor="text1"/>
                <w:szCs w:val="21"/>
                <w:highlight w:val="none"/>
                <w:lang w:val="en-US" w:eastAsia="zh-CN"/>
                <w14:textFill>
                  <w14:solidFill>
                    <w14:schemeClr w14:val="tx1"/>
                  </w14:solidFill>
                </w14:textFill>
              </w:rPr>
              <w:t>#</w:t>
            </w:r>
          </w:p>
        </w:tc>
        <w:tc>
          <w:tcPr>
            <w:tcW w:w="537" w:type="dxa"/>
            <w:shd w:val="clear" w:color="auto" w:fill="auto"/>
            <w:noWrap w:val="0"/>
            <w:vAlign w:val="center"/>
          </w:tcPr>
          <w:p w14:paraId="20EF95A3">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80</w:t>
            </w:r>
          </w:p>
        </w:tc>
        <w:tc>
          <w:tcPr>
            <w:tcW w:w="537" w:type="dxa"/>
            <w:shd w:val="clear" w:color="auto" w:fill="auto"/>
            <w:noWrap w:val="0"/>
            <w:vAlign w:val="center"/>
          </w:tcPr>
          <w:p w14:paraId="7CC74C4A">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19.34</w:t>
            </w:r>
          </w:p>
        </w:tc>
        <w:tc>
          <w:tcPr>
            <w:tcW w:w="537" w:type="dxa"/>
            <w:shd w:val="clear" w:color="auto" w:fill="auto"/>
            <w:noWrap w:val="0"/>
            <w:vAlign w:val="center"/>
          </w:tcPr>
          <w:p w14:paraId="1348AFE5">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81.92</w:t>
            </w:r>
          </w:p>
        </w:tc>
        <w:tc>
          <w:tcPr>
            <w:tcW w:w="558" w:type="dxa"/>
            <w:shd w:val="clear" w:color="auto" w:fill="auto"/>
            <w:noWrap w:val="0"/>
            <w:vAlign w:val="center"/>
          </w:tcPr>
          <w:p w14:paraId="1E219569">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1.5</w:t>
            </w:r>
          </w:p>
        </w:tc>
        <w:tc>
          <w:tcPr>
            <w:tcW w:w="537" w:type="dxa"/>
            <w:shd w:val="clear" w:color="auto" w:fill="auto"/>
            <w:noWrap w:val="0"/>
            <w:vAlign w:val="center"/>
          </w:tcPr>
          <w:p w14:paraId="79ACDF59">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45.9</w:t>
            </w:r>
          </w:p>
        </w:tc>
        <w:tc>
          <w:tcPr>
            <w:tcW w:w="537" w:type="dxa"/>
            <w:shd w:val="clear" w:color="auto" w:fill="auto"/>
            <w:noWrap w:val="0"/>
            <w:vAlign w:val="center"/>
          </w:tcPr>
          <w:p w14:paraId="498D38DD">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74.8</w:t>
            </w:r>
          </w:p>
        </w:tc>
        <w:tc>
          <w:tcPr>
            <w:tcW w:w="542" w:type="dxa"/>
            <w:shd w:val="clear" w:color="auto" w:fill="auto"/>
            <w:noWrap w:val="0"/>
            <w:vAlign w:val="center"/>
          </w:tcPr>
          <w:p w14:paraId="7A503C87">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45.4</w:t>
            </w:r>
          </w:p>
        </w:tc>
        <w:tc>
          <w:tcPr>
            <w:tcW w:w="558" w:type="dxa"/>
            <w:shd w:val="clear" w:color="auto" w:fill="auto"/>
            <w:noWrap w:val="0"/>
            <w:vAlign w:val="center"/>
          </w:tcPr>
          <w:p w14:paraId="36BAD6DE">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103.7</w:t>
            </w:r>
          </w:p>
        </w:tc>
        <w:tc>
          <w:tcPr>
            <w:tcW w:w="542" w:type="dxa"/>
            <w:shd w:val="clear" w:color="auto" w:fill="auto"/>
            <w:noWrap w:val="0"/>
            <w:vAlign w:val="center"/>
          </w:tcPr>
          <w:p w14:paraId="199B362D">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42" w:type="dxa"/>
            <w:shd w:val="clear" w:color="auto" w:fill="auto"/>
            <w:noWrap w:val="0"/>
            <w:vAlign w:val="center"/>
          </w:tcPr>
          <w:p w14:paraId="1F3C741A">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42" w:type="dxa"/>
            <w:shd w:val="clear" w:color="auto" w:fill="auto"/>
            <w:noWrap w:val="0"/>
            <w:vAlign w:val="center"/>
          </w:tcPr>
          <w:p w14:paraId="0D8174F3">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55" w:type="dxa"/>
            <w:shd w:val="clear" w:color="auto" w:fill="auto"/>
            <w:noWrap w:val="0"/>
            <w:vAlign w:val="center"/>
          </w:tcPr>
          <w:p w14:paraId="6BD30857">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42" w:type="dxa"/>
            <w:vMerge w:val="continue"/>
            <w:shd w:val="clear" w:color="auto" w:fill="auto"/>
            <w:noWrap w:val="0"/>
            <w:vAlign w:val="center"/>
          </w:tcPr>
          <w:p w14:paraId="3D01A707">
            <w:pPr>
              <w:spacing w:line="280" w:lineRule="exact"/>
              <w:jc w:val="center"/>
              <w:rPr>
                <w:rFonts w:hint="default" w:ascii="Times New Roman" w:hAnsi="Times New Roman" w:eastAsia="宋体"/>
                <w:color w:val="000000" w:themeColor="text1"/>
                <w:szCs w:val="21"/>
                <w:highlight w:val="none"/>
                <w:lang w:val="en-US" w:eastAsia="zh-CN"/>
                <w14:textFill>
                  <w14:solidFill>
                    <w14:schemeClr w14:val="tx1"/>
                  </w14:solidFill>
                </w14:textFill>
              </w:rPr>
            </w:pPr>
          </w:p>
        </w:tc>
        <w:tc>
          <w:tcPr>
            <w:tcW w:w="897" w:type="dxa"/>
            <w:shd w:val="clear" w:color="auto" w:fill="auto"/>
            <w:noWrap w:val="0"/>
            <w:vAlign w:val="center"/>
          </w:tcPr>
          <w:p w14:paraId="49AD37B3">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24.3</w:t>
            </w:r>
          </w:p>
        </w:tc>
        <w:tc>
          <w:tcPr>
            <w:tcW w:w="746" w:type="dxa"/>
            <w:shd w:val="clear" w:color="auto" w:fill="auto"/>
            <w:noWrap w:val="0"/>
            <w:vAlign w:val="center"/>
          </w:tcPr>
          <w:p w14:paraId="26277799">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689" w:type="dxa"/>
            <w:shd w:val="clear" w:color="auto" w:fill="auto"/>
            <w:noWrap w:val="0"/>
            <w:vAlign w:val="center"/>
          </w:tcPr>
          <w:p w14:paraId="64B0AEF1">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838" w:type="dxa"/>
            <w:shd w:val="clear" w:color="auto" w:fill="auto"/>
            <w:noWrap w:val="0"/>
            <w:vAlign w:val="center"/>
          </w:tcPr>
          <w:p w14:paraId="1FE6DC72">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750" w:type="dxa"/>
            <w:shd w:val="clear" w:color="auto" w:fill="auto"/>
            <w:noWrap w:val="0"/>
            <w:vAlign w:val="center"/>
          </w:tcPr>
          <w:p w14:paraId="6A257FFA">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1096" w:type="dxa"/>
            <w:shd w:val="clear" w:color="auto" w:fill="auto"/>
            <w:noWrap w:val="0"/>
            <w:vAlign w:val="center"/>
          </w:tcPr>
          <w:p w14:paraId="3614C2EF">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r>
      <w:tr w14:paraId="30F268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6CD24697">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14</w:t>
            </w:r>
          </w:p>
        </w:tc>
        <w:tc>
          <w:tcPr>
            <w:tcW w:w="714" w:type="dxa"/>
            <w:vMerge w:val="continue"/>
            <w:shd w:val="clear" w:color="auto" w:fill="auto"/>
            <w:noWrap w:val="0"/>
            <w:vAlign w:val="center"/>
          </w:tcPr>
          <w:p w14:paraId="68024AF5">
            <w:pPr>
              <w:spacing w:line="280" w:lineRule="exact"/>
              <w:jc w:val="center"/>
              <w:rPr>
                <w:rFonts w:hint="default" w:cs="Times New Roman"/>
                <w:b w:val="0"/>
                <w:bCs w:val="0"/>
                <w:color w:val="000000" w:themeColor="text1"/>
                <w:kern w:val="0"/>
                <w:sz w:val="21"/>
                <w:szCs w:val="21"/>
                <w:highlight w:val="none"/>
                <w:vertAlign w:val="baseline"/>
                <w:lang w:val="en-US" w:eastAsia="zh-CN"/>
                <w14:textFill>
                  <w14:solidFill>
                    <w14:schemeClr w14:val="tx1"/>
                  </w14:solidFill>
                </w14:textFill>
              </w:rPr>
            </w:pPr>
          </w:p>
        </w:tc>
        <w:tc>
          <w:tcPr>
            <w:tcW w:w="714" w:type="dxa"/>
            <w:shd w:val="clear" w:color="auto" w:fill="auto"/>
            <w:noWrap w:val="0"/>
            <w:vAlign w:val="center"/>
          </w:tcPr>
          <w:p w14:paraId="5D52ED02">
            <w:pPr>
              <w:spacing w:line="280" w:lineRule="exact"/>
              <w:jc w:val="center"/>
              <w:rPr>
                <w:rFonts w:hint="eastAsia" w:ascii="Times New Roman" w:hAnsi="Times New Roman" w:eastAsia="宋体" w:cs="Times New Roman"/>
                <w:b w:val="0"/>
                <w:bCs w:val="0"/>
                <w:color w:val="000000" w:themeColor="text1"/>
                <w:kern w:val="0"/>
                <w:sz w:val="21"/>
                <w:szCs w:val="21"/>
                <w:highlight w:val="none"/>
                <w:vertAlign w:val="baseline"/>
                <w:lang w:val="en-US" w:eastAsia="zh-CN" w:bidi="ar-SA"/>
                <w14:textFill>
                  <w14:solidFill>
                    <w14:schemeClr w14:val="tx1"/>
                  </w14:solidFill>
                </w14:textFill>
              </w:rPr>
            </w:pPr>
            <w:r>
              <w:rPr>
                <w:rFonts w:hint="eastAsia" w:ascii="宋体"/>
                <w:color w:val="000000" w:themeColor="text1"/>
                <w:szCs w:val="21"/>
                <w:highlight w:val="none"/>
                <w:lang w:val="en-US" w:eastAsia="zh-CN"/>
                <w14:textFill>
                  <w14:solidFill>
                    <w14:schemeClr w14:val="tx1"/>
                  </w14:solidFill>
                </w14:textFill>
              </w:rPr>
              <w:t>切叠</w:t>
            </w:r>
            <w:r>
              <w:rPr>
                <w:rFonts w:hint="default" w:ascii="Times New Roman" w:hAnsi="Times New Roman" w:cs="Times New Roman"/>
                <w:color w:val="000000" w:themeColor="text1"/>
                <w:szCs w:val="21"/>
                <w:highlight w:val="none"/>
                <w:lang w:val="en-US" w:eastAsia="zh-CN"/>
                <w14:textFill>
                  <w14:solidFill>
                    <w14:schemeClr w14:val="tx1"/>
                  </w14:solidFill>
                </w14:textFill>
              </w:rPr>
              <w:t>一体机1#</w:t>
            </w:r>
          </w:p>
        </w:tc>
        <w:tc>
          <w:tcPr>
            <w:tcW w:w="537" w:type="dxa"/>
            <w:shd w:val="clear" w:color="auto" w:fill="auto"/>
            <w:noWrap w:val="0"/>
            <w:vAlign w:val="center"/>
          </w:tcPr>
          <w:p w14:paraId="448BEF9B">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80</w:t>
            </w:r>
          </w:p>
        </w:tc>
        <w:tc>
          <w:tcPr>
            <w:tcW w:w="537" w:type="dxa"/>
            <w:shd w:val="clear" w:color="auto" w:fill="auto"/>
            <w:noWrap w:val="0"/>
            <w:vAlign w:val="center"/>
          </w:tcPr>
          <w:p w14:paraId="1E01DE7E">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18.01</w:t>
            </w:r>
          </w:p>
        </w:tc>
        <w:tc>
          <w:tcPr>
            <w:tcW w:w="537" w:type="dxa"/>
            <w:shd w:val="clear" w:color="auto" w:fill="auto"/>
            <w:noWrap w:val="0"/>
            <w:vAlign w:val="center"/>
          </w:tcPr>
          <w:p w14:paraId="58A64654">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152.37</w:t>
            </w:r>
          </w:p>
        </w:tc>
        <w:tc>
          <w:tcPr>
            <w:tcW w:w="558" w:type="dxa"/>
            <w:shd w:val="clear" w:color="auto" w:fill="auto"/>
            <w:noWrap w:val="0"/>
            <w:vAlign w:val="center"/>
          </w:tcPr>
          <w:p w14:paraId="5AA0BE07">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1.2</w:t>
            </w:r>
          </w:p>
        </w:tc>
        <w:tc>
          <w:tcPr>
            <w:tcW w:w="537" w:type="dxa"/>
            <w:shd w:val="clear" w:color="auto" w:fill="auto"/>
            <w:noWrap w:val="0"/>
            <w:vAlign w:val="center"/>
          </w:tcPr>
          <w:p w14:paraId="60FC5B29">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22.3</w:t>
            </w:r>
          </w:p>
        </w:tc>
        <w:tc>
          <w:tcPr>
            <w:tcW w:w="537" w:type="dxa"/>
            <w:shd w:val="clear" w:color="auto" w:fill="auto"/>
            <w:noWrap w:val="0"/>
            <w:vAlign w:val="center"/>
          </w:tcPr>
          <w:p w14:paraId="74C5F7F5">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143.6</w:t>
            </w:r>
          </w:p>
        </w:tc>
        <w:tc>
          <w:tcPr>
            <w:tcW w:w="542" w:type="dxa"/>
            <w:shd w:val="clear" w:color="auto" w:fill="auto"/>
            <w:noWrap w:val="0"/>
            <w:vAlign w:val="center"/>
          </w:tcPr>
          <w:p w14:paraId="073FC241">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120.9</w:t>
            </w:r>
          </w:p>
        </w:tc>
        <w:tc>
          <w:tcPr>
            <w:tcW w:w="558" w:type="dxa"/>
            <w:shd w:val="clear" w:color="auto" w:fill="auto"/>
            <w:noWrap w:val="0"/>
            <w:vAlign w:val="center"/>
          </w:tcPr>
          <w:p w14:paraId="32755C52">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33.2</w:t>
            </w:r>
          </w:p>
        </w:tc>
        <w:tc>
          <w:tcPr>
            <w:tcW w:w="542" w:type="dxa"/>
            <w:shd w:val="clear" w:color="auto" w:fill="auto"/>
            <w:noWrap w:val="0"/>
            <w:vAlign w:val="center"/>
          </w:tcPr>
          <w:p w14:paraId="0B25EAD3">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55.0 </w:t>
            </w:r>
          </w:p>
        </w:tc>
        <w:tc>
          <w:tcPr>
            <w:tcW w:w="542" w:type="dxa"/>
            <w:shd w:val="clear" w:color="auto" w:fill="auto"/>
            <w:noWrap w:val="0"/>
            <w:vAlign w:val="center"/>
          </w:tcPr>
          <w:p w14:paraId="46DA89BB">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42" w:type="dxa"/>
            <w:shd w:val="clear" w:color="auto" w:fill="auto"/>
            <w:noWrap w:val="0"/>
            <w:vAlign w:val="center"/>
          </w:tcPr>
          <w:p w14:paraId="3157A8D5">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55" w:type="dxa"/>
            <w:shd w:val="clear" w:color="auto" w:fill="auto"/>
            <w:noWrap w:val="0"/>
            <w:vAlign w:val="center"/>
          </w:tcPr>
          <w:p w14:paraId="0C9772E4">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54.9 </w:t>
            </w:r>
          </w:p>
        </w:tc>
        <w:tc>
          <w:tcPr>
            <w:tcW w:w="542" w:type="dxa"/>
            <w:vMerge w:val="continue"/>
            <w:shd w:val="clear" w:color="auto" w:fill="auto"/>
            <w:noWrap w:val="0"/>
            <w:vAlign w:val="center"/>
          </w:tcPr>
          <w:p w14:paraId="5CFBB1D7">
            <w:pPr>
              <w:spacing w:line="280" w:lineRule="exact"/>
              <w:jc w:val="center"/>
              <w:rPr>
                <w:rFonts w:hint="default" w:ascii="Times New Roman" w:hAnsi="Times New Roman" w:eastAsia="宋体"/>
                <w:color w:val="000000" w:themeColor="text1"/>
                <w:szCs w:val="21"/>
                <w:highlight w:val="none"/>
                <w:lang w:val="en-US" w:eastAsia="zh-CN"/>
                <w14:textFill>
                  <w14:solidFill>
                    <w14:schemeClr w14:val="tx1"/>
                  </w14:solidFill>
                </w14:textFill>
              </w:rPr>
            </w:pPr>
          </w:p>
        </w:tc>
        <w:tc>
          <w:tcPr>
            <w:tcW w:w="897" w:type="dxa"/>
            <w:shd w:val="clear" w:color="auto" w:fill="auto"/>
            <w:noWrap w:val="0"/>
            <w:vAlign w:val="center"/>
          </w:tcPr>
          <w:p w14:paraId="5B4514FA">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24.3</w:t>
            </w:r>
          </w:p>
        </w:tc>
        <w:tc>
          <w:tcPr>
            <w:tcW w:w="746" w:type="dxa"/>
            <w:shd w:val="clear" w:color="auto" w:fill="auto"/>
            <w:noWrap w:val="0"/>
            <w:vAlign w:val="center"/>
          </w:tcPr>
          <w:p w14:paraId="15C49595">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30.7</w:t>
            </w:r>
          </w:p>
        </w:tc>
        <w:tc>
          <w:tcPr>
            <w:tcW w:w="689" w:type="dxa"/>
            <w:shd w:val="clear" w:color="auto" w:fill="auto"/>
            <w:noWrap w:val="0"/>
            <w:vAlign w:val="center"/>
          </w:tcPr>
          <w:p w14:paraId="0ED2172B">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838" w:type="dxa"/>
            <w:shd w:val="clear" w:color="auto" w:fill="auto"/>
            <w:noWrap w:val="0"/>
            <w:vAlign w:val="center"/>
          </w:tcPr>
          <w:p w14:paraId="3FD6DA7B">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750" w:type="dxa"/>
            <w:shd w:val="clear" w:color="auto" w:fill="auto"/>
            <w:noWrap w:val="0"/>
            <w:vAlign w:val="center"/>
          </w:tcPr>
          <w:p w14:paraId="1C1BF141">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30.6</w:t>
            </w:r>
          </w:p>
        </w:tc>
        <w:tc>
          <w:tcPr>
            <w:tcW w:w="1096" w:type="dxa"/>
            <w:shd w:val="clear" w:color="auto" w:fill="auto"/>
            <w:noWrap w:val="0"/>
            <w:vAlign w:val="center"/>
          </w:tcPr>
          <w:p w14:paraId="6052EAE1">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r>
      <w:tr w14:paraId="1610A7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1B6B4B62">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15</w:t>
            </w:r>
          </w:p>
        </w:tc>
        <w:tc>
          <w:tcPr>
            <w:tcW w:w="714" w:type="dxa"/>
            <w:vMerge w:val="continue"/>
            <w:shd w:val="clear" w:color="auto" w:fill="auto"/>
            <w:noWrap w:val="0"/>
            <w:vAlign w:val="center"/>
          </w:tcPr>
          <w:p w14:paraId="0CCFFAC8">
            <w:pPr>
              <w:spacing w:line="280" w:lineRule="exact"/>
              <w:jc w:val="center"/>
              <w:rPr>
                <w:rFonts w:hint="eastAsia" w:cs="Times New Roman"/>
                <w:b w:val="0"/>
                <w:bCs w:val="0"/>
                <w:color w:val="000000" w:themeColor="text1"/>
                <w:kern w:val="0"/>
                <w:sz w:val="21"/>
                <w:szCs w:val="21"/>
                <w:highlight w:val="none"/>
                <w:vertAlign w:val="baseline"/>
                <w:lang w:val="en-US" w:eastAsia="zh-CN"/>
                <w14:textFill>
                  <w14:solidFill>
                    <w14:schemeClr w14:val="tx1"/>
                  </w14:solidFill>
                </w14:textFill>
              </w:rPr>
            </w:pPr>
          </w:p>
        </w:tc>
        <w:tc>
          <w:tcPr>
            <w:tcW w:w="714" w:type="dxa"/>
            <w:shd w:val="clear" w:color="auto" w:fill="auto"/>
            <w:noWrap w:val="0"/>
            <w:vAlign w:val="center"/>
          </w:tcPr>
          <w:p w14:paraId="49F17515">
            <w:pPr>
              <w:spacing w:line="280" w:lineRule="exact"/>
              <w:jc w:val="center"/>
              <w:rPr>
                <w:rFonts w:hint="eastAsia" w:ascii="Times New Roman" w:hAnsi="Times New Roman" w:eastAsia="宋体" w:cs="Times New Roman"/>
                <w:b w:val="0"/>
                <w:bCs w:val="0"/>
                <w:color w:val="000000" w:themeColor="text1"/>
                <w:kern w:val="0"/>
                <w:sz w:val="21"/>
                <w:szCs w:val="21"/>
                <w:highlight w:val="none"/>
                <w:vertAlign w:val="baseline"/>
                <w:lang w:val="en-US" w:eastAsia="zh-CN" w:bidi="ar-SA"/>
                <w14:textFill>
                  <w14:solidFill>
                    <w14:schemeClr w14:val="tx1"/>
                  </w14:solidFill>
                </w14:textFill>
              </w:rPr>
            </w:pPr>
            <w:r>
              <w:rPr>
                <w:rFonts w:hint="eastAsia" w:ascii="宋体"/>
                <w:color w:val="000000" w:themeColor="text1"/>
                <w:szCs w:val="21"/>
                <w:highlight w:val="none"/>
                <w:lang w:val="en-US" w:eastAsia="zh-CN"/>
                <w14:textFill>
                  <w14:solidFill>
                    <w14:schemeClr w14:val="tx1"/>
                  </w14:solidFill>
                </w14:textFill>
              </w:rPr>
              <w:t>切叠</w:t>
            </w:r>
            <w:r>
              <w:rPr>
                <w:rFonts w:hint="default" w:ascii="Times New Roman" w:hAnsi="Times New Roman" w:cs="Times New Roman"/>
                <w:color w:val="000000" w:themeColor="text1"/>
                <w:szCs w:val="21"/>
                <w:highlight w:val="none"/>
                <w:lang w:val="en-US" w:eastAsia="zh-CN"/>
                <w14:textFill>
                  <w14:solidFill>
                    <w14:schemeClr w14:val="tx1"/>
                  </w14:solidFill>
                </w14:textFill>
              </w:rPr>
              <w:t>一体机</w:t>
            </w:r>
            <w:r>
              <w:rPr>
                <w:rFonts w:hint="eastAsia" w:ascii="Times New Roman" w:hAnsi="Times New Roman" w:cs="Times New Roman"/>
                <w:color w:val="000000" w:themeColor="text1"/>
                <w:szCs w:val="21"/>
                <w:highlight w:val="none"/>
                <w:lang w:val="en-US" w:eastAsia="zh-CN"/>
                <w14:textFill>
                  <w14:solidFill>
                    <w14:schemeClr w14:val="tx1"/>
                  </w14:solidFill>
                </w14:textFill>
              </w:rPr>
              <w:t>2</w:t>
            </w:r>
            <w:r>
              <w:rPr>
                <w:rFonts w:hint="default" w:ascii="Times New Roman" w:hAnsi="Times New Roman" w:cs="Times New Roman"/>
                <w:color w:val="000000" w:themeColor="text1"/>
                <w:szCs w:val="21"/>
                <w:highlight w:val="none"/>
                <w:lang w:val="en-US" w:eastAsia="zh-CN"/>
                <w14:textFill>
                  <w14:solidFill>
                    <w14:schemeClr w14:val="tx1"/>
                  </w14:solidFill>
                </w14:textFill>
              </w:rPr>
              <w:t>#</w:t>
            </w:r>
          </w:p>
        </w:tc>
        <w:tc>
          <w:tcPr>
            <w:tcW w:w="537" w:type="dxa"/>
            <w:shd w:val="clear" w:color="auto" w:fill="auto"/>
            <w:noWrap w:val="0"/>
            <w:vAlign w:val="center"/>
          </w:tcPr>
          <w:p w14:paraId="0825BD55">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80</w:t>
            </w:r>
          </w:p>
        </w:tc>
        <w:tc>
          <w:tcPr>
            <w:tcW w:w="537" w:type="dxa"/>
            <w:shd w:val="clear" w:color="auto" w:fill="auto"/>
            <w:noWrap w:val="0"/>
            <w:vAlign w:val="center"/>
          </w:tcPr>
          <w:p w14:paraId="30ECC73F">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19.76</w:t>
            </w:r>
          </w:p>
        </w:tc>
        <w:tc>
          <w:tcPr>
            <w:tcW w:w="537" w:type="dxa"/>
            <w:shd w:val="clear" w:color="auto" w:fill="auto"/>
            <w:noWrap w:val="0"/>
            <w:vAlign w:val="center"/>
          </w:tcPr>
          <w:p w14:paraId="1FA3088A">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146.51</w:t>
            </w:r>
          </w:p>
        </w:tc>
        <w:tc>
          <w:tcPr>
            <w:tcW w:w="558" w:type="dxa"/>
            <w:shd w:val="clear" w:color="auto" w:fill="auto"/>
            <w:noWrap w:val="0"/>
            <w:vAlign w:val="center"/>
          </w:tcPr>
          <w:p w14:paraId="2F3EE355">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1.2</w:t>
            </w:r>
          </w:p>
        </w:tc>
        <w:tc>
          <w:tcPr>
            <w:tcW w:w="537" w:type="dxa"/>
            <w:shd w:val="clear" w:color="auto" w:fill="auto"/>
            <w:noWrap w:val="0"/>
            <w:vAlign w:val="center"/>
          </w:tcPr>
          <w:p w14:paraId="1F22D27A">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24.3</w:t>
            </w:r>
          </w:p>
        </w:tc>
        <w:tc>
          <w:tcPr>
            <w:tcW w:w="537" w:type="dxa"/>
            <w:shd w:val="clear" w:color="auto" w:fill="auto"/>
            <w:noWrap w:val="0"/>
            <w:vAlign w:val="center"/>
          </w:tcPr>
          <w:p w14:paraId="35E5EBD7">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135.5</w:t>
            </w:r>
          </w:p>
        </w:tc>
        <w:tc>
          <w:tcPr>
            <w:tcW w:w="542" w:type="dxa"/>
            <w:shd w:val="clear" w:color="auto" w:fill="auto"/>
            <w:noWrap w:val="0"/>
            <w:vAlign w:val="center"/>
          </w:tcPr>
          <w:p w14:paraId="4BDEA950">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124.4</w:t>
            </w:r>
          </w:p>
        </w:tc>
        <w:tc>
          <w:tcPr>
            <w:tcW w:w="558" w:type="dxa"/>
            <w:shd w:val="clear" w:color="auto" w:fill="auto"/>
            <w:noWrap w:val="0"/>
            <w:vAlign w:val="center"/>
          </w:tcPr>
          <w:p w14:paraId="13E04A15">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42.1</w:t>
            </w:r>
          </w:p>
        </w:tc>
        <w:tc>
          <w:tcPr>
            <w:tcW w:w="542" w:type="dxa"/>
            <w:shd w:val="clear" w:color="auto" w:fill="auto"/>
            <w:noWrap w:val="0"/>
            <w:vAlign w:val="center"/>
          </w:tcPr>
          <w:p w14:paraId="492C4B5B">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55.0 </w:t>
            </w:r>
          </w:p>
        </w:tc>
        <w:tc>
          <w:tcPr>
            <w:tcW w:w="542" w:type="dxa"/>
            <w:shd w:val="clear" w:color="auto" w:fill="auto"/>
            <w:noWrap w:val="0"/>
            <w:vAlign w:val="center"/>
          </w:tcPr>
          <w:p w14:paraId="7A152B39">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42" w:type="dxa"/>
            <w:shd w:val="clear" w:color="auto" w:fill="auto"/>
            <w:noWrap w:val="0"/>
            <w:vAlign w:val="center"/>
          </w:tcPr>
          <w:p w14:paraId="59329FEA">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55" w:type="dxa"/>
            <w:shd w:val="clear" w:color="auto" w:fill="auto"/>
            <w:noWrap w:val="0"/>
            <w:vAlign w:val="center"/>
          </w:tcPr>
          <w:p w14:paraId="1828867E">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42" w:type="dxa"/>
            <w:vMerge w:val="continue"/>
            <w:shd w:val="clear" w:color="auto" w:fill="auto"/>
            <w:noWrap w:val="0"/>
            <w:vAlign w:val="center"/>
          </w:tcPr>
          <w:p w14:paraId="5504E279">
            <w:pPr>
              <w:spacing w:line="280" w:lineRule="exact"/>
              <w:jc w:val="center"/>
              <w:rPr>
                <w:rFonts w:hint="default" w:ascii="Times New Roman" w:hAnsi="Times New Roman" w:eastAsia="宋体"/>
                <w:color w:val="000000" w:themeColor="text1"/>
                <w:szCs w:val="21"/>
                <w:highlight w:val="none"/>
                <w:lang w:val="en-US" w:eastAsia="zh-CN"/>
                <w14:textFill>
                  <w14:solidFill>
                    <w14:schemeClr w14:val="tx1"/>
                  </w14:solidFill>
                </w14:textFill>
              </w:rPr>
            </w:pPr>
          </w:p>
        </w:tc>
        <w:tc>
          <w:tcPr>
            <w:tcW w:w="897" w:type="dxa"/>
            <w:shd w:val="clear" w:color="auto" w:fill="auto"/>
            <w:noWrap w:val="0"/>
            <w:vAlign w:val="center"/>
          </w:tcPr>
          <w:p w14:paraId="4D12AFFF">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24.3</w:t>
            </w:r>
          </w:p>
        </w:tc>
        <w:tc>
          <w:tcPr>
            <w:tcW w:w="746" w:type="dxa"/>
            <w:shd w:val="clear" w:color="auto" w:fill="auto"/>
            <w:noWrap w:val="0"/>
            <w:vAlign w:val="center"/>
          </w:tcPr>
          <w:p w14:paraId="52C14223">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30.7</w:t>
            </w:r>
          </w:p>
        </w:tc>
        <w:tc>
          <w:tcPr>
            <w:tcW w:w="689" w:type="dxa"/>
            <w:shd w:val="clear" w:color="auto" w:fill="auto"/>
            <w:noWrap w:val="0"/>
            <w:vAlign w:val="center"/>
          </w:tcPr>
          <w:p w14:paraId="64AA35CB">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838" w:type="dxa"/>
            <w:shd w:val="clear" w:color="auto" w:fill="auto"/>
            <w:noWrap w:val="0"/>
            <w:vAlign w:val="center"/>
          </w:tcPr>
          <w:p w14:paraId="0E602F16">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750" w:type="dxa"/>
            <w:shd w:val="clear" w:color="auto" w:fill="auto"/>
            <w:noWrap w:val="0"/>
            <w:vAlign w:val="center"/>
          </w:tcPr>
          <w:p w14:paraId="44325CBE">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1096" w:type="dxa"/>
            <w:shd w:val="clear" w:color="auto" w:fill="auto"/>
            <w:noWrap w:val="0"/>
            <w:vAlign w:val="center"/>
          </w:tcPr>
          <w:p w14:paraId="544BB7A3">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r>
      <w:tr w14:paraId="759FD2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7B30A736">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16</w:t>
            </w:r>
          </w:p>
        </w:tc>
        <w:tc>
          <w:tcPr>
            <w:tcW w:w="714" w:type="dxa"/>
            <w:vMerge w:val="continue"/>
            <w:shd w:val="clear" w:color="auto" w:fill="auto"/>
            <w:noWrap w:val="0"/>
            <w:vAlign w:val="center"/>
          </w:tcPr>
          <w:p w14:paraId="3E11A3D6">
            <w:pPr>
              <w:spacing w:line="280" w:lineRule="exact"/>
              <w:jc w:val="center"/>
              <w:rPr>
                <w:rFonts w:hint="eastAsia" w:cs="Times New Roman"/>
                <w:b w:val="0"/>
                <w:bCs w:val="0"/>
                <w:color w:val="000000" w:themeColor="text1"/>
                <w:kern w:val="0"/>
                <w:sz w:val="21"/>
                <w:szCs w:val="21"/>
                <w:highlight w:val="none"/>
                <w:vertAlign w:val="baseline"/>
                <w:lang w:val="en-US" w:eastAsia="zh-CN"/>
                <w14:textFill>
                  <w14:solidFill>
                    <w14:schemeClr w14:val="tx1"/>
                  </w14:solidFill>
                </w14:textFill>
              </w:rPr>
            </w:pPr>
          </w:p>
        </w:tc>
        <w:tc>
          <w:tcPr>
            <w:tcW w:w="714" w:type="dxa"/>
            <w:shd w:val="clear" w:color="auto" w:fill="auto"/>
            <w:noWrap w:val="0"/>
            <w:vAlign w:val="center"/>
          </w:tcPr>
          <w:p w14:paraId="3FB5EEA0">
            <w:pPr>
              <w:spacing w:line="280" w:lineRule="exact"/>
              <w:jc w:val="center"/>
              <w:rPr>
                <w:rFonts w:hint="eastAsia" w:ascii="Times New Roman" w:hAnsi="Times New Roman" w:eastAsia="宋体" w:cs="Times New Roman"/>
                <w:b w:val="0"/>
                <w:bCs w:val="0"/>
                <w:color w:val="000000" w:themeColor="text1"/>
                <w:kern w:val="0"/>
                <w:sz w:val="21"/>
                <w:szCs w:val="21"/>
                <w:highlight w:val="none"/>
                <w:vertAlign w:val="baseline"/>
                <w:lang w:val="en-US" w:eastAsia="zh-CN" w:bidi="ar-SA"/>
                <w14:textFill>
                  <w14:solidFill>
                    <w14:schemeClr w14:val="tx1"/>
                  </w14:solidFill>
                </w14:textFill>
              </w:rPr>
            </w:pPr>
            <w:r>
              <w:rPr>
                <w:rFonts w:hint="eastAsia" w:ascii="宋体"/>
                <w:color w:val="000000" w:themeColor="text1"/>
                <w:szCs w:val="21"/>
                <w:highlight w:val="none"/>
                <w:lang w:val="en-US" w:eastAsia="zh-CN"/>
                <w14:textFill>
                  <w14:solidFill>
                    <w14:schemeClr w14:val="tx1"/>
                  </w14:solidFill>
                </w14:textFill>
              </w:rPr>
              <w:t>切叠</w:t>
            </w:r>
            <w:r>
              <w:rPr>
                <w:rFonts w:hint="default" w:ascii="Times New Roman" w:hAnsi="Times New Roman" w:cs="Times New Roman"/>
                <w:color w:val="000000" w:themeColor="text1"/>
                <w:szCs w:val="21"/>
                <w:highlight w:val="none"/>
                <w:lang w:val="en-US" w:eastAsia="zh-CN"/>
                <w14:textFill>
                  <w14:solidFill>
                    <w14:schemeClr w14:val="tx1"/>
                  </w14:solidFill>
                </w14:textFill>
              </w:rPr>
              <w:t>一体机</w:t>
            </w:r>
            <w:r>
              <w:rPr>
                <w:rFonts w:hint="eastAsia" w:ascii="Times New Roman" w:hAnsi="Times New Roman" w:cs="Times New Roman"/>
                <w:color w:val="000000" w:themeColor="text1"/>
                <w:szCs w:val="21"/>
                <w:highlight w:val="none"/>
                <w:lang w:val="en-US" w:eastAsia="zh-CN"/>
                <w14:textFill>
                  <w14:solidFill>
                    <w14:schemeClr w14:val="tx1"/>
                  </w14:solidFill>
                </w14:textFill>
              </w:rPr>
              <w:t>3</w:t>
            </w:r>
            <w:r>
              <w:rPr>
                <w:rFonts w:hint="default" w:ascii="Times New Roman" w:hAnsi="Times New Roman" w:cs="Times New Roman"/>
                <w:color w:val="000000" w:themeColor="text1"/>
                <w:szCs w:val="21"/>
                <w:highlight w:val="none"/>
                <w:lang w:val="en-US" w:eastAsia="zh-CN"/>
                <w14:textFill>
                  <w14:solidFill>
                    <w14:schemeClr w14:val="tx1"/>
                  </w14:solidFill>
                </w14:textFill>
              </w:rPr>
              <w:t>#</w:t>
            </w:r>
          </w:p>
        </w:tc>
        <w:tc>
          <w:tcPr>
            <w:tcW w:w="537" w:type="dxa"/>
            <w:shd w:val="clear" w:color="auto" w:fill="auto"/>
            <w:noWrap w:val="0"/>
            <w:vAlign w:val="center"/>
          </w:tcPr>
          <w:p w14:paraId="6C311A82">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80</w:t>
            </w:r>
          </w:p>
        </w:tc>
        <w:tc>
          <w:tcPr>
            <w:tcW w:w="537" w:type="dxa"/>
            <w:shd w:val="clear" w:color="auto" w:fill="auto"/>
            <w:noWrap w:val="0"/>
            <w:vAlign w:val="center"/>
          </w:tcPr>
          <w:p w14:paraId="46E3A602">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21.52</w:t>
            </w:r>
          </w:p>
        </w:tc>
        <w:tc>
          <w:tcPr>
            <w:tcW w:w="537" w:type="dxa"/>
            <w:shd w:val="clear" w:color="auto" w:fill="auto"/>
            <w:noWrap w:val="0"/>
            <w:vAlign w:val="center"/>
          </w:tcPr>
          <w:p w14:paraId="5CF2DCA2">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141.82</w:t>
            </w:r>
          </w:p>
        </w:tc>
        <w:tc>
          <w:tcPr>
            <w:tcW w:w="558" w:type="dxa"/>
            <w:shd w:val="clear" w:color="auto" w:fill="auto"/>
            <w:noWrap w:val="0"/>
            <w:vAlign w:val="center"/>
          </w:tcPr>
          <w:p w14:paraId="634E2A21">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1.2</w:t>
            </w:r>
          </w:p>
        </w:tc>
        <w:tc>
          <w:tcPr>
            <w:tcW w:w="537" w:type="dxa"/>
            <w:shd w:val="clear" w:color="auto" w:fill="auto"/>
            <w:noWrap w:val="0"/>
            <w:vAlign w:val="center"/>
          </w:tcPr>
          <w:p w14:paraId="1BF93929">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25.2</w:t>
            </w:r>
          </w:p>
        </w:tc>
        <w:tc>
          <w:tcPr>
            <w:tcW w:w="537" w:type="dxa"/>
            <w:shd w:val="clear" w:color="auto" w:fill="auto"/>
            <w:noWrap w:val="0"/>
            <w:vAlign w:val="center"/>
          </w:tcPr>
          <w:p w14:paraId="34BF46CF">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131.4</w:t>
            </w:r>
          </w:p>
        </w:tc>
        <w:tc>
          <w:tcPr>
            <w:tcW w:w="542" w:type="dxa"/>
            <w:shd w:val="clear" w:color="auto" w:fill="auto"/>
            <w:noWrap w:val="0"/>
            <w:vAlign w:val="center"/>
          </w:tcPr>
          <w:p w14:paraId="61CD2876">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125.2</w:t>
            </w:r>
          </w:p>
        </w:tc>
        <w:tc>
          <w:tcPr>
            <w:tcW w:w="558" w:type="dxa"/>
            <w:shd w:val="clear" w:color="auto" w:fill="auto"/>
            <w:noWrap w:val="0"/>
            <w:vAlign w:val="center"/>
          </w:tcPr>
          <w:p w14:paraId="01692762">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47.1</w:t>
            </w:r>
          </w:p>
        </w:tc>
        <w:tc>
          <w:tcPr>
            <w:tcW w:w="542" w:type="dxa"/>
            <w:shd w:val="clear" w:color="auto" w:fill="auto"/>
            <w:noWrap w:val="0"/>
            <w:vAlign w:val="center"/>
          </w:tcPr>
          <w:p w14:paraId="07503F1D">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54.9 </w:t>
            </w:r>
          </w:p>
        </w:tc>
        <w:tc>
          <w:tcPr>
            <w:tcW w:w="542" w:type="dxa"/>
            <w:shd w:val="clear" w:color="auto" w:fill="auto"/>
            <w:noWrap w:val="0"/>
            <w:vAlign w:val="center"/>
          </w:tcPr>
          <w:p w14:paraId="0AB4C2BE">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42" w:type="dxa"/>
            <w:shd w:val="clear" w:color="auto" w:fill="auto"/>
            <w:noWrap w:val="0"/>
            <w:vAlign w:val="center"/>
          </w:tcPr>
          <w:p w14:paraId="3BF45CBA">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55" w:type="dxa"/>
            <w:shd w:val="clear" w:color="auto" w:fill="auto"/>
            <w:noWrap w:val="0"/>
            <w:vAlign w:val="center"/>
          </w:tcPr>
          <w:p w14:paraId="754A03FD">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42" w:type="dxa"/>
            <w:vMerge w:val="continue"/>
            <w:shd w:val="clear" w:color="auto" w:fill="auto"/>
            <w:noWrap w:val="0"/>
            <w:vAlign w:val="center"/>
          </w:tcPr>
          <w:p w14:paraId="3270B711">
            <w:pPr>
              <w:spacing w:line="280" w:lineRule="exact"/>
              <w:jc w:val="center"/>
              <w:rPr>
                <w:rFonts w:hint="default" w:ascii="Times New Roman" w:hAnsi="Times New Roman" w:eastAsia="宋体"/>
                <w:color w:val="000000" w:themeColor="text1"/>
                <w:szCs w:val="21"/>
                <w:highlight w:val="none"/>
                <w:lang w:val="en-US" w:eastAsia="zh-CN"/>
                <w14:textFill>
                  <w14:solidFill>
                    <w14:schemeClr w14:val="tx1"/>
                  </w14:solidFill>
                </w14:textFill>
              </w:rPr>
            </w:pPr>
          </w:p>
        </w:tc>
        <w:tc>
          <w:tcPr>
            <w:tcW w:w="897" w:type="dxa"/>
            <w:shd w:val="clear" w:color="auto" w:fill="auto"/>
            <w:noWrap w:val="0"/>
            <w:vAlign w:val="center"/>
          </w:tcPr>
          <w:p w14:paraId="450BAF0C">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24.3</w:t>
            </w:r>
          </w:p>
        </w:tc>
        <w:tc>
          <w:tcPr>
            <w:tcW w:w="746" w:type="dxa"/>
            <w:shd w:val="clear" w:color="auto" w:fill="auto"/>
            <w:noWrap w:val="0"/>
            <w:vAlign w:val="center"/>
          </w:tcPr>
          <w:p w14:paraId="760B30FF">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30.6</w:t>
            </w:r>
          </w:p>
        </w:tc>
        <w:tc>
          <w:tcPr>
            <w:tcW w:w="689" w:type="dxa"/>
            <w:shd w:val="clear" w:color="auto" w:fill="auto"/>
            <w:noWrap w:val="0"/>
            <w:vAlign w:val="center"/>
          </w:tcPr>
          <w:p w14:paraId="56AF1D18">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838" w:type="dxa"/>
            <w:shd w:val="clear" w:color="auto" w:fill="auto"/>
            <w:noWrap w:val="0"/>
            <w:vAlign w:val="center"/>
          </w:tcPr>
          <w:p w14:paraId="6AC6E503">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750" w:type="dxa"/>
            <w:shd w:val="clear" w:color="auto" w:fill="auto"/>
            <w:noWrap w:val="0"/>
            <w:vAlign w:val="center"/>
          </w:tcPr>
          <w:p w14:paraId="21954F4B">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1096" w:type="dxa"/>
            <w:shd w:val="clear" w:color="auto" w:fill="auto"/>
            <w:noWrap w:val="0"/>
            <w:vAlign w:val="center"/>
          </w:tcPr>
          <w:p w14:paraId="32B3FCD6">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r>
      <w:tr w14:paraId="726CF2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0DBC49B0">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17</w:t>
            </w:r>
          </w:p>
        </w:tc>
        <w:tc>
          <w:tcPr>
            <w:tcW w:w="714" w:type="dxa"/>
            <w:vMerge w:val="continue"/>
            <w:shd w:val="clear" w:color="auto" w:fill="auto"/>
            <w:noWrap w:val="0"/>
            <w:vAlign w:val="center"/>
          </w:tcPr>
          <w:p w14:paraId="4FB22147">
            <w:pPr>
              <w:spacing w:line="280" w:lineRule="exact"/>
              <w:jc w:val="center"/>
              <w:rPr>
                <w:rFonts w:hint="eastAsia" w:cs="Times New Roman"/>
                <w:b w:val="0"/>
                <w:bCs w:val="0"/>
                <w:color w:val="000000" w:themeColor="text1"/>
                <w:kern w:val="0"/>
                <w:sz w:val="21"/>
                <w:szCs w:val="21"/>
                <w:highlight w:val="none"/>
                <w:vertAlign w:val="baseline"/>
                <w:lang w:val="en-US" w:eastAsia="zh-CN"/>
                <w14:textFill>
                  <w14:solidFill>
                    <w14:schemeClr w14:val="tx1"/>
                  </w14:solidFill>
                </w14:textFill>
              </w:rPr>
            </w:pPr>
          </w:p>
        </w:tc>
        <w:tc>
          <w:tcPr>
            <w:tcW w:w="714" w:type="dxa"/>
            <w:shd w:val="clear" w:color="auto" w:fill="auto"/>
            <w:noWrap w:val="0"/>
            <w:vAlign w:val="center"/>
          </w:tcPr>
          <w:p w14:paraId="0703F135">
            <w:pPr>
              <w:spacing w:line="280" w:lineRule="exact"/>
              <w:jc w:val="center"/>
              <w:rPr>
                <w:rFonts w:hint="eastAsia" w:ascii="Times New Roman" w:hAnsi="Times New Roman" w:eastAsia="宋体" w:cs="Times New Roman"/>
                <w:b w:val="0"/>
                <w:bCs w:val="0"/>
                <w:color w:val="000000" w:themeColor="text1"/>
                <w:kern w:val="0"/>
                <w:sz w:val="21"/>
                <w:szCs w:val="21"/>
                <w:highlight w:val="none"/>
                <w:vertAlign w:val="baseline"/>
                <w:lang w:val="en-US" w:eastAsia="zh-CN" w:bidi="ar-SA"/>
                <w14:textFill>
                  <w14:solidFill>
                    <w14:schemeClr w14:val="tx1"/>
                  </w14:solidFill>
                </w14:textFill>
              </w:rPr>
            </w:pPr>
            <w:r>
              <w:rPr>
                <w:rFonts w:hint="eastAsia" w:ascii="宋体"/>
                <w:color w:val="000000" w:themeColor="text1"/>
                <w:szCs w:val="21"/>
                <w:highlight w:val="none"/>
                <w:lang w:val="en-US" w:eastAsia="zh-CN"/>
                <w14:textFill>
                  <w14:solidFill>
                    <w14:schemeClr w14:val="tx1"/>
                  </w14:solidFill>
                </w14:textFill>
              </w:rPr>
              <w:t>切叠</w:t>
            </w:r>
            <w:r>
              <w:rPr>
                <w:rFonts w:hint="default" w:ascii="Times New Roman" w:hAnsi="Times New Roman" w:cs="Times New Roman"/>
                <w:color w:val="000000" w:themeColor="text1"/>
                <w:szCs w:val="21"/>
                <w:highlight w:val="none"/>
                <w:lang w:val="en-US" w:eastAsia="zh-CN"/>
                <w14:textFill>
                  <w14:solidFill>
                    <w14:schemeClr w14:val="tx1"/>
                  </w14:solidFill>
                </w14:textFill>
              </w:rPr>
              <w:t>一体机</w:t>
            </w:r>
            <w:r>
              <w:rPr>
                <w:rFonts w:hint="eastAsia" w:ascii="Times New Roman" w:hAnsi="Times New Roman" w:cs="Times New Roman"/>
                <w:color w:val="000000" w:themeColor="text1"/>
                <w:szCs w:val="21"/>
                <w:highlight w:val="none"/>
                <w:lang w:val="en-US" w:eastAsia="zh-CN"/>
                <w14:textFill>
                  <w14:solidFill>
                    <w14:schemeClr w14:val="tx1"/>
                  </w14:solidFill>
                </w14:textFill>
              </w:rPr>
              <w:t>4</w:t>
            </w:r>
            <w:r>
              <w:rPr>
                <w:rFonts w:hint="default" w:ascii="Times New Roman" w:hAnsi="Times New Roman" w:cs="Times New Roman"/>
                <w:color w:val="000000" w:themeColor="text1"/>
                <w:szCs w:val="21"/>
                <w:highlight w:val="none"/>
                <w:lang w:val="en-US" w:eastAsia="zh-CN"/>
                <w14:textFill>
                  <w14:solidFill>
                    <w14:schemeClr w14:val="tx1"/>
                  </w14:solidFill>
                </w14:textFill>
              </w:rPr>
              <w:t>#</w:t>
            </w:r>
          </w:p>
        </w:tc>
        <w:tc>
          <w:tcPr>
            <w:tcW w:w="537" w:type="dxa"/>
            <w:shd w:val="clear" w:color="auto" w:fill="auto"/>
            <w:noWrap w:val="0"/>
            <w:vAlign w:val="center"/>
          </w:tcPr>
          <w:p w14:paraId="7DD4854D">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80</w:t>
            </w:r>
          </w:p>
        </w:tc>
        <w:tc>
          <w:tcPr>
            <w:tcW w:w="537" w:type="dxa"/>
            <w:shd w:val="clear" w:color="auto" w:fill="auto"/>
            <w:noWrap w:val="0"/>
            <w:vAlign w:val="center"/>
          </w:tcPr>
          <w:p w14:paraId="53086B1A">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22.4</w:t>
            </w:r>
          </w:p>
        </w:tc>
        <w:tc>
          <w:tcPr>
            <w:tcW w:w="537" w:type="dxa"/>
            <w:shd w:val="clear" w:color="auto" w:fill="auto"/>
            <w:noWrap w:val="0"/>
            <w:vAlign w:val="center"/>
          </w:tcPr>
          <w:p w14:paraId="6D0BF4B5">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136.54</w:t>
            </w:r>
          </w:p>
        </w:tc>
        <w:tc>
          <w:tcPr>
            <w:tcW w:w="558" w:type="dxa"/>
            <w:shd w:val="clear" w:color="auto" w:fill="auto"/>
            <w:noWrap w:val="0"/>
            <w:vAlign w:val="center"/>
          </w:tcPr>
          <w:p w14:paraId="0ADD683C">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1.2</w:t>
            </w:r>
          </w:p>
        </w:tc>
        <w:tc>
          <w:tcPr>
            <w:tcW w:w="537" w:type="dxa"/>
            <w:shd w:val="clear" w:color="auto" w:fill="auto"/>
            <w:noWrap w:val="0"/>
            <w:vAlign w:val="center"/>
          </w:tcPr>
          <w:p w14:paraId="33267EE8">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24.5</w:t>
            </w:r>
          </w:p>
        </w:tc>
        <w:tc>
          <w:tcPr>
            <w:tcW w:w="537" w:type="dxa"/>
            <w:shd w:val="clear" w:color="auto" w:fill="auto"/>
            <w:noWrap w:val="0"/>
            <w:vAlign w:val="center"/>
          </w:tcPr>
          <w:p w14:paraId="29CA10AE">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124.1</w:t>
            </w:r>
          </w:p>
        </w:tc>
        <w:tc>
          <w:tcPr>
            <w:tcW w:w="542" w:type="dxa"/>
            <w:shd w:val="clear" w:color="auto" w:fill="auto"/>
            <w:noWrap w:val="0"/>
            <w:vAlign w:val="center"/>
          </w:tcPr>
          <w:p w14:paraId="4562C60F">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124.7</w:t>
            </w:r>
          </w:p>
        </w:tc>
        <w:tc>
          <w:tcPr>
            <w:tcW w:w="558" w:type="dxa"/>
            <w:shd w:val="clear" w:color="auto" w:fill="auto"/>
            <w:noWrap w:val="0"/>
            <w:vAlign w:val="center"/>
          </w:tcPr>
          <w:p w14:paraId="6B969AAF">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53.6</w:t>
            </w:r>
          </w:p>
        </w:tc>
        <w:tc>
          <w:tcPr>
            <w:tcW w:w="542" w:type="dxa"/>
            <w:shd w:val="clear" w:color="auto" w:fill="auto"/>
            <w:noWrap w:val="0"/>
            <w:vAlign w:val="center"/>
          </w:tcPr>
          <w:p w14:paraId="607280B1">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55.0 </w:t>
            </w:r>
          </w:p>
        </w:tc>
        <w:tc>
          <w:tcPr>
            <w:tcW w:w="542" w:type="dxa"/>
            <w:shd w:val="clear" w:color="auto" w:fill="auto"/>
            <w:noWrap w:val="0"/>
            <w:vAlign w:val="center"/>
          </w:tcPr>
          <w:p w14:paraId="17AF0354">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42" w:type="dxa"/>
            <w:shd w:val="clear" w:color="auto" w:fill="auto"/>
            <w:noWrap w:val="0"/>
            <w:vAlign w:val="center"/>
          </w:tcPr>
          <w:p w14:paraId="465EC11F">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55" w:type="dxa"/>
            <w:shd w:val="clear" w:color="auto" w:fill="auto"/>
            <w:noWrap w:val="0"/>
            <w:vAlign w:val="center"/>
          </w:tcPr>
          <w:p w14:paraId="02FEB30F">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42" w:type="dxa"/>
            <w:vMerge w:val="continue"/>
            <w:shd w:val="clear" w:color="auto" w:fill="auto"/>
            <w:noWrap w:val="0"/>
            <w:vAlign w:val="center"/>
          </w:tcPr>
          <w:p w14:paraId="5FC886FC">
            <w:pPr>
              <w:spacing w:line="280" w:lineRule="exact"/>
              <w:jc w:val="center"/>
              <w:rPr>
                <w:rFonts w:hint="default" w:ascii="Times New Roman" w:hAnsi="Times New Roman" w:eastAsia="宋体"/>
                <w:color w:val="000000" w:themeColor="text1"/>
                <w:szCs w:val="21"/>
                <w:highlight w:val="none"/>
                <w:lang w:val="en-US" w:eastAsia="zh-CN"/>
                <w14:textFill>
                  <w14:solidFill>
                    <w14:schemeClr w14:val="tx1"/>
                  </w14:solidFill>
                </w14:textFill>
              </w:rPr>
            </w:pPr>
          </w:p>
        </w:tc>
        <w:tc>
          <w:tcPr>
            <w:tcW w:w="897" w:type="dxa"/>
            <w:shd w:val="clear" w:color="auto" w:fill="auto"/>
            <w:noWrap w:val="0"/>
            <w:vAlign w:val="center"/>
          </w:tcPr>
          <w:p w14:paraId="6B7643A3">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24.3</w:t>
            </w:r>
          </w:p>
        </w:tc>
        <w:tc>
          <w:tcPr>
            <w:tcW w:w="746" w:type="dxa"/>
            <w:shd w:val="clear" w:color="auto" w:fill="auto"/>
            <w:noWrap w:val="0"/>
            <w:vAlign w:val="center"/>
          </w:tcPr>
          <w:p w14:paraId="5454EB02">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30.7</w:t>
            </w:r>
          </w:p>
        </w:tc>
        <w:tc>
          <w:tcPr>
            <w:tcW w:w="689" w:type="dxa"/>
            <w:shd w:val="clear" w:color="auto" w:fill="auto"/>
            <w:noWrap w:val="0"/>
            <w:vAlign w:val="center"/>
          </w:tcPr>
          <w:p w14:paraId="6A134E2E">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838" w:type="dxa"/>
            <w:shd w:val="clear" w:color="auto" w:fill="auto"/>
            <w:noWrap w:val="0"/>
            <w:vAlign w:val="center"/>
          </w:tcPr>
          <w:p w14:paraId="3D09D202">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750" w:type="dxa"/>
            <w:shd w:val="clear" w:color="auto" w:fill="auto"/>
            <w:noWrap w:val="0"/>
            <w:vAlign w:val="center"/>
          </w:tcPr>
          <w:p w14:paraId="6185860F">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1096" w:type="dxa"/>
            <w:shd w:val="clear" w:color="auto" w:fill="auto"/>
            <w:noWrap w:val="0"/>
            <w:vAlign w:val="center"/>
          </w:tcPr>
          <w:p w14:paraId="04902FEE">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r>
      <w:tr w14:paraId="57BD3E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05F74247">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18</w:t>
            </w:r>
          </w:p>
        </w:tc>
        <w:tc>
          <w:tcPr>
            <w:tcW w:w="714" w:type="dxa"/>
            <w:vMerge w:val="continue"/>
            <w:shd w:val="clear" w:color="auto" w:fill="auto"/>
            <w:noWrap w:val="0"/>
            <w:vAlign w:val="center"/>
          </w:tcPr>
          <w:p w14:paraId="12437E7F">
            <w:pPr>
              <w:spacing w:line="280" w:lineRule="exact"/>
              <w:jc w:val="center"/>
              <w:rPr>
                <w:rFonts w:hint="eastAsia" w:cs="Times New Roman"/>
                <w:b w:val="0"/>
                <w:bCs w:val="0"/>
                <w:color w:val="000000" w:themeColor="text1"/>
                <w:kern w:val="0"/>
                <w:sz w:val="21"/>
                <w:szCs w:val="21"/>
                <w:highlight w:val="none"/>
                <w:vertAlign w:val="baseline"/>
                <w:lang w:val="en-US" w:eastAsia="zh-CN"/>
                <w14:textFill>
                  <w14:solidFill>
                    <w14:schemeClr w14:val="tx1"/>
                  </w14:solidFill>
                </w14:textFill>
              </w:rPr>
            </w:pPr>
          </w:p>
        </w:tc>
        <w:tc>
          <w:tcPr>
            <w:tcW w:w="714" w:type="dxa"/>
            <w:shd w:val="clear" w:color="auto" w:fill="auto"/>
            <w:noWrap w:val="0"/>
            <w:vAlign w:val="center"/>
          </w:tcPr>
          <w:p w14:paraId="00FF82AB">
            <w:pPr>
              <w:spacing w:line="280" w:lineRule="exact"/>
              <w:jc w:val="center"/>
              <w:rPr>
                <w:rFonts w:hint="eastAsia" w:ascii="Times New Roman" w:hAnsi="Times New Roman" w:eastAsia="宋体" w:cs="Times New Roman"/>
                <w:b w:val="0"/>
                <w:bCs w:val="0"/>
                <w:color w:val="000000" w:themeColor="text1"/>
                <w:kern w:val="0"/>
                <w:sz w:val="21"/>
                <w:szCs w:val="21"/>
                <w:highlight w:val="none"/>
                <w:vertAlign w:val="baseline"/>
                <w:lang w:val="en-US" w:eastAsia="zh-CN" w:bidi="ar-SA"/>
                <w14:textFill>
                  <w14:solidFill>
                    <w14:schemeClr w14:val="tx1"/>
                  </w14:solidFill>
                </w14:textFill>
              </w:rPr>
            </w:pPr>
            <w:r>
              <w:rPr>
                <w:rFonts w:hint="eastAsia" w:ascii="宋体"/>
                <w:color w:val="000000" w:themeColor="text1"/>
                <w:szCs w:val="21"/>
                <w:highlight w:val="none"/>
                <w:lang w:val="en-US" w:eastAsia="zh-CN"/>
                <w14:textFill>
                  <w14:solidFill>
                    <w14:schemeClr w14:val="tx1"/>
                  </w14:solidFill>
                </w14:textFill>
              </w:rPr>
              <w:t>切叠</w:t>
            </w:r>
            <w:r>
              <w:rPr>
                <w:rFonts w:hint="default" w:ascii="Times New Roman" w:hAnsi="Times New Roman" w:cs="Times New Roman"/>
                <w:color w:val="000000" w:themeColor="text1"/>
                <w:szCs w:val="21"/>
                <w:highlight w:val="none"/>
                <w:lang w:val="en-US" w:eastAsia="zh-CN"/>
                <w14:textFill>
                  <w14:solidFill>
                    <w14:schemeClr w14:val="tx1"/>
                  </w14:solidFill>
                </w14:textFill>
              </w:rPr>
              <w:t>一体机</w:t>
            </w:r>
            <w:r>
              <w:rPr>
                <w:rFonts w:hint="eastAsia" w:ascii="Times New Roman" w:hAnsi="Times New Roman" w:cs="Times New Roman"/>
                <w:color w:val="000000" w:themeColor="text1"/>
                <w:szCs w:val="21"/>
                <w:highlight w:val="none"/>
                <w:lang w:val="en-US" w:eastAsia="zh-CN"/>
                <w14:textFill>
                  <w14:solidFill>
                    <w14:schemeClr w14:val="tx1"/>
                  </w14:solidFill>
                </w14:textFill>
              </w:rPr>
              <w:t>5</w:t>
            </w:r>
            <w:r>
              <w:rPr>
                <w:rFonts w:hint="default" w:ascii="Times New Roman" w:hAnsi="Times New Roman" w:cs="Times New Roman"/>
                <w:color w:val="000000" w:themeColor="text1"/>
                <w:szCs w:val="21"/>
                <w:highlight w:val="none"/>
                <w:lang w:val="en-US" w:eastAsia="zh-CN"/>
                <w14:textFill>
                  <w14:solidFill>
                    <w14:schemeClr w14:val="tx1"/>
                  </w14:solidFill>
                </w14:textFill>
              </w:rPr>
              <w:t>#</w:t>
            </w:r>
          </w:p>
        </w:tc>
        <w:tc>
          <w:tcPr>
            <w:tcW w:w="537" w:type="dxa"/>
            <w:shd w:val="clear" w:color="auto" w:fill="auto"/>
            <w:noWrap w:val="0"/>
            <w:vAlign w:val="center"/>
          </w:tcPr>
          <w:p w14:paraId="45FCDF53">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80</w:t>
            </w:r>
          </w:p>
        </w:tc>
        <w:tc>
          <w:tcPr>
            <w:tcW w:w="537" w:type="dxa"/>
            <w:shd w:val="clear" w:color="auto" w:fill="auto"/>
            <w:noWrap w:val="0"/>
            <w:vAlign w:val="center"/>
          </w:tcPr>
          <w:p w14:paraId="6F17E086">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24.75</w:t>
            </w:r>
          </w:p>
        </w:tc>
        <w:tc>
          <w:tcPr>
            <w:tcW w:w="537" w:type="dxa"/>
            <w:shd w:val="clear" w:color="auto" w:fill="auto"/>
            <w:noWrap w:val="0"/>
            <w:vAlign w:val="center"/>
          </w:tcPr>
          <w:p w14:paraId="3659D796">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131.27</w:t>
            </w:r>
          </w:p>
        </w:tc>
        <w:tc>
          <w:tcPr>
            <w:tcW w:w="558" w:type="dxa"/>
            <w:shd w:val="clear" w:color="auto" w:fill="auto"/>
            <w:noWrap w:val="0"/>
            <w:vAlign w:val="center"/>
          </w:tcPr>
          <w:p w14:paraId="42E004AF">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1.2</w:t>
            </w:r>
          </w:p>
        </w:tc>
        <w:tc>
          <w:tcPr>
            <w:tcW w:w="537" w:type="dxa"/>
            <w:shd w:val="clear" w:color="auto" w:fill="auto"/>
            <w:noWrap w:val="0"/>
            <w:vAlign w:val="center"/>
          </w:tcPr>
          <w:p w14:paraId="1C29A1DB">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23.7</w:t>
            </w:r>
          </w:p>
        </w:tc>
        <w:tc>
          <w:tcPr>
            <w:tcW w:w="537" w:type="dxa"/>
            <w:shd w:val="clear" w:color="auto" w:fill="auto"/>
            <w:noWrap w:val="0"/>
            <w:vAlign w:val="center"/>
          </w:tcPr>
          <w:p w14:paraId="7505DFF1">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119.5</w:t>
            </w:r>
          </w:p>
        </w:tc>
        <w:tc>
          <w:tcPr>
            <w:tcW w:w="542" w:type="dxa"/>
            <w:shd w:val="clear" w:color="auto" w:fill="auto"/>
            <w:noWrap w:val="0"/>
            <w:vAlign w:val="center"/>
          </w:tcPr>
          <w:p w14:paraId="1163B23A">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123.9</w:t>
            </w:r>
          </w:p>
        </w:tc>
        <w:tc>
          <w:tcPr>
            <w:tcW w:w="558" w:type="dxa"/>
            <w:shd w:val="clear" w:color="auto" w:fill="auto"/>
            <w:noWrap w:val="0"/>
            <w:vAlign w:val="center"/>
          </w:tcPr>
          <w:p w14:paraId="28A3B30B">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58.9</w:t>
            </w:r>
          </w:p>
        </w:tc>
        <w:tc>
          <w:tcPr>
            <w:tcW w:w="542" w:type="dxa"/>
            <w:shd w:val="clear" w:color="auto" w:fill="auto"/>
            <w:noWrap w:val="0"/>
            <w:vAlign w:val="center"/>
          </w:tcPr>
          <w:p w14:paraId="7768A825">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55.0 </w:t>
            </w:r>
          </w:p>
        </w:tc>
        <w:tc>
          <w:tcPr>
            <w:tcW w:w="542" w:type="dxa"/>
            <w:shd w:val="clear" w:color="auto" w:fill="auto"/>
            <w:noWrap w:val="0"/>
            <w:vAlign w:val="center"/>
          </w:tcPr>
          <w:p w14:paraId="2C9B8B2F">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42" w:type="dxa"/>
            <w:shd w:val="clear" w:color="auto" w:fill="auto"/>
            <w:noWrap w:val="0"/>
            <w:vAlign w:val="center"/>
          </w:tcPr>
          <w:p w14:paraId="29A7F414">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55" w:type="dxa"/>
            <w:shd w:val="clear" w:color="auto" w:fill="auto"/>
            <w:noWrap w:val="0"/>
            <w:vAlign w:val="center"/>
          </w:tcPr>
          <w:p w14:paraId="4AE09BA8">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42" w:type="dxa"/>
            <w:vMerge w:val="continue"/>
            <w:shd w:val="clear" w:color="auto" w:fill="auto"/>
            <w:noWrap w:val="0"/>
            <w:vAlign w:val="center"/>
          </w:tcPr>
          <w:p w14:paraId="175351A6">
            <w:pPr>
              <w:spacing w:line="280" w:lineRule="exact"/>
              <w:jc w:val="center"/>
              <w:rPr>
                <w:rFonts w:hint="default" w:ascii="Times New Roman" w:hAnsi="Times New Roman" w:eastAsia="宋体"/>
                <w:color w:val="000000" w:themeColor="text1"/>
                <w:szCs w:val="21"/>
                <w:highlight w:val="none"/>
                <w:lang w:val="en-US" w:eastAsia="zh-CN"/>
                <w14:textFill>
                  <w14:solidFill>
                    <w14:schemeClr w14:val="tx1"/>
                  </w14:solidFill>
                </w14:textFill>
              </w:rPr>
            </w:pPr>
          </w:p>
        </w:tc>
        <w:tc>
          <w:tcPr>
            <w:tcW w:w="897" w:type="dxa"/>
            <w:shd w:val="clear" w:color="auto" w:fill="auto"/>
            <w:noWrap w:val="0"/>
            <w:vAlign w:val="center"/>
          </w:tcPr>
          <w:p w14:paraId="22214148">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24.3</w:t>
            </w:r>
          </w:p>
        </w:tc>
        <w:tc>
          <w:tcPr>
            <w:tcW w:w="746" w:type="dxa"/>
            <w:shd w:val="clear" w:color="auto" w:fill="auto"/>
            <w:noWrap w:val="0"/>
            <w:vAlign w:val="center"/>
          </w:tcPr>
          <w:p w14:paraId="796CB717">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30.7</w:t>
            </w:r>
          </w:p>
        </w:tc>
        <w:tc>
          <w:tcPr>
            <w:tcW w:w="689" w:type="dxa"/>
            <w:shd w:val="clear" w:color="auto" w:fill="auto"/>
            <w:noWrap w:val="0"/>
            <w:vAlign w:val="center"/>
          </w:tcPr>
          <w:p w14:paraId="361A6D44">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838" w:type="dxa"/>
            <w:shd w:val="clear" w:color="auto" w:fill="auto"/>
            <w:noWrap w:val="0"/>
            <w:vAlign w:val="center"/>
          </w:tcPr>
          <w:p w14:paraId="4A1C7D15">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750" w:type="dxa"/>
            <w:shd w:val="clear" w:color="auto" w:fill="auto"/>
            <w:noWrap w:val="0"/>
            <w:vAlign w:val="center"/>
          </w:tcPr>
          <w:p w14:paraId="36ADEDD1">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1096" w:type="dxa"/>
            <w:shd w:val="clear" w:color="auto" w:fill="auto"/>
            <w:noWrap w:val="0"/>
            <w:vAlign w:val="center"/>
          </w:tcPr>
          <w:p w14:paraId="179F5995">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r>
      <w:tr w14:paraId="26F35F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4F287090">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19</w:t>
            </w:r>
          </w:p>
        </w:tc>
        <w:tc>
          <w:tcPr>
            <w:tcW w:w="714" w:type="dxa"/>
            <w:vMerge w:val="continue"/>
            <w:shd w:val="clear" w:color="auto" w:fill="auto"/>
            <w:noWrap w:val="0"/>
            <w:vAlign w:val="center"/>
          </w:tcPr>
          <w:p w14:paraId="27209F2E">
            <w:pPr>
              <w:spacing w:line="280" w:lineRule="exact"/>
              <w:jc w:val="center"/>
              <w:rPr>
                <w:rFonts w:hint="eastAsia" w:cs="Times New Roman"/>
                <w:b w:val="0"/>
                <w:bCs w:val="0"/>
                <w:color w:val="000000" w:themeColor="text1"/>
                <w:kern w:val="0"/>
                <w:sz w:val="21"/>
                <w:szCs w:val="21"/>
                <w:highlight w:val="none"/>
                <w:vertAlign w:val="baseline"/>
                <w:lang w:val="en-US" w:eastAsia="zh-CN"/>
                <w14:textFill>
                  <w14:solidFill>
                    <w14:schemeClr w14:val="tx1"/>
                  </w14:solidFill>
                </w14:textFill>
              </w:rPr>
            </w:pPr>
          </w:p>
        </w:tc>
        <w:tc>
          <w:tcPr>
            <w:tcW w:w="714" w:type="dxa"/>
            <w:shd w:val="clear" w:color="auto" w:fill="auto"/>
            <w:noWrap w:val="0"/>
            <w:vAlign w:val="center"/>
          </w:tcPr>
          <w:p w14:paraId="7522DA1B">
            <w:pPr>
              <w:spacing w:line="280" w:lineRule="exact"/>
              <w:jc w:val="center"/>
              <w:rPr>
                <w:rFonts w:hint="eastAsia" w:ascii="Times New Roman" w:hAnsi="Times New Roman" w:eastAsia="宋体" w:cs="Times New Roman"/>
                <w:b w:val="0"/>
                <w:bCs w:val="0"/>
                <w:color w:val="000000" w:themeColor="text1"/>
                <w:kern w:val="0"/>
                <w:sz w:val="21"/>
                <w:szCs w:val="21"/>
                <w:highlight w:val="none"/>
                <w:vertAlign w:val="baseline"/>
                <w:lang w:val="en-US" w:eastAsia="zh-CN" w:bidi="ar-SA"/>
                <w14:textFill>
                  <w14:solidFill>
                    <w14:schemeClr w14:val="tx1"/>
                  </w14:solidFill>
                </w14:textFill>
              </w:rPr>
            </w:pPr>
            <w:r>
              <w:rPr>
                <w:rFonts w:hint="eastAsia" w:ascii="宋体"/>
                <w:color w:val="000000" w:themeColor="text1"/>
                <w:szCs w:val="21"/>
                <w:highlight w:val="none"/>
                <w:lang w:val="en-US" w:eastAsia="zh-CN"/>
                <w14:textFill>
                  <w14:solidFill>
                    <w14:schemeClr w14:val="tx1"/>
                  </w14:solidFill>
                </w14:textFill>
              </w:rPr>
              <w:t>切叠</w:t>
            </w:r>
            <w:r>
              <w:rPr>
                <w:rFonts w:hint="default" w:ascii="Times New Roman" w:hAnsi="Times New Roman" w:cs="Times New Roman"/>
                <w:color w:val="000000" w:themeColor="text1"/>
                <w:szCs w:val="21"/>
                <w:highlight w:val="none"/>
                <w:lang w:val="en-US" w:eastAsia="zh-CN"/>
                <w14:textFill>
                  <w14:solidFill>
                    <w14:schemeClr w14:val="tx1"/>
                  </w14:solidFill>
                </w14:textFill>
              </w:rPr>
              <w:t>一体机</w:t>
            </w:r>
            <w:r>
              <w:rPr>
                <w:rFonts w:hint="eastAsia" w:ascii="Times New Roman" w:hAnsi="Times New Roman" w:cs="Times New Roman"/>
                <w:color w:val="000000" w:themeColor="text1"/>
                <w:szCs w:val="21"/>
                <w:highlight w:val="none"/>
                <w:lang w:val="en-US" w:eastAsia="zh-CN"/>
                <w14:textFill>
                  <w14:solidFill>
                    <w14:schemeClr w14:val="tx1"/>
                  </w14:solidFill>
                </w14:textFill>
              </w:rPr>
              <w:t>6</w:t>
            </w:r>
            <w:r>
              <w:rPr>
                <w:rFonts w:hint="default" w:ascii="Times New Roman" w:hAnsi="Times New Roman" w:cs="Times New Roman"/>
                <w:color w:val="000000" w:themeColor="text1"/>
                <w:szCs w:val="21"/>
                <w:highlight w:val="none"/>
                <w:lang w:val="en-US" w:eastAsia="zh-CN"/>
                <w14:textFill>
                  <w14:solidFill>
                    <w14:schemeClr w14:val="tx1"/>
                  </w14:solidFill>
                </w14:textFill>
              </w:rPr>
              <w:t>#</w:t>
            </w:r>
          </w:p>
        </w:tc>
        <w:tc>
          <w:tcPr>
            <w:tcW w:w="537" w:type="dxa"/>
            <w:shd w:val="clear" w:color="auto" w:fill="auto"/>
            <w:noWrap w:val="0"/>
            <w:vAlign w:val="center"/>
          </w:tcPr>
          <w:p w14:paraId="08568D04">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80</w:t>
            </w:r>
          </w:p>
        </w:tc>
        <w:tc>
          <w:tcPr>
            <w:tcW w:w="537" w:type="dxa"/>
            <w:shd w:val="clear" w:color="auto" w:fill="auto"/>
            <w:noWrap w:val="0"/>
            <w:vAlign w:val="center"/>
          </w:tcPr>
          <w:p w14:paraId="2B32ADA9">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26.21</w:t>
            </w:r>
          </w:p>
        </w:tc>
        <w:tc>
          <w:tcPr>
            <w:tcW w:w="537" w:type="dxa"/>
            <w:shd w:val="clear" w:color="auto" w:fill="auto"/>
            <w:noWrap w:val="0"/>
            <w:vAlign w:val="center"/>
          </w:tcPr>
          <w:p w14:paraId="4D61FA33">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126.87</w:t>
            </w:r>
          </w:p>
        </w:tc>
        <w:tc>
          <w:tcPr>
            <w:tcW w:w="558" w:type="dxa"/>
            <w:shd w:val="clear" w:color="auto" w:fill="auto"/>
            <w:noWrap w:val="0"/>
            <w:vAlign w:val="center"/>
          </w:tcPr>
          <w:p w14:paraId="132CE42E">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1.2</w:t>
            </w:r>
          </w:p>
        </w:tc>
        <w:tc>
          <w:tcPr>
            <w:tcW w:w="537" w:type="dxa"/>
            <w:shd w:val="clear" w:color="auto" w:fill="auto"/>
            <w:noWrap w:val="0"/>
            <w:vAlign w:val="center"/>
          </w:tcPr>
          <w:p w14:paraId="53763BA8">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24.6</w:t>
            </w:r>
          </w:p>
        </w:tc>
        <w:tc>
          <w:tcPr>
            <w:tcW w:w="537" w:type="dxa"/>
            <w:shd w:val="clear" w:color="auto" w:fill="auto"/>
            <w:noWrap w:val="0"/>
            <w:vAlign w:val="center"/>
          </w:tcPr>
          <w:p w14:paraId="432522F7">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115.4</w:t>
            </w:r>
          </w:p>
        </w:tc>
        <w:tc>
          <w:tcPr>
            <w:tcW w:w="542" w:type="dxa"/>
            <w:shd w:val="clear" w:color="auto" w:fill="auto"/>
            <w:noWrap w:val="0"/>
            <w:vAlign w:val="center"/>
          </w:tcPr>
          <w:p w14:paraId="688C2661">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124.9</w:t>
            </w:r>
          </w:p>
        </w:tc>
        <w:tc>
          <w:tcPr>
            <w:tcW w:w="558" w:type="dxa"/>
            <w:shd w:val="clear" w:color="auto" w:fill="auto"/>
            <w:noWrap w:val="0"/>
            <w:vAlign w:val="center"/>
          </w:tcPr>
          <w:p w14:paraId="30DB6B18">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62.7</w:t>
            </w:r>
          </w:p>
        </w:tc>
        <w:tc>
          <w:tcPr>
            <w:tcW w:w="542" w:type="dxa"/>
            <w:shd w:val="clear" w:color="auto" w:fill="auto"/>
            <w:noWrap w:val="0"/>
            <w:vAlign w:val="center"/>
          </w:tcPr>
          <w:p w14:paraId="56A943CB">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54.9 </w:t>
            </w:r>
          </w:p>
        </w:tc>
        <w:tc>
          <w:tcPr>
            <w:tcW w:w="542" w:type="dxa"/>
            <w:shd w:val="clear" w:color="auto" w:fill="auto"/>
            <w:noWrap w:val="0"/>
            <w:vAlign w:val="center"/>
          </w:tcPr>
          <w:p w14:paraId="6D4EE312">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42" w:type="dxa"/>
            <w:shd w:val="clear" w:color="auto" w:fill="auto"/>
            <w:noWrap w:val="0"/>
            <w:vAlign w:val="center"/>
          </w:tcPr>
          <w:p w14:paraId="5CCF57DB">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55" w:type="dxa"/>
            <w:shd w:val="clear" w:color="auto" w:fill="auto"/>
            <w:noWrap w:val="0"/>
            <w:vAlign w:val="center"/>
          </w:tcPr>
          <w:p w14:paraId="2CD606DD">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42" w:type="dxa"/>
            <w:vMerge w:val="continue"/>
            <w:shd w:val="clear" w:color="auto" w:fill="auto"/>
            <w:noWrap w:val="0"/>
            <w:vAlign w:val="center"/>
          </w:tcPr>
          <w:p w14:paraId="0BF40FBD">
            <w:pPr>
              <w:spacing w:line="280" w:lineRule="exact"/>
              <w:jc w:val="center"/>
              <w:rPr>
                <w:rFonts w:hint="default" w:ascii="Times New Roman" w:hAnsi="Times New Roman" w:eastAsia="宋体"/>
                <w:color w:val="000000" w:themeColor="text1"/>
                <w:szCs w:val="21"/>
                <w:highlight w:val="none"/>
                <w:lang w:val="en-US" w:eastAsia="zh-CN"/>
                <w14:textFill>
                  <w14:solidFill>
                    <w14:schemeClr w14:val="tx1"/>
                  </w14:solidFill>
                </w14:textFill>
              </w:rPr>
            </w:pPr>
          </w:p>
        </w:tc>
        <w:tc>
          <w:tcPr>
            <w:tcW w:w="897" w:type="dxa"/>
            <w:shd w:val="clear" w:color="auto" w:fill="auto"/>
            <w:noWrap w:val="0"/>
            <w:vAlign w:val="center"/>
          </w:tcPr>
          <w:p w14:paraId="3FA76E0C">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24.3</w:t>
            </w:r>
          </w:p>
        </w:tc>
        <w:tc>
          <w:tcPr>
            <w:tcW w:w="746" w:type="dxa"/>
            <w:shd w:val="clear" w:color="auto" w:fill="auto"/>
            <w:noWrap w:val="0"/>
            <w:vAlign w:val="center"/>
          </w:tcPr>
          <w:p w14:paraId="1F422B32">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30.6</w:t>
            </w:r>
          </w:p>
        </w:tc>
        <w:tc>
          <w:tcPr>
            <w:tcW w:w="689" w:type="dxa"/>
            <w:shd w:val="clear" w:color="auto" w:fill="auto"/>
            <w:noWrap w:val="0"/>
            <w:vAlign w:val="center"/>
          </w:tcPr>
          <w:p w14:paraId="46F86AD6">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838" w:type="dxa"/>
            <w:shd w:val="clear" w:color="auto" w:fill="auto"/>
            <w:noWrap w:val="0"/>
            <w:vAlign w:val="center"/>
          </w:tcPr>
          <w:p w14:paraId="32C1FAF2">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750" w:type="dxa"/>
            <w:shd w:val="clear" w:color="auto" w:fill="auto"/>
            <w:noWrap w:val="0"/>
            <w:vAlign w:val="center"/>
          </w:tcPr>
          <w:p w14:paraId="296D4DC8">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1096" w:type="dxa"/>
            <w:shd w:val="clear" w:color="auto" w:fill="auto"/>
            <w:noWrap w:val="0"/>
            <w:vAlign w:val="center"/>
          </w:tcPr>
          <w:p w14:paraId="06BE9A27">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r>
      <w:tr w14:paraId="0D5A0B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47EED553">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20</w:t>
            </w:r>
          </w:p>
        </w:tc>
        <w:tc>
          <w:tcPr>
            <w:tcW w:w="714" w:type="dxa"/>
            <w:vMerge w:val="continue"/>
            <w:shd w:val="clear" w:color="auto" w:fill="auto"/>
            <w:noWrap w:val="0"/>
            <w:vAlign w:val="center"/>
          </w:tcPr>
          <w:p w14:paraId="435F5369">
            <w:pPr>
              <w:spacing w:line="280" w:lineRule="exact"/>
              <w:jc w:val="center"/>
              <w:rPr>
                <w:rFonts w:hint="default" w:cs="Times New Roman"/>
                <w:b w:val="0"/>
                <w:bCs w:val="0"/>
                <w:color w:val="000000" w:themeColor="text1"/>
                <w:kern w:val="0"/>
                <w:sz w:val="21"/>
                <w:szCs w:val="21"/>
                <w:highlight w:val="none"/>
                <w:vertAlign w:val="baseline"/>
                <w:lang w:val="en-US" w:eastAsia="zh-CN"/>
                <w14:textFill>
                  <w14:solidFill>
                    <w14:schemeClr w14:val="tx1"/>
                  </w14:solidFill>
                </w14:textFill>
              </w:rPr>
            </w:pPr>
          </w:p>
        </w:tc>
        <w:tc>
          <w:tcPr>
            <w:tcW w:w="714" w:type="dxa"/>
            <w:shd w:val="clear" w:color="auto" w:fill="auto"/>
            <w:noWrap w:val="0"/>
            <w:vAlign w:val="center"/>
          </w:tcPr>
          <w:p w14:paraId="4FAF70B3">
            <w:pPr>
              <w:spacing w:line="280" w:lineRule="exact"/>
              <w:jc w:val="center"/>
              <w:rPr>
                <w:rFonts w:hint="eastAsia" w:ascii="Times New Roman" w:hAnsi="Times New Roman" w:eastAsia="宋体" w:cs="Times New Roman"/>
                <w:b w:val="0"/>
                <w:bCs w:val="0"/>
                <w:color w:val="000000" w:themeColor="text1"/>
                <w:kern w:val="0"/>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14:textFill>
                  <w14:solidFill>
                    <w14:schemeClr w14:val="tx1"/>
                  </w14:solidFill>
                </w14:textFill>
              </w:rPr>
              <w:t>热压机</w:t>
            </w:r>
          </w:p>
        </w:tc>
        <w:tc>
          <w:tcPr>
            <w:tcW w:w="537" w:type="dxa"/>
            <w:shd w:val="clear" w:color="auto" w:fill="auto"/>
            <w:noWrap w:val="0"/>
            <w:vAlign w:val="center"/>
          </w:tcPr>
          <w:p w14:paraId="7C7A45C1">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80</w:t>
            </w:r>
          </w:p>
        </w:tc>
        <w:tc>
          <w:tcPr>
            <w:tcW w:w="537" w:type="dxa"/>
            <w:shd w:val="clear" w:color="auto" w:fill="auto"/>
            <w:noWrap w:val="0"/>
            <w:vAlign w:val="center"/>
          </w:tcPr>
          <w:p w14:paraId="17D24B70">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6.58</w:t>
            </w:r>
          </w:p>
        </w:tc>
        <w:tc>
          <w:tcPr>
            <w:tcW w:w="537" w:type="dxa"/>
            <w:shd w:val="clear" w:color="auto" w:fill="auto"/>
            <w:noWrap w:val="0"/>
            <w:vAlign w:val="center"/>
          </w:tcPr>
          <w:p w14:paraId="24ECC7EA">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137.21</w:t>
            </w:r>
          </w:p>
        </w:tc>
        <w:tc>
          <w:tcPr>
            <w:tcW w:w="558" w:type="dxa"/>
            <w:shd w:val="clear" w:color="auto" w:fill="auto"/>
            <w:noWrap w:val="0"/>
            <w:vAlign w:val="center"/>
          </w:tcPr>
          <w:p w14:paraId="2F287EDA">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1.2</w:t>
            </w:r>
          </w:p>
        </w:tc>
        <w:tc>
          <w:tcPr>
            <w:tcW w:w="537" w:type="dxa"/>
            <w:shd w:val="clear" w:color="auto" w:fill="auto"/>
            <w:noWrap w:val="0"/>
            <w:vAlign w:val="center"/>
          </w:tcPr>
          <w:p w14:paraId="6193B935">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37.8</w:t>
            </w:r>
          </w:p>
        </w:tc>
        <w:tc>
          <w:tcPr>
            <w:tcW w:w="537" w:type="dxa"/>
            <w:shd w:val="clear" w:color="auto" w:fill="auto"/>
            <w:noWrap w:val="0"/>
            <w:vAlign w:val="center"/>
          </w:tcPr>
          <w:p w14:paraId="32D6DA51">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130.8</w:t>
            </w:r>
          </w:p>
        </w:tc>
        <w:tc>
          <w:tcPr>
            <w:tcW w:w="542" w:type="dxa"/>
            <w:shd w:val="clear" w:color="auto" w:fill="auto"/>
            <w:noWrap w:val="0"/>
            <w:vAlign w:val="center"/>
          </w:tcPr>
          <w:p w14:paraId="67E788F4">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110.7</w:t>
            </w:r>
          </w:p>
        </w:tc>
        <w:tc>
          <w:tcPr>
            <w:tcW w:w="558" w:type="dxa"/>
            <w:shd w:val="clear" w:color="auto" w:fill="auto"/>
            <w:noWrap w:val="0"/>
            <w:vAlign w:val="center"/>
          </w:tcPr>
          <w:p w14:paraId="55793B32">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45.1</w:t>
            </w:r>
          </w:p>
        </w:tc>
        <w:tc>
          <w:tcPr>
            <w:tcW w:w="542" w:type="dxa"/>
            <w:shd w:val="clear" w:color="auto" w:fill="auto"/>
            <w:noWrap w:val="0"/>
            <w:vAlign w:val="center"/>
          </w:tcPr>
          <w:p w14:paraId="3B1644AA">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42" w:type="dxa"/>
            <w:shd w:val="clear" w:color="auto" w:fill="auto"/>
            <w:noWrap w:val="0"/>
            <w:vAlign w:val="center"/>
          </w:tcPr>
          <w:p w14:paraId="0E4E3EC3">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42" w:type="dxa"/>
            <w:shd w:val="clear" w:color="auto" w:fill="auto"/>
            <w:noWrap w:val="0"/>
            <w:vAlign w:val="center"/>
          </w:tcPr>
          <w:p w14:paraId="6BD7E8BF">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55" w:type="dxa"/>
            <w:shd w:val="clear" w:color="auto" w:fill="auto"/>
            <w:noWrap w:val="0"/>
            <w:vAlign w:val="center"/>
          </w:tcPr>
          <w:p w14:paraId="12066302">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42" w:type="dxa"/>
            <w:vMerge w:val="continue"/>
            <w:shd w:val="clear" w:color="auto" w:fill="auto"/>
            <w:noWrap w:val="0"/>
            <w:vAlign w:val="center"/>
          </w:tcPr>
          <w:p w14:paraId="42E6CC9E">
            <w:pPr>
              <w:spacing w:line="280" w:lineRule="exact"/>
              <w:jc w:val="center"/>
              <w:rPr>
                <w:rFonts w:hint="default" w:ascii="Times New Roman" w:hAnsi="Times New Roman" w:eastAsia="宋体"/>
                <w:color w:val="000000" w:themeColor="text1"/>
                <w:szCs w:val="21"/>
                <w:highlight w:val="none"/>
                <w:lang w:val="en-US" w:eastAsia="zh-CN"/>
                <w14:textFill>
                  <w14:solidFill>
                    <w14:schemeClr w14:val="tx1"/>
                  </w14:solidFill>
                </w14:textFill>
              </w:rPr>
            </w:pPr>
          </w:p>
        </w:tc>
        <w:tc>
          <w:tcPr>
            <w:tcW w:w="897" w:type="dxa"/>
            <w:shd w:val="clear" w:color="auto" w:fill="auto"/>
            <w:noWrap w:val="0"/>
            <w:vAlign w:val="center"/>
          </w:tcPr>
          <w:p w14:paraId="718A245C">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24.3</w:t>
            </w:r>
          </w:p>
        </w:tc>
        <w:tc>
          <w:tcPr>
            <w:tcW w:w="746" w:type="dxa"/>
            <w:shd w:val="clear" w:color="auto" w:fill="auto"/>
            <w:noWrap w:val="0"/>
            <w:vAlign w:val="center"/>
          </w:tcPr>
          <w:p w14:paraId="2A3600C5">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689" w:type="dxa"/>
            <w:shd w:val="clear" w:color="auto" w:fill="auto"/>
            <w:noWrap w:val="0"/>
            <w:vAlign w:val="center"/>
          </w:tcPr>
          <w:p w14:paraId="4DAA4CE9">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838" w:type="dxa"/>
            <w:shd w:val="clear" w:color="auto" w:fill="auto"/>
            <w:noWrap w:val="0"/>
            <w:vAlign w:val="center"/>
          </w:tcPr>
          <w:p w14:paraId="28955990">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750" w:type="dxa"/>
            <w:shd w:val="clear" w:color="auto" w:fill="auto"/>
            <w:noWrap w:val="0"/>
            <w:vAlign w:val="center"/>
          </w:tcPr>
          <w:p w14:paraId="209A2F74">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1096" w:type="dxa"/>
            <w:shd w:val="clear" w:color="auto" w:fill="auto"/>
            <w:noWrap w:val="0"/>
            <w:vAlign w:val="center"/>
          </w:tcPr>
          <w:p w14:paraId="3096A013">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r>
      <w:tr w14:paraId="4B488E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5A482434">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21</w:t>
            </w:r>
          </w:p>
        </w:tc>
        <w:tc>
          <w:tcPr>
            <w:tcW w:w="714" w:type="dxa"/>
            <w:vMerge w:val="continue"/>
            <w:shd w:val="clear" w:color="auto" w:fill="auto"/>
            <w:noWrap w:val="0"/>
            <w:vAlign w:val="center"/>
          </w:tcPr>
          <w:p w14:paraId="18F0FFEC">
            <w:pPr>
              <w:autoSpaceDN w:val="0"/>
              <w:adjustRightInd w:val="0"/>
              <w:snapToGrid w:val="0"/>
              <w:jc w:val="center"/>
              <w:textAlignment w:val="top"/>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714" w:type="dxa"/>
            <w:shd w:val="clear" w:color="auto" w:fill="auto"/>
            <w:noWrap w:val="0"/>
            <w:vAlign w:val="center"/>
          </w:tcPr>
          <w:p w14:paraId="45AEE0A0">
            <w:pPr>
              <w:autoSpaceDN w:val="0"/>
              <w:adjustRightInd w:val="0"/>
              <w:snapToGrid w:val="0"/>
              <w:jc w:val="center"/>
              <w:textAlignment w:val="top"/>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color w:val="000000" w:themeColor="text1"/>
                <w:szCs w:val="21"/>
                <w:highlight w:val="none"/>
                <w:lang w:val="en-US" w:eastAsia="zh-CN"/>
                <w14:textFill>
                  <w14:solidFill>
                    <w14:schemeClr w14:val="tx1"/>
                  </w14:solidFill>
                </w14:textFill>
              </w:rPr>
              <w:t>自动焊接线</w:t>
            </w:r>
          </w:p>
        </w:tc>
        <w:tc>
          <w:tcPr>
            <w:tcW w:w="537" w:type="dxa"/>
            <w:shd w:val="clear" w:color="auto" w:fill="auto"/>
            <w:noWrap w:val="0"/>
            <w:vAlign w:val="center"/>
          </w:tcPr>
          <w:p w14:paraId="39131491">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75</w:t>
            </w:r>
          </w:p>
        </w:tc>
        <w:tc>
          <w:tcPr>
            <w:tcW w:w="537" w:type="dxa"/>
            <w:shd w:val="clear" w:color="auto" w:fill="auto"/>
            <w:noWrap w:val="0"/>
            <w:vAlign w:val="center"/>
          </w:tcPr>
          <w:p w14:paraId="3A478370">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9.44</w:t>
            </w:r>
          </w:p>
        </w:tc>
        <w:tc>
          <w:tcPr>
            <w:tcW w:w="537" w:type="dxa"/>
            <w:shd w:val="clear" w:color="auto" w:fill="auto"/>
            <w:noWrap w:val="0"/>
            <w:vAlign w:val="center"/>
          </w:tcPr>
          <w:p w14:paraId="188326C1">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132.25</w:t>
            </w:r>
          </w:p>
        </w:tc>
        <w:tc>
          <w:tcPr>
            <w:tcW w:w="558" w:type="dxa"/>
            <w:shd w:val="clear" w:color="auto" w:fill="auto"/>
            <w:noWrap w:val="0"/>
            <w:vAlign w:val="center"/>
          </w:tcPr>
          <w:p w14:paraId="61C97606">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1.2</w:t>
            </w:r>
          </w:p>
        </w:tc>
        <w:tc>
          <w:tcPr>
            <w:tcW w:w="537" w:type="dxa"/>
            <w:shd w:val="clear" w:color="auto" w:fill="auto"/>
            <w:noWrap w:val="0"/>
            <w:vAlign w:val="center"/>
          </w:tcPr>
          <w:p w14:paraId="263055B6">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39.2</w:t>
            </w:r>
          </w:p>
        </w:tc>
        <w:tc>
          <w:tcPr>
            <w:tcW w:w="537" w:type="dxa"/>
            <w:shd w:val="clear" w:color="auto" w:fill="auto"/>
            <w:noWrap w:val="0"/>
            <w:vAlign w:val="center"/>
          </w:tcPr>
          <w:p w14:paraId="62434A6A">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125.1</w:t>
            </w:r>
          </w:p>
        </w:tc>
        <w:tc>
          <w:tcPr>
            <w:tcW w:w="542" w:type="dxa"/>
            <w:shd w:val="clear" w:color="auto" w:fill="auto"/>
            <w:noWrap w:val="0"/>
            <w:vAlign w:val="center"/>
          </w:tcPr>
          <w:p w14:paraId="4432E978">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110.3</w:t>
            </w:r>
          </w:p>
        </w:tc>
        <w:tc>
          <w:tcPr>
            <w:tcW w:w="558" w:type="dxa"/>
            <w:shd w:val="clear" w:color="auto" w:fill="auto"/>
            <w:noWrap w:val="0"/>
            <w:vAlign w:val="center"/>
          </w:tcPr>
          <w:p w14:paraId="73473042">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52.5</w:t>
            </w:r>
          </w:p>
        </w:tc>
        <w:tc>
          <w:tcPr>
            <w:tcW w:w="542" w:type="dxa"/>
            <w:shd w:val="clear" w:color="auto" w:fill="auto"/>
            <w:noWrap w:val="0"/>
            <w:vAlign w:val="center"/>
          </w:tcPr>
          <w:p w14:paraId="0542F5B4">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49.8 </w:t>
            </w:r>
          </w:p>
        </w:tc>
        <w:tc>
          <w:tcPr>
            <w:tcW w:w="542" w:type="dxa"/>
            <w:shd w:val="clear" w:color="auto" w:fill="auto"/>
            <w:noWrap w:val="0"/>
            <w:vAlign w:val="center"/>
          </w:tcPr>
          <w:p w14:paraId="214581A4">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49.8 </w:t>
            </w:r>
          </w:p>
        </w:tc>
        <w:tc>
          <w:tcPr>
            <w:tcW w:w="542" w:type="dxa"/>
            <w:shd w:val="clear" w:color="auto" w:fill="auto"/>
            <w:noWrap w:val="0"/>
            <w:vAlign w:val="center"/>
          </w:tcPr>
          <w:p w14:paraId="3C397C39">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49.8 </w:t>
            </w:r>
          </w:p>
        </w:tc>
        <w:tc>
          <w:tcPr>
            <w:tcW w:w="555" w:type="dxa"/>
            <w:shd w:val="clear" w:color="auto" w:fill="auto"/>
            <w:noWrap w:val="0"/>
            <w:vAlign w:val="center"/>
          </w:tcPr>
          <w:p w14:paraId="34A49F8E">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49.8 </w:t>
            </w:r>
          </w:p>
        </w:tc>
        <w:tc>
          <w:tcPr>
            <w:tcW w:w="542" w:type="dxa"/>
            <w:vMerge w:val="continue"/>
            <w:shd w:val="clear" w:color="auto" w:fill="auto"/>
            <w:noWrap w:val="0"/>
            <w:vAlign w:val="center"/>
          </w:tcPr>
          <w:p w14:paraId="43011037">
            <w:pPr>
              <w:spacing w:line="280" w:lineRule="exact"/>
              <w:jc w:val="center"/>
              <w:rPr>
                <w:rFonts w:hint="default" w:ascii="Times New Roman" w:hAnsi="Times New Roman" w:eastAsia="宋体"/>
                <w:color w:val="000000" w:themeColor="text1"/>
                <w:szCs w:val="21"/>
                <w:highlight w:val="none"/>
                <w:lang w:val="en-US" w:eastAsia="zh-CN"/>
                <w14:textFill>
                  <w14:solidFill>
                    <w14:schemeClr w14:val="tx1"/>
                  </w14:solidFill>
                </w14:textFill>
              </w:rPr>
            </w:pPr>
          </w:p>
        </w:tc>
        <w:tc>
          <w:tcPr>
            <w:tcW w:w="897" w:type="dxa"/>
            <w:shd w:val="clear" w:color="auto" w:fill="auto"/>
            <w:noWrap w:val="0"/>
            <w:vAlign w:val="center"/>
          </w:tcPr>
          <w:p w14:paraId="12B6A02D">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24.3</w:t>
            </w:r>
          </w:p>
        </w:tc>
        <w:tc>
          <w:tcPr>
            <w:tcW w:w="746" w:type="dxa"/>
            <w:shd w:val="clear" w:color="auto" w:fill="auto"/>
            <w:noWrap w:val="0"/>
            <w:vAlign w:val="center"/>
          </w:tcPr>
          <w:p w14:paraId="4F64FC21">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25.5</w:t>
            </w:r>
          </w:p>
        </w:tc>
        <w:tc>
          <w:tcPr>
            <w:tcW w:w="689" w:type="dxa"/>
            <w:shd w:val="clear" w:color="auto" w:fill="auto"/>
            <w:noWrap w:val="0"/>
            <w:vAlign w:val="center"/>
          </w:tcPr>
          <w:p w14:paraId="66BA32A8">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25.5</w:t>
            </w:r>
          </w:p>
        </w:tc>
        <w:tc>
          <w:tcPr>
            <w:tcW w:w="838" w:type="dxa"/>
            <w:shd w:val="clear" w:color="auto" w:fill="auto"/>
            <w:noWrap w:val="0"/>
            <w:vAlign w:val="center"/>
          </w:tcPr>
          <w:p w14:paraId="483AF855">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25.5</w:t>
            </w:r>
          </w:p>
        </w:tc>
        <w:tc>
          <w:tcPr>
            <w:tcW w:w="750" w:type="dxa"/>
            <w:shd w:val="clear" w:color="auto" w:fill="auto"/>
            <w:noWrap w:val="0"/>
            <w:vAlign w:val="center"/>
          </w:tcPr>
          <w:p w14:paraId="207602B8">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25.5</w:t>
            </w:r>
          </w:p>
        </w:tc>
        <w:tc>
          <w:tcPr>
            <w:tcW w:w="1096" w:type="dxa"/>
            <w:shd w:val="clear" w:color="auto" w:fill="auto"/>
            <w:noWrap w:val="0"/>
            <w:vAlign w:val="center"/>
          </w:tcPr>
          <w:p w14:paraId="0E8CAA2B">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r>
      <w:tr w14:paraId="475ABE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4B5B5736">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22</w:t>
            </w:r>
          </w:p>
        </w:tc>
        <w:tc>
          <w:tcPr>
            <w:tcW w:w="714" w:type="dxa"/>
            <w:vMerge w:val="continue"/>
            <w:shd w:val="clear" w:color="auto" w:fill="auto"/>
            <w:noWrap w:val="0"/>
            <w:vAlign w:val="center"/>
          </w:tcPr>
          <w:p w14:paraId="54165F66">
            <w:pPr>
              <w:autoSpaceDN w:val="0"/>
              <w:adjustRightInd w:val="0"/>
              <w:snapToGrid w:val="0"/>
              <w:jc w:val="center"/>
              <w:textAlignment w:val="top"/>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714" w:type="dxa"/>
            <w:shd w:val="clear" w:color="auto" w:fill="auto"/>
            <w:noWrap w:val="0"/>
            <w:vAlign w:val="center"/>
          </w:tcPr>
          <w:p w14:paraId="42672C08">
            <w:pPr>
              <w:autoSpaceDN w:val="0"/>
              <w:adjustRightInd w:val="0"/>
              <w:snapToGrid w:val="0"/>
              <w:jc w:val="center"/>
              <w:textAlignment w:val="top"/>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color w:val="000000" w:themeColor="text1"/>
                <w:szCs w:val="21"/>
                <w:highlight w:val="none"/>
                <w:lang w:val="en-US" w:eastAsia="zh-CN"/>
                <w14:textFill>
                  <w14:solidFill>
                    <w14:schemeClr w14:val="tx1"/>
                  </w14:solidFill>
                </w14:textFill>
              </w:rPr>
              <w:t>自动冲壳机</w:t>
            </w:r>
          </w:p>
        </w:tc>
        <w:tc>
          <w:tcPr>
            <w:tcW w:w="537" w:type="dxa"/>
            <w:shd w:val="clear" w:color="auto" w:fill="auto"/>
            <w:noWrap w:val="0"/>
            <w:vAlign w:val="center"/>
          </w:tcPr>
          <w:p w14:paraId="6614658D">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80</w:t>
            </w:r>
          </w:p>
        </w:tc>
        <w:tc>
          <w:tcPr>
            <w:tcW w:w="537" w:type="dxa"/>
            <w:shd w:val="clear" w:color="auto" w:fill="auto"/>
            <w:noWrap w:val="0"/>
            <w:vAlign w:val="center"/>
          </w:tcPr>
          <w:p w14:paraId="29AAFAA2">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4.15</w:t>
            </w:r>
          </w:p>
        </w:tc>
        <w:tc>
          <w:tcPr>
            <w:tcW w:w="537" w:type="dxa"/>
            <w:shd w:val="clear" w:color="auto" w:fill="auto"/>
            <w:noWrap w:val="0"/>
            <w:vAlign w:val="center"/>
          </w:tcPr>
          <w:p w14:paraId="78BC3DC2">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129.53</w:t>
            </w:r>
          </w:p>
        </w:tc>
        <w:tc>
          <w:tcPr>
            <w:tcW w:w="558" w:type="dxa"/>
            <w:shd w:val="clear" w:color="auto" w:fill="auto"/>
            <w:noWrap w:val="0"/>
            <w:vAlign w:val="center"/>
          </w:tcPr>
          <w:p w14:paraId="3F8E8105">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1.2</w:t>
            </w:r>
          </w:p>
        </w:tc>
        <w:tc>
          <w:tcPr>
            <w:tcW w:w="537" w:type="dxa"/>
            <w:shd w:val="clear" w:color="auto" w:fill="auto"/>
            <w:noWrap w:val="0"/>
            <w:vAlign w:val="center"/>
          </w:tcPr>
          <w:p w14:paraId="7A8056CA">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52.9</w:t>
            </w:r>
          </w:p>
        </w:tc>
        <w:tc>
          <w:tcPr>
            <w:tcW w:w="537" w:type="dxa"/>
            <w:shd w:val="clear" w:color="auto" w:fill="auto"/>
            <w:noWrap w:val="0"/>
            <w:vAlign w:val="center"/>
          </w:tcPr>
          <w:p w14:paraId="7C83F371">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130.1</w:t>
            </w:r>
          </w:p>
        </w:tc>
        <w:tc>
          <w:tcPr>
            <w:tcW w:w="542" w:type="dxa"/>
            <w:shd w:val="clear" w:color="auto" w:fill="auto"/>
            <w:noWrap w:val="0"/>
            <w:vAlign w:val="center"/>
          </w:tcPr>
          <w:p w14:paraId="15907F74">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95.3</w:t>
            </w:r>
          </w:p>
        </w:tc>
        <w:tc>
          <w:tcPr>
            <w:tcW w:w="558" w:type="dxa"/>
            <w:shd w:val="clear" w:color="auto" w:fill="auto"/>
            <w:noWrap w:val="0"/>
            <w:vAlign w:val="center"/>
          </w:tcPr>
          <w:p w14:paraId="203DFC31">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49.3</w:t>
            </w:r>
          </w:p>
        </w:tc>
        <w:tc>
          <w:tcPr>
            <w:tcW w:w="542" w:type="dxa"/>
            <w:shd w:val="clear" w:color="auto" w:fill="auto"/>
            <w:noWrap w:val="0"/>
            <w:vAlign w:val="center"/>
          </w:tcPr>
          <w:p w14:paraId="5B075CE2">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42" w:type="dxa"/>
            <w:shd w:val="clear" w:color="auto" w:fill="auto"/>
            <w:noWrap w:val="0"/>
            <w:vAlign w:val="center"/>
          </w:tcPr>
          <w:p w14:paraId="3935311F">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42" w:type="dxa"/>
            <w:shd w:val="clear" w:color="auto" w:fill="auto"/>
            <w:noWrap w:val="0"/>
            <w:vAlign w:val="center"/>
          </w:tcPr>
          <w:p w14:paraId="371D6652">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55" w:type="dxa"/>
            <w:shd w:val="clear" w:color="auto" w:fill="auto"/>
            <w:noWrap w:val="0"/>
            <w:vAlign w:val="center"/>
          </w:tcPr>
          <w:p w14:paraId="4010398F">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42" w:type="dxa"/>
            <w:vMerge w:val="continue"/>
            <w:shd w:val="clear" w:color="auto" w:fill="auto"/>
            <w:noWrap w:val="0"/>
            <w:vAlign w:val="center"/>
          </w:tcPr>
          <w:p w14:paraId="4243B3EC">
            <w:pPr>
              <w:spacing w:line="280" w:lineRule="exact"/>
              <w:jc w:val="center"/>
              <w:rPr>
                <w:rFonts w:hint="default" w:ascii="Times New Roman" w:hAnsi="Times New Roman" w:eastAsia="宋体"/>
                <w:color w:val="000000" w:themeColor="text1"/>
                <w:szCs w:val="21"/>
                <w:highlight w:val="none"/>
                <w:lang w:val="en-US" w:eastAsia="zh-CN"/>
                <w14:textFill>
                  <w14:solidFill>
                    <w14:schemeClr w14:val="tx1"/>
                  </w14:solidFill>
                </w14:textFill>
              </w:rPr>
            </w:pPr>
          </w:p>
        </w:tc>
        <w:tc>
          <w:tcPr>
            <w:tcW w:w="897" w:type="dxa"/>
            <w:shd w:val="clear" w:color="auto" w:fill="auto"/>
            <w:noWrap w:val="0"/>
            <w:vAlign w:val="center"/>
          </w:tcPr>
          <w:p w14:paraId="7C49870E">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24.3</w:t>
            </w:r>
          </w:p>
        </w:tc>
        <w:tc>
          <w:tcPr>
            <w:tcW w:w="746" w:type="dxa"/>
            <w:shd w:val="clear" w:color="auto" w:fill="auto"/>
            <w:noWrap w:val="0"/>
            <w:vAlign w:val="center"/>
          </w:tcPr>
          <w:p w14:paraId="6967CFEB">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689" w:type="dxa"/>
            <w:shd w:val="clear" w:color="auto" w:fill="auto"/>
            <w:noWrap w:val="0"/>
            <w:vAlign w:val="center"/>
          </w:tcPr>
          <w:p w14:paraId="4EB18409">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838" w:type="dxa"/>
            <w:shd w:val="clear" w:color="auto" w:fill="auto"/>
            <w:noWrap w:val="0"/>
            <w:vAlign w:val="center"/>
          </w:tcPr>
          <w:p w14:paraId="20E467CE">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750" w:type="dxa"/>
            <w:shd w:val="clear" w:color="auto" w:fill="auto"/>
            <w:noWrap w:val="0"/>
            <w:vAlign w:val="center"/>
          </w:tcPr>
          <w:p w14:paraId="5CECD254">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1096" w:type="dxa"/>
            <w:shd w:val="clear" w:color="auto" w:fill="auto"/>
            <w:noWrap w:val="0"/>
            <w:vAlign w:val="center"/>
          </w:tcPr>
          <w:p w14:paraId="5F0548E7">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r>
      <w:tr w14:paraId="7971DB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3320CA66">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23</w:t>
            </w:r>
          </w:p>
        </w:tc>
        <w:tc>
          <w:tcPr>
            <w:tcW w:w="714" w:type="dxa"/>
            <w:vMerge w:val="continue"/>
            <w:shd w:val="clear" w:color="auto" w:fill="auto"/>
            <w:noWrap w:val="0"/>
            <w:vAlign w:val="center"/>
          </w:tcPr>
          <w:p w14:paraId="66ACB89F">
            <w:pPr>
              <w:autoSpaceDN w:val="0"/>
              <w:adjustRightInd w:val="0"/>
              <w:snapToGrid w:val="0"/>
              <w:jc w:val="center"/>
              <w:textAlignment w:val="top"/>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714" w:type="dxa"/>
            <w:shd w:val="clear" w:color="auto" w:fill="auto"/>
            <w:noWrap w:val="0"/>
            <w:vAlign w:val="center"/>
          </w:tcPr>
          <w:p w14:paraId="0ECBD259">
            <w:pPr>
              <w:autoSpaceDN w:val="0"/>
              <w:adjustRightInd w:val="0"/>
              <w:snapToGrid w:val="0"/>
              <w:jc w:val="center"/>
              <w:textAlignment w:val="top"/>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color w:val="000000" w:themeColor="text1"/>
                <w:szCs w:val="21"/>
                <w:highlight w:val="none"/>
                <w:lang w:val="en-US" w:eastAsia="zh-CN"/>
                <w14:textFill>
                  <w14:solidFill>
                    <w14:schemeClr w14:val="tx1"/>
                  </w14:solidFill>
                </w14:textFill>
              </w:rPr>
              <w:t>自动包装机</w:t>
            </w:r>
          </w:p>
        </w:tc>
        <w:tc>
          <w:tcPr>
            <w:tcW w:w="537" w:type="dxa"/>
            <w:shd w:val="clear" w:color="auto" w:fill="auto"/>
            <w:noWrap w:val="0"/>
            <w:vAlign w:val="center"/>
          </w:tcPr>
          <w:p w14:paraId="4BF46C62">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75</w:t>
            </w:r>
          </w:p>
        </w:tc>
        <w:tc>
          <w:tcPr>
            <w:tcW w:w="537" w:type="dxa"/>
            <w:shd w:val="clear" w:color="auto" w:fill="auto"/>
            <w:noWrap w:val="0"/>
            <w:vAlign w:val="center"/>
          </w:tcPr>
          <w:p w14:paraId="636F5A00">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-1.97</w:t>
            </w:r>
          </w:p>
        </w:tc>
        <w:tc>
          <w:tcPr>
            <w:tcW w:w="537" w:type="dxa"/>
            <w:shd w:val="clear" w:color="auto" w:fill="auto"/>
            <w:noWrap w:val="0"/>
            <w:vAlign w:val="center"/>
          </w:tcPr>
          <w:p w14:paraId="4902BA39">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125.19</w:t>
            </w:r>
          </w:p>
        </w:tc>
        <w:tc>
          <w:tcPr>
            <w:tcW w:w="558" w:type="dxa"/>
            <w:shd w:val="clear" w:color="auto" w:fill="auto"/>
            <w:noWrap w:val="0"/>
            <w:vAlign w:val="center"/>
          </w:tcPr>
          <w:p w14:paraId="0AE83EB5">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1.2</w:t>
            </w:r>
          </w:p>
        </w:tc>
        <w:tc>
          <w:tcPr>
            <w:tcW w:w="537" w:type="dxa"/>
            <w:shd w:val="clear" w:color="auto" w:fill="auto"/>
            <w:noWrap w:val="0"/>
            <w:vAlign w:val="center"/>
          </w:tcPr>
          <w:p w14:paraId="7951E2D3">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52.1</w:t>
            </w:r>
          </w:p>
        </w:tc>
        <w:tc>
          <w:tcPr>
            <w:tcW w:w="537" w:type="dxa"/>
            <w:shd w:val="clear" w:color="auto" w:fill="auto"/>
            <w:noWrap w:val="0"/>
            <w:vAlign w:val="center"/>
          </w:tcPr>
          <w:p w14:paraId="75D2D9A2">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123.2</w:t>
            </w:r>
          </w:p>
        </w:tc>
        <w:tc>
          <w:tcPr>
            <w:tcW w:w="542" w:type="dxa"/>
            <w:shd w:val="clear" w:color="auto" w:fill="auto"/>
            <w:noWrap w:val="0"/>
            <w:vAlign w:val="center"/>
          </w:tcPr>
          <w:p w14:paraId="23B79C43">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94.7</w:t>
            </w:r>
          </w:p>
        </w:tc>
        <w:tc>
          <w:tcPr>
            <w:tcW w:w="558" w:type="dxa"/>
            <w:shd w:val="clear" w:color="auto" w:fill="auto"/>
            <w:noWrap w:val="0"/>
            <w:vAlign w:val="center"/>
          </w:tcPr>
          <w:p w14:paraId="5F43DC35">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54.2</w:t>
            </w:r>
          </w:p>
        </w:tc>
        <w:tc>
          <w:tcPr>
            <w:tcW w:w="542" w:type="dxa"/>
            <w:shd w:val="clear" w:color="auto" w:fill="auto"/>
            <w:noWrap w:val="0"/>
            <w:vAlign w:val="center"/>
          </w:tcPr>
          <w:p w14:paraId="171A3EE7">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49.8 </w:t>
            </w:r>
          </w:p>
        </w:tc>
        <w:tc>
          <w:tcPr>
            <w:tcW w:w="542" w:type="dxa"/>
            <w:shd w:val="clear" w:color="auto" w:fill="auto"/>
            <w:noWrap w:val="0"/>
            <w:vAlign w:val="center"/>
          </w:tcPr>
          <w:p w14:paraId="423E505C">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49.8 </w:t>
            </w:r>
          </w:p>
        </w:tc>
        <w:tc>
          <w:tcPr>
            <w:tcW w:w="542" w:type="dxa"/>
            <w:shd w:val="clear" w:color="auto" w:fill="auto"/>
            <w:noWrap w:val="0"/>
            <w:vAlign w:val="center"/>
          </w:tcPr>
          <w:p w14:paraId="12FAAFAE">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49.8 </w:t>
            </w:r>
          </w:p>
        </w:tc>
        <w:tc>
          <w:tcPr>
            <w:tcW w:w="555" w:type="dxa"/>
            <w:shd w:val="clear" w:color="auto" w:fill="auto"/>
            <w:noWrap w:val="0"/>
            <w:vAlign w:val="center"/>
          </w:tcPr>
          <w:p w14:paraId="0B4C1648">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49.8 </w:t>
            </w:r>
          </w:p>
        </w:tc>
        <w:tc>
          <w:tcPr>
            <w:tcW w:w="542" w:type="dxa"/>
            <w:vMerge w:val="continue"/>
            <w:shd w:val="clear" w:color="auto" w:fill="auto"/>
            <w:noWrap w:val="0"/>
            <w:vAlign w:val="center"/>
          </w:tcPr>
          <w:p w14:paraId="2BB1F383">
            <w:pPr>
              <w:spacing w:line="280" w:lineRule="exact"/>
              <w:jc w:val="center"/>
              <w:rPr>
                <w:rFonts w:hint="default" w:ascii="Times New Roman" w:hAnsi="Times New Roman" w:eastAsia="宋体"/>
                <w:color w:val="000000" w:themeColor="text1"/>
                <w:szCs w:val="21"/>
                <w:highlight w:val="none"/>
                <w:lang w:val="en-US" w:eastAsia="zh-CN"/>
                <w14:textFill>
                  <w14:solidFill>
                    <w14:schemeClr w14:val="tx1"/>
                  </w14:solidFill>
                </w14:textFill>
              </w:rPr>
            </w:pPr>
          </w:p>
        </w:tc>
        <w:tc>
          <w:tcPr>
            <w:tcW w:w="897" w:type="dxa"/>
            <w:shd w:val="clear" w:color="auto" w:fill="auto"/>
            <w:noWrap w:val="0"/>
            <w:vAlign w:val="center"/>
          </w:tcPr>
          <w:p w14:paraId="5F258DA8">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24.3</w:t>
            </w:r>
          </w:p>
        </w:tc>
        <w:tc>
          <w:tcPr>
            <w:tcW w:w="746" w:type="dxa"/>
            <w:shd w:val="clear" w:color="auto" w:fill="auto"/>
            <w:noWrap w:val="0"/>
            <w:vAlign w:val="center"/>
          </w:tcPr>
          <w:p w14:paraId="53F7E988">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25.5</w:t>
            </w:r>
          </w:p>
        </w:tc>
        <w:tc>
          <w:tcPr>
            <w:tcW w:w="689" w:type="dxa"/>
            <w:shd w:val="clear" w:color="auto" w:fill="auto"/>
            <w:noWrap w:val="0"/>
            <w:vAlign w:val="center"/>
          </w:tcPr>
          <w:p w14:paraId="6A762306">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25.5</w:t>
            </w:r>
          </w:p>
        </w:tc>
        <w:tc>
          <w:tcPr>
            <w:tcW w:w="838" w:type="dxa"/>
            <w:shd w:val="clear" w:color="auto" w:fill="auto"/>
            <w:noWrap w:val="0"/>
            <w:vAlign w:val="center"/>
          </w:tcPr>
          <w:p w14:paraId="6D56D57E">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25.5</w:t>
            </w:r>
          </w:p>
        </w:tc>
        <w:tc>
          <w:tcPr>
            <w:tcW w:w="750" w:type="dxa"/>
            <w:shd w:val="clear" w:color="auto" w:fill="auto"/>
            <w:noWrap w:val="0"/>
            <w:vAlign w:val="center"/>
          </w:tcPr>
          <w:p w14:paraId="20171FB3">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25.5</w:t>
            </w:r>
          </w:p>
        </w:tc>
        <w:tc>
          <w:tcPr>
            <w:tcW w:w="1096" w:type="dxa"/>
            <w:shd w:val="clear" w:color="auto" w:fill="auto"/>
            <w:noWrap w:val="0"/>
            <w:vAlign w:val="center"/>
          </w:tcPr>
          <w:p w14:paraId="5C9D84B7">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r>
      <w:tr w14:paraId="19B32A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21BDB38C">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24</w:t>
            </w:r>
          </w:p>
        </w:tc>
        <w:tc>
          <w:tcPr>
            <w:tcW w:w="714" w:type="dxa"/>
            <w:vMerge w:val="continue"/>
            <w:shd w:val="clear" w:color="auto" w:fill="auto"/>
            <w:noWrap w:val="0"/>
            <w:vAlign w:val="center"/>
          </w:tcPr>
          <w:p w14:paraId="4E849765">
            <w:pPr>
              <w:autoSpaceDN w:val="0"/>
              <w:adjustRightInd w:val="0"/>
              <w:snapToGrid w:val="0"/>
              <w:jc w:val="center"/>
              <w:textAlignment w:val="top"/>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714" w:type="dxa"/>
            <w:shd w:val="clear" w:color="auto" w:fill="auto"/>
            <w:noWrap w:val="0"/>
            <w:vAlign w:val="center"/>
          </w:tcPr>
          <w:p w14:paraId="7CD4D07F">
            <w:pPr>
              <w:autoSpaceDN w:val="0"/>
              <w:adjustRightInd w:val="0"/>
              <w:snapToGrid w:val="0"/>
              <w:jc w:val="center"/>
              <w:textAlignment w:val="top"/>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color w:val="000000" w:themeColor="text1"/>
                <w:szCs w:val="21"/>
                <w:highlight w:val="none"/>
                <w:lang w:val="en-US" w:eastAsia="zh-CN"/>
                <w14:textFill>
                  <w14:solidFill>
                    <w14:schemeClr w14:val="tx1"/>
                  </w14:solidFill>
                </w14:textFill>
              </w:rPr>
              <w:t>自动贴膜机</w:t>
            </w:r>
          </w:p>
        </w:tc>
        <w:tc>
          <w:tcPr>
            <w:tcW w:w="537" w:type="dxa"/>
            <w:shd w:val="clear" w:color="auto" w:fill="auto"/>
            <w:noWrap w:val="0"/>
            <w:vAlign w:val="center"/>
          </w:tcPr>
          <w:p w14:paraId="1D6D2277">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72</w:t>
            </w:r>
          </w:p>
        </w:tc>
        <w:tc>
          <w:tcPr>
            <w:tcW w:w="537" w:type="dxa"/>
            <w:shd w:val="clear" w:color="auto" w:fill="auto"/>
            <w:noWrap w:val="0"/>
            <w:vAlign w:val="center"/>
          </w:tcPr>
          <w:p w14:paraId="5F95052E">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-0.61</w:t>
            </w:r>
          </w:p>
        </w:tc>
        <w:tc>
          <w:tcPr>
            <w:tcW w:w="537" w:type="dxa"/>
            <w:shd w:val="clear" w:color="auto" w:fill="auto"/>
            <w:noWrap w:val="0"/>
            <w:vAlign w:val="center"/>
          </w:tcPr>
          <w:p w14:paraId="03F68A25">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120.57</w:t>
            </w:r>
          </w:p>
        </w:tc>
        <w:tc>
          <w:tcPr>
            <w:tcW w:w="558" w:type="dxa"/>
            <w:shd w:val="clear" w:color="auto" w:fill="auto"/>
            <w:noWrap w:val="0"/>
            <w:vAlign w:val="center"/>
          </w:tcPr>
          <w:p w14:paraId="0E3D0E55">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1.2</w:t>
            </w:r>
          </w:p>
        </w:tc>
        <w:tc>
          <w:tcPr>
            <w:tcW w:w="537" w:type="dxa"/>
            <w:shd w:val="clear" w:color="auto" w:fill="auto"/>
            <w:noWrap w:val="0"/>
            <w:vAlign w:val="center"/>
          </w:tcPr>
          <w:p w14:paraId="1747EF02">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52.2</w:t>
            </w:r>
          </w:p>
        </w:tc>
        <w:tc>
          <w:tcPr>
            <w:tcW w:w="537" w:type="dxa"/>
            <w:shd w:val="clear" w:color="auto" w:fill="auto"/>
            <w:noWrap w:val="0"/>
            <w:vAlign w:val="center"/>
          </w:tcPr>
          <w:p w14:paraId="0944AD05">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118.9</w:t>
            </w:r>
          </w:p>
        </w:tc>
        <w:tc>
          <w:tcPr>
            <w:tcW w:w="542" w:type="dxa"/>
            <w:shd w:val="clear" w:color="auto" w:fill="auto"/>
            <w:noWrap w:val="0"/>
            <w:vAlign w:val="center"/>
          </w:tcPr>
          <w:p w14:paraId="00F97F35">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95.9</w:t>
            </w:r>
          </w:p>
        </w:tc>
        <w:tc>
          <w:tcPr>
            <w:tcW w:w="558" w:type="dxa"/>
            <w:shd w:val="clear" w:color="auto" w:fill="auto"/>
            <w:noWrap w:val="0"/>
            <w:vAlign w:val="center"/>
          </w:tcPr>
          <w:p w14:paraId="494C9CBE">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59.8</w:t>
            </w:r>
          </w:p>
        </w:tc>
        <w:tc>
          <w:tcPr>
            <w:tcW w:w="542" w:type="dxa"/>
            <w:shd w:val="clear" w:color="auto" w:fill="auto"/>
            <w:noWrap w:val="0"/>
            <w:vAlign w:val="center"/>
          </w:tcPr>
          <w:p w14:paraId="41EDF2A3">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49.8 </w:t>
            </w:r>
          </w:p>
        </w:tc>
        <w:tc>
          <w:tcPr>
            <w:tcW w:w="542" w:type="dxa"/>
            <w:shd w:val="clear" w:color="auto" w:fill="auto"/>
            <w:noWrap w:val="0"/>
            <w:vAlign w:val="center"/>
          </w:tcPr>
          <w:p w14:paraId="32BC7211">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49.8 </w:t>
            </w:r>
          </w:p>
        </w:tc>
        <w:tc>
          <w:tcPr>
            <w:tcW w:w="542" w:type="dxa"/>
            <w:shd w:val="clear" w:color="auto" w:fill="auto"/>
            <w:noWrap w:val="0"/>
            <w:vAlign w:val="center"/>
          </w:tcPr>
          <w:p w14:paraId="3B531E7C">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49.8 </w:t>
            </w:r>
          </w:p>
        </w:tc>
        <w:tc>
          <w:tcPr>
            <w:tcW w:w="555" w:type="dxa"/>
            <w:shd w:val="clear" w:color="auto" w:fill="auto"/>
            <w:noWrap w:val="0"/>
            <w:vAlign w:val="center"/>
          </w:tcPr>
          <w:p w14:paraId="0ED272E9">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49.8 </w:t>
            </w:r>
          </w:p>
        </w:tc>
        <w:tc>
          <w:tcPr>
            <w:tcW w:w="542" w:type="dxa"/>
            <w:vMerge w:val="continue"/>
            <w:shd w:val="clear" w:color="auto" w:fill="auto"/>
            <w:noWrap w:val="0"/>
            <w:vAlign w:val="center"/>
          </w:tcPr>
          <w:p w14:paraId="68239BF5">
            <w:pPr>
              <w:spacing w:line="280" w:lineRule="exact"/>
              <w:jc w:val="center"/>
              <w:rPr>
                <w:rFonts w:hint="default" w:ascii="Times New Roman" w:hAnsi="Times New Roman" w:eastAsia="宋体"/>
                <w:color w:val="000000" w:themeColor="text1"/>
                <w:szCs w:val="21"/>
                <w:highlight w:val="none"/>
                <w:lang w:val="en-US" w:eastAsia="zh-CN"/>
                <w14:textFill>
                  <w14:solidFill>
                    <w14:schemeClr w14:val="tx1"/>
                  </w14:solidFill>
                </w14:textFill>
              </w:rPr>
            </w:pPr>
          </w:p>
        </w:tc>
        <w:tc>
          <w:tcPr>
            <w:tcW w:w="897" w:type="dxa"/>
            <w:shd w:val="clear" w:color="auto" w:fill="auto"/>
            <w:noWrap w:val="0"/>
            <w:vAlign w:val="center"/>
          </w:tcPr>
          <w:p w14:paraId="5602350F">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24.3</w:t>
            </w:r>
          </w:p>
        </w:tc>
        <w:tc>
          <w:tcPr>
            <w:tcW w:w="746" w:type="dxa"/>
            <w:shd w:val="clear" w:color="auto" w:fill="auto"/>
            <w:noWrap w:val="0"/>
            <w:vAlign w:val="center"/>
          </w:tcPr>
          <w:p w14:paraId="775B8F4B">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25.5</w:t>
            </w:r>
          </w:p>
        </w:tc>
        <w:tc>
          <w:tcPr>
            <w:tcW w:w="689" w:type="dxa"/>
            <w:shd w:val="clear" w:color="auto" w:fill="auto"/>
            <w:noWrap w:val="0"/>
            <w:vAlign w:val="center"/>
          </w:tcPr>
          <w:p w14:paraId="2C24D775">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25.5</w:t>
            </w:r>
          </w:p>
        </w:tc>
        <w:tc>
          <w:tcPr>
            <w:tcW w:w="838" w:type="dxa"/>
            <w:shd w:val="clear" w:color="auto" w:fill="auto"/>
            <w:noWrap w:val="0"/>
            <w:vAlign w:val="center"/>
          </w:tcPr>
          <w:p w14:paraId="7F096375">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25.5</w:t>
            </w:r>
          </w:p>
        </w:tc>
        <w:tc>
          <w:tcPr>
            <w:tcW w:w="750" w:type="dxa"/>
            <w:shd w:val="clear" w:color="auto" w:fill="auto"/>
            <w:noWrap w:val="0"/>
            <w:vAlign w:val="center"/>
          </w:tcPr>
          <w:p w14:paraId="0EC18AB3">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25.5</w:t>
            </w:r>
          </w:p>
        </w:tc>
        <w:tc>
          <w:tcPr>
            <w:tcW w:w="1096" w:type="dxa"/>
            <w:shd w:val="clear" w:color="auto" w:fill="auto"/>
            <w:noWrap w:val="0"/>
            <w:vAlign w:val="center"/>
          </w:tcPr>
          <w:p w14:paraId="5830B7F6">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r>
      <w:tr w14:paraId="5B8B47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1" w:hRule="atLeast"/>
          <w:jc w:val="center"/>
        </w:trPr>
        <w:tc>
          <w:tcPr>
            <w:tcW w:w="427" w:type="dxa"/>
            <w:shd w:val="clear" w:color="auto" w:fill="auto"/>
            <w:noWrap w:val="0"/>
            <w:vAlign w:val="center"/>
          </w:tcPr>
          <w:p w14:paraId="026B85AB">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25</w:t>
            </w:r>
          </w:p>
        </w:tc>
        <w:tc>
          <w:tcPr>
            <w:tcW w:w="714" w:type="dxa"/>
            <w:vMerge w:val="continue"/>
            <w:shd w:val="clear" w:color="auto" w:fill="auto"/>
            <w:noWrap w:val="0"/>
            <w:vAlign w:val="center"/>
          </w:tcPr>
          <w:p w14:paraId="2335BD2D">
            <w:pPr>
              <w:autoSpaceDN w:val="0"/>
              <w:adjustRightInd w:val="0"/>
              <w:snapToGrid w:val="0"/>
              <w:jc w:val="center"/>
              <w:textAlignment w:val="top"/>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714" w:type="dxa"/>
            <w:shd w:val="clear" w:color="auto" w:fill="auto"/>
            <w:noWrap w:val="0"/>
            <w:vAlign w:val="center"/>
          </w:tcPr>
          <w:p w14:paraId="4B8C2461">
            <w:pPr>
              <w:autoSpaceDN w:val="0"/>
              <w:adjustRightInd w:val="0"/>
              <w:snapToGrid w:val="0"/>
              <w:jc w:val="center"/>
              <w:textAlignment w:val="top"/>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color w:val="000000" w:themeColor="text1"/>
                <w:szCs w:val="21"/>
                <w:highlight w:val="none"/>
                <w14:textFill>
                  <w14:solidFill>
                    <w14:schemeClr w14:val="tx1"/>
                  </w14:solidFill>
                </w14:textFill>
              </w:rPr>
              <w:t>自动注液机</w:t>
            </w:r>
          </w:p>
        </w:tc>
        <w:tc>
          <w:tcPr>
            <w:tcW w:w="537" w:type="dxa"/>
            <w:shd w:val="clear" w:color="auto" w:fill="auto"/>
            <w:noWrap w:val="0"/>
            <w:vAlign w:val="center"/>
          </w:tcPr>
          <w:p w14:paraId="334A9CD3">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75</w:t>
            </w:r>
          </w:p>
        </w:tc>
        <w:tc>
          <w:tcPr>
            <w:tcW w:w="537" w:type="dxa"/>
            <w:shd w:val="clear" w:color="auto" w:fill="auto"/>
            <w:noWrap w:val="0"/>
            <w:vAlign w:val="center"/>
          </w:tcPr>
          <w:p w14:paraId="6186F0D0">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-26.18</w:t>
            </w:r>
          </w:p>
        </w:tc>
        <w:tc>
          <w:tcPr>
            <w:tcW w:w="537" w:type="dxa"/>
            <w:shd w:val="clear" w:color="auto" w:fill="auto"/>
            <w:noWrap w:val="0"/>
            <w:vAlign w:val="center"/>
          </w:tcPr>
          <w:p w14:paraId="534BC499">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137.04</w:t>
            </w:r>
          </w:p>
        </w:tc>
        <w:tc>
          <w:tcPr>
            <w:tcW w:w="558" w:type="dxa"/>
            <w:shd w:val="clear" w:color="auto" w:fill="auto"/>
            <w:noWrap w:val="0"/>
            <w:vAlign w:val="center"/>
          </w:tcPr>
          <w:p w14:paraId="24AB3FEC">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1.2</w:t>
            </w:r>
          </w:p>
        </w:tc>
        <w:tc>
          <w:tcPr>
            <w:tcW w:w="537" w:type="dxa"/>
            <w:shd w:val="clear" w:color="auto" w:fill="auto"/>
            <w:noWrap w:val="0"/>
            <w:vAlign w:val="center"/>
          </w:tcPr>
          <w:p w14:paraId="60BE3E4B">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72.8</w:t>
            </w:r>
          </w:p>
        </w:tc>
        <w:tc>
          <w:tcPr>
            <w:tcW w:w="537" w:type="dxa"/>
            <w:shd w:val="clear" w:color="auto" w:fill="auto"/>
            <w:noWrap w:val="0"/>
            <w:vAlign w:val="center"/>
          </w:tcPr>
          <w:p w14:paraId="4553F790">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83.2</w:t>
            </w:r>
          </w:p>
        </w:tc>
        <w:tc>
          <w:tcPr>
            <w:tcW w:w="542" w:type="dxa"/>
            <w:shd w:val="clear" w:color="auto" w:fill="auto"/>
            <w:noWrap w:val="0"/>
            <w:vAlign w:val="center"/>
          </w:tcPr>
          <w:p w14:paraId="1004FF84">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74.8</w:t>
            </w:r>
          </w:p>
        </w:tc>
        <w:tc>
          <w:tcPr>
            <w:tcW w:w="558" w:type="dxa"/>
            <w:shd w:val="clear" w:color="auto" w:fill="auto"/>
            <w:noWrap w:val="0"/>
            <w:vAlign w:val="center"/>
          </w:tcPr>
          <w:p w14:paraId="2E120678">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36.8</w:t>
            </w:r>
          </w:p>
        </w:tc>
        <w:tc>
          <w:tcPr>
            <w:tcW w:w="542" w:type="dxa"/>
            <w:shd w:val="clear" w:color="auto" w:fill="auto"/>
            <w:noWrap w:val="0"/>
            <w:vAlign w:val="center"/>
          </w:tcPr>
          <w:p w14:paraId="43A2DEB2">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49.8 </w:t>
            </w:r>
          </w:p>
        </w:tc>
        <w:tc>
          <w:tcPr>
            <w:tcW w:w="542" w:type="dxa"/>
            <w:shd w:val="clear" w:color="auto" w:fill="auto"/>
            <w:noWrap w:val="0"/>
            <w:vAlign w:val="center"/>
          </w:tcPr>
          <w:p w14:paraId="6C78DA02">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49.8 </w:t>
            </w:r>
          </w:p>
        </w:tc>
        <w:tc>
          <w:tcPr>
            <w:tcW w:w="542" w:type="dxa"/>
            <w:shd w:val="clear" w:color="auto" w:fill="auto"/>
            <w:noWrap w:val="0"/>
            <w:vAlign w:val="center"/>
          </w:tcPr>
          <w:p w14:paraId="787457E5">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49.8 </w:t>
            </w:r>
          </w:p>
        </w:tc>
        <w:tc>
          <w:tcPr>
            <w:tcW w:w="555" w:type="dxa"/>
            <w:shd w:val="clear" w:color="auto" w:fill="auto"/>
            <w:noWrap w:val="0"/>
            <w:vAlign w:val="center"/>
          </w:tcPr>
          <w:p w14:paraId="429C17A4">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49.8 </w:t>
            </w:r>
          </w:p>
        </w:tc>
        <w:tc>
          <w:tcPr>
            <w:tcW w:w="542" w:type="dxa"/>
            <w:vMerge w:val="continue"/>
            <w:shd w:val="clear" w:color="auto" w:fill="auto"/>
            <w:noWrap w:val="0"/>
            <w:vAlign w:val="center"/>
          </w:tcPr>
          <w:p w14:paraId="7665CB54">
            <w:pPr>
              <w:spacing w:line="280" w:lineRule="exact"/>
              <w:jc w:val="center"/>
              <w:rPr>
                <w:rFonts w:hint="default" w:ascii="Times New Roman" w:hAnsi="Times New Roman" w:eastAsia="宋体"/>
                <w:color w:val="000000" w:themeColor="text1"/>
                <w:szCs w:val="21"/>
                <w:highlight w:val="none"/>
                <w:lang w:val="en-US" w:eastAsia="zh-CN"/>
                <w14:textFill>
                  <w14:solidFill>
                    <w14:schemeClr w14:val="tx1"/>
                  </w14:solidFill>
                </w14:textFill>
              </w:rPr>
            </w:pPr>
          </w:p>
        </w:tc>
        <w:tc>
          <w:tcPr>
            <w:tcW w:w="897" w:type="dxa"/>
            <w:shd w:val="clear" w:color="auto" w:fill="auto"/>
            <w:noWrap w:val="0"/>
            <w:vAlign w:val="center"/>
          </w:tcPr>
          <w:p w14:paraId="0CCB1515">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24.3</w:t>
            </w:r>
          </w:p>
        </w:tc>
        <w:tc>
          <w:tcPr>
            <w:tcW w:w="746" w:type="dxa"/>
            <w:shd w:val="clear" w:color="auto" w:fill="auto"/>
            <w:noWrap w:val="0"/>
            <w:vAlign w:val="center"/>
          </w:tcPr>
          <w:p w14:paraId="7A5B843B">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25.5</w:t>
            </w:r>
          </w:p>
        </w:tc>
        <w:tc>
          <w:tcPr>
            <w:tcW w:w="689" w:type="dxa"/>
            <w:shd w:val="clear" w:color="auto" w:fill="auto"/>
            <w:noWrap w:val="0"/>
            <w:vAlign w:val="center"/>
          </w:tcPr>
          <w:p w14:paraId="1E73BEB5">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25.5</w:t>
            </w:r>
          </w:p>
        </w:tc>
        <w:tc>
          <w:tcPr>
            <w:tcW w:w="838" w:type="dxa"/>
            <w:shd w:val="clear" w:color="auto" w:fill="auto"/>
            <w:noWrap w:val="0"/>
            <w:vAlign w:val="center"/>
          </w:tcPr>
          <w:p w14:paraId="09A2298E">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25.5</w:t>
            </w:r>
          </w:p>
        </w:tc>
        <w:tc>
          <w:tcPr>
            <w:tcW w:w="750" w:type="dxa"/>
            <w:shd w:val="clear" w:color="auto" w:fill="auto"/>
            <w:noWrap w:val="0"/>
            <w:vAlign w:val="center"/>
          </w:tcPr>
          <w:p w14:paraId="2B579B30">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25.5</w:t>
            </w:r>
          </w:p>
        </w:tc>
        <w:tc>
          <w:tcPr>
            <w:tcW w:w="1096" w:type="dxa"/>
            <w:shd w:val="clear" w:color="auto" w:fill="auto"/>
            <w:noWrap w:val="0"/>
            <w:vAlign w:val="center"/>
          </w:tcPr>
          <w:p w14:paraId="3C6218A4">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r>
      <w:tr w14:paraId="2E018C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11FCE40C">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26</w:t>
            </w:r>
          </w:p>
        </w:tc>
        <w:tc>
          <w:tcPr>
            <w:tcW w:w="714" w:type="dxa"/>
            <w:vMerge w:val="continue"/>
            <w:shd w:val="clear" w:color="auto" w:fill="auto"/>
            <w:noWrap w:val="0"/>
            <w:vAlign w:val="center"/>
          </w:tcPr>
          <w:p w14:paraId="723960D4">
            <w:pPr>
              <w:autoSpaceDN w:val="0"/>
              <w:adjustRightInd w:val="0"/>
              <w:snapToGrid w:val="0"/>
              <w:jc w:val="center"/>
              <w:textAlignment w:val="top"/>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714" w:type="dxa"/>
            <w:shd w:val="clear" w:color="auto" w:fill="auto"/>
            <w:noWrap w:val="0"/>
            <w:vAlign w:val="center"/>
          </w:tcPr>
          <w:p w14:paraId="090B414A">
            <w:pPr>
              <w:autoSpaceDN w:val="0"/>
              <w:adjustRightInd w:val="0"/>
              <w:snapToGrid w:val="0"/>
              <w:jc w:val="center"/>
              <w:textAlignment w:val="top"/>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自动二封成型机</w:t>
            </w:r>
          </w:p>
        </w:tc>
        <w:tc>
          <w:tcPr>
            <w:tcW w:w="537" w:type="dxa"/>
            <w:shd w:val="clear" w:color="auto" w:fill="auto"/>
            <w:noWrap w:val="0"/>
            <w:vAlign w:val="center"/>
          </w:tcPr>
          <w:p w14:paraId="0C2CEE04">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75</w:t>
            </w:r>
          </w:p>
        </w:tc>
        <w:tc>
          <w:tcPr>
            <w:tcW w:w="537" w:type="dxa"/>
            <w:shd w:val="clear" w:color="auto" w:fill="auto"/>
            <w:noWrap w:val="0"/>
            <w:vAlign w:val="center"/>
          </w:tcPr>
          <w:p w14:paraId="45348E9F">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-23.99</w:t>
            </w:r>
          </w:p>
        </w:tc>
        <w:tc>
          <w:tcPr>
            <w:tcW w:w="537" w:type="dxa"/>
            <w:shd w:val="clear" w:color="auto" w:fill="auto"/>
            <w:noWrap w:val="0"/>
            <w:vAlign w:val="center"/>
          </w:tcPr>
          <w:p w14:paraId="1444E265">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128.7</w:t>
            </w:r>
          </w:p>
        </w:tc>
        <w:tc>
          <w:tcPr>
            <w:tcW w:w="558" w:type="dxa"/>
            <w:shd w:val="clear" w:color="auto" w:fill="auto"/>
            <w:noWrap w:val="0"/>
            <w:vAlign w:val="center"/>
          </w:tcPr>
          <w:p w14:paraId="256BAED9">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1.2</w:t>
            </w:r>
          </w:p>
        </w:tc>
        <w:tc>
          <w:tcPr>
            <w:tcW w:w="537" w:type="dxa"/>
            <w:shd w:val="clear" w:color="auto" w:fill="auto"/>
            <w:noWrap w:val="0"/>
            <w:vAlign w:val="center"/>
          </w:tcPr>
          <w:p w14:paraId="4482D34B">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72.5</w:t>
            </w:r>
          </w:p>
        </w:tc>
        <w:tc>
          <w:tcPr>
            <w:tcW w:w="537" w:type="dxa"/>
            <w:shd w:val="clear" w:color="auto" w:fill="auto"/>
            <w:noWrap w:val="0"/>
            <w:vAlign w:val="center"/>
          </w:tcPr>
          <w:p w14:paraId="6DF48678">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92.3</w:t>
            </w:r>
          </w:p>
        </w:tc>
        <w:tc>
          <w:tcPr>
            <w:tcW w:w="542" w:type="dxa"/>
            <w:shd w:val="clear" w:color="auto" w:fill="auto"/>
            <w:noWrap w:val="0"/>
            <w:vAlign w:val="center"/>
          </w:tcPr>
          <w:p w14:paraId="36EB02BF">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76.8</w:t>
            </w:r>
          </w:p>
        </w:tc>
        <w:tc>
          <w:tcPr>
            <w:tcW w:w="558" w:type="dxa"/>
            <w:shd w:val="clear" w:color="auto" w:fill="auto"/>
            <w:noWrap w:val="0"/>
            <w:vAlign w:val="center"/>
          </w:tcPr>
          <w:p w14:paraId="63237A14">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44.7</w:t>
            </w:r>
          </w:p>
        </w:tc>
        <w:tc>
          <w:tcPr>
            <w:tcW w:w="542" w:type="dxa"/>
            <w:shd w:val="clear" w:color="auto" w:fill="auto"/>
            <w:noWrap w:val="0"/>
            <w:vAlign w:val="center"/>
          </w:tcPr>
          <w:p w14:paraId="2BC767BB">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49.8 </w:t>
            </w:r>
          </w:p>
        </w:tc>
        <w:tc>
          <w:tcPr>
            <w:tcW w:w="542" w:type="dxa"/>
            <w:shd w:val="clear" w:color="auto" w:fill="auto"/>
            <w:noWrap w:val="0"/>
            <w:vAlign w:val="center"/>
          </w:tcPr>
          <w:p w14:paraId="5DEF3B1B">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49.8 </w:t>
            </w:r>
          </w:p>
        </w:tc>
        <w:tc>
          <w:tcPr>
            <w:tcW w:w="542" w:type="dxa"/>
            <w:shd w:val="clear" w:color="auto" w:fill="auto"/>
            <w:noWrap w:val="0"/>
            <w:vAlign w:val="center"/>
          </w:tcPr>
          <w:p w14:paraId="61AF1F72">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49.8 </w:t>
            </w:r>
          </w:p>
        </w:tc>
        <w:tc>
          <w:tcPr>
            <w:tcW w:w="555" w:type="dxa"/>
            <w:shd w:val="clear" w:color="auto" w:fill="auto"/>
            <w:noWrap w:val="0"/>
            <w:vAlign w:val="center"/>
          </w:tcPr>
          <w:p w14:paraId="48EBC940">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49.8 </w:t>
            </w:r>
          </w:p>
        </w:tc>
        <w:tc>
          <w:tcPr>
            <w:tcW w:w="542" w:type="dxa"/>
            <w:vMerge w:val="continue"/>
            <w:shd w:val="clear" w:color="auto" w:fill="auto"/>
            <w:noWrap w:val="0"/>
            <w:vAlign w:val="center"/>
          </w:tcPr>
          <w:p w14:paraId="1FD10FD3">
            <w:pPr>
              <w:spacing w:line="280" w:lineRule="exact"/>
              <w:jc w:val="center"/>
              <w:rPr>
                <w:rFonts w:hint="default" w:ascii="Times New Roman" w:hAnsi="Times New Roman" w:eastAsia="宋体"/>
                <w:color w:val="000000" w:themeColor="text1"/>
                <w:szCs w:val="21"/>
                <w:highlight w:val="none"/>
                <w:lang w:val="en-US" w:eastAsia="zh-CN"/>
                <w14:textFill>
                  <w14:solidFill>
                    <w14:schemeClr w14:val="tx1"/>
                  </w14:solidFill>
                </w14:textFill>
              </w:rPr>
            </w:pPr>
          </w:p>
        </w:tc>
        <w:tc>
          <w:tcPr>
            <w:tcW w:w="897" w:type="dxa"/>
            <w:shd w:val="clear" w:color="auto" w:fill="auto"/>
            <w:noWrap w:val="0"/>
            <w:vAlign w:val="center"/>
          </w:tcPr>
          <w:p w14:paraId="281145CA">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24.3</w:t>
            </w:r>
          </w:p>
        </w:tc>
        <w:tc>
          <w:tcPr>
            <w:tcW w:w="746" w:type="dxa"/>
            <w:shd w:val="clear" w:color="auto" w:fill="auto"/>
            <w:noWrap w:val="0"/>
            <w:vAlign w:val="center"/>
          </w:tcPr>
          <w:p w14:paraId="1A73001C">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25.5</w:t>
            </w:r>
          </w:p>
        </w:tc>
        <w:tc>
          <w:tcPr>
            <w:tcW w:w="689" w:type="dxa"/>
            <w:shd w:val="clear" w:color="auto" w:fill="auto"/>
            <w:noWrap w:val="0"/>
            <w:vAlign w:val="center"/>
          </w:tcPr>
          <w:p w14:paraId="2FAE47A6">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25.5</w:t>
            </w:r>
          </w:p>
        </w:tc>
        <w:tc>
          <w:tcPr>
            <w:tcW w:w="838" w:type="dxa"/>
            <w:shd w:val="clear" w:color="auto" w:fill="auto"/>
            <w:noWrap w:val="0"/>
            <w:vAlign w:val="center"/>
          </w:tcPr>
          <w:p w14:paraId="6ADC1EA5">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25.5</w:t>
            </w:r>
          </w:p>
        </w:tc>
        <w:tc>
          <w:tcPr>
            <w:tcW w:w="750" w:type="dxa"/>
            <w:shd w:val="clear" w:color="auto" w:fill="auto"/>
            <w:noWrap w:val="0"/>
            <w:vAlign w:val="center"/>
          </w:tcPr>
          <w:p w14:paraId="36CF20F0">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25.5</w:t>
            </w:r>
          </w:p>
        </w:tc>
        <w:tc>
          <w:tcPr>
            <w:tcW w:w="1096" w:type="dxa"/>
            <w:shd w:val="clear" w:color="auto" w:fill="auto"/>
            <w:noWrap w:val="0"/>
            <w:vAlign w:val="center"/>
          </w:tcPr>
          <w:p w14:paraId="494D03B5">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r>
      <w:tr w14:paraId="3FA407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5B344EE5">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27</w:t>
            </w:r>
          </w:p>
        </w:tc>
        <w:tc>
          <w:tcPr>
            <w:tcW w:w="714" w:type="dxa"/>
            <w:vMerge w:val="continue"/>
            <w:shd w:val="clear" w:color="auto" w:fill="auto"/>
            <w:noWrap w:val="0"/>
            <w:vAlign w:val="center"/>
          </w:tcPr>
          <w:p w14:paraId="498EF800">
            <w:pPr>
              <w:autoSpaceDN w:val="0"/>
              <w:adjustRightInd w:val="0"/>
              <w:snapToGrid w:val="0"/>
              <w:jc w:val="center"/>
              <w:textAlignment w:val="top"/>
              <w:rPr>
                <w:rFonts w:hint="default" w:ascii="Times New Roman" w:hAnsi="Times New Roman" w:cs="Times New Roman"/>
                <w:color w:val="000000" w:themeColor="text1"/>
                <w:szCs w:val="21"/>
                <w:highlight w:val="none"/>
                <w:lang w:val="en-US"/>
                <w14:textFill>
                  <w14:solidFill>
                    <w14:schemeClr w14:val="tx1"/>
                  </w14:solidFill>
                </w14:textFill>
              </w:rPr>
            </w:pPr>
          </w:p>
        </w:tc>
        <w:tc>
          <w:tcPr>
            <w:tcW w:w="714" w:type="dxa"/>
            <w:shd w:val="clear" w:color="auto" w:fill="auto"/>
            <w:noWrap w:val="0"/>
            <w:vAlign w:val="center"/>
          </w:tcPr>
          <w:p w14:paraId="464BB94F">
            <w:pPr>
              <w:autoSpaceDN w:val="0"/>
              <w:adjustRightInd w:val="0"/>
              <w:snapToGrid w:val="0"/>
              <w:jc w:val="center"/>
              <w:textAlignment w:val="top"/>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Cs w:val="21"/>
                <w:highlight w:val="none"/>
                <w:lang w:val="en-US" w:eastAsia="zh-CN"/>
                <w14:textFill>
                  <w14:solidFill>
                    <w14:schemeClr w14:val="tx1"/>
                  </w14:solidFill>
                </w14:textFill>
              </w:rPr>
              <w:t>激光模分一体机</w:t>
            </w:r>
            <w:r>
              <w:rPr>
                <w:rFonts w:hint="eastAsia" w:ascii="Times New Roman" w:hAnsi="Times New Roman" w:cs="Times New Roman"/>
                <w:color w:val="000000" w:themeColor="text1"/>
                <w:szCs w:val="21"/>
                <w:highlight w:val="none"/>
                <w:lang w:val="en-US" w:eastAsia="zh-CN"/>
                <w14:textFill>
                  <w14:solidFill>
                    <w14:schemeClr w14:val="tx1"/>
                  </w14:solidFill>
                </w14:textFill>
              </w:rPr>
              <w:t>1#</w:t>
            </w:r>
          </w:p>
        </w:tc>
        <w:tc>
          <w:tcPr>
            <w:tcW w:w="537" w:type="dxa"/>
            <w:shd w:val="clear" w:color="auto" w:fill="auto"/>
            <w:noWrap w:val="0"/>
            <w:vAlign w:val="center"/>
          </w:tcPr>
          <w:p w14:paraId="1FB8620C">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80</w:t>
            </w:r>
          </w:p>
        </w:tc>
        <w:tc>
          <w:tcPr>
            <w:tcW w:w="537" w:type="dxa"/>
            <w:shd w:val="clear" w:color="auto" w:fill="auto"/>
            <w:noWrap w:val="0"/>
            <w:vAlign w:val="center"/>
          </w:tcPr>
          <w:p w14:paraId="17B593FC">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-20.74</w:t>
            </w:r>
          </w:p>
        </w:tc>
        <w:tc>
          <w:tcPr>
            <w:tcW w:w="537" w:type="dxa"/>
            <w:shd w:val="clear" w:color="auto" w:fill="auto"/>
            <w:noWrap w:val="0"/>
            <w:vAlign w:val="center"/>
          </w:tcPr>
          <w:p w14:paraId="44242613">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116.04</w:t>
            </w:r>
          </w:p>
        </w:tc>
        <w:tc>
          <w:tcPr>
            <w:tcW w:w="558" w:type="dxa"/>
            <w:shd w:val="clear" w:color="auto" w:fill="auto"/>
            <w:noWrap w:val="0"/>
            <w:vAlign w:val="center"/>
          </w:tcPr>
          <w:p w14:paraId="29B3A10A">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1.2</w:t>
            </w:r>
          </w:p>
        </w:tc>
        <w:tc>
          <w:tcPr>
            <w:tcW w:w="537" w:type="dxa"/>
            <w:shd w:val="clear" w:color="auto" w:fill="auto"/>
            <w:noWrap w:val="0"/>
            <w:vAlign w:val="center"/>
          </w:tcPr>
          <w:p w14:paraId="6D90822A">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73.1</w:t>
            </w:r>
          </w:p>
        </w:tc>
        <w:tc>
          <w:tcPr>
            <w:tcW w:w="537" w:type="dxa"/>
            <w:shd w:val="clear" w:color="auto" w:fill="auto"/>
            <w:noWrap w:val="0"/>
            <w:vAlign w:val="center"/>
          </w:tcPr>
          <w:p w14:paraId="26E657EC">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76.6</w:t>
            </w:r>
          </w:p>
        </w:tc>
        <w:tc>
          <w:tcPr>
            <w:tcW w:w="542" w:type="dxa"/>
            <w:shd w:val="clear" w:color="auto" w:fill="auto"/>
            <w:noWrap w:val="0"/>
            <w:vAlign w:val="center"/>
          </w:tcPr>
          <w:p w14:paraId="7CBD7379">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74.9</w:t>
            </w:r>
          </w:p>
        </w:tc>
        <w:tc>
          <w:tcPr>
            <w:tcW w:w="558" w:type="dxa"/>
            <w:shd w:val="clear" w:color="auto" w:fill="auto"/>
            <w:noWrap w:val="0"/>
            <w:vAlign w:val="center"/>
          </w:tcPr>
          <w:p w14:paraId="0C0994EE">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59.7</w:t>
            </w:r>
          </w:p>
        </w:tc>
        <w:tc>
          <w:tcPr>
            <w:tcW w:w="542" w:type="dxa"/>
            <w:shd w:val="clear" w:color="auto" w:fill="auto"/>
            <w:noWrap w:val="0"/>
            <w:vAlign w:val="center"/>
          </w:tcPr>
          <w:p w14:paraId="5DC24C01">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42" w:type="dxa"/>
            <w:shd w:val="clear" w:color="auto" w:fill="auto"/>
            <w:noWrap w:val="0"/>
            <w:vAlign w:val="center"/>
          </w:tcPr>
          <w:p w14:paraId="1D05491C">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42" w:type="dxa"/>
            <w:shd w:val="clear" w:color="auto" w:fill="auto"/>
            <w:noWrap w:val="0"/>
            <w:vAlign w:val="center"/>
          </w:tcPr>
          <w:p w14:paraId="4D169796">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55" w:type="dxa"/>
            <w:shd w:val="clear" w:color="auto" w:fill="auto"/>
            <w:noWrap w:val="0"/>
            <w:vAlign w:val="center"/>
          </w:tcPr>
          <w:p w14:paraId="738E2EA3">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42" w:type="dxa"/>
            <w:vMerge w:val="continue"/>
            <w:shd w:val="clear" w:color="auto" w:fill="auto"/>
            <w:noWrap w:val="0"/>
            <w:vAlign w:val="center"/>
          </w:tcPr>
          <w:p w14:paraId="7C69EE3B">
            <w:pPr>
              <w:spacing w:line="280" w:lineRule="exact"/>
              <w:jc w:val="center"/>
              <w:rPr>
                <w:rFonts w:hint="default" w:ascii="Times New Roman" w:hAnsi="Times New Roman" w:eastAsia="宋体"/>
                <w:color w:val="000000" w:themeColor="text1"/>
                <w:szCs w:val="21"/>
                <w:highlight w:val="none"/>
                <w:lang w:val="en-US" w:eastAsia="zh-CN"/>
                <w14:textFill>
                  <w14:solidFill>
                    <w14:schemeClr w14:val="tx1"/>
                  </w14:solidFill>
                </w14:textFill>
              </w:rPr>
            </w:pPr>
          </w:p>
        </w:tc>
        <w:tc>
          <w:tcPr>
            <w:tcW w:w="897" w:type="dxa"/>
            <w:shd w:val="clear" w:color="auto" w:fill="auto"/>
            <w:noWrap w:val="0"/>
            <w:vAlign w:val="center"/>
          </w:tcPr>
          <w:p w14:paraId="2EBB18EC">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24.3</w:t>
            </w:r>
          </w:p>
        </w:tc>
        <w:tc>
          <w:tcPr>
            <w:tcW w:w="746" w:type="dxa"/>
            <w:shd w:val="clear" w:color="auto" w:fill="auto"/>
            <w:noWrap w:val="0"/>
            <w:vAlign w:val="center"/>
          </w:tcPr>
          <w:p w14:paraId="1EB8DCCB">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689" w:type="dxa"/>
            <w:shd w:val="clear" w:color="auto" w:fill="auto"/>
            <w:noWrap w:val="0"/>
            <w:vAlign w:val="center"/>
          </w:tcPr>
          <w:p w14:paraId="335ED6B5">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838" w:type="dxa"/>
            <w:shd w:val="clear" w:color="auto" w:fill="auto"/>
            <w:noWrap w:val="0"/>
            <w:vAlign w:val="center"/>
          </w:tcPr>
          <w:p w14:paraId="4E0A1AE0">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750" w:type="dxa"/>
            <w:shd w:val="clear" w:color="auto" w:fill="auto"/>
            <w:noWrap w:val="0"/>
            <w:vAlign w:val="center"/>
          </w:tcPr>
          <w:p w14:paraId="22428559">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1096" w:type="dxa"/>
            <w:shd w:val="clear" w:color="auto" w:fill="auto"/>
            <w:noWrap w:val="0"/>
            <w:vAlign w:val="center"/>
          </w:tcPr>
          <w:p w14:paraId="2FCF01C3">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r>
      <w:tr w14:paraId="2106645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05A1355D">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28</w:t>
            </w:r>
          </w:p>
        </w:tc>
        <w:tc>
          <w:tcPr>
            <w:tcW w:w="714" w:type="dxa"/>
            <w:vMerge w:val="continue"/>
            <w:shd w:val="clear" w:color="auto" w:fill="auto"/>
            <w:noWrap w:val="0"/>
            <w:vAlign w:val="center"/>
          </w:tcPr>
          <w:p w14:paraId="08E08996">
            <w:pPr>
              <w:autoSpaceDN w:val="0"/>
              <w:adjustRightInd w:val="0"/>
              <w:snapToGrid w:val="0"/>
              <w:jc w:val="center"/>
              <w:textAlignment w:val="top"/>
              <w:rPr>
                <w:rFonts w:hint="default" w:ascii="Times New Roman" w:hAnsi="Times New Roman" w:cs="Times New Roman"/>
                <w:color w:val="000000" w:themeColor="text1"/>
                <w:szCs w:val="21"/>
                <w:highlight w:val="none"/>
                <w14:textFill>
                  <w14:solidFill>
                    <w14:schemeClr w14:val="tx1"/>
                  </w14:solidFill>
                </w14:textFill>
              </w:rPr>
            </w:pPr>
          </w:p>
        </w:tc>
        <w:tc>
          <w:tcPr>
            <w:tcW w:w="714" w:type="dxa"/>
            <w:shd w:val="clear" w:color="auto" w:fill="auto"/>
            <w:noWrap w:val="0"/>
            <w:vAlign w:val="center"/>
          </w:tcPr>
          <w:p w14:paraId="19C5737A">
            <w:pPr>
              <w:autoSpaceDN w:val="0"/>
              <w:adjustRightInd w:val="0"/>
              <w:snapToGrid w:val="0"/>
              <w:jc w:val="center"/>
              <w:textAlignment w:val="top"/>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Cs w:val="21"/>
                <w:highlight w:val="none"/>
                <w:lang w:val="en-US" w:eastAsia="zh-CN"/>
                <w14:textFill>
                  <w14:solidFill>
                    <w14:schemeClr w14:val="tx1"/>
                  </w14:solidFill>
                </w14:textFill>
              </w:rPr>
              <w:t>激光模分一体机</w:t>
            </w:r>
            <w:r>
              <w:rPr>
                <w:rFonts w:hint="eastAsia" w:ascii="Times New Roman" w:hAnsi="Times New Roman" w:cs="Times New Roman"/>
                <w:color w:val="000000" w:themeColor="text1"/>
                <w:szCs w:val="21"/>
                <w:highlight w:val="none"/>
                <w:lang w:val="en-US" w:eastAsia="zh-CN"/>
                <w14:textFill>
                  <w14:solidFill>
                    <w14:schemeClr w14:val="tx1"/>
                  </w14:solidFill>
                </w14:textFill>
              </w:rPr>
              <w:t>2#</w:t>
            </w:r>
          </w:p>
        </w:tc>
        <w:tc>
          <w:tcPr>
            <w:tcW w:w="537" w:type="dxa"/>
            <w:shd w:val="clear" w:color="auto" w:fill="auto"/>
            <w:noWrap w:val="0"/>
            <w:vAlign w:val="center"/>
          </w:tcPr>
          <w:p w14:paraId="4EC6176B">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80</w:t>
            </w:r>
          </w:p>
        </w:tc>
        <w:tc>
          <w:tcPr>
            <w:tcW w:w="537" w:type="dxa"/>
            <w:shd w:val="clear" w:color="auto" w:fill="auto"/>
            <w:noWrap w:val="0"/>
            <w:vAlign w:val="center"/>
          </w:tcPr>
          <w:p w14:paraId="7D49A06B">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-25.08</w:t>
            </w:r>
          </w:p>
        </w:tc>
        <w:tc>
          <w:tcPr>
            <w:tcW w:w="537" w:type="dxa"/>
            <w:shd w:val="clear" w:color="auto" w:fill="auto"/>
            <w:noWrap w:val="0"/>
            <w:vAlign w:val="center"/>
          </w:tcPr>
          <w:p w14:paraId="387D51DE">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113.51</w:t>
            </w:r>
          </w:p>
        </w:tc>
        <w:tc>
          <w:tcPr>
            <w:tcW w:w="558" w:type="dxa"/>
            <w:shd w:val="clear" w:color="auto" w:fill="auto"/>
            <w:noWrap w:val="0"/>
            <w:vAlign w:val="center"/>
          </w:tcPr>
          <w:p w14:paraId="3D256E25">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1.2</w:t>
            </w:r>
          </w:p>
        </w:tc>
        <w:tc>
          <w:tcPr>
            <w:tcW w:w="537" w:type="dxa"/>
            <w:shd w:val="clear" w:color="auto" w:fill="auto"/>
            <w:noWrap w:val="0"/>
            <w:vAlign w:val="center"/>
          </w:tcPr>
          <w:p w14:paraId="0BBC7E99">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76.1</w:t>
            </w:r>
          </w:p>
        </w:tc>
        <w:tc>
          <w:tcPr>
            <w:tcW w:w="537" w:type="dxa"/>
            <w:shd w:val="clear" w:color="auto" w:fill="auto"/>
            <w:noWrap w:val="0"/>
            <w:vAlign w:val="center"/>
          </w:tcPr>
          <w:p w14:paraId="169AFCFB">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55.3</w:t>
            </w:r>
          </w:p>
        </w:tc>
        <w:tc>
          <w:tcPr>
            <w:tcW w:w="542" w:type="dxa"/>
            <w:shd w:val="clear" w:color="auto" w:fill="auto"/>
            <w:noWrap w:val="0"/>
            <w:vAlign w:val="center"/>
          </w:tcPr>
          <w:p w14:paraId="04FFD7CF">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72.4</w:t>
            </w:r>
          </w:p>
        </w:tc>
        <w:tc>
          <w:tcPr>
            <w:tcW w:w="558" w:type="dxa"/>
            <w:shd w:val="clear" w:color="auto" w:fill="auto"/>
            <w:noWrap w:val="0"/>
            <w:vAlign w:val="center"/>
          </w:tcPr>
          <w:p w14:paraId="53EC86B2">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62.2</w:t>
            </w:r>
          </w:p>
        </w:tc>
        <w:tc>
          <w:tcPr>
            <w:tcW w:w="542" w:type="dxa"/>
            <w:shd w:val="clear" w:color="auto" w:fill="auto"/>
            <w:noWrap w:val="0"/>
            <w:vAlign w:val="center"/>
          </w:tcPr>
          <w:p w14:paraId="343DF686">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42" w:type="dxa"/>
            <w:shd w:val="clear" w:color="auto" w:fill="auto"/>
            <w:noWrap w:val="0"/>
            <w:vAlign w:val="center"/>
          </w:tcPr>
          <w:p w14:paraId="559947A6">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42" w:type="dxa"/>
            <w:shd w:val="clear" w:color="auto" w:fill="auto"/>
            <w:noWrap w:val="0"/>
            <w:vAlign w:val="center"/>
          </w:tcPr>
          <w:p w14:paraId="607EFF3E">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55" w:type="dxa"/>
            <w:shd w:val="clear" w:color="auto" w:fill="auto"/>
            <w:noWrap w:val="0"/>
            <w:vAlign w:val="center"/>
          </w:tcPr>
          <w:p w14:paraId="2B09E3B3">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42" w:type="dxa"/>
            <w:vMerge w:val="continue"/>
            <w:shd w:val="clear" w:color="auto" w:fill="auto"/>
            <w:noWrap w:val="0"/>
            <w:vAlign w:val="center"/>
          </w:tcPr>
          <w:p w14:paraId="7E4103EE">
            <w:pPr>
              <w:spacing w:line="280" w:lineRule="exact"/>
              <w:jc w:val="center"/>
              <w:rPr>
                <w:rFonts w:hint="default" w:ascii="Times New Roman" w:hAnsi="Times New Roman" w:eastAsia="宋体"/>
                <w:color w:val="000000" w:themeColor="text1"/>
                <w:szCs w:val="21"/>
                <w:highlight w:val="none"/>
                <w:lang w:val="en-US" w:eastAsia="zh-CN"/>
                <w14:textFill>
                  <w14:solidFill>
                    <w14:schemeClr w14:val="tx1"/>
                  </w14:solidFill>
                </w14:textFill>
              </w:rPr>
            </w:pPr>
          </w:p>
        </w:tc>
        <w:tc>
          <w:tcPr>
            <w:tcW w:w="897" w:type="dxa"/>
            <w:shd w:val="clear" w:color="auto" w:fill="auto"/>
            <w:noWrap w:val="0"/>
            <w:vAlign w:val="center"/>
          </w:tcPr>
          <w:p w14:paraId="35459D48">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24.3</w:t>
            </w:r>
          </w:p>
        </w:tc>
        <w:tc>
          <w:tcPr>
            <w:tcW w:w="746" w:type="dxa"/>
            <w:shd w:val="clear" w:color="auto" w:fill="auto"/>
            <w:noWrap w:val="0"/>
            <w:vAlign w:val="center"/>
          </w:tcPr>
          <w:p w14:paraId="54E2F232">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689" w:type="dxa"/>
            <w:shd w:val="clear" w:color="auto" w:fill="auto"/>
            <w:noWrap w:val="0"/>
            <w:vAlign w:val="center"/>
          </w:tcPr>
          <w:p w14:paraId="79A6FC07">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838" w:type="dxa"/>
            <w:shd w:val="clear" w:color="auto" w:fill="auto"/>
            <w:noWrap w:val="0"/>
            <w:vAlign w:val="center"/>
          </w:tcPr>
          <w:p w14:paraId="1BEB7130">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750" w:type="dxa"/>
            <w:shd w:val="clear" w:color="auto" w:fill="auto"/>
            <w:noWrap w:val="0"/>
            <w:vAlign w:val="center"/>
          </w:tcPr>
          <w:p w14:paraId="59FC72B9">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1096" w:type="dxa"/>
            <w:shd w:val="clear" w:color="auto" w:fill="auto"/>
            <w:noWrap w:val="0"/>
            <w:vAlign w:val="center"/>
          </w:tcPr>
          <w:p w14:paraId="4E3E0F0B">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r>
      <w:tr w14:paraId="351946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43514D27">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29</w:t>
            </w:r>
          </w:p>
        </w:tc>
        <w:tc>
          <w:tcPr>
            <w:tcW w:w="714" w:type="dxa"/>
            <w:vMerge w:val="continue"/>
            <w:shd w:val="clear" w:color="auto" w:fill="auto"/>
            <w:noWrap w:val="0"/>
            <w:vAlign w:val="center"/>
          </w:tcPr>
          <w:p w14:paraId="4D231DFA">
            <w:pPr>
              <w:autoSpaceDN w:val="0"/>
              <w:adjustRightInd w:val="0"/>
              <w:snapToGrid w:val="0"/>
              <w:jc w:val="center"/>
              <w:textAlignment w:val="top"/>
              <w:rPr>
                <w:rFonts w:hint="default" w:ascii="Times New Roman" w:hAnsi="Times New Roman" w:cs="Times New Roman"/>
                <w:color w:val="000000" w:themeColor="text1"/>
                <w:szCs w:val="21"/>
                <w:highlight w:val="none"/>
                <w14:textFill>
                  <w14:solidFill>
                    <w14:schemeClr w14:val="tx1"/>
                  </w14:solidFill>
                </w14:textFill>
              </w:rPr>
            </w:pPr>
          </w:p>
        </w:tc>
        <w:tc>
          <w:tcPr>
            <w:tcW w:w="714" w:type="dxa"/>
            <w:shd w:val="clear" w:color="auto" w:fill="auto"/>
            <w:noWrap w:val="0"/>
            <w:vAlign w:val="center"/>
          </w:tcPr>
          <w:p w14:paraId="11EDF73F">
            <w:pPr>
              <w:autoSpaceDN w:val="0"/>
              <w:adjustRightInd w:val="0"/>
              <w:snapToGrid w:val="0"/>
              <w:jc w:val="center"/>
              <w:textAlignment w:val="top"/>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夹具化成</w:t>
            </w:r>
            <w:r>
              <w:rPr>
                <w:rFonts w:hint="default" w:ascii="Times New Roman" w:hAnsi="Times New Roman" w:cs="Times New Roman"/>
                <w:color w:val="000000" w:themeColor="text1"/>
                <w:szCs w:val="21"/>
                <w:highlight w:val="none"/>
                <w:lang w:val="en-US" w:eastAsia="zh-CN"/>
                <w14:textFill>
                  <w14:solidFill>
                    <w14:schemeClr w14:val="tx1"/>
                  </w14:solidFill>
                </w14:textFill>
              </w:rPr>
              <w:t>设备线</w:t>
            </w:r>
          </w:p>
        </w:tc>
        <w:tc>
          <w:tcPr>
            <w:tcW w:w="537" w:type="dxa"/>
            <w:shd w:val="clear" w:color="auto" w:fill="auto"/>
            <w:noWrap w:val="0"/>
            <w:vAlign w:val="center"/>
          </w:tcPr>
          <w:p w14:paraId="532C0CA5">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75</w:t>
            </w:r>
          </w:p>
        </w:tc>
        <w:tc>
          <w:tcPr>
            <w:tcW w:w="537" w:type="dxa"/>
            <w:shd w:val="clear" w:color="auto" w:fill="auto"/>
            <w:noWrap w:val="0"/>
            <w:vAlign w:val="center"/>
          </w:tcPr>
          <w:p w14:paraId="5F21873E">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-74.03</w:t>
            </w:r>
          </w:p>
        </w:tc>
        <w:tc>
          <w:tcPr>
            <w:tcW w:w="537" w:type="dxa"/>
            <w:shd w:val="clear" w:color="auto" w:fill="auto"/>
            <w:noWrap w:val="0"/>
            <w:vAlign w:val="center"/>
          </w:tcPr>
          <w:p w14:paraId="0842249E">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121.78</w:t>
            </w:r>
          </w:p>
        </w:tc>
        <w:tc>
          <w:tcPr>
            <w:tcW w:w="558" w:type="dxa"/>
            <w:shd w:val="clear" w:color="auto" w:fill="auto"/>
            <w:noWrap w:val="0"/>
            <w:vAlign w:val="center"/>
          </w:tcPr>
          <w:p w14:paraId="719FD8B3">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1.1</w:t>
            </w:r>
          </w:p>
        </w:tc>
        <w:tc>
          <w:tcPr>
            <w:tcW w:w="537" w:type="dxa"/>
            <w:shd w:val="clear" w:color="auto" w:fill="auto"/>
            <w:noWrap w:val="0"/>
            <w:vAlign w:val="center"/>
          </w:tcPr>
          <w:p w14:paraId="25FD6305">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122.9</w:t>
            </w:r>
          </w:p>
        </w:tc>
        <w:tc>
          <w:tcPr>
            <w:tcW w:w="537" w:type="dxa"/>
            <w:shd w:val="clear" w:color="auto" w:fill="auto"/>
            <w:noWrap w:val="0"/>
            <w:vAlign w:val="center"/>
          </w:tcPr>
          <w:p w14:paraId="6FCA8570">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41.7</w:t>
            </w:r>
          </w:p>
        </w:tc>
        <w:tc>
          <w:tcPr>
            <w:tcW w:w="542" w:type="dxa"/>
            <w:shd w:val="clear" w:color="auto" w:fill="auto"/>
            <w:noWrap w:val="0"/>
            <w:vAlign w:val="center"/>
          </w:tcPr>
          <w:p w14:paraId="2A22B0A4">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26.3</w:t>
            </w:r>
          </w:p>
        </w:tc>
        <w:tc>
          <w:tcPr>
            <w:tcW w:w="558" w:type="dxa"/>
            <w:shd w:val="clear" w:color="auto" w:fill="auto"/>
            <w:noWrap w:val="0"/>
            <w:vAlign w:val="center"/>
          </w:tcPr>
          <w:p w14:paraId="0ED25A74">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37.2</w:t>
            </w:r>
          </w:p>
        </w:tc>
        <w:tc>
          <w:tcPr>
            <w:tcW w:w="542" w:type="dxa"/>
            <w:shd w:val="clear" w:color="auto" w:fill="auto"/>
            <w:noWrap w:val="0"/>
            <w:vAlign w:val="center"/>
          </w:tcPr>
          <w:p w14:paraId="5DFAC2DE">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49.8 </w:t>
            </w:r>
          </w:p>
        </w:tc>
        <w:tc>
          <w:tcPr>
            <w:tcW w:w="542" w:type="dxa"/>
            <w:shd w:val="clear" w:color="auto" w:fill="auto"/>
            <w:noWrap w:val="0"/>
            <w:vAlign w:val="center"/>
          </w:tcPr>
          <w:p w14:paraId="1C3D4C17">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49.8 </w:t>
            </w:r>
          </w:p>
        </w:tc>
        <w:tc>
          <w:tcPr>
            <w:tcW w:w="542" w:type="dxa"/>
            <w:shd w:val="clear" w:color="auto" w:fill="auto"/>
            <w:noWrap w:val="0"/>
            <w:vAlign w:val="center"/>
          </w:tcPr>
          <w:p w14:paraId="0D786FEA">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49.9 </w:t>
            </w:r>
          </w:p>
        </w:tc>
        <w:tc>
          <w:tcPr>
            <w:tcW w:w="555" w:type="dxa"/>
            <w:shd w:val="clear" w:color="auto" w:fill="auto"/>
            <w:noWrap w:val="0"/>
            <w:vAlign w:val="center"/>
          </w:tcPr>
          <w:p w14:paraId="05C90405">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49.8 </w:t>
            </w:r>
          </w:p>
        </w:tc>
        <w:tc>
          <w:tcPr>
            <w:tcW w:w="542" w:type="dxa"/>
            <w:vMerge w:val="continue"/>
            <w:shd w:val="clear" w:color="auto" w:fill="auto"/>
            <w:noWrap w:val="0"/>
            <w:vAlign w:val="center"/>
          </w:tcPr>
          <w:p w14:paraId="3BA98AA6">
            <w:pPr>
              <w:spacing w:line="280" w:lineRule="exact"/>
              <w:jc w:val="center"/>
              <w:rPr>
                <w:rFonts w:hint="default" w:ascii="Times New Roman" w:hAnsi="Times New Roman" w:eastAsia="宋体"/>
                <w:color w:val="000000" w:themeColor="text1"/>
                <w:szCs w:val="21"/>
                <w:highlight w:val="none"/>
                <w:lang w:val="en-US" w:eastAsia="zh-CN"/>
                <w14:textFill>
                  <w14:solidFill>
                    <w14:schemeClr w14:val="tx1"/>
                  </w14:solidFill>
                </w14:textFill>
              </w:rPr>
            </w:pPr>
          </w:p>
        </w:tc>
        <w:tc>
          <w:tcPr>
            <w:tcW w:w="897" w:type="dxa"/>
            <w:shd w:val="clear" w:color="auto" w:fill="auto"/>
            <w:noWrap w:val="0"/>
            <w:vAlign w:val="center"/>
          </w:tcPr>
          <w:p w14:paraId="086F6818">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24.3</w:t>
            </w:r>
          </w:p>
        </w:tc>
        <w:tc>
          <w:tcPr>
            <w:tcW w:w="746" w:type="dxa"/>
            <w:shd w:val="clear" w:color="auto" w:fill="auto"/>
            <w:noWrap w:val="0"/>
            <w:vAlign w:val="center"/>
          </w:tcPr>
          <w:p w14:paraId="58DAC5A6">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25.5</w:t>
            </w:r>
          </w:p>
        </w:tc>
        <w:tc>
          <w:tcPr>
            <w:tcW w:w="689" w:type="dxa"/>
            <w:shd w:val="clear" w:color="auto" w:fill="auto"/>
            <w:noWrap w:val="0"/>
            <w:vAlign w:val="center"/>
          </w:tcPr>
          <w:p w14:paraId="2D5BD204">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25.5</w:t>
            </w:r>
          </w:p>
        </w:tc>
        <w:tc>
          <w:tcPr>
            <w:tcW w:w="838" w:type="dxa"/>
            <w:shd w:val="clear" w:color="auto" w:fill="auto"/>
            <w:noWrap w:val="0"/>
            <w:vAlign w:val="center"/>
          </w:tcPr>
          <w:p w14:paraId="3C11C5FA">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25.6</w:t>
            </w:r>
          </w:p>
        </w:tc>
        <w:tc>
          <w:tcPr>
            <w:tcW w:w="750" w:type="dxa"/>
            <w:shd w:val="clear" w:color="auto" w:fill="auto"/>
            <w:noWrap w:val="0"/>
            <w:vAlign w:val="center"/>
          </w:tcPr>
          <w:p w14:paraId="3D20C414">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25.5</w:t>
            </w:r>
          </w:p>
        </w:tc>
        <w:tc>
          <w:tcPr>
            <w:tcW w:w="1096" w:type="dxa"/>
            <w:shd w:val="clear" w:color="auto" w:fill="auto"/>
            <w:noWrap w:val="0"/>
            <w:vAlign w:val="center"/>
          </w:tcPr>
          <w:p w14:paraId="13974EC7">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r>
      <w:tr w14:paraId="762C8D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0B072E90">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30</w:t>
            </w:r>
          </w:p>
        </w:tc>
        <w:tc>
          <w:tcPr>
            <w:tcW w:w="714" w:type="dxa"/>
            <w:vMerge w:val="continue"/>
            <w:shd w:val="clear" w:color="auto" w:fill="auto"/>
            <w:noWrap w:val="0"/>
            <w:vAlign w:val="center"/>
          </w:tcPr>
          <w:p w14:paraId="2CF13310">
            <w:pPr>
              <w:autoSpaceDN w:val="0"/>
              <w:adjustRightInd w:val="0"/>
              <w:snapToGrid w:val="0"/>
              <w:jc w:val="center"/>
              <w:textAlignment w:val="top"/>
              <w:rPr>
                <w:rFonts w:hint="default" w:ascii="Times New Roman" w:hAnsi="Times New Roman" w:cs="Times New Roman"/>
                <w:color w:val="000000" w:themeColor="text1"/>
                <w:szCs w:val="21"/>
                <w:highlight w:val="none"/>
                <w14:textFill>
                  <w14:solidFill>
                    <w14:schemeClr w14:val="tx1"/>
                  </w14:solidFill>
                </w14:textFill>
              </w:rPr>
            </w:pPr>
          </w:p>
        </w:tc>
        <w:tc>
          <w:tcPr>
            <w:tcW w:w="714" w:type="dxa"/>
            <w:shd w:val="clear" w:color="auto" w:fill="auto"/>
            <w:noWrap w:val="0"/>
            <w:vAlign w:val="center"/>
          </w:tcPr>
          <w:p w14:paraId="19C0B99F">
            <w:pPr>
              <w:autoSpaceDN w:val="0"/>
              <w:adjustRightInd w:val="0"/>
              <w:snapToGrid w:val="0"/>
              <w:jc w:val="center"/>
              <w:textAlignment w:val="top"/>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分容设备</w:t>
            </w:r>
            <w:r>
              <w:rPr>
                <w:rFonts w:hint="default" w:ascii="Times New Roman" w:hAnsi="Times New Roman" w:cs="Times New Roman"/>
                <w:color w:val="000000" w:themeColor="text1"/>
                <w:szCs w:val="21"/>
                <w:highlight w:val="none"/>
                <w:lang w:val="en-US" w:eastAsia="zh-CN"/>
                <w14:textFill>
                  <w14:solidFill>
                    <w14:schemeClr w14:val="tx1"/>
                  </w14:solidFill>
                </w14:textFill>
              </w:rPr>
              <w:t>线</w:t>
            </w:r>
          </w:p>
        </w:tc>
        <w:tc>
          <w:tcPr>
            <w:tcW w:w="537" w:type="dxa"/>
            <w:shd w:val="clear" w:color="auto" w:fill="auto"/>
            <w:noWrap w:val="0"/>
            <w:vAlign w:val="center"/>
          </w:tcPr>
          <w:p w14:paraId="1627B53A">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72</w:t>
            </w:r>
          </w:p>
        </w:tc>
        <w:tc>
          <w:tcPr>
            <w:tcW w:w="537" w:type="dxa"/>
            <w:shd w:val="clear" w:color="auto" w:fill="auto"/>
            <w:noWrap w:val="0"/>
            <w:vAlign w:val="center"/>
          </w:tcPr>
          <w:p w14:paraId="472F1C99">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-69.56</w:t>
            </w:r>
          </w:p>
        </w:tc>
        <w:tc>
          <w:tcPr>
            <w:tcW w:w="537" w:type="dxa"/>
            <w:shd w:val="clear" w:color="auto" w:fill="auto"/>
            <w:noWrap w:val="0"/>
            <w:vAlign w:val="center"/>
          </w:tcPr>
          <w:p w14:paraId="05DF51C7">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108.83</w:t>
            </w:r>
          </w:p>
        </w:tc>
        <w:tc>
          <w:tcPr>
            <w:tcW w:w="558" w:type="dxa"/>
            <w:shd w:val="clear" w:color="auto" w:fill="auto"/>
            <w:noWrap w:val="0"/>
            <w:vAlign w:val="center"/>
          </w:tcPr>
          <w:p w14:paraId="51096346">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1.1</w:t>
            </w:r>
          </w:p>
        </w:tc>
        <w:tc>
          <w:tcPr>
            <w:tcW w:w="537" w:type="dxa"/>
            <w:shd w:val="clear" w:color="auto" w:fill="auto"/>
            <w:noWrap w:val="0"/>
            <w:vAlign w:val="center"/>
          </w:tcPr>
          <w:p w14:paraId="03C5A819">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123.9</w:t>
            </w:r>
          </w:p>
        </w:tc>
        <w:tc>
          <w:tcPr>
            <w:tcW w:w="537" w:type="dxa"/>
            <w:shd w:val="clear" w:color="auto" w:fill="auto"/>
            <w:noWrap w:val="0"/>
            <w:vAlign w:val="center"/>
          </w:tcPr>
          <w:p w14:paraId="0671F95B">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28.4</w:t>
            </w:r>
          </w:p>
        </w:tc>
        <w:tc>
          <w:tcPr>
            <w:tcW w:w="542" w:type="dxa"/>
            <w:shd w:val="clear" w:color="auto" w:fill="auto"/>
            <w:noWrap w:val="0"/>
            <w:vAlign w:val="center"/>
          </w:tcPr>
          <w:p w14:paraId="368DDDA4">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25.4</w:t>
            </w:r>
          </w:p>
        </w:tc>
        <w:tc>
          <w:tcPr>
            <w:tcW w:w="558" w:type="dxa"/>
            <w:shd w:val="clear" w:color="auto" w:fill="auto"/>
            <w:noWrap w:val="0"/>
            <w:vAlign w:val="center"/>
          </w:tcPr>
          <w:p w14:paraId="3C365624">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51.8</w:t>
            </w:r>
          </w:p>
        </w:tc>
        <w:tc>
          <w:tcPr>
            <w:tcW w:w="542" w:type="dxa"/>
            <w:shd w:val="clear" w:color="auto" w:fill="auto"/>
            <w:noWrap w:val="0"/>
            <w:vAlign w:val="center"/>
          </w:tcPr>
          <w:p w14:paraId="08F9DAD4">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46.8 </w:t>
            </w:r>
          </w:p>
        </w:tc>
        <w:tc>
          <w:tcPr>
            <w:tcW w:w="542" w:type="dxa"/>
            <w:shd w:val="clear" w:color="auto" w:fill="auto"/>
            <w:noWrap w:val="0"/>
            <w:vAlign w:val="center"/>
          </w:tcPr>
          <w:p w14:paraId="63889A52">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46.9 </w:t>
            </w:r>
          </w:p>
        </w:tc>
        <w:tc>
          <w:tcPr>
            <w:tcW w:w="542" w:type="dxa"/>
            <w:shd w:val="clear" w:color="auto" w:fill="auto"/>
            <w:noWrap w:val="0"/>
            <w:vAlign w:val="center"/>
          </w:tcPr>
          <w:p w14:paraId="096B6A05">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46.9 </w:t>
            </w:r>
          </w:p>
        </w:tc>
        <w:tc>
          <w:tcPr>
            <w:tcW w:w="555" w:type="dxa"/>
            <w:shd w:val="clear" w:color="auto" w:fill="auto"/>
            <w:noWrap w:val="0"/>
            <w:vAlign w:val="center"/>
          </w:tcPr>
          <w:p w14:paraId="590464B7">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46.8 </w:t>
            </w:r>
          </w:p>
        </w:tc>
        <w:tc>
          <w:tcPr>
            <w:tcW w:w="542" w:type="dxa"/>
            <w:vMerge w:val="continue"/>
            <w:shd w:val="clear" w:color="auto" w:fill="auto"/>
            <w:noWrap w:val="0"/>
            <w:vAlign w:val="center"/>
          </w:tcPr>
          <w:p w14:paraId="2EB8EF7F">
            <w:pPr>
              <w:spacing w:line="280" w:lineRule="exact"/>
              <w:jc w:val="center"/>
              <w:rPr>
                <w:rFonts w:hint="default" w:ascii="Times New Roman" w:hAnsi="Times New Roman" w:eastAsia="宋体"/>
                <w:color w:val="000000" w:themeColor="text1"/>
                <w:szCs w:val="21"/>
                <w:highlight w:val="none"/>
                <w:lang w:val="en-US" w:eastAsia="zh-CN"/>
                <w14:textFill>
                  <w14:solidFill>
                    <w14:schemeClr w14:val="tx1"/>
                  </w14:solidFill>
                </w14:textFill>
              </w:rPr>
            </w:pPr>
          </w:p>
        </w:tc>
        <w:tc>
          <w:tcPr>
            <w:tcW w:w="897" w:type="dxa"/>
            <w:shd w:val="clear" w:color="auto" w:fill="auto"/>
            <w:noWrap w:val="0"/>
            <w:vAlign w:val="center"/>
          </w:tcPr>
          <w:p w14:paraId="54A59A37">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24.3</w:t>
            </w:r>
          </w:p>
        </w:tc>
        <w:tc>
          <w:tcPr>
            <w:tcW w:w="746" w:type="dxa"/>
            <w:shd w:val="clear" w:color="auto" w:fill="auto"/>
            <w:noWrap w:val="0"/>
            <w:vAlign w:val="center"/>
          </w:tcPr>
          <w:p w14:paraId="2F32F394">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22.5</w:t>
            </w:r>
          </w:p>
        </w:tc>
        <w:tc>
          <w:tcPr>
            <w:tcW w:w="689" w:type="dxa"/>
            <w:shd w:val="clear" w:color="auto" w:fill="auto"/>
            <w:noWrap w:val="0"/>
            <w:vAlign w:val="center"/>
          </w:tcPr>
          <w:p w14:paraId="6D72633D">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22.6</w:t>
            </w:r>
          </w:p>
        </w:tc>
        <w:tc>
          <w:tcPr>
            <w:tcW w:w="838" w:type="dxa"/>
            <w:shd w:val="clear" w:color="auto" w:fill="auto"/>
            <w:noWrap w:val="0"/>
            <w:vAlign w:val="center"/>
          </w:tcPr>
          <w:p w14:paraId="058A6BA5">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22.6</w:t>
            </w:r>
          </w:p>
        </w:tc>
        <w:tc>
          <w:tcPr>
            <w:tcW w:w="750" w:type="dxa"/>
            <w:shd w:val="clear" w:color="auto" w:fill="auto"/>
            <w:noWrap w:val="0"/>
            <w:vAlign w:val="center"/>
          </w:tcPr>
          <w:p w14:paraId="59DA5CC1">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22.5</w:t>
            </w:r>
          </w:p>
        </w:tc>
        <w:tc>
          <w:tcPr>
            <w:tcW w:w="1096" w:type="dxa"/>
            <w:shd w:val="clear" w:color="auto" w:fill="auto"/>
            <w:noWrap w:val="0"/>
            <w:vAlign w:val="center"/>
          </w:tcPr>
          <w:p w14:paraId="62559120">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r>
      <w:tr w14:paraId="555A5F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0D8C74FA">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31</w:t>
            </w:r>
          </w:p>
        </w:tc>
        <w:tc>
          <w:tcPr>
            <w:tcW w:w="714" w:type="dxa"/>
            <w:vMerge w:val="continue"/>
            <w:shd w:val="clear" w:color="auto" w:fill="auto"/>
            <w:noWrap w:val="0"/>
            <w:vAlign w:val="center"/>
          </w:tcPr>
          <w:p w14:paraId="6565A674">
            <w:pPr>
              <w:autoSpaceDN w:val="0"/>
              <w:adjustRightInd w:val="0"/>
              <w:snapToGrid w:val="0"/>
              <w:jc w:val="center"/>
              <w:textAlignment w:val="top"/>
              <w:rPr>
                <w:rFonts w:hint="default" w:ascii="Times New Roman" w:hAnsi="Times New Roman" w:cs="Times New Roman"/>
                <w:color w:val="000000" w:themeColor="text1"/>
                <w:szCs w:val="21"/>
                <w:highlight w:val="none"/>
                <w14:textFill>
                  <w14:solidFill>
                    <w14:schemeClr w14:val="tx1"/>
                  </w14:solidFill>
                </w14:textFill>
              </w:rPr>
            </w:pPr>
          </w:p>
        </w:tc>
        <w:tc>
          <w:tcPr>
            <w:tcW w:w="714" w:type="dxa"/>
            <w:shd w:val="clear" w:color="auto" w:fill="auto"/>
            <w:noWrap w:val="0"/>
            <w:vAlign w:val="center"/>
          </w:tcPr>
          <w:p w14:paraId="60FE112A">
            <w:pPr>
              <w:autoSpaceDN w:val="0"/>
              <w:adjustRightInd w:val="0"/>
              <w:snapToGrid w:val="0"/>
              <w:jc w:val="center"/>
              <w:textAlignment w:val="top"/>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Cs w:val="21"/>
                <w:highlight w:val="none"/>
                <w:lang w:val="en-US" w:eastAsia="zh-CN"/>
                <w14:textFill>
                  <w14:solidFill>
                    <w14:schemeClr w14:val="tx1"/>
                  </w14:solidFill>
                </w14:textFill>
              </w:rPr>
              <w:t>OCV测试线</w:t>
            </w:r>
          </w:p>
        </w:tc>
        <w:tc>
          <w:tcPr>
            <w:tcW w:w="537" w:type="dxa"/>
            <w:shd w:val="clear" w:color="auto" w:fill="auto"/>
            <w:noWrap w:val="0"/>
            <w:vAlign w:val="center"/>
          </w:tcPr>
          <w:p w14:paraId="1204A29F">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70</w:t>
            </w:r>
          </w:p>
        </w:tc>
        <w:tc>
          <w:tcPr>
            <w:tcW w:w="537" w:type="dxa"/>
            <w:shd w:val="clear" w:color="auto" w:fill="auto"/>
            <w:noWrap w:val="0"/>
            <w:vAlign w:val="center"/>
          </w:tcPr>
          <w:p w14:paraId="55FA8704">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-67.14</w:t>
            </w:r>
          </w:p>
        </w:tc>
        <w:tc>
          <w:tcPr>
            <w:tcW w:w="537" w:type="dxa"/>
            <w:shd w:val="clear" w:color="auto" w:fill="auto"/>
            <w:noWrap w:val="0"/>
            <w:vAlign w:val="center"/>
          </w:tcPr>
          <w:p w14:paraId="716C6C7F">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99.42</w:t>
            </w:r>
          </w:p>
        </w:tc>
        <w:tc>
          <w:tcPr>
            <w:tcW w:w="558" w:type="dxa"/>
            <w:shd w:val="clear" w:color="auto" w:fill="auto"/>
            <w:noWrap w:val="0"/>
            <w:vAlign w:val="center"/>
          </w:tcPr>
          <w:p w14:paraId="48379D6C">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1.1</w:t>
            </w:r>
          </w:p>
        </w:tc>
        <w:tc>
          <w:tcPr>
            <w:tcW w:w="537" w:type="dxa"/>
            <w:shd w:val="clear" w:color="auto" w:fill="auto"/>
            <w:noWrap w:val="0"/>
            <w:vAlign w:val="center"/>
          </w:tcPr>
          <w:p w14:paraId="0E786185">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124.5</w:t>
            </w:r>
          </w:p>
        </w:tc>
        <w:tc>
          <w:tcPr>
            <w:tcW w:w="537" w:type="dxa"/>
            <w:shd w:val="clear" w:color="auto" w:fill="auto"/>
            <w:noWrap w:val="0"/>
            <w:vAlign w:val="center"/>
          </w:tcPr>
          <w:p w14:paraId="790C6D6C">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17.5</w:t>
            </w:r>
          </w:p>
        </w:tc>
        <w:tc>
          <w:tcPr>
            <w:tcW w:w="542" w:type="dxa"/>
            <w:shd w:val="clear" w:color="auto" w:fill="auto"/>
            <w:noWrap w:val="0"/>
            <w:vAlign w:val="center"/>
          </w:tcPr>
          <w:p w14:paraId="72DC28EE">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25.4</w:t>
            </w:r>
          </w:p>
        </w:tc>
        <w:tc>
          <w:tcPr>
            <w:tcW w:w="558" w:type="dxa"/>
            <w:shd w:val="clear" w:color="auto" w:fill="auto"/>
            <w:noWrap w:val="0"/>
            <w:vAlign w:val="center"/>
          </w:tcPr>
          <w:p w14:paraId="629CD113">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63.0</w:t>
            </w:r>
          </w:p>
        </w:tc>
        <w:tc>
          <w:tcPr>
            <w:tcW w:w="542" w:type="dxa"/>
            <w:shd w:val="clear" w:color="auto" w:fill="auto"/>
            <w:noWrap w:val="0"/>
            <w:vAlign w:val="center"/>
          </w:tcPr>
          <w:p w14:paraId="3FE5B702">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44.8 </w:t>
            </w:r>
          </w:p>
        </w:tc>
        <w:tc>
          <w:tcPr>
            <w:tcW w:w="542" w:type="dxa"/>
            <w:shd w:val="clear" w:color="auto" w:fill="auto"/>
            <w:noWrap w:val="0"/>
            <w:vAlign w:val="center"/>
          </w:tcPr>
          <w:p w14:paraId="09622F86">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45.1 </w:t>
            </w:r>
          </w:p>
        </w:tc>
        <w:tc>
          <w:tcPr>
            <w:tcW w:w="542" w:type="dxa"/>
            <w:shd w:val="clear" w:color="auto" w:fill="auto"/>
            <w:noWrap w:val="0"/>
            <w:vAlign w:val="center"/>
          </w:tcPr>
          <w:p w14:paraId="4BDF1D8B">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44.9 </w:t>
            </w:r>
          </w:p>
        </w:tc>
        <w:tc>
          <w:tcPr>
            <w:tcW w:w="555" w:type="dxa"/>
            <w:shd w:val="clear" w:color="auto" w:fill="auto"/>
            <w:noWrap w:val="0"/>
            <w:vAlign w:val="center"/>
          </w:tcPr>
          <w:p w14:paraId="725390AD">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44.8 </w:t>
            </w:r>
          </w:p>
        </w:tc>
        <w:tc>
          <w:tcPr>
            <w:tcW w:w="542" w:type="dxa"/>
            <w:vMerge w:val="continue"/>
            <w:shd w:val="clear" w:color="auto" w:fill="auto"/>
            <w:noWrap w:val="0"/>
            <w:vAlign w:val="center"/>
          </w:tcPr>
          <w:p w14:paraId="34A25025">
            <w:pPr>
              <w:spacing w:line="280" w:lineRule="exact"/>
              <w:jc w:val="center"/>
              <w:rPr>
                <w:rFonts w:hint="default" w:ascii="Times New Roman" w:hAnsi="Times New Roman" w:eastAsia="宋体"/>
                <w:color w:val="000000" w:themeColor="text1"/>
                <w:szCs w:val="21"/>
                <w:highlight w:val="none"/>
                <w:lang w:val="en-US" w:eastAsia="zh-CN"/>
                <w14:textFill>
                  <w14:solidFill>
                    <w14:schemeClr w14:val="tx1"/>
                  </w14:solidFill>
                </w14:textFill>
              </w:rPr>
            </w:pPr>
          </w:p>
        </w:tc>
        <w:tc>
          <w:tcPr>
            <w:tcW w:w="897" w:type="dxa"/>
            <w:shd w:val="clear" w:color="auto" w:fill="auto"/>
            <w:noWrap w:val="0"/>
            <w:vAlign w:val="center"/>
          </w:tcPr>
          <w:p w14:paraId="7958709C">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24.3</w:t>
            </w:r>
          </w:p>
        </w:tc>
        <w:tc>
          <w:tcPr>
            <w:tcW w:w="746" w:type="dxa"/>
            <w:shd w:val="clear" w:color="auto" w:fill="auto"/>
            <w:noWrap w:val="0"/>
            <w:vAlign w:val="center"/>
          </w:tcPr>
          <w:p w14:paraId="380E6611">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20.5</w:t>
            </w:r>
          </w:p>
        </w:tc>
        <w:tc>
          <w:tcPr>
            <w:tcW w:w="689" w:type="dxa"/>
            <w:shd w:val="clear" w:color="auto" w:fill="auto"/>
            <w:noWrap w:val="0"/>
            <w:vAlign w:val="center"/>
          </w:tcPr>
          <w:p w14:paraId="1E529E03">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20.8</w:t>
            </w:r>
          </w:p>
        </w:tc>
        <w:tc>
          <w:tcPr>
            <w:tcW w:w="838" w:type="dxa"/>
            <w:shd w:val="clear" w:color="auto" w:fill="auto"/>
            <w:noWrap w:val="0"/>
            <w:vAlign w:val="center"/>
          </w:tcPr>
          <w:p w14:paraId="1E63020B">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20.6</w:t>
            </w:r>
          </w:p>
        </w:tc>
        <w:tc>
          <w:tcPr>
            <w:tcW w:w="750" w:type="dxa"/>
            <w:shd w:val="clear" w:color="auto" w:fill="auto"/>
            <w:noWrap w:val="0"/>
            <w:vAlign w:val="center"/>
          </w:tcPr>
          <w:p w14:paraId="3F70508D">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20.5</w:t>
            </w:r>
          </w:p>
        </w:tc>
        <w:tc>
          <w:tcPr>
            <w:tcW w:w="1096" w:type="dxa"/>
            <w:shd w:val="clear" w:color="auto" w:fill="auto"/>
            <w:noWrap w:val="0"/>
            <w:vAlign w:val="center"/>
          </w:tcPr>
          <w:p w14:paraId="5E9B08BA">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r>
      <w:tr w14:paraId="41E184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5A8CFD20">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32</w:t>
            </w:r>
          </w:p>
        </w:tc>
        <w:tc>
          <w:tcPr>
            <w:tcW w:w="714" w:type="dxa"/>
            <w:vMerge w:val="continue"/>
            <w:shd w:val="clear" w:color="auto" w:fill="auto"/>
            <w:noWrap w:val="0"/>
            <w:vAlign w:val="center"/>
          </w:tcPr>
          <w:p w14:paraId="2186E5BE">
            <w:pPr>
              <w:autoSpaceDN w:val="0"/>
              <w:adjustRightInd w:val="0"/>
              <w:snapToGrid w:val="0"/>
              <w:jc w:val="center"/>
              <w:textAlignment w:val="top"/>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714" w:type="dxa"/>
            <w:shd w:val="clear" w:color="auto" w:fill="auto"/>
            <w:noWrap w:val="0"/>
            <w:vAlign w:val="center"/>
          </w:tcPr>
          <w:p w14:paraId="473DD7FB">
            <w:pPr>
              <w:autoSpaceDN w:val="0"/>
              <w:adjustRightInd w:val="0"/>
              <w:snapToGrid w:val="0"/>
              <w:jc w:val="center"/>
              <w:textAlignment w:val="top"/>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冷水机组</w:t>
            </w:r>
            <w:r>
              <w:rPr>
                <w:rFonts w:hint="eastAsia" w:ascii="Times New Roman" w:hAnsi="Times New Roman" w:cs="Times New Roman"/>
                <w:color w:val="000000" w:themeColor="text1"/>
                <w:szCs w:val="21"/>
                <w:highlight w:val="none"/>
                <w:lang w:val="en-US" w:eastAsia="zh-CN"/>
                <w14:textFill>
                  <w14:solidFill>
                    <w14:schemeClr w14:val="tx1"/>
                  </w14:solidFill>
                </w14:textFill>
              </w:rPr>
              <w:t>1#</w:t>
            </w:r>
          </w:p>
        </w:tc>
        <w:tc>
          <w:tcPr>
            <w:tcW w:w="537" w:type="dxa"/>
            <w:shd w:val="clear" w:color="auto" w:fill="auto"/>
            <w:noWrap w:val="0"/>
            <w:vAlign w:val="center"/>
          </w:tcPr>
          <w:p w14:paraId="30123C3D">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75</w:t>
            </w:r>
          </w:p>
        </w:tc>
        <w:tc>
          <w:tcPr>
            <w:tcW w:w="537" w:type="dxa"/>
            <w:shd w:val="clear" w:color="auto" w:fill="auto"/>
            <w:noWrap w:val="0"/>
            <w:vAlign w:val="center"/>
          </w:tcPr>
          <w:p w14:paraId="2FA9D626">
            <w:pPr>
              <w:spacing w:line="280" w:lineRule="exact"/>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32.72</w:t>
            </w:r>
          </w:p>
        </w:tc>
        <w:tc>
          <w:tcPr>
            <w:tcW w:w="537" w:type="dxa"/>
            <w:shd w:val="clear" w:color="auto" w:fill="auto"/>
            <w:noWrap w:val="0"/>
            <w:vAlign w:val="center"/>
          </w:tcPr>
          <w:p w14:paraId="65DD2150">
            <w:pPr>
              <w:spacing w:line="280" w:lineRule="exact"/>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156.17</w:t>
            </w:r>
          </w:p>
        </w:tc>
        <w:tc>
          <w:tcPr>
            <w:tcW w:w="558" w:type="dxa"/>
            <w:shd w:val="clear" w:color="auto" w:fill="auto"/>
            <w:noWrap w:val="0"/>
            <w:vAlign w:val="center"/>
          </w:tcPr>
          <w:p w14:paraId="67B78DFA">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1.3</w:t>
            </w:r>
          </w:p>
        </w:tc>
        <w:tc>
          <w:tcPr>
            <w:tcW w:w="537" w:type="dxa"/>
            <w:shd w:val="clear" w:color="auto" w:fill="auto"/>
            <w:noWrap w:val="0"/>
            <w:vAlign w:val="center"/>
          </w:tcPr>
          <w:p w14:paraId="0FB8D069">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10.4</w:t>
            </w:r>
          </w:p>
        </w:tc>
        <w:tc>
          <w:tcPr>
            <w:tcW w:w="537" w:type="dxa"/>
            <w:shd w:val="clear" w:color="auto" w:fill="auto"/>
            <w:noWrap w:val="0"/>
            <w:vAlign w:val="center"/>
          </w:tcPr>
          <w:p w14:paraId="0B365D89">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137.6</w:t>
            </w:r>
          </w:p>
        </w:tc>
        <w:tc>
          <w:tcPr>
            <w:tcW w:w="542" w:type="dxa"/>
            <w:shd w:val="clear" w:color="auto" w:fill="auto"/>
            <w:noWrap w:val="0"/>
            <w:vAlign w:val="center"/>
          </w:tcPr>
          <w:p w14:paraId="583E933D">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138.4</w:t>
            </w:r>
          </w:p>
        </w:tc>
        <w:tc>
          <w:tcPr>
            <w:tcW w:w="558" w:type="dxa"/>
            <w:shd w:val="clear" w:color="auto" w:fill="auto"/>
            <w:noWrap w:val="0"/>
            <w:vAlign w:val="center"/>
          </w:tcPr>
          <w:p w14:paraId="411C8D3D">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33.6</w:t>
            </w:r>
          </w:p>
        </w:tc>
        <w:tc>
          <w:tcPr>
            <w:tcW w:w="542" w:type="dxa"/>
            <w:shd w:val="clear" w:color="auto" w:fill="auto"/>
            <w:noWrap w:val="0"/>
            <w:vAlign w:val="center"/>
          </w:tcPr>
          <w:p w14:paraId="6A6B06C0">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50.7 </w:t>
            </w:r>
          </w:p>
        </w:tc>
        <w:tc>
          <w:tcPr>
            <w:tcW w:w="542" w:type="dxa"/>
            <w:shd w:val="clear" w:color="auto" w:fill="auto"/>
            <w:noWrap w:val="0"/>
            <w:vAlign w:val="center"/>
          </w:tcPr>
          <w:p w14:paraId="701CC594">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49.8 </w:t>
            </w:r>
          </w:p>
        </w:tc>
        <w:tc>
          <w:tcPr>
            <w:tcW w:w="542" w:type="dxa"/>
            <w:shd w:val="clear" w:color="auto" w:fill="auto"/>
            <w:noWrap w:val="0"/>
            <w:vAlign w:val="center"/>
          </w:tcPr>
          <w:p w14:paraId="07B6F8C2">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49.8 </w:t>
            </w:r>
          </w:p>
        </w:tc>
        <w:tc>
          <w:tcPr>
            <w:tcW w:w="555" w:type="dxa"/>
            <w:shd w:val="clear" w:color="auto" w:fill="auto"/>
            <w:noWrap w:val="0"/>
            <w:vAlign w:val="center"/>
          </w:tcPr>
          <w:p w14:paraId="6ED2E64C">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49.9 </w:t>
            </w:r>
          </w:p>
        </w:tc>
        <w:tc>
          <w:tcPr>
            <w:tcW w:w="542" w:type="dxa"/>
            <w:vMerge w:val="continue"/>
            <w:shd w:val="clear" w:color="auto" w:fill="auto"/>
            <w:noWrap w:val="0"/>
            <w:vAlign w:val="center"/>
          </w:tcPr>
          <w:p w14:paraId="77683363">
            <w:pPr>
              <w:spacing w:line="280" w:lineRule="exact"/>
              <w:jc w:val="center"/>
              <w:rPr>
                <w:rFonts w:hint="default" w:ascii="Times New Roman" w:hAnsi="Times New Roman" w:eastAsia="宋体"/>
                <w:color w:val="000000" w:themeColor="text1"/>
                <w:szCs w:val="21"/>
                <w:highlight w:val="none"/>
                <w:lang w:val="en-US" w:eastAsia="zh-CN"/>
                <w14:textFill>
                  <w14:solidFill>
                    <w14:schemeClr w14:val="tx1"/>
                  </w14:solidFill>
                </w14:textFill>
              </w:rPr>
            </w:pPr>
          </w:p>
        </w:tc>
        <w:tc>
          <w:tcPr>
            <w:tcW w:w="897" w:type="dxa"/>
            <w:shd w:val="clear" w:color="auto" w:fill="auto"/>
            <w:noWrap w:val="0"/>
            <w:vAlign w:val="center"/>
          </w:tcPr>
          <w:p w14:paraId="7FA71BB8">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24.3</w:t>
            </w:r>
          </w:p>
        </w:tc>
        <w:tc>
          <w:tcPr>
            <w:tcW w:w="746" w:type="dxa"/>
            <w:shd w:val="clear" w:color="auto" w:fill="auto"/>
            <w:noWrap w:val="0"/>
            <w:vAlign w:val="center"/>
          </w:tcPr>
          <w:p w14:paraId="3CFB0B72">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26.4</w:t>
            </w:r>
          </w:p>
        </w:tc>
        <w:tc>
          <w:tcPr>
            <w:tcW w:w="689" w:type="dxa"/>
            <w:shd w:val="clear" w:color="auto" w:fill="auto"/>
            <w:noWrap w:val="0"/>
            <w:vAlign w:val="center"/>
          </w:tcPr>
          <w:p w14:paraId="3B99789F">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25.5</w:t>
            </w:r>
          </w:p>
        </w:tc>
        <w:tc>
          <w:tcPr>
            <w:tcW w:w="838" w:type="dxa"/>
            <w:shd w:val="clear" w:color="auto" w:fill="auto"/>
            <w:noWrap w:val="0"/>
            <w:vAlign w:val="center"/>
          </w:tcPr>
          <w:p w14:paraId="77629206">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25.5</w:t>
            </w:r>
          </w:p>
        </w:tc>
        <w:tc>
          <w:tcPr>
            <w:tcW w:w="750" w:type="dxa"/>
            <w:shd w:val="clear" w:color="auto" w:fill="auto"/>
            <w:noWrap w:val="0"/>
            <w:vAlign w:val="center"/>
          </w:tcPr>
          <w:p w14:paraId="2BEDCFEF">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25.6</w:t>
            </w:r>
          </w:p>
        </w:tc>
        <w:tc>
          <w:tcPr>
            <w:tcW w:w="1096" w:type="dxa"/>
            <w:shd w:val="clear" w:color="auto" w:fill="auto"/>
            <w:noWrap w:val="0"/>
            <w:vAlign w:val="center"/>
          </w:tcPr>
          <w:p w14:paraId="7CA0BAB4">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r>
      <w:tr w14:paraId="217733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5658DBB6">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33</w:t>
            </w:r>
          </w:p>
        </w:tc>
        <w:tc>
          <w:tcPr>
            <w:tcW w:w="714" w:type="dxa"/>
            <w:vMerge w:val="continue"/>
            <w:shd w:val="clear" w:color="auto" w:fill="auto"/>
            <w:noWrap w:val="0"/>
            <w:vAlign w:val="center"/>
          </w:tcPr>
          <w:p w14:paraId="4412784E">
            <w:pPr>
              <w:autoSpaceDN w:val="0"/>
              <w:adjustRightInd w:val="0"/>
              <w:snapToGrid w:val="0"/>
              <w:jc w:val="center"/>
              <w:textAlignment w:val="top"/>
              <w:rPr>
                <w:rFonts w:hint="default" w:ascii="Times New Roman" w:hAnsi="Times New Roman" w:cs="Times New Roman"/>
                <w:color w:val="000000" w:themeColor="text1"/>
                <w:szCs w:val="21"/>
                <w:highlight w:val="none"/>
                <w:lang w:val="en-US" w:eastAsia="zh-CN"/>
                <w14:textFill>
                  <w14:solidFill>
                    <w14:schemeClr w14:val="tx1"/>
                  </w14:solidFill>
                </w14:textFill>
              </w:rPr>
            </w:pPr>
          </w:p>
        </w:tc>
        <w:tc>
          <w:tcPr>
            <w:tcW w:w="714" w:type="dxa"/>
            <w:shd w:val="clear" w:color="auto" w:fill="auto"/>
            <w:noWrap w:val="0"/>
            <w:vAlign w:val="center"/>
          </w:tcPr>
          <w:p w14:paraId="61BBA960">
            <w:pPr>
              <w:autoSpaceDN w:val="0"/>
              <w:adjustRightInd w:val="0"/>
              <w:snapToGrid w:val="0"/>
              <w:jc w:val="center"/>
              <w:textAlignment w:val="top"/>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冷水机组</w:t>
            </w:r>
            <w:r>
              <w:rPr>
                <w:rFonts w:hint="eastAsia" w:ascii="Times New Roman" w:hAnsi="Times New Roman" w:cs="Times New Roman"/>
                <w:color w:val="000000" w:themeColor="text1"/>
                <w:szCs w:val="21"/>
                <w:highlight w:val="none"/>
                <w:lang w:val="en-US" w:eastAsia="zh-CN"/>
                <w14:textFill>
                  <w14:solidFill>
                    <w14:schemeClr w14:val="tx1"/>
                  </w14:solidFill>
                </w14:textFill>
              </w:rPr>
              <w:t>2#</w:t>
            </w:r>
          </w:p>
        </w:tc>
        <w:tc>
          <w:tcPr>
            <w:tcW w:w="537" w:type="dxa"/>
            <w:shd w:val="clear" w:color="auto" w:fill="auto"/>
            <w:noWrap w:val="0"/>
            <w:vAlign w:val="center"/>
          </w:tcPr>
          <w:p w14:paraId="11593E7A">
            <w:pPr>
              <w:spacing w:line="280" w:lineRule="exact"/>
              <w:jc w:val="center"/>
              <w:rPr>
                <w:rFonts w:hint="eastAsia"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75</w:t>
            </w:r>
          </w:p>
        </w:tc>
        <w:tc>
          <w:tcPr>
            <w:tcW w:w="537" w:type="dxa"/>
            <w:shd w:val="clear" w:color="auto" w:fill="auto"/>
            <w:noWrap w:val="0"/>
            <w:vAlign w:val="center"/>
          </w:tcPr>
          <w:p w14:paraId="2B68CF13">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34.96</w:t>
            </w:r>
          </w:p>
        </w:tc>
        <w:tc>
          <w:tcPr>
            <w:tcW w:w="537" w:type="dxa"/>
            <w:shd w:val="clear" w:color="auto" w:fill="auto"/>
            <w:noWrap w:val="0"/>
            <w:vAlign w:val="center"/>
          </w:tcPr>
          <w:p w14:paraId="31F29F10">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147.69</w:t>
            </w:r>
          </w:p>
        </w:tc>
        <w:tc>
          <w:tcPr>
            <w:tcW w:w="558" w:type="dxa"/>
            <w:shd w:val="clear" w:color="auto" w:fill="auto"/>
            <w:noWrap w:val="0"/>
            <w:vAlign w:val="center"/>
          </w:tcPr>
          <w:p w14:paraId="51778AF3">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1.3</w:t>
            </w:r>
          </w:p>
        </w:tc>
        <w:tc>
          <w:tcPr>
            <w:tcW w:w="537" w:type="dxa"/>
            <w:shd w:val="clear" w:color="auto" w:fill="auto"/>
            <w:noWrap w:val="0"/>
            <w:vAlign w:val="center"/>
          </w:tcPr>
          <w:p w14:paraId="3F86A5CE">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11.1</w:t>
            </w:r>
          </w:p>
        </w:tc>
        <w:tc>
          <w:tcPr>
            <w:tcW w:w="537" w:type="dxa"/>
            <w:shd w:val="clear" w:color="auto" w:fill="auto"/>
            <w:noWrap w:val="0"/>
            <w:vAlign w:val="center"/>
          </w:tcPr>
          <w:p w14:paraId="70C3AF6B">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137.4</w:t>
            </w:r>
          </w:p>
        </w:tc>
        <w:tc>
          <w:tcPr>
            <w:tcW w:w="542" w:type="dxa"/>
            <w:shd w:val="clear" w:color="auto" w:fill="auto"/>
            <w:noWrap w:val="0"/>
            <w:vAlign w:val="center"/>
          </w:tcPr>
          <w:p w14:paraId="059FE8BB">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138.8</w:t>
            </w:r>
          </w:p>
        </w:tc>
        <w:tc>
          <w:tcPr>
            <w:tcW w:w="558" w:type="dxa"/>
            <w:shd w:val="clear" w:color="auto" w:fill="auto"/>
            <w:noWrap w:val="0"/>
            <w:vAlign w:val="center"/>
          </w:tcPr>
          <w:p w14:paraId="621E0F66">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44.3</w:t>
            </w:r>
          </w:p>
        </w:tc>
        <w:tc>
          <w:tcPr>
            <w:tcW w:w="542" w:type="dxa"/>
            <w:shd w:val="clear" w:color="auto" w:fill="auto"/>
            <w:noWrap w:val="0"/>
            <w:vAlign w:val="center"/>
          </w:tcPr>
          <w:p w14:paraId="6F7AC3FD">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50.6 </w:t>
            </w:r>
          </w:p>
        </w:tc>
        <w:tc>
          <w:tcPr>
            <w:tcW w:w="542" w:type="dxa"/>
            <w:shd w:val="clear" w:color="auto" w:fill="auto"/>
            <w:noWrap w:val="0"/>
            <w:vAlign w:val="center"/>
          </w:tcPr>
          <w:p w14:paraId="4F6F69F0">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49.8 </w:t>
            </w:r>
          </w:p>
        </w:tc>
        <w:tc>
          <w:tcPr>
            <w:tcW w:w="542" w:type="dxa"/>
            <w:shd w:val="clear" w:color="auto" w:fill="auto"/>
            <w:noWrap w:val="0"/>
            <w:vAlign w:val="center"/>
          </w:tcPr>
          <w:p w14:paraId="30ECDAF5">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49.8 </w:t>
            </w:r>
          </w:p>
        </w:tc>
        <w:tc>
          <w:tcPr>
            <w:tcW w:w="555" w:type="dxa"/>
            <w:shd w:val="clear" w:color="auto" w:fill="auto"/>
            <w:noWrap w:val="0"/>
            <w:vAlign w:val="center"/>
          </w:tcPr>
          <w:p w14:paraId="0793AD37">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49.8 </w:t>
            </w:r>
          </w:p>
        </w:tc>
        <w:tc>
          <w:tcPr>
            <w:tcW w:w="542" w:type="dxa"/>
            <w:vMerge w:val="continue"/>
            <w:shd w:val="clear" w:color="auto" w:fill="auto"/>
            <w:noWrap w:val="0"/>
            <w:vAlign w:val="center"/>
          </w:tcPr>
          <w:p w14:paraId="7ED5ED0C">
            <w:pPr>
              <w:spacing w:line="280" w:lineRule="exact"/>
              <w:jc w:val="center"/>
              <w:rPr>
                <w:rFonts w:hint="default" w:ascii="Times New Roman" w:hAnsi="Times New Roman" w:eastAsia="宋体"/>
                <w:color w:val="000000" w:themeColor="text1"/>
                <w:szCs w:val="21"/>
                <w:highlight w:val="none"/>
                <w:lang w:val="en-US" w:eastAsia="zh-CN"/>
                <w14:textFill>
                  <w14:solidFill>
                    <w14:schemeClr w14:val="tx1"/>
                  </w14:solidFill>
                </w14:textFill>
              </w:rPr>
            </w:pPr>
          </w:p>
        </w:tc>
        <w:tc>
          <w:tcPr>
            <w:tcW w:w="897" w:type="dxa"/>
            <w:shd w:val="clear" w:color="auto" w:fill="auto"/>
            <w:noWrap w:val="0"/>
            <w:vAlign w:val="center"/>
          </w:tcPr>
          <w:p w14:paraId="30ED096C">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24.3</w:t>
            </w:r>
          </w:p>
        </w:tc>
        <w:tc>
          <w:tcPr>
            <w:tcW w:w="746" w:type="dxa"/>
            <w:shd w:val="clear" w:color="auto" w:fill="auto"/>
            <w:noWrap w:val="0"/>
            <w:vAlign w:val="center"/>
          </w:tcPr>
          <w:p w14:paraId="7902E9E8">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26.3</w:t>
            </w:r>
          </w:p>
        </w:tc>
        <w:tc>
          <w:tcPr>
            <w:tcW w:w="689" w:type="dxa"/>
            <w:shd w:val="clear" w:color="auto" w:fill="auto"/>
            <w:noWrap w:val="0"/>
            <w:vAlign w:val="center"/>
          </w:tcPr>
          <w:p w14:paraId="749F837A">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25.5</w:t>
            </w:r>
          </w:p>
        </w:tc>
        <w:tc>
          <w:tcPr>
            <w:tcW w:w="838" w:type="dxa"/>
            <w:shd w:val="clear" w:color="auto" w:fill="auto"/>
            <w:noWrap w:val="0"/>
            <w:vAlign w:val="center"/>
          </w:tcPr>
          <w:p w14:paraId="42B4D0F9">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25.5</w:t>
            </w:r>
          </w:p>
        </w:tc>
        <w:tc>
          <w:tcPr>
            <w:tcW w:w="750" w:type="dxa"/>
            <w:shd w:val="clear" w:color="auto" w:fill="auto"/>
            <w:noWrap w:val="0"/>
            <w:vAlign w:val="center"/>
          </w:tcPr>
          <w:p w14:paraId="7910E39E">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25.5</w:t>
            </w:r>
          </w:p>
        </w:tc>
        <w:tc>
          <w:tcPr>
            <w:tcW w:w="1096" w:type="dxa"/>
            <w:shd w:val="clear" w:color="auto" w:fill="auto"/>
            <w:noWrap w:val="0"/>
            <w:vAlign w:val="center"/>
          </w:tcPr>
          <w:p w14:paraId="1D880A85">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r>
      <w:tr w14:paraId="4C7E1E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56AD6A71">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34</w:t>
            </w:r>
          </w:p>
        </w:tc>
        <w:tc>
          <w:tcPr>
            <w:tcW w:w="714" w:type="dxa"/>
            <w:vMerge w:val="continue"/>
            <w:shd w:val="clear" w:color="auto" w:fill="auto"/>
            <w:noWrap w:val="0"/>
            <w:vAlign w:val="center"/>
          </w:tcPr>
          <w:p w14:paraId="52899B9B">
            <w:pPr>
              <w:autoSpaceDN w:val="0"/>
              <w:adjustRightInd w:val="0"/>
              <w:snapToGrid w:val="0"/>
              <w:jc w:val="center"/>
              <w:textAlignment w:val="top"/>
              <w:rPr>
                <w:rFonts w:hint="default" w:ascii="Times New Roman" w:hAnsi="Times New Roman" w:cs="Times New Roman"/>
                <w:color w:val="000000" w:themeColor="text1"/>
                <w:szCs w:val="21"/>
                <w:highlight w:val="none"/>
                <w:lang w:val="en-US" w:eastAsia="zh-CN"/>
                <w14:textFill>
                  <w14:solidFill>
                    <w14:schemeClr w14:val="tx1"/>
                  </w14:solidFill>
                </w14:textFill>
              </w:rPr>
            </w:pPr>
          </w:p>
        </w:tc>
        <w:tc>
          <w:tcPr>
            <w:tcW w:w="714" w:type="dxa"/>
            <w:shd w:val="clear" w:color="auto" w:fill="auto"/>
            <w:noWrap w:val="0"/>
            <w:vAlign w:val="center"/>
          </w:tcPr>
          <w:p w14:paraId="175FA0E0">
            <w:pPr>
              <w:autoSpaceDN w:val="0"/>
              <w:adjustRightInd w:val="0"/>
              <w:snapToGrid w:val="0"/>
              <w:jc w:val="center"/>
              <w:textAlignment w:val="top"/>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冷水机组</w:t>
            </w:r>
            <w:r>
              <w:rPr>
                <w:rFonts w:hint="eastAsia" w:ascii="Times New Roman" w:hAnsi="Times New Roman" w:cs="Times New Roman"/>
                <w:color w:val="000000" w:themeColor="text1"/>
                <w:szCs w:val="21"/>
                <w:highlight w:val="none"/>
                <w:lang w:val="en-US" w:eastAsia="zh-CN"/>
                <w14:textFill>
                  <w14:solidFill>
                    <w14:schemeClr w14:val="tx1"/>
                  </w14:solidFill>
                </w14:textFill>
              </w:rPr>
              <w:t>3#</w:t>
            </w:r>
          </w:p>
        </w:tc>
        <w:tc>
          <w:tcPr>
            <w:tcW w:w="537" w:type="dxa"/>
            <w:shd w:val="clear" w:color="auto" w:fill="auto"/>
            <w:noWrap w:val="0"/>
            <w:vAlign w:val="center"/>
          </w:tcPr>
          <w:p w14:paraId="3E043391">
            <w:pPr>
              <w:spacing w:line="280" w:lineRule="exact"/>
              <w:jc w:val="center"/>
              <w:rPr>
                <w:rFonts w:hint="eastAsia"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75</w:t>
            </w:r>
          </w:p>
        </w:tc>
        <w:tc>
          <w:tcPr>
            <w:tcW w:w="537" w:type="dxa"/>
            <w:shd w:val="clear" w:color="auto" w:fill="auto"/>
            <w:noWrap w:val="0"/>
            <w:vAlign w:val="center"/>
          </w:tcPr>
          <w:p w14:paraId="27E6C638">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35.8</w:t>
            </w:r>
          </w:p>
        </w:tc>
        <w:tc>
          <w:tcPr>
            <w:tcW w:w="537" w:type="dxa"/>
            <w:shd w:val="clear" w:color="auto" w:fill="auto"/>
            <w:noWrap w:val="0"/>
            <w:vAlign w:val="center"/>
          </w:tcPr>
          <w:p w14:paraId="45DB0A06">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144.83</w:t>
            </w:r>
          </w:p>
        </w:tc>
        <w:tc>
          <w:tcPr>
            <w:tcW w:w="558" w:type="dxa"/>
            <w:shd w:val="clear" w:color="auto" w:fill="auto"/>
            <w:noWrap w:val="0"/>
            <w:vAlign w:val="center"/>
          </w:tcPr>
          <w:p w14:paraId="1C185A59">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1.3</w:t>
            </w:r>
          </w:p>
        </w:tc>
        <w:tc>
          <w:tcPr>
            <w:tcW w:w="537" w:type="dxa"/>
            <w:shd w:val="clear" w:color="auto" w:fill="auto"/>
            <w:noWrap w:val="0"/>
            <w:vAlign w:val="center"/>
          </w:tcPr>
          <w:p w14:paraId="7E5C2DDF">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10.9</w:t>
            </w:r>
          </w:p>
        </w:tc>
        <w:tc>
          <w:tcPr>
            <w:tcW w:w="537" w:type="dxa"/>
            <w:shd w:val="clear" w:color="auto" w:fill="auto"/>
            <w:noWrap w:val="0"/>
            <w:vAlign w:val="center"/>
          </w:tcPr>
          <w:p w14:paraId="1F86F9D2">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131.4</w:t>
            </w:r>
          </w:p>
        </w:tc>
        <w:tc>
          <w:tcPr>
            <w:tcW w:w="542" w:type="dxa"/>
            <w:shd w:val="clear" w:color="auto" w:fill="auto"/>
            <w:noWrap w:val="0"/>
            <w:vAlign w:val="center"/>
          </w:tcPr>
          <w:p w14:paraId="031DC22B">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138.6</w:t>
            </w:r>
          </w:p>
        </w:tc>
        <w:tc>
          <w:tcPr>
            <w:tcW w:w="558" w:type="dxa"/>
            <w:shd w:val="clear" w:color="auto" w:fill="auto"/>
            <w:noWrap w:val="0"/>
            <w:vAlign w:val="center"/>
          </w:tcPr>
          <w:p w14:paraId="3EF84A7E">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45.4</w:t>
            </w:r>
          </w:p>
        </w:tc>
        <w:tc>
          <w:tcPr>
            <w:tcW w:w="542" w:type="dxa"/>
            <w:shd w:val="clear" w:color="auto" w:fill="auto"/>
            <w:noWrap w:val="0"/>
            <w:vAlign w:val="center"/>
          </w:tcPr>
          <w:p w14:paraId="4848AD44">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50.6 </w:t>
            </w:r>
          </w:p>
        </w:tc>
        <w:tc>
          <w:tcPr>
            <w:tcW w:w="542" w:type="dxa"/>
            <w:shd w:val="clear" w:color="auto" w:fill="auto"/>
            <w:noWrap w:val="0"/>
            <w:vAlign w:val="center"/>
          </w:tcPr>
          <w:p w14:paraId="7912185E">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49.8 </w:t>
            </w:r>
          </w:p>
        </w:tc>
        <w:tc>
          <w:tcPr>
            <w:tcW w:w="542" w:type="dxa"/>
            <w:shd w:val="clear" w:color="auto" w:fill="auto"/>
            <w:noWrap w:val="0"/>
            <w:vAlign w:val="center"/>
          </w:tcPr>
          <w:p w14:paraId="73D31FF3">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49.8 </w:t>
            </w:r>
          </w:p>
        </w:tc>
        <w:tc>
          <w:tcPr>
            <w:tcW w:w="555" w:type="dxa"/>
            <w:shd w:val="clear" w:color="auto" w:fill="auto"/>
            <w:noWrap w:val="0"/>
            <w:vAlign w:val="center"/>
          </w:tcPr>
          <w:p w14:paraId="4000F827">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49.8 </w:t>
            </w:r>
          </w:p>
        </w:tc>
        <w:tc>
          <w:tcPr>
            <w:tcW w:w="542" w:type="dxa"/>
            <w:vMerge w:val="continue"/>
            <w:shd w:val="clear" w:color="auto" w:fill="auto"/>
            <w:noWrap w:val="0"/>
            <w:vAlign w:val="center"/>
          </w:tcPr>
          <w:p w14:paraId="5DC0C245">
            <w:pPr>
              <w:spacing w:line="280" w:lineRule="exact"/>
              <w:jc w:val="center"/>
              <w:rPr>
                <w:rFonts w:hint="default" w:ascii="Times New Roman" w:hAnsi="Times New Roman" w:eastAsia="宋体"/>
                <w:color w:val="000000" w:themeColor="text1"/>
                <w:szCs w:val="21"/>
                <w:highlight w:val="none"/>
                <w:lang w:val="en-US" w:eastAsia="zh-CN"/>
                <w14:textFill>
                  <w14:solidFill>
                    <w14:schemeClr w14:val="tx1"/>
                  </w14:solidFill>
                </w14:textFill>
              </w:rPr>
            </w:pPr>
          </w:p>
        </w:tc>
        <w:tc>
          <w:tcPr>
            <w:tcW w:w="897" w:type="dxa"/>
            <w:shd w:val="clear" w:color="auto" w:fill="auto"/>
            <w:noWrap w:val="0"/>
            <w:vAlign w:val="center"/>
          </w:tcPr>
          <w:p w14:paraId="6A50A589">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24.3</w:t>
            </w:r>
          </w:p>
        </w:tc>
        <w:tc>
          <w:tcPr>
            <w:tcW w:w="746" w:type="dxa"/>
            <w:shd w:val="clear" w:color="auto" w:fill="auto"/>
            <w:noWrap w:val="0"/>
            <w:vAlign w:val="center"/>
          </w:tcPr>
          <w:p w14:paraId="29CE7770">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26.3</w:t>
            </w:r>
          </w:p>
        </w:tc>
        <w:tc>
          <w:tcPr>
            <w:tcW w:w="689" w:type="dxa"/>
            <w:shd w:val="clear" w:color="auto" w:fill="auto"/>
            <w:noWrap w:val="0"/>
            <w:vAlign w:val="center"/>
          </w:tcPr>
          <w:p w14:paraId="6D17F313">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25.5</w:t>
            </w:r>
          </w:p>
        </w:tc>
        <w:tc>
          <w:tcPr>
            <w:tcW w:w="838" w:type="dxa"/>
            <w:shd w:val="clear" w:color="auto" w:fill="auto"/>
            <w:noWrap w:val="0"/>
            <w:vAlign w:val="center"/>
          </w:tcPr>
          <w:p w14:paraId="0B18F7F9">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25.5</w:t>
            </w:r>
          </w:p>
        </w:tc>
        <w:tc>
          <w:tcPr>
            <w:tcW w:w="750" w:type="dxa"/>
            <w:shd w:val="clear" w:color="auto" w:fill="auto"/>
            <w:noWrap w:val="0"/>
            <w:vAlign w:val="center"/>
          </w:tcPr>
          <w:p w14:paraId="223597F3">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25.5</w:t>
            </w:r>
          </w:p>
        </w:tc>
        <w:tc>
          <w:tcPr>
            <w:tcW w:w="1096" w:type="dxa"/>
            <w:shd w:val="clear" w:color="auto" w:fill="auto"/>
            <w:noWrap w:val="0"/>
            <w:vAlign w:val="center"/>
          </w:tcPr>
          <w:p w14:paraId="441762FC">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r>
      <w:tr w14:paraId="270D56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7" w:type="dxa"/>
            <w:shd w:val="clear" w:color="auto" w:fill="auto"/>
            <w:noWrap w:val="0"/>
            <w:vAlign w:val="center"/>
          </w:tcPr>
          <w:p w14:paraId="24065821">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35</w:t>
            </w:r>
          </w:p>
        </w:tc>
        <w:tc>
          <w:tcPr>
            <w:tcW w:w="714" w:type="dxa"/>
            <w:vMerge w:val="continue"/>
            <w:shd w:val="clear" w:color="auto" w:fill="auto"/>
            <w:noWrap w:val="0"/>
            <w:vAlign w:val="center"/>
          </w:tcPr>
          <w:p w14:paraId="0793B1BD">
            <w:pPr>
              <w:autoSpaceDN w:val="0"/>
              <w:adjustRightInd w:val="0"/>
              <w:snapToGrid w:val="0"/>
              <w:jc w:val="center"/>
              <w:textAlignment w:val="top"/>
              <w:rPr>
                <w:rFonts w:hint="default" w:ascii="Times New Roman" w:hAnsi="Times New Roman" w:cs="Times New Roman"/>
                <w:color w:val="000000" w:themeColor="text1"/>
                <w:szCs w:val="21"/>
                <w:highlight w:val="none"/>
                <w:lang w:val="en-US" w:eastAsia="zh-CN"/>
                <w14:textFill>
                  <w14:solidFill>
                    <w14:schemeClr w14:val="tx1"/>
                  </w14:solidFill>
                </w14:textFill>
              </w:rPr>
            </w:pPr>
          </w:p>
        </w:tc>
        <w:tc>
          <w:tcPr>
            <w:tcW w:w="714" w:type="dxa"/>
            <w:shd w:val="clear" w:color="auto" w:fill="auto"/>
            <w:noWrap w:val="0"/>
            <w:vAlign w:val="center"/>
          </w:tcPr>
          <w:p w14:paraId="5C6F7F71">
            <w:pPr>
              <w:autoSpaceDN w:val="0"/>
              <w:adjustRightInd w:val="0"/>
              <w:snapToGrid w:val="0"/>
              <w:jc w:val="center"/>
              <w:textAlignment w:val="top"/>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冷水机组</w:t>
            </w:r>
            <w:r>
              <w:rPr>
                <w:rFonts w:hint="eastAsia" w:ascii="Times New Roman" w:hAnsi="Times New Roman" w:cs="Times New Roman"/>
                <w:color w:val="000000" w:themeColor="text1"/>
                <w:szCs w:val="21"/>
                <w:highlight w:val="none"/>
                <w:lang w:val="en-US" w:eastAsia="zh-CN"/>
                <w14:textFill>
                  <w14:solidFill>
                    <w14:schemeClr w14:val="tx1"/>
                  </w14:solidFill>
                </w14:textFill>
              </w:rPr>
              <w:t>4#</w:t>
            </w:r>
          </w:p>
        </w:tc>
        <w:tc>
          <w:tcPr>
            <w:tcW w:w="537" w:type="dxa"/>
            <w:shd w:val="clear" w:color="auto" w:fill="auto"/>
            <w:noWrap w:val="0"/>
            <w:vAlign w:val="center"/>
          </w:tcPr>
          <w:p w14:paraId="0EB9FBBF">
            <w:pPr>
              <w:spacing w:line="280" w:lineRule="exact"/>
              <w:jc w:val="center"/>
              <w:rPr>
                <w:rFonts w:hint="eastAsia"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75</w:t>
            </w:r>
          </w:p>
        </w:tc>
        <w:tc>
          <w:tcPr>
            <w:tcW w:w="537" w:type="dxa"/>
            <w:shd w:val="clear" w:color="auto" w:fill="auto"/>
            <w:noWrap w:val="0"/>
            <w:vAlign w:val="center"/>
          </w:tcPr>
          <w:p w14:paraId="2489015E">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36.64</w:t>
            </w:r>
          </w:p>
        </w:tc>
        <w:tc>
          <w:tcPr>
            <w:tcW w:w="537" w:type="dxa"/>
            <w:shd w:val="clear" w:color="auto" w:fill="auto"/>
            <w:noWrap w:val="0"/>
            <w:vAlign w:val="center"/>
          </w:tcPr>
          <w:p w14:paraId="00C3393B">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142.63</w:t>
            </w:r>
          </w:p>
        </w:tc>
        <w:tc>
          <w:tcPr>
            <w:tcW w:w="558" w:type="dxa"/>
            <w:shd w:val="clear" w:color="auto" w:fill="auto"/>
            <w:noWrap w:val="0"/>
            <w:vAlign w:val="center"/>
          </w:tcPr>
          <w:p w14:paraId="705EE8DF">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1.3</w:t>
            </w:r>
          </w:p>
        </w:tc>
        <w:tc>
          <w:tcPr>
            <w:tcW w:w="537" w:type="dxa"/>
            <w:shd w:val="clear" w:color="auto" w:fill="auto"/>
            <w:noWrap w:val="0"/>
            <w:vAlign w:val="center"/>
          </w:tcPr>
          <w:p w14:paraId="625864A3">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11.5</w:t>
            </w:r>
          </w:p>
        </w:tc>
        <w:tc>
          <w:tcPr>
            <w:tcW w:w="537" w:type="dxa"/>
            <w:shd w:val="clear" w:color="auto" w:fill="auto"/>
            <w:noWrap w:val="0"/>
            <w:vAlign w:val="center"/>
          </w:tcPr>
          <w:p w14:paraId="0DAD7903">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128.7</w:t>
            </w:r>
          </w:p>
        </w:tc>
        <w:tc>
          <w:tcPr>
            <w:tcW w:w="542" w:type="dxa"/>
            <w:shd w:val="clear" w:color="auto" w:fill="auto"/>
            <w:noWrap w:val="0"/>
            <w:vAlign w:val="center"/>
          </w:tcPr>
          <w:p w14:paraId="2F90201F">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141.0</w:t>
            </w:r>
          </w:p>
        </w:tc>
        <w:tc>
          <w:tcPr>
            <w:tcW w:w="558" w:type="dxa"/>
            <w:shd w:val="clear" w:color="auto" w:fill="auto"/>
            <w:noWrap w:val="0"/>
            <w:vAlign w:val="center"/>
          </w:tcPr>
          <w:p w14:paraId="15D8D489">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45.3</w:t>
            </w:r>
          </w:p>
        </w:tc>
        <w:tc>
          <w:tcPr>
            <w:tcW w:w="542" w:type="dxa"/>
            <w:shd w:val="clear" w:color="auto" w:fill="auto"/>
            <w:noWrap w:val="0"/>
            <w:vAlign w:val="center"/>
          </w:tcPr>
          <w:p w14:paraId="7F4D51ED">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50.6 </w:t>
            </w:r>
          </w:p>
        </w:tc>
        <w:tc>
          <w:tcPr>
            <w:tcW w:w="542" w:type="dxa"/>
            <w:shd w:val="clear" w:color="auto" w:fill="auto"/>
            <w:noWrap w:val="0"/>
            <w:vAlign w:val="center"/>
          </w:tcPr>
          <w:p w14:paraId="234DBCC4">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49.8 </w:t>
            </w:r>
          </w:p>
        </w:tc>
        <w:tc>
          <w:tcPr>
            <w:tcW w:w="542" w:type="dxa"/>
            <w:shd w:val="clear" w:color="auto" w:fill="auto"/>
            <w:noWrap w:val="0"/>
            <w:vAlign w:val="center"/>
          </w:tcPr>
          <w:p w14:paraId="718F7889">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49.8 </w:t>
            </w:r>
          </w:p>
        </w:tc>
        <w:tc>
          <w:tcPr>
            <w:tcW w:w="555" w:type="dxa"/>
            <w:shd w:val="clear" w:color="auto" w:fill="auto"/>
            <w:noWrap w:val="0"/>
            <w:vAlign w:val="center"/>
          </w:tcPr>
          <w:p w14:paraId="279AB18E">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49.8 </w:t>
            </w:r>
          </w:p>
        </w:tc>
        <w:tc>
          <w:tcPr>
            <w:tcW w:w="542" w:type="dxa"/>
            <w:vMerge w:val="continue"/>
            <w:shd w:val="clear" w:color="auto" w:fill="auto"/>
            <w:noWrap w:val="0"/>
            <w:vAlign w:val="center"/>
          </w:tcPr>
          <w:p w14:paraId="3DAE2359">
            <w:pPr>
              <w:spacing w:line="280" w:lineRule="exact"/>
              <w:jc w:val="center"/>
              <w:rPr>
                <w:rFonts w:hint="default" w:ascii="Times New Roman" w:hAnsi="Times New Roman" w:eastAsia="宋体"/>
                <w:color w:val="000000" w:themeColor="text1"/>
                <w:szCs w:val="21"/>
                <w:highlight w:val="none"/>
                <w:lang w:val="en-US" w:eastAsia="zh-CN"/>
                <w14:textFill>
                  <w14:solidFill>
                    <w14:schemeClr w14:val="tx1"/>
                  </w14:solidFill>
                </w14:textFill>
              </w:rPr>
            </w:pPr>
          </w:p>
        </w:tc>
        <w:tc>
          <w:tcPr>
            <w:tcW w:w="897" w:type="dxa"/>
            <w:shd w:val="clear" w:color="auto" w:fill="auto"/>
            <w:noWrap w:val="0"/>
            <w:vAlign w:val="center"/>
          </w:tcPr>
          <w:p w14:paraId="4FA80619">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24.3</w:t>
            </w:r>
          </w:p>
        </w:tc>
        <w:tc>
          <w:tcPr>
            <w:tcW w:w="746" w:type="dxa"/>
            <w:shd w:val="clear" w:color="auto" w:fill="auto"/>
            <w:noWrap w:val="0"/>
            <w:vAlign w:val="center"/>
          </w:tcPr>
          <w:p w14:paraId="0DB49381">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26.3</w:t>
            </w:r>
          </w:p>
        </w:tc>
        <w:tc>
          <w:tcPr>
            <w:tcW w:w="689" w:type="dxa"/>
            <w:shd w:val="clear" w:color="auto" w:fill="auto"/>
            <w:noWrap w:val="0"/>
            <w:vAlign w:val="center"/>
          </w:tcPr>
          <w:p w14:paraId="21F5A931">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25.5</w:t>
            </w:r>
          </w:p>
        </w:tc>
        <w:tc>
          <w:tcPr>
            <w:tcW w:w="838" w:type="dxa"/>
            <w:shd w:val="clear" w:color="auto" w:fill="auto"/>
            <w:noWrap w:val="0"/>
            <w:vAlign w:val="center"/>
          </w:tcPr>
          <w:p w14:paraId="631A5E2C">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25.5</w:t>
            </w:r>
          </w:p>
        </w:tc>
        <w:tc>
          <w:tcPr>
            <w:tcW w:w="750" w:type="dxa"/>
            <w:shd w:val="clear" w:color="auto" w:fill="auto"/>
            <w:noWrap w:val="0"/>
            <w:vAlign w:val="center"/>
          </w:tcPr>
          <w:p w14:paraId="39D8A3A5">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25.5</w:t>
            </w:r>
          </w:p>
        </w:tc>
        <w:tc>
          <w:tcPr>
            <w:tcW w:w="1096" w:type="dxa"/>
            <w:shd w:val="clear" w:color="auto" w:fill="auto"/>
            <w:noWrap w:val="0"/>
            <w:vAlign w:val="center"/>
          </w:tcPr>
          <w:p w14:paraId="09720F8E">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r>
      <w:tr w14:paraId="53422B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14473A83">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36</w:t>
            </w:r>
          </w:p>
        </w:tc>
        <w:tc>
          <w:tcPr>
            <w:tcW w:w="714" w:type="dxa"/>
            <w:vMerge w:val="continue"/>
            <w:shd w:val="clear" w:color="auto" w:fill="auto"/>
            <w:noWrap w:val="0"/>
            <w:vAlign w:val="center"/>
          </w:tcPr>
          <w:p w14:paraId="32515293">
            <w:pPr>
              <w:autoSpaceDN w:val="0"/>
              <w:adjustRightInd w:val="0"/>
              <w:snapToGrid w:val="0"/>
              <w:jc w:val="center"/>
              <w:textAlignment w:val="top"/>
              <w:rPr>
                <w:rFonts w:hint="default" w:ascii="Times New Roman" w:hAnsi="Times New Roman" w:cs="Times New Roman"/>
                <w:color w:val="000000" w:themeColor="text1"/>
                <w:szCs w:val="21"/>
                <w:highlight w:val="none"/>
                <w14:textFill>
                  <w14:solidFill>
                    <w14:schemeClr w14:val="tx1"/>
                  </w14:solidFill>
                </w14:textFill>
              </w:rPr>
            </w:pPr>
          </w:p>
        </w:tc>
        <w:tc>
          <w:tcPr>
            <w:tcW w:w="714" w:type="dxa"/>
            <w:shd w:val="clear" w:color="auto" w:fill="auto"/>
            <w:noWrap w:val="0"/>
            <w:vAlign w:val="center"/>
          </w:tcPr>
          <w:p w14:paraId="6F07ACA0">
            <w:pPr>
              <w:autoSpaceDN w:val="0"/>
              <w:adjustRightInd w:val="0"/>
              <w:snapToGrid w:val="0"/>
              <w:jc w:val="center"/>
              <w:textAlignment w:val="top"/>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冷水机组</w:t>
            </w:r>
            <w:r>
              <w:rPr>
                <w:rFonts w:hint="eastAsia" w:ascii="Times New Roman" w:hAnsi="Times New Roman" w:cs="Times New Roman"/>
                <w:color w:val="000000" w:themeColor="text1"/>
                <w:szCs w:val="21"/>
                <w:highlight w:val="none"/>
                <w:lang w:val="en-US" w:eastAsia="zh-CN"/>
                <w14:textFill>
                  <w14:solidFill>
                    <w14:schemeClr w14:val="tx1"/>
                  </w14:solidFill>
                </w14:textFill>
              </w:rPr>
              <w:t>5#</w:t>
            </w:r>
          </w:p>
        </w:tc>
        <w:tc>
          <w:tcPr>
            <w:tcW w:w="537" w:type="dxa"/>
            <w:shd w:val="clear" w:color="auto" w:fill="auto"/>
            <w:noWrap w:val="0"/>
            <w:vAlign w:val="center"/>
          </w:tcPr>
          <w:p w14:paraId="73A34165">
            <w:pPr>
              <w:spacing w:line="280" w:lineRule="exact"/>
              <w:jc w:val="center"/>
              <w:rPr>
                <w:rFonts w:hint="eastAsia"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75</w:t>
            </w:r>
          </w:p>
        </w:tc>
        <w:tc>
          <w:tcPr>
            <w:tcW w:w="537" w:type="dxa"/>
            <w:shd w:val="clear" w:color="auto" w:fill="auto"/>
            <w:noWrap w:val="0"/>
            <w:vAlign w:val="center"/>
          </w:tcPr>
          <w:p w14:paraId="2A2B130D">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37.38</w:t>
            </w:r>
          </w:p>
        </w:tc>
        <w:tc>
          <w:tcPr>
            <w:tcW w:w="537" w:type="dxa"/>
            <w:shd w:val="clear" w:color="auto" w:fill="auto"/>
            <w:noWrap w:val="0"/>
            <w:vAlign w:val="center"/>
          </w:tcPr>
          <w:p w14:paraId="6D935DBC">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140.31</w:t>
            </w:r>
          </w:p>
        </w:tc>
        <w:tc>
          <w:tcPr>
            <w:tcW w:w="558" w:type="dxa"/>
            <w:shd w:val="clear" w:color="auto" w:fill="auto"/>
            <w:noWrap w:val="0"/>
            <w:vAlign w:val="center"/>
          </w:tcPr>
          <w:p w14:paraId="07ECE366">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1.3</w:t>
            </w:r>
          </w:p>
        </w:tc>
        <w:tc>
          <w:tcPr>
            <w:tcW w:w="537" w:type="dxa"/>
            <w:shd w:val="clear" w:color="auto" w:fill="auto"/>
            <w:noWrap w:val="0"/>
            <w:vAlign w:val="center"/>
          </w:tcPr>
          <w:p w14:paraId="498273A6">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10.8</w:t>
            </w:r>
          </w:p>
        </w:tc>
        <w:tc>
          <w:tcPr>
            <w:tcW w:w="537" w:type="dxa"/>
            <w:shd w:val="clear" w:color="auto" w:fill="auto"/>
            <w:noWrap w:val="0"/>
            <w:vAlign w:val="center"/>
          </w:tcPr>
          <w:p w14:paraId="36E2D303">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124.4</w:t>
            </w:r>
          </w:p>
        </w:tc>
        <w:tc>
          <w:tcPr>
            <w:tcW w:w="542" w:type="dxa"/>
            <w:shd w:val="clear" w:color="auto" w:fill="auto"/>
            <w:noWrap w:val="0"/>
            <w:vAlign w:val="center"/>
          </w:tcPr>
          <w:p w14:paraId="01BA96E6">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139.3</w:t>
            </w:r>
          </w:p>
        </w:tc>
        <w:tc>
          <w:tcPr>
            <w:tcW w:w="558" w:type="dxa"/>
            <w:shd w:val="clear" w:color="auto" w:fill="auto"/>
            <w:noWrap w:val="0"/>
            <w:vAlign w:val="center"/>
          </w:tcPr>
          <w:p w14:paraId="30E20CB5">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40.5</w:t>
            </w:r>
          </w:p>
        </w:tc>
        <w:tc>
          <w:tcPr>
            <w:tcW w:w="542" w:type="dxa"/>
            <w:shd w:val="clear" w:color="auto" w:fill="auto"/>
            <w:noWrap w:val="0"/>
            <w:vAlign w:val="center"/>
          </w:tcPr>
          <w:p w14:paraId="5CC918CF">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50.7 </w:t>
            </w:r>
          </w:p>
        </w:tc>
        <w:tc>
          <w:tcPr>
            <w:tcW w:w="542" w:type="dxa"/>
            <w:shd w:val="clear" w:color="auto" w:fill="auto"/>
            <w:noWrap w:val="0"/>
            <w:vAlign w:val="center"/>
          </w:tcPr>
          <w:p w14:paraId="5D35089D">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49.8 </w:t>
            </w:r>
          </w:p>
        </w:tc>
        <w:tc>
          <w:tcPr>
            <w:tcW w:w="542" w:type="dxa"/>
            <w:shd w:val="clear" w:color="auto" w:fill="auto"/>
            <w:noWrap w:val="0"/>
            <w:vAlign w:val="center"/>
          </w:tcPr>
          <w:p w14:paraId="2315AAD1">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49.8 </w:t>
            </w:r>
          </w:p>
        </w:tc>
        <w:tc>
          <w:tcPr>
            <w:tcW w:w="555" w:type="dxa"/>
            <w:shd w:val="clear" w:color="auto" w:fill="auto"/>
            <w:noWrap w:val="0"/>
            <w:vAlign w:val="center"/>
          </w:tcPr>
          <w:p w14:paraId="1E123D8E">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49.8 </w:t>
            </w:r>
          </w:p>
        </w:tc>
        <w:tc>
          <w:tcPr>
            <w:tcW w:w="542" w:type="dxa"/>
            <w:vMerge w:val="continue"/>
            <w:shd w:val="clear" w:color="auto" w:fill="auto"/>
            <w:noWrap w:val="0"/>
            <w:vAlign w:val="center"/>
          </w:tcPr>
          <w:p w14:paraId="4AD1815F">
            <w:pPr>
              <w:spacing w:line="280" w:lineRule="exact"/>
              <w:jc w:val="center"/>
              <w:rPr>
                <w:rFonts w:hint="default" w:ascii="Times New Roman" w:hAnsi="Times New Roman" w:eastAsia="宋体"/>
                <w:color w:val="000000" w:themeColor="text1"/>
                <w:szCs w:val="21"/>
                <w:highlight w:val="none"/>
                <w:lang w:val="en-US" w:eastAsia="zh-CN"/>
                <w14:textFill>
                  <w14:solidFill>
                    <w14:schemeClr w14:val="tx1"/>
                  </w14:solidFill>
                </w14:textFill>
              </w:rPr>
            </w:pPr>
          </w:p>
        </w:tc>
        <w:tc>
          <w:tcPr>
            <w:tcW w:w="897" w:type="dxa"/>
            <w:shd w:val="clear" w:color="auto" w:fill="auto"/>
            <w:noWrap w:val="0"/>
            <w:vAlign w:val="center"/>
          </w:tcPr>
          <w:p w14:paraId="7893A7C8">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24.3</w:t>
            </w:r>
          </w:p>
        </w:tc>
        <w:tc>
          <w:tcPr>
            <w:tcW w:w="746" w:type="dxa"/>
            <w:shd w:val="clear" w:color="auto" w:fill="auto"/>
            <w:noWrap w:val="0"/>
            <w:vAlign w:val="center"/>
          </w:tcPr>
          <w:p w14:paraId="365043C4">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26.4</w:t>
            </w:r>
          </w:p>
        </w:tc>
        <w:tc>
          <w:tcPr>
            <w:tcW w:w="689" w:type="dxa"/>
            <w:shd w:val="clear" w:color="auto" w:fill="auto"/>
            <w:noWrap w:val="0"/>
            <w:vAlign w:val="center"/>
          </w:tcPr>
          <w:p w14:paraId="179F6260">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25.5</w:t>
            </w:r>
          </w:p>
        </w:tc>
        <w:tc>
          <w:tcPr>
            <w:tcW w:w="838" w:type="dxa"/>
            <w:shd w:val="clear" w:color="auto" w:fill="auto"/>
            <w:noWrap w:val="0"/>
            <w:vAlign w:val="center"/>
          </w:tcPr>
          <w:p w14:paraId="25E301E2">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25.5</w:t>
            </w:r>
          </w:p>
        </w:tc>
        <w:tc>
          <w:tcPr>
            <w:tcW w:w="750" w:type="dxa"/>
            <w:shd w:val="clear" w:color="auto" w:fill="auto"/>
            <w:noWrap w:val="0"/>
            <w:vAlign w:val="center"/>
          </w:tcPr>
          <w:p w14:paraId="5586D84D">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25.5</w:t>
            </w:r>
          </w:p>
        </w:tc>
        <w:tc>
          <w:tcPr>
            <w:tcW w:w="1096" w:type="dxa"/>
            <w:shd w:val="clear" w:color="auto" w:fill="auto"/>
            <w:noWrap w:val="0"/>
            <w:vAlign w:val="center"/>
          </w:tcPr>
          <w:p w14:paraId="7BAA3839">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r>
      <w:tr w14:paraId="548533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58ACA135">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37</w:t>
            </w:r>
          </w:p>
        </w:tc>
        <w:tc>
          <w:tcPr>
            <w:tcW w:w="714" w:type="dxa"/>
            <w:vMerge w:val="continue"/>
            <w:shd w:val="clear" w:color="auto" w:fill="auto"/>
            <w:noWrap w:val="0"/>
            <w:vAlign w:val="center"/>
          </w:tcPr>
          <w:p w14:paraId="79FA52A3">
            <w:pPr>
              <w:autoSpaceDN w:val="0"/>
              <w:adjustRightInd w:val="0"/>
              <w:snapToGrid w:val="0"/>
              <w:jc w:val="center"/>
              <w:textAlignment w:val="top"/>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714" w:type="dxa"/>
            <w:shd w:val="clear" w:color="auto" w:fill="auto"/>
            <w:noWrap w:val="0"/>
            <w:vAlign w:val="center"/>
          </w:tcPr>
          <w:p w14:paraId="00EF8B64">
            <w:pPr>
              <w:autoSpaceDN w:val="0"/>
              <w:adjustRightInd w:val="0"/>
              <w:snapToGrid w:val="0"/>
              <w:jc w:val="center"/>
              <w:textAlignment w:val="top"/>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cs="Times New Roman"/>
                <w:color w:val="000000" w:themeColor="text1"/>
                <w:szCs w:val="21"/>
                <w:highlight w:val="none"/>
                <w:lang w:val="en-US" w:eastAsia="zh-CN"/>
                <w14:textFill>
                  <w14:solidFill>
                    <w14:schemeClr w14:val="tx1"/>
                  </w14:solidFill>
                </w14:textFill>
              </w:rPr>
              <w:t>空压机1#</w:t>
            </w:r>
          </w:p>
        </w:tc>
        <w:tc>
          <w:tcPr>
            <w:tcW w:w="537" w:type="dxa"/>
            <w:shd w:val="clear" w:color="auto" w:fill="auto"/>
            <w:noWrap w:val="0"/>
            <w:vAlign w:val="center"/>
          </w:tcPr>
          <w:p w14:paraId="617181AE">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95</w:t>
            </w:r>
          </w:p>
        </w:tc>
        <w:tc>
          <w:tcPr>
            <w:tcW w:w="537" w:type="dxa"/>
            <w:shd w:val="clear" w:color="auto" w:fill="auto"/>
            <w:noWrap w:val="0"/>
            <w:vAlign w:val="center"/>
          </w:tcPr>
          <w:p w14:paraId="6826C2A9">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-86.92</w:t>
            </w:r>
          </w:p>
        </w:tc>
        <w:tc>
          <w:tcPr>
            <w:tcW w:w="537" w:type="dxa"/>
            <w:shd w:val="clear" w:color="auto" w:fill="auto"/>
            <w:noWrap w:val="0"/>
            <w:vAlign w:val="center"/>
          </w:tcPr>
          <w:p w14:paraId="216CDF70">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145.79</w:t>
            </w:r>
          </w:p>
        </w:tc>
        <w:tc>
          <w:tcPr>
            <w:tcW w:w="558" w:type="dxa"/>
            <w:shd w:val="clear" w:color="auto" w:fill="auto"/>
            <w:noWrap w:val="0"/>
            <w:vAlign w:val="center"/>
          </w:tcPr>
          <w:p w14:paraId="3E889FB1">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1.5</w:t>
            </w:r>
          </w:p>
        </w:tc>
        <w:tc>
          <w:tcPr>
            <w:tcW w:w="537" w:type="dxa"/>
            <w:shd w:val="clear" w:color="auto" w:fill="auto"/>
            <w:noWrap w:val="0"/>
            <w:vAlign w:val="center"/>
          </w:tcPr>
          <w:p w14:paraId="3E7EBB10">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128.1</w:t>
            </w:r>
          </w:p>
        </w:tc>
        <w:tc>
          <w:tcPr>
            <w:tcW w:w="537" w:type="dxa"/>
            <w:shd w:val="clear" w:color="auto" w:fill="auto"/>
            <w:noWrap w:val="0"/>
            <w:vAlign w:val="center"/>
          </w:tcPr>
          <w:p w14:paraId="4D19BC9F">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70.2</w:t>
            </w:r>
          </w:p>
        </w:tc>
        <w:tc>
          <w:tcPr>
            <w:tcW w:w="542" w:type="dxa"/>
            <w:shd w:val="clear" w:color="auto" w:fill="auto"/>
            <w:noWrap w:val="0"/>
            <w:vAlign w:val="center"/>
          </w:tcPr>
          <w:p w14:paraId="45AD51E9">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19.4</w:t>
            </w:r>
          </w:p>
        </w:tc>
        <w:tc>
          <w:tcPr>
            <w:tcW w:w="558" w:type="dxa"/>
            <w:shd w:val="clear" w:color="auto" w:fill="auto"/>
            <w:noWrap w:val="0"/>
            <w:vAlign w:val="center"/>
          </w:tcPr>
          <w:p w14:paraId="0CD4A2B2">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9.8</w:t>
            </w:r>
          </w:p>
        </w:tc>
        <w:tc>
          <w:tcPr>
            <w:tcW w:w="542" w:type="dxa"/>
            <w:shd w:val="clear" w:color="auto" w:fill="auto"/>
            <w:noWrap w:val="0"/>
            <w:vAlign w:val="center"/>
          </w:tcPr>
          <w:p w14:paraId="51E57E69">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69.8 </w:t>
            </w:r>
          </w:p>
        </w:tc>
        <w:tc>
          <w:tcPr>
            <w:tcW w:w="542" w:type="dxa"/>
            <w:shd w:val="clear" w:color="auto" w:fill="auto"/>
            <w:noWrap w:val="0"/>
            <w:vAlign w:val="center"/>
          </w:tcPr>
          <w:p w14:paraId="3651EB3B">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69.8 </w:t>
            </w:r>
          </w:p>
        </w:tc>
        <w:tc>
          <w:tcPr>
            <w:tcW w:w="542" w:type="dxa"/>
            <w:shd w:val="clear" w:color="auto" w:fill="auto"/>
            <w:noWrap w:val="0"/>
            <w:vAlign w:val="center"/>
          </w:tcPr>
          <w:p w14:paraId="4C032689">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70.1 </w:t>
            </w:r>
          </w:p>
        </w:tc>
        <w:tc>
          <w:tcPr>
            <w:tcW w:w="555" w:type="dxa"/>
            <w:shd w:val="clear" w:color="auto" w:fill="auto"/>
            <w:noWrap w:val="0"/>
            <w:vAlign w:val="center"/>
          </w:tcPr>
          <w:p w14:paraId="73799B00">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70.8 </w:t>
            </w:r>
          </w:p>
        </w:tc>
        <w:tc>
          <w:tcPr>
            <w:tcW w:w="542" w:type="dxa"/>
            <w:vMerge w:val="continue"/>
            <w:shd w:val="clear" w:color="auto" w:fill="auto"/>
            <w:noWrap w:val="0"/>
            <w:vAlign w:val="center"/>
          </w:tcPr>
          <w:p w14:paraId="2A50FC39">
            <w:pPr>
              <w:spacing w:line="280" w:lineRule="exact"/>
              <w:jc w:val="center"/>
              <w:rPr>
                <w:rFonts w:hint="default" w:ascii="Times New Roman" w:hAnsi="Times New Roman" w:eastAsia="宋体"/>
                <w:color w:val="000000" w:themeColor="text1"/>
                <w:szCs w:val="21"/>
                <w:highlight w:val="none"/>
                <w:lang w:val="en-US" w:eastAsia="zh-CN"/>
                <w14:textFill>
                  <w14:solidFill>
                    <w14:schemeClr w14:val="tx1"/>
                  </w14:solidFill>
                </w14:textFill>
              </w:rPr>
            </w:pPr>
          </w:p>
        </w:tc>
        <w:tc>
          <w:tcPr>
            <w:tcW w:w="897" w:type="dxa"/>
            <w:shd w:val="clear" w:color="auto" w:fill="auto"/>
            <w:noWrap w:val="0"/>
            <w:vAlign w:val="center"/>
          </w:tcPr>
          <w:p w14:paraId="53DB3773">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24.3</w:t>
            </w:r>
          </w:p>
        </w:tc>
        <w:tc>
          <w:tcPr>
            <w:tcW w:w="746" w:type="dxa"/>
            <w:shd w:val="clear" w:color="auto" w:fill="auto"/>
            <w:noWrap w:val="0"/>
            <w:vAlign w:val="center"/>
          </w:tcPr>
          <w:p w14:paraId="79131AE2">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45.5</w:t>
            </w:r>
          </w:p>
        </w:tc>
        <w:tc>
          <w:tcPr>
            <w:tcW w:w="689" w:type="dxa"/>
            <w:shd w:val="clear" w:color="auto" w:fill="auto"/>
            <w:noWrap w:val="0"/>
            <w:vAlign w:val="center"/>
          </w:tcPr>
          <w:p w14:paraId="6BFB0B37">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45.5</w:t>
            </w:r>
          </w:p>
        </w:tc>
        <w:tc>
          <w:tcPr>
            <w:tcW w:w="838" w:type="dxa"/>
            <w:shd w:val="clear" w:color="auto" w:fill="auto"/>
            <w:noWrap w:val="0"/>
            <w:vAlign w:val="center"/>
          </w:tcPr>
          <w:p w14:paraId="5E80A50F">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45.8</w:t>
            </w:r>
          </w:p>
        </w:tc>
        <w:tc>
          <w:tcPr>
            <w:tcW w:w="750" w:type="dxa"/>
            <w:shd w:val="clear" w:color="auto" w:fill="auto"/>
            <w:noWrap w:val="0"/>
            <w:vAlign w:val="center"/>
          </w:tcPr>
          <w:p w14:paraId="1B21A8D4">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46.5</w:t>
            </w:r>
          </w:p>
        </w:tc>
        <w:tc>
          <w:tcPr>
            <w:tcW w:w="1096" w:type="dxa"/>
            <w:shd w:val="clear" w:color="auto" w:fill="auto"/>
            <w:noWrap w:val="0"/>
            <w:vAlign w:val="center"/>
          </w:tcPr>
          <w:p w14:paraId="758BAD1C">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r>
      <w:tr w14:paraId="011F99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646C6E96">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38</w:t>
            </w:r>
          </w:p>
        </w:tc>
        <w:tc>
          <w:tcPr>
            <w:tcW w:w="714" w:type="dxa"/>
            <w:vMerge w:val="continue"/>
            <w:shd w:val="clear" w:color="auto" w:fill="auto"/>
            <w:noWrap w:val="0"/>
            <w:vAlign w:val="center"/>
          </w:tcPr>
          <w:p w14:paraId="467D37ED">
            <w:pPr>
              <w:autoSpaceDN w:val="0"/>
              <w:adjustRightInd w:val="0"/>
              <w:snapToGrid w:val="0"/>
              <w:jc w:val="center"/>
              <w:textAlignment w:val="top"/>
              <w:rPr>
                <w:rFonts w:hint="default" w:ascii="Times New Roman" w:hAnsi="Times New Roman" w:cs="Times New Roman"/>
                <w:color w:val="000000" w:themeColor="text1"/>
                <w:szCs w:val="21"/>
                <w:highlight w:val="none"/>
                <w14:textFill>
                  <w14:solidFill>
                    <w14:schemeClr w14:val="tx1"/>
                  </w14:solidFill>
                </w14:textFill>
              </w:rPr>
            </w:pPr>
          </w:p>
        </w:tc>
        <w:tc>
          <w:tcPr>
            <w:tcW w:w="714" w:type="dxa"/>
            <w:shd w:val="clear" w:color="auto" w:fill="auto"/>
            <w:noWrap w:val="0"/>
            <w:vAlign w:val="center"/>
          </w:tcPr>
          <w:p w14:paraId="48354653">
            <w:pPr>
              <w:autoSpaceDN w:val="0"/>
              <w:adjustRightInd w:val="0"/>
              <w:snapToGrid w:val="0"/>
              <w:jc w:val="center"/>
              <w:textAlignment w:val="top"/>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cs="Times New Roman"/>
                <w:color w:val="000000" w:themeColor="text1"/>
                <w:szCs w:val="21"/>
                <w:highlight w:val="none"/>
                <w:lang w:val="en-US" w:eastAsia="zh-CN"/>
                <w14:textFill>
                  <w14:solidFill>
                    <w14:schemeClr w14:val="tx1"/>
                  </w14:solidFill>
                </w14:textFill>
              </w:rPr>
              <w:t>空压机2#</w:t>
            </w:r>
          </w:p>
        </w:tc>
        <w:tc>
          <w:tcPr>
            <w:tcW w:w="537" w:type="dxa"/>
            <w:shd w:val="clear" w:color="auto" w:fill="auto"/>
            <w:noWrap w:val="0"/>
            <w:vAlign w:val="center"/>
          </w:tcPr>
          <w:p w14:paraId="4EBD990D">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95</w:t>
            </w:r>
          </w:p>
        </w:tc>
        <w:tc>
          <w:tcPr>
            <w:tcW w:w="537" w:type="dxa"/>
            <w:shd w:val="clear" w:color="auto" w:fill="auto"/>
            <w:noWrap w:val="0"/>
            <w:vAlign w:val="center"/>
          </w:tcPr>
          <w:p w14:paraId="05679C81">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-83.23</w:t>
            </w:r>
          </w:p>
        </w:tc>
        <w:tc>
          <w:tcPr>
            <w:tcW w:w="537" w:type="dxa"/>
            <w:shd w:val="clear" w:color="auto" w:fill="auto"/>
            <w:noWrap w:val="0"/>
            <w:vAlign w:val="center"/>
          </w:tcPr>
          <w:p w14:paraId="4D460B41">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146.58</w:t>
            </w:r>
          </w:p>
        </w:tc>
        <w:tc>
          <w:tcPr>
            <w:tcW w:w="558" w:type="dxa"/>
            <w:shd w:val="clear" w:color="auto" w:fill="auto"/>
            <w:noWrap w:val="0"/>
            <w:vAlign w:val="center"/>
          </w:tcPr>
          <w:p w14:paraId="57604CCC">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1.5</w:t>
            </w:r>
          </w:p>
        </w:tc>
        <w:tc>
          <w:tcPr>
            <w:tcW w:w="537" w:type="dxa"/>
            <w:shd w:val="clear" w:color="auto" w:fill="auto"/>
            <w:noWrap w:val="0"/>
            <w:vAlign w:val="center"/>
          </w:tcPr>
          <w:p w14:paraId="55D3C021">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125.9</w:t>
            </w:r>
          </w:p>
        </w:tc>
        <w:tc>
          <w:tcPr>
            <w:tcW w:w="537" w:type="dxa"/>
            <w:shd w:val="clear" w:color="auto" w:fill="auto"/>
            <w:noWrap w:val="0"/>
            <w:vAlign w:val="center"/>
          </w:tcPr>
          <w:p w14:paraId="165F8A43">
            <w:pPr>
              <w:spacing w:line="280" w:lineRule="exac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67.9</w:t>
            </w:r>
          </w:p>
        </w:tc>
        <w:tc>
          <w:tcPr>
            <w:tcW w:w="542" w:type="dxa"/>
            <w:shd w:val="clear" w:color="auto" w:fill="auto"/>
            <w:noWrap w:val="0"/>
            <w:vAlign w:val="center"/>
          </w:tcPr>
          <w:p w14:paraId="7B1FDED7">
            <w:pPr>
              <w:spacing w:line="280" w:lineRule="exac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23.9</w:t>
            </w:r>
          </w:p>
        </w:tc>
        <w:tc>
          <w:tcPr>
            <w:tcW w:w="558" w:type="dxa"/>
            <w:shd w:val="clear" w:color="auto" w:fill="auto"/>
            <w:noWrap w:val="0"/>
            <w:vAlign w:val="center"/>
          </w:tcPr>
          <w:p w14:paraId="59FB4C78">
            <w:pPr>
              <w:spacing w:line="280" w:lineRule="exac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11.3</w:t>
            </w:r>
          </w:p>
        </w:tc>
        <w:tc>
          <w:tcPr>
            <w:tcW w:w="542" w:type="dxa"/>
            <w:shd w:val="clear" w:color="auto" w:fill="auto"/>
            <w:noWrap w:val="0"/>
            <w:vAlign w:val="center"/>
          </w:tcPr>
          <w:p w14:paraId="10256693">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 xml:space="preserve">69.8 </w:t>
            </w:r>
          </w:p>
        </w:tc>
        <w:tc>
          <w:tcPr>
            <w:tcW w:w="542" w:type="dxa"/>
            <w:shd w:val="clear" w:color="auto" w:fill="auto"/>
            <w:noWrap w:val="0"/>
            <w:vAlign w:val="center"/>
          </w:tcPr>
          <w:p w14:paraId="0CFF284D">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 xml:space="preserve">69.8 </w:t>
            </w:r>
          </w:p>
        </w:tc>
        <w:tc>
          <w:tcPr>
            <w:tcW w:w="542" w:type="dxa"/>
            <w:shd w:val="clear" w:color="auto" w:fill="auto"/>
            <w:noWrap w:val="0"/>
            <w:vAlign w:val="center"/>
          </w:tcPr>
          <w:p w14:paraId="4C16B03B">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 xml:space="preserve">70.0 </w:t>
            </w:r>
          </w:p>
        </w:tc>
        <w:tc>
          <w:tcPr>
            <w:tcW w:w="555" w:type="dxa"/>
            <w:shd w:val="clear" w:color="auto" w:fill="auto"/>
            <w:noWrap w:val="0"/>
            <w:vAlign w:val="center"/>
          </w:tcPr>
          <w:p w14:paraId="647596EB">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 xml:space="preserve">70.6 </w:t>
            </w:r>
          </w:p>
        </w:tc>
        <w:tc>
          <w:tcPr>
            <w:tcW w:w="542" w:type="dxa"/>
            <w:vMerge w:val="continue"/>
            <w:shd w:val="clear" w:color="auto" w:fill="auto"/>
            <w:noWrap w:val="0"/>
            <w:vAlign w:val="center"/>
          </w:tcPr>
          <w:p w14:paraId="33ECA947">
            <w:pPr>
              <w:spacing w:line="280" w:lineRule="exact"/>
              <w:jc w:val="center"/>
              <w:rPr>
                <w:rFonts w:hint="default" w:ascii="Times New Roman" w:hAnsi="Times New Roman" w:eastAsia="宋体"/>
                <w:color w:val="000000" w:themeColor="text1"/>
                <w:szCs w:val="21"/>
                <w:highlight w:val="none"/>
                <w:lang w:val="en-US" w:eastAsia="zh-CN"/>
                <w14:textFill>
                  <w14:solidFill>
                    <w14:schemeClr w14:val="tx1"/>
                  </w14:solidFill>
                </w14:textFill>
              </w:rPr>
            </w:pPr>
          </w:p>
        </w:tc>
        <w:tc>
          <w:tcPr>
            <w:tcW w:w="897" w:type="dxa"/>
            <w:shd w:val="clear" w:color="auto" w:fill="auto"/>
            <w:noWrap w:val="0"/>
            <w:vAlign w:val="center"/>
          </w:tcPr>
          <w:p w14:paraId="5578BBA5">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24.3</w:t>
            </w:r>
          </w:p>
        </w:tc>
        <w:tc>
          <w:tcPr>
            <w:tcW w:w="746" w:type="dxa"/>
            <w:shd w:val="clear" w:color="auto" w:fill="auto"/>
            <w:noWrap w:val="0"/>
            <w:vAlign w:val="center"/>
          </w:tcPr>
          <w:p w14:paraId="3EF7760C">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45.5</w:t>
            </w:r>
          </w:p>
        </w:tc>
        <w:tc>
          <w:tcPr>
            <w:tcW w:w="689" w:type="dxa"/>
            <w:shd w:val="clear" w:color="auto" w:fill="auto"/>
            <w:noWrap w:val="0"/>
            <w:vAlign w:val="center"/>
          </w:tcPr>
          <w:p w14:paraId="6A798D17">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45.5</w:t>
            </w:r>
          </w:p>
        </w:tc>
        <w:tc>
          <w:tcPr>
            <w:tcW w:w="838" w:type="dxa"/>
            <w:shd w:val="clear" w:color="auto" w:fill="auto"/>
            <w:noWrap w:val="0"/>
            <w:vAlign w:val="center"/>
          </w:tcPr>
          <w:p w14:paraId="2B2479FA">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45.7</w:t>
            </w:r>
          </w:p>
        </w:tc>
        <w:tc>
          <w:tcPr>
            <w:tcW w:w="750" w:type="dxa"/>
            <w:shd w:val="clear" w:color="auto" w:fill="auto"/>
            <w:noWrap w:val="0"/>
            <w:vAlign w:val="center"/>
          </w:tcPr>
          <w:p w14:paraId="05805135">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46.3</w:t>
            </w:r>
          </w:p>
        </w:tc>
        <w:tc>
          <w:tcPr>
            <w:tcW w:w="1096" w:type="dxa"/>
            <w:shd w:val="clear" w:color="auto" w:fill="auto"/>
            <w:noWrap w:val="0"/>
            <w:vAlign w:val="center"/>
          </w:tcPr>
          <w:p w14:paraId="436DDAB3">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r>
      <w:tr w14:paraId="1CE6C4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401F99D5">
            <w:pPr>
              <w:spacing w:line="280" w:lineRule="exact"/>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39</w:t>
            </w:r>
          </w:p>
        </w:tc>
        <w:tc>
          <w:tcPr>
            <w:tcW w:w="714" w:type="dxa"/>
            <w:vMerge w:val="continue"/>
            <w:shd w:val="clear" w:color="auto" w:fill="auto"/>
            <w:noWrap w:val="0"/>
            <w:vAlign w:val="center"/>
          </w:tcPr>
          <w:p w14:paraId="0951A06A">
            <w:pPr>
              <w:autoSpaceDN w:val="0"/>
              <w:adjustRightInd w:val="0"/>
              <w:snapToGrid w:val="0"/>
              <w:jc w:val="center"/>
              <w:textAlignment w:val="top"/>
              <w:rPr>
                <w:rFonts w:hint="default" w:ascii="Times New Roman" w:hAnsi="Times New Roman" w:cs="Times New Roman"/>
                <w:color w:val="000000" w:themeColor="text1"/>
                <w:szCs w:val="21"/>
                <w:highlight w:val="none"/>
                <w:lang w:val="en-US" w:eastAsia="zh-CN"/>
                <w14:textFill>
                  <w14:solidFill>
                    <w14:schemeClr w14:val="tx1"/>
                  </w14:solidFill>
                </w14:textFill>
              </w:rPr>
            </w:pPr>
          </w:p>
        </w:tc>
        <w:tc>
          <w:tcPr>
            <w:tcW w:w="714" w:type="dxa"/>
            <w:shd w:val="clear" w:color="auto" w:fill="auto"/>
            <w:noWrap w:val="0"/>
            <w:vAlign w:val="center"/>
          </w:tcPr>
          <w:p w14:paraId="6DE6F778">
            <w:pPr>
              <w:autoSpaceDN w:val="0"/>
              <w:adjustRightInd w:val="0"/>
              <w:snapToGrid w:val="0"/>
              <w:jc w:val="center"/>
              <w:textAlignment w:val="top"/>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鼓风热再生吸附式干燥机</w:t>
            </w:r>
            <w:r>
              <w:rPr>
                <w:rFonts w:hint="eastAsia" w:cs="Times New Roman"/>
                <w:color w:val="000000" w:themeColor="text1"/>
                <w:sz w:val="21"/>
                <w:szCs w:val="21"/>
                <w:highlight w:val="none"/>
                <w:lang w:val="en-US" w:eastAsia="zh-CN"/>
                <w14:textFill>
                  <w14:solidFill>
                    <w14:schemeClr w14:val="tx1"/>
                  </w14:solidFill>
                </w14:textFill>
              </w:rPr>
              <w:t>1#</w:t>
            </w:r>
          </w:p>
        </w:tc>
        <w:tc>
          <w:tcPr>
            <w:tcW w:w="537" w:type="dxa"/>
            <w:shd w:val="clear" w:color="auto" w:fill="auto"/>
            <w:noWrap w:val="0"/>
            <w:vAlign w:val="center"/>
          </w:tcPr>
          <w:p w14:paraId="380B9979">
            <w:pPr>
              <w:spacing w:line="280" w:lineRule="exact"/>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80</w:t>
            </w:r>
          </w:p>
        </w:tc>
        <w:tc>
          <w:tcPr>
            <w:tcW w:w="537" w:type="dxa"/>
            <w:shd w:val="clear" w:color="auto" w:fill="auto"/>
            <w:noWrap w:val="0"/>
            <w:vAlign w:val="center"/>
          </w:tcPr>
          <w:p w14:paraId="4F214219">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-85.92</w:t>
            </w:r>
          </w:p>
        </w:tc>
        <w:tc>
          <w:tcPr>
            <w:tcW w:w="537" w:type="dxa"/>
            <w:shd w:val="clear" w:color="auto" w:fill="auto"/>
            <w:noWrap w:val="0"/>
            <w:vAlign w:val="center"/>
          </w:tcPr>
          <w:p w14:paraId="21C565F8">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146</w:t>
            </w:r>
          </w:p>
        </w:tc>
        <w:tc>
          <w:tcPr>
            <w:tcW w:w="558" w:type="dxa"/>
            <w:shd w:val="clear" w:color="auto" w:fill="auto"/>
            <w:noWrap w:val="0"/>
            <w:vAlign w:val="center"/>
          </w:tcPr>
          <w:p w14:paraId="17B4E4F5">
            <w:pPr>
              <w:spacing w:line="280" w:lineRule="exac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1.4</w:t>
            </w:r>
          </w:p>
        </w:tc>
        <w:tc>
          <w:tcPr>
            <w:tcW w:w="537" w:type="dxa"/>
            <w:shd w:val="clear" w:color="auto" w:fill="auto"/>
            <w:noWrap w:val="0"/>
            <w:vAlign w:val="center"/>
          </w:tcPr>
          <w:p w14:paraId="6C344E66">
            <w:pPr>
              <w:spacing w:line="280" w:lineRule="exac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122.8</w:t>
            </w:r>
          </w:p>
        </w:tc>
        <w:tc>
          <w:tcPr>
            <w:tcW w:w="537" w:type="dxa"/>
            <w:shd w:val="clear" w:color="auto" w:fill="auto"/>
            <w:noWrap w:val="0"/>
            <w:vAlign w:val="center"/>
          </w:tcPr>
          <w:p w14:paraId="38A67339">
            <w:pPr>
              <w:spacing w:line="280" w:lineRule="exac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69.1</w:t>
            </w:r>
          </w:p>
        </w:tc>
        <w:tc>
          <w:tcPr>
            <w:tcW w:w="542" w:type="dxa"/>
            <w:shd w:val="clear" w:color="auto" w:fill="auto"/>
            <w:noWrap w:val="0"/>
            <w:vAlign w:val="center"/>
          </w:tcPr>
          <w:p w14:paraId="7116B837">
            <w:pPr>
              <w:spacing w:line="280" w:lineRule="exac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22.7</w:t>
            </w:r>
          </w:p>
        </w:tc>
        <w:tc>
          <w:tcPr>
            <w:tcW w:w="558" w:type="dxa"/>
            <w:shd w:val="clear" w:color="auto" w:fill="auto"/>
            <w:noWrap w:val="0"/>
            <w:vAlign w:val="center"/>
          </w:tcPr>
          <w:p w14:paraId="1AEA4409">
            <w:pPr>
              <w:spacing w:line="280" w:lineRule="exac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10.1</w:t>
            </w:r>
          </w:p>
        </w:tc>
        <w:tc>
          <w:tcPr>
            <w:tcW w:w="542" w:type="dxa"/>
            <w:shd w:val="clear" w:color="auto" w:fill="auto"/>
            <w:noWrap w:val="0"/>
            <w:vAlign w:val="center"/>
          </w:tcPr>
          <w:p w14:paraId="185B28FA">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 xml:space="preserve">54.8 </w:t>
            </w:r>
          </w:p>
        </w:tc>
        <w:tc>
          <w:tcPr>
            <w:tcW w:w="542" w:type="dxa"/>
            <w:shd w:val="clear" w:color="auto" w:fill="auto"/>
            <w:noWrap w:val="0"/>
            <w:vAlign w:val="center"/>
          </w:tcPr>
          <w:p w14:paraId="34DEC15A">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 xml:space="preserve">54.8 </w:t>
            </w:r>
          </w:p>
        </w:tc>
        <w:tc>
          <w:tcPr>
            <w:tcW w:w="542" w:type="dxa"/>
            <w:shd w:val="clear" w:color="auto" w:fill="auto"/>
            <w:noWrap w:val="0"/>
            <w:vAlign w:val="center"/>
          </w:tcPr>
          <w:p w14:paraId="6BEEEFC1">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 xml:space="preserve">55.0 </w:t>
            </w:r>
          </w:p>
        </w:tc>
        <w:tc>
          <w:tcPr>
            <w:tcW w:w="555" w:type="dxa"/>
            <w:shd w:val="clear" w:color="auto" w:fill="auto"/>
            <w:noWrap w:val="0"/>
            <w:vAlign w:val="center"/>
          </w:tcPr>
          <w:p w14:paraId="1ED3077A">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 xml:space="preserve">55.8 </w:t>
            </w:r>
          </w:p>
        </w:tc>
        <w:tc>
          <w:tcPr>
            <w:tcW w:w="542" w:type="dxa"/>
            <w:vMerge w:val="continue"/>
            <w:shd w:val="clear" w:color="auto" w:fill="auto"/>
            <w:noWrap w:val="0"/>
            <w:vAlign w:val="center"/>
          </w:tcPr>
          <w:p w14:paraId="7FE41782">
            <w:pPr>
              <w:spacing w:line="280" w:lineRule="exact"/>
              <w:jc w:val="center"/>
              <w:rPr>
                <w:rFonts w:hint="default" w:ascii="Times New Roman" w:hAnsi="Times New Roman" w:eastAsia="宋体"/>
                <w:color w:val="000000" w:themeColor="text1"/>
                <w:szCs w:val="21"/>
                <w:highlight w:val="none"/>
                <w:lang w:val="en-US" w:eastAsia="zh-CN"/>
                <w14:textFill>
                  <w14:solidFill>
                    <w14:schemeClr w14:val="tx1"/>
                  </w14:solidFill>
                </w14:textFill>
              </w:rPr>
            </w:pPr>
          </w:p>
        </w:tc>
        <w:tc>
          <w:tcPr>
            <w:tcW w:w="897" w:type="dxa"/>
            <w:shd w:val="clear" w:color="auto" w:fill="auto"/>
            <w:noWrap w:val="0"/>
            <w:vAlign w:val="center"/>
          </w:tcPr>
          <w:p w14:paraId="2B25E8CD">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24.3</w:t>
            </w:r>
          </w:p>
        </w:tc>
        <w:tc>
          <w:tcPr>
            <w:tcW w:w="746" w:type="dxa"/>
            <w:shd w:val="clear" w:color="auto" w:fill="auto"/>
            <w:noWrap w:val="0"/>
            <w:vAlign w:val="center"/>
          </w:tcPr>
          <w:p w14:paraId="262025CC">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30.5</w:t>
            </w:r>
          </w:p>
        </w:tc>
        <w:tc>
          <w:tcPr>
            <w:tcW w:w="689" w:type="dxa"/>
            <w:shd w:val="clear" w:color="auto" w:fill="auto"/>
            <w:noWrap w:val="0"/>
            <w:vAlign w:val="center"/>
          </w:tcPr>
          <w:p w14:paraId="450BAB28">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30.5</w:t>
            </w:r>
          </w:p>
        </w:tc>
        <w:tc>
          <w:tcPr>
            <w:tcW w:w="838" w:type="dxa"/>
            <w:shd w:val="clear" w:color="auto" w:fill="auto"/>
            <w:noWrap w:val="0"/>
            <w:vAlign w:val="center"/>
          </w:tcPr>
          <w:p w14:paraId="3035653F">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30.7</w:t>
            </w:r>
          </w:p>
        </w:tc>
        <w:tc>
          <w:tcPr>
            <w:tcW w:w="750" w:type="dxa"/>
            <w:shd w:val="clear" w:color="auto" w:fill="auto"/>
            <w:noWrap w:val="0"/>
            <w:vAlign w:val="center"/>
          </w:tcPr>
          <w:p w14:paraId="2FDE5423">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31.5</w:t>
            </w:r>
          </w:p>
        </w:tc>
        <w:tc>
          <w:tcPr>
            <w:tcW w:w="1096" w:type="dxa"/>
            <w:shd w:val="clear" w:color="auto" w:fill="auto"/>
            <w:noWrap w:val="0"/>
            <w:vAlign w:val="center"/>
          </w:tcPr>
          <w:p w14:paraId="388DC9B7">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1</w:t>
            </w:r>
          </w:p>
        </w:tc>
      </w:tr>
      <w:tr w14:paraId="249FFC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4AA0DC63">
            <w:pPr>
              <w:spacing w:line="280" w:lineRule="exact"/>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40</w:t>
            </w:r>
          </w:p>
        </w:tc>
        <w:tc>
          <w:tcPr>
            <w:tcW w:w="714" w:type="dxa"/>
            <w:vMerge w:val="continue"/>
            <w:shd w:val="clear" w:color="auto" w:fill="auto"/>
            <w:noWrap w:val="0"/>
            <w:vAlign w:val="center"/>
          </w:tcPr>
          <w:p w14:paraId="56121C78">
            <w:pPr>
              <w:autoSpaceDN w:val="0"/>
              <w:adjustRightInd w:val="0"/>
              <w:snapToGrid w:val="0"/>
              <w:jc w:val="center"/>
              <w:textAlignment w:val="top"/>
              <w:rPr>
                <w:rFonts w:hint="eastAsia" w:ascii="Times New Roman" w:hAnsi="Times New Roman" w:cs="Times New Roman"/>
                <w:color w:val="000000" w:themeColor="text1"/>
                <w:szCs w:val="21"/>
                <w:highlight w:val="none"/>
                <w:lang w:val="en-US" w:eastAsia="zh-CN"/>
                <w14:textFill>
                  <w14:solidFill>
                    <w14:schemeClr w14:val="tx1"/>
                  </w14:solidFill>
                </w14:textFill>
              </w:rPr>
            </w:pPr>
          </w:p>
        </w:tc>
        <w:tc>
          <w:tcPr>
            <w:tcW w:w="714" w:type="dxa"/>
            <w:shd w:val="clear" w:color="auto" w:fill="auto"/>
            <w:noWrap w:val="0"/>
            <w:vAlign w:val="center"/>
          </w:tcPr>
          <w:p w14:paraId="67788CFE">
            <w:pPr>
              <w:autoSpaceDN w:val="0"/>
              <w:adjustRightInd w:val="0"/>
              <w:snapToGrid w:val="0"/>
              <w:jc w:val="center"/>
              <w:textAlignment w:val="top"/>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鼓风热再生吸附式干燥机</w:t>
            </w:r>
            <w:r>
              <w:rPr>
                <w:rFonts w:hint="eastAsia" w:cs="Times New Roman"/>
                <w:color w:val="000000" w:themeColor="text1"/>
                <w:sz w:val="21"/>
                <w:szCs w:val="21"/>
                <w:highlight w:val="none"/>
                <w:lang w:val="en-US" w:eastAsia="zh-CN"/>
                <w14:textFill>
                  <w14:solidFill>
                    <w14:schemeClr w14:val="tx1"/>
                  </w14:solidFill>
                </w14:textFill>
              </w:rPr>
              <w:t>1#</w:t>
            </w:r>
          </w:p>
        </w:tc>
        <w:tc>
          <w:tcPr>
            <w:tcW w:w="537" w:type="dxa"/>
            <w:shd w:val="clear" w:color="auto" w:fill="auto"/>
            <w:noWrap w:val="0"/>
            <w:vAlign w:val="center"/>
          </w:tcPr>
          <w:p w14:paraId="3D205FF4">
            <w:pPr>
              <w:spacing w:line="280" w:lineRule="exact"/>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80</w:t>
            </w:r>
          </w:p>
        </w:tc>
        <w:tc>
          <w:tcPr>
            <w:tcW w:w="537" w:type="dxa"/>
            <w:shd w:val="clear" w:color="auto" w:fill="auto"/>
            <w:noWrap w:val="0"/>
            <w:vAlign w:val="center"/>
          </w:tcPr>
          <w:p w14:paraId="65782D17">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-82.48</w:t>
            </w:r>
          </w:p>
        </w:tc>
        <w:tc>
          <w:tcPr>
            <w:tcW w:w="537" w:type="dxa"/>
            <w:shd w:val="clear" w:color="auto" w:fill="auto"/>
            <w:noWrap w:val="0"/>
            <w:vAlign w:val="center"/>
          </w:tcPr>
          <w:p w14:paraId="38A887DC">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146.62</w:t>
            </w:r>
          </w:p>
        </w:tc>
        <w:tc>
          <w:tcPr>
            <w:tcW w:w="558" w:type="dxa"/>
            <w:shd w:val="clear" w:color="auto" w:fill="auto"/>
            <w:noWrap w:val="0"/>
            <w:vAlign w:val="center"/>
          </w:tcPr>
          <w:p w14:paraId="4DF30A64">
            <w:pPr>
              <w:spacing w:line="280" w:lineRule="exac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1.4</w:t>
            </w:r>
          </w:p>
        </w:tc>
        <w:tc>
          <w:tcPr>
            <w:tcW w:w="537" w:type="dxa"/>
            <w:shd w:val="clear" w:color="auto" w:fill="auto"/>
            <w:noWrap w:val="0"/>
            <w:vAlign w:val="center"/>
          </w:tcPr>
          <w:p w14:paraId="0E3BF9E4">
            <w:pPr>
              <w:spacing w:line="280" w:lineRule="exac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126.8</w:t>
            </w:r>
          </w:p>
        </w:tc>
        <w:tc>
          <w:tcPr>
            <w:tcW w:w="537" w:type="dxa"/>
            <w:shd w:val="clear" w:color="auto" w:fill="auto"/>
            <w:noWrap w:val="0"/>
            <w:vAlign w:val="center"/>
          </w:tcPr>
          <w:p w14:paraId="02151600">
            <w:pPr>
              <w:spacing w:line="280" w:lineRule="exac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69.4</w:t>
            </w:r>
          </w:p>
        </w:tc>
        <w:tc>
          <w:tcPr>
            <w:tcW w:w="542" w:type="dxa"/>
            <w:shd w:val="clear" w:color="auto" w:fill="auto"/>
            <w:noWrap w:val="0"/>
            <w:vAlign w:val="center"/>
          </w:tcPr>
          <w:p w14:paraId="57BA7CC0">
            <w:pPr>
              <w:spacing w:line="280" w:lineRule="exac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20.9</w:t>
            </w:r>
          </w:p>
        </w:tc>
        <w:tc>
          <w:tcPr>
            <w:tcW w:w="558" w:type="dxa"/>
            <w:shd w:val="clear" w:color="auto" w:fill="auto"/>
            <w:noWrap w:val="0"/>
            <w:vAlign w:val="center"/>
          </w:tcPr>
          <w:p w14:paraId="18A4C330">
            <w:pPr>
              <w:spacing w:line="280" w:lineRule="exac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9.7</w:t>
            </w:r>
          </w:p>
        </w:tc>
        <w:tc>
          <w:tcPr>
            <w:tcW w:w="542" w:type="dxa"/>
            <w:shd w:val="clear" w:color="auto" w:fill="auto"/>
            <w:noWrap w:val="0"/>
            <w:vAlign w:val="center"/>
          </w:tcPr>
          <w:p w14:paraId="68837E63">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 xml:space="preserve">54.8 </w:t>
            </w:r>
          </w:p>
        </w:tc>
        <w:tc>
          <w:tcPr>
            <w:tcW w:w="542" w:type="dxa"/>
            <w:shd w:val="clear" w:color="auto" w:fill="auto"/>
            <w:noWrap w:val="0"/>
            <w:vAlign w:val="center"/>
          </w:tcPr>
          <w:p w14:paraId="26E4CF70">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 xml:space="preserve">54.8 </w:t>
            </w:r>
          </w:p>
        </w:tc>
        <w:tc>
          <w:tcPr>
            <w:tcW w:w="542" w:type="dxa"/>
            <w:shd w:val="clear" w:color="auto" w:fill="auto"/>
            <w:noWrap w:val="0"/>
            <w:vAlign w:val="center"/>
          </w:tcPr>
          <w:p w14:paraId="2EF6E13F">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 xml:space="preserve">55.0 </w:t>
            </w:r>
          </w:p>
        </w:tc>
        <w:tc>
          <w:tcPr>
            <w:tcW w:w="555" w:type="dxa"/>
            <w:shd w:val="clear" w:color="auto" w:fill="auto"/>
            <w:noWrap w:val="0"/>
            <w:vAlign w:val="center"/>
          </w:tcPr>
          <w:p w14:paraId="368A8902">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 xml:space="preserve">55.8 </w:t>
            </w:r>
          </w:p>
        </w:tc>
        <w:tc>
          <w:tcPr>
            <w:tcW w:w="542" w:type="dxa"/>
            <w:vMerge w:val="continue"/>
            <w:shd w:val="clear" w:color="auto" w:fill="auto"/>
            <w:noWrap w:val="0"/>
            <w:vAlign w:val="center"/>
          </w:tcPr>
          <w:p w14:paraId="07DA08F7">
            <w:pPr>
              <w:spacing w:line="280" w:lineRule="exact"/>
              <w:jc w:val="center"/>
              <w:rPr>
                <w:rFonts w:hint="default" w:ascii="Times New Roman" w:hAnsi="Times New Roman" w:eastAsia="宋体"/>
                <w:color w:val="000000" w:themeColor="text1"/>
                <w:szCs w:val="21"/>
                <w:highlight w:val="none"/>
                <w:lang w:val="en-US" w:eastAsia="zh-CN"/>
                <w14:textFill>
                  <w14:solidFill>
                    <w14:schemeClr w14:val="tx1"/>
                  </w14:solidFill>
                </w14:textFill>
              </w:rPr>
            </w:pPr>
          </w:p>
        </w:tc>
        <w:tc>
          <w:tcPr>
            <w:tcW w:w="897" w:type="dxa"/>
            <w:shd w:val="clear" w:color="auto" w:fill="auto"/>
            <w:noWrap w:val="0"/>
            <w:vAlign w:val="center"/>
          </w:tcPr>
          <w:p w14:paraId="198FB93D">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24.3</w:t>
            </w:r>
          </w:p>
        </w:tc>
        <w:tc>
          <w:tcPr>
            <w:tcW w:w="746" w:type="dxa"/>
            <w:shd w:val="clear" w:color="auto" w:fill="auto"/>
            <w:noWrap w:val="0"/>
            <w:vAlign w:val="center"/>
          </w:tcPr>
          <w:p w14:paraId="3CC5A629">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30.5</w:t>
            </w:r>
          </w:p>
        </w:tc>
        <w:tc>
          <w:tcPr>
            <w:tcW w:w="689" w:type="dxa"/>
            <w:shd w:val="clear" w:color="auto" w:fill="auto"/>
            <w:noWrap w:val="0"/>
            <w:vAlign w:val="center"/>
          </w:tcPr>
          <w:p w14:paraId="4144299E">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30.5</w:t>
            </w:r>
          </w:p>
        </w:tc>
        <w:tc>
          <w:tcPr>
            <w:tcW w:w="838" w:type="dxa"/>
            <w:shd w:val="clear" w:color="auto" w:fill="auto"/>
            <w:noWrap w:val="0"/>
            <w:vAlign w:val="center"/>
          </w:tcPr>
          <w:p w14:paraId="65C73DC8">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30.7</w:t>
            </w:r>
          </w:p>
        </w:tc>
        <w:tc>
          <w:tcPr>
            <w:tcW w:w="750" w:type="dxa"/>
            <w:shd w:val="clear" w:color="auto" w:fill="auto"/>
            <w:noWrap w:val="0"/>
            <w:vAlign w:val="center"/>
          </w:tcPr>
          <w:p w14:paraId="018F4664">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31.5</w:t>
            </w:r>
          </w:p>
        </w:tc>
        <w:tc>
          <w:tcPr>
            <w:tcW w:w="1096" w:type="dxa"/>
            <w:shd w:val="clear" w:color="auto" w:fill="auto"/>
            <w:noWrap w:val="0"/>
            <w:vAlign w:val="center"/>
          </w:tcPr>
          <w:p w14:paraId="0867FF8F">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1</w:t>
            </w:r>
          </w:p>
        </w:tc>
      </w:tr>
      <w:tr w14:paraId="66DCD4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141C270A">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41</w:t>
            </w:r>
          </w:p>
        </w:tc>
        <w:tc>
          <w:tcPr>
            <w:tcW w:w="714" w:type="dxa"/>
            <w:vMerge w:val="continue"/>
            <w:shd w:val="clear" w:color="auto" w:fill="auto"/>
            <w:noWrap w:val="0"/>
            <w:vAlign w:val="center"/>
          </w:tcPr>
          <w:p w14:paraId="45D5A677">
            <w:pPr>
              <w:autoSpaceDN w:val="0"/>
              <w:adjustRightInd w:val="0"/>
              <w:snapToGrid w:val="0"/>
              <w:jc w:val="center"/>
              <w:textAlignment w:val="top"/>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p>
        </w:tc>
        <w:tc>
          <w:tcPr>
            <w:tcW w:w="714" w:type="dxa"/>
            <w:shd w:val="clear" w:color="auto" w:fill="auto"/>
            <w:noWrap w:val="0"/>
            <w:vAlign w:val="center"/>
          </w:tcPr>
          <w:p w14:paraId="6D0BA951">
            <w:pPr>
              <w:autoSpaceDN w:val="0"/>
              <w:adjustRightInd w:val="0"/>
              <w:snapToGrid w:val="0"/>
              <w:jc w:val="center"/>
              <w:textAlignment w:val="top"/>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cs="Times New Roman"/>
                <w:color w:val="000000" w:themeColor="text1"/>
                <w:szCs w:val="21"/>
                <w:highlight w:val="none"/>
                <w:lang w:val="en-US" w:eastAsia="zh-CN"/>
                <w14:textFill>
                  <w14:solidFill>
                    <w14:schemeClr w14:val="tx1"/>
                  </w14:solidFill>
                </w14:textFill>
              </w:rPr>
              <w:t>风柜机组1#</w:t>
            </w:r>
          </w:p>
        </w:tc>
        <w:tc>
          <w:tcPr>
            <w:tcW w:w="537" w:type="dxa"/>
            <w:shd w:val="clear" w:color="auto" w:fill="auto"/>
            <w:noWrap w:val="0"/>
            <w:vAlign w:val="center"/>
          </w:tcPr>
          <w:p w14:paraId="746898F1">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75</w:t>
            </w:r>
          </w:p>
        </w:tc>
        <w:tc>
          <w:tcPr>
            <w:tcW w:w="537" w:type="dxa"/>
            <w:shd w:val="clear" w:color="auto" w:fill="auto"/>
            <w:noWrap w:val="0"/>
            <w:vAlign w:val="center"/>
          </w:tcPr>
          <w:p w14:paraId="768A1686">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56.21</w:t>
            </w:r>
          </w:p>
        </w:tc>
        <w:tc>
          <w:tcPr>
            <w:tcW w:w="537" w:type="dxa"/>
            <w:shd w:val="clear" w:color="auto" w:fill="auto"/>
            <w:noWrap w:val="0"/>
            <w:vAlign w:val="center"/>
          </w:tcPr>
          <w:p w14:paraId="5F652FEB">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86.66</w:t>
            </w:r>
          </w:p>
        </w:tc>
        <w:tc>
          <w:tcPr>
            <w:tcW w:w="558" w:type="dxa"/>
            <w:shd w:val="clear" w:color="auto" w:fill="auto"/>
            <w:noWrap w:val="0"/>
            <w:vAlign w:val="center"/>
          </w:tcPr>
          <w:p w14:paraId="22E1E689">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1.4</w:t>
            </w:r>
          </w:p>
        </w:tc>
        <w:tc>
          <w:tcPr>
            <w:tcW w:w="537" w:type="dxa"/>
            <w:shd w:val="clear" w:color="auto" w:fill="auto"/>
            <w:noWrap w:val="0"/>
            <w:vAlign w:val="center"/>
          </w:tcPr>
          <w:p w14:paraId="5A2EBE58">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7.6</w:t>
            </w:r>
          </w:p>
        </w:tc>
        <w:tc>
          <w:tcPr>
            <w:tcW w:w="537" w:type="dxa"/>
            <w:shd w:val="clear" w:color="auto" w:fill="auto"/>
            <w:noWrap w:val="0"/>
            <w:vAlign w:val="center"/>
          </w:tcPr>
          <w:p w14:paraId="2101EA11">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65.6</w:t>
            </w:r>
          </w:p>
        </w:tc>
        <w:tc>
          <w:tcPr>
            <w:tcW w:w="542" w:type="dxa"/>
            <w:shd w:val="clear" w:color="auto" w:fill="auto"/>
            <w:noWrap w:val="0"/>
            <w:vAlign w:val="center"/>
          </w:tcPr>
          <w:p w14:paraId="59B5F68C">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81.8</w:t>
            </w:r>
          </w:p>
        </w:tc>
        <w:tc>
          <w:tcPr>
            <w:tcW w:w="558" w:type="dxa"/>
            <w:shd w:val="clear" w:color="auto" w:fill="auto"/>
            <w:noWrap w:val="0"/>
            <w:vAlign w:val="center"/>
          </w:tcPr>
          <w:p w14:paraId="49FD0CF6">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43.7</w:t>
            </w:r>
          </w:p>
        </w:tc>
        <w:tc>
          <w:tcPr>
            <w:tcW w:w="542" w:type="dxa"/>
            <w:shd w:val="clear" w:color="auto" w:fill="auto"/>
            <w:noWrap w:val="0"/>
            <w:vAlign w:val="center"/>
          </w:tcPr>
          <w:p w14:paraId="5691ED40">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51.4 </w:t>
            </w:r>
          </w:p>
        </w:tc>
        <w:tc>
          <w:tcPr>
            <w:tcW w:w="542" w:type="dxa"/>
            <w:shd w:val="clear" w:color="auto" w:fill="auto"/>
            <w:noWrap w:val="0"/>
            <w:vAlign w:val="center"/>
          </w:tcPr>
          <w:p w14:paraId="04A6A7A8">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49.8 </w:t>
            </w:r>
          </w:p>
        </w:tc>
        <w:tc>
          <w:tcPr>
            <w:tcW w:w="542" w:type="dxa"/>
            <w:shd w:val="clear" w:color="auto" w:fill="auto"/>
            <w:noWrap w:val="0"/>
            <w:vAlign w:val="center"/>
          </w:tcPr>
          <w:p w14:paraId="005AA4FC">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49.8 </w:t>
            </w:r>
          </w:p>
        </w:tc>
        <w:tc>
          <w:tcPr>
            <w:tcW w:w="555" w:type="dxa"/>
            <w:shd w:val="clear" w:color="auto" w:fill="auto"/>
            <w:noWrap w:val="0"/>
            <w:vAlign w:val="center"/>
          </w:tcPr>
          <w:p w14:paraId="30347869">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49.8 </w:t>
            </w:r>
          </w:p>
        </w:tc>
        <w:tc>
          <w:tcPr>
            <w:tcW w:w="542" w:type="dxa"/>
            <w:vMerge w:val="continue"/>
            <w:shd w:val="clear" w:color="auto" w:fill="auto"/>
            <w:noWrap w:val="0"/>
            <w:vAlign w:val="center"/>
          </w:tcPr>
          <w:p w14:paraId="7036F880">
            <w:pPr>
              <w:spacing w:line="280" w:lineRule="exact"/>
              <w:jc w:val="center"/>
              <w:rPr>
                <w:rFonts w:hint="default" w:ascii="Times New Roman" w:hAnsi="Times New Roman" w:eastAsia="宋体"/>
                <w:color w:val="000000" w:themeColor="text1"/>
                <w:szCs w:val="21"/>
                <w:highlight w:val="none"/>
                <w:lang w:val="en-US" w:eastAsia="zh-CN"/>
                <w14:textFill>
                  <w14:solidFill>
                    <w14:schemeClr w14:val="tx1"/>
                  </w14:solidFill>
                </w14:textFill>
              </w:rPr>
            </w:pPr>
          </w:p>
        </w:tc>
        <w:tc>
          <w:tcPr>
            <w:tcW w:w="897" w:type="dxa"/>
            <w:shd w:val="clear" w:color="auto" w:fill="auto"/>
            <w:noWrap w:val="0"/>
            <w:vAlign w:val="center"/>
          </w:tcPr>
          <w:p w14:paraId="2DDB3B0D">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24.3</w:t>
            </w:r>
          </w:p>
        </w:tc>
        <w:tc>
          <w:tcPr>
            <w:tcW w:w="746" w:type="dxa"/>
            <w:shd w:val="clear" w:color="auto" w:fill="auto"/>
            <w:noWrap w:val="0"/>
            <w:vAlign w:val="center"/>
          </w:tcPr>
          <w:p w14:paraId="641D7574">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27.1</w:t>
            </w:r>
          </w:p>
        </w:tc>
        <w:tc>
          <w:tcPr>
            <w:tcW w:w="689" w:type="dxa"/>
            <w:shd w:val="clear" w:color="auto" w:fill="auto"/>
            <w:noWrap w:val="0"/>
            <w:vAlign w:val="center"/>
          </w:tcPr>
          <w:p w14:paraId="1F69FF2A">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25.5</w:t>
            </w:r>
          </w:p>
        </w:tc>
        <w:tc>
          <w:tcPr>
            <w:tcW w:w="838" w:type="dxa"/>
            <w:shd w:val="clear" w:color="auto" w:fill="auto"/>
            <w:noWrap w:val="0"/>
            <w:vAlign w:val="center"/>
          </w:tcPr>
          <w:p w14:paraId="02A64CF7">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25.5</w:t>
            </w:r>
          </w:p>
        </w:tc>
        <w:tc>
          <w:tcPr>
            <w:tcW w:w="750" w:type="dxa"/>
            <w:shd w:val="clear" w:color="auto" w:fill="auto"/>
            <w:noWrap w:val="0"/>
            <w:vAlign w:val="center"/>
          </w:tcPr>
          <w:p w14:paraId="257CA64F">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25.5</w:t>
            </w:r>
          </w:p>
        </w:tc>
        <w:tc>
          <w:tcPr>
            <w:tcW w:w="1096" w:type="dxa"/>
            <w:shd w:val="clear" w:color="auto" w:fill="auto"/>
            <w:noWrap w:val="0"/>
            <w:vAlign w:val="center"/>
          </w:tcPr>
          <w:p w14:paraId="635F8E76">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r>
      <w:tr w14:paraId="6A72BC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427" w:type="dxa"/>
            <w:shd w:val="clear" w:color="auto" w:fill="auto"/>
            <w:noWrap w:val="0"/>
            <w:vAlign w:val="center"/>
          </w:tcPr>
          <w:p w14:paraId="5D21803F">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42</w:t>
            </w:r>
          </w:p>
        </w:tc>
        <w:tc>
          <w:tcPr>
            <w:tcW w:w="714" w:type="dxa"/>
            <w:vMerge w:val="continue"/>
            <w:shd w:val="clear" w:color="auto" w:fill="auto"/>
            <w:noWrap w:val="0"/>
            <w:vAlign w:val="center"/>
          </w:tcPr>
          <w:p w14:paraId="5DC7CBC6">
            <w:pPr>
              <w:autoSpaceDN w:val="0"/>
              <w:adjustRightInd w:val="0"/>
              <w:snapToGrid w:val="0"/>
              <w:jc w:val="center"/>
              <w:textAlignment w:val="top"/>
              <w:rPr>
                <w:rFonts w:hint="default" w:ascii="Times New Roman" w:hAnsi="Times New Roman" w:cs="Times New Roman"/>
                <w:color w:val="000000" w:themeColor="text1"/>
                <w:szCs w:val="21"/>
                <w:highlight w:val="none"/>
                <w14:textFill>
                  <w14:solidFill>
                    <w14:schemeClr w14:val="tx1"/>
                  </w14:solidFill>
                </w14:textFill>
              </w:rPr>
            </w:pPr>
          </w:p>
        </w:tc>
        <w:tc>
          <w:tcPr>
            <w:tcW w:w="714" w:type="dxa"/>
            <w:shd w:val="clear" w:color="auto" w:fill="auto"/>
            <w:noWrap w:val="0"/>
            <w:vAlign w:val="center"/>
          </w:tcPr>
          <w:p w14:paraId="216DBE74">
            <w:pPr>
              <w:autoSpaceDN w:val="0"/>
              <w:adjustRightInd w:val="0"/>
              <w:snapToGrid w:val="0"/>
              <w:jc w:val="center"/>
              <w:textAlignment w:val="top"/>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cs="Times New Roman"/>
                <w:color w:val="000000" w:themeColor="text1"/>
                <w:szCs w:val="21"/>
                <w:highlight w:val="none"/>
                <w:lang w:val="en-US" w:eastAsia="zh-CN"/>
                <w14:textFill>
                  <w14:solidFill>
                    <w14:schemeClr w14:val="tx1"/>
                  </w14:solidFill>
                </w14:textFill>
              </w:rPr>
              <w:t>风柜机组2#</w:t>
            </w:r>
          </w:p>
        </w:tc>
        <w:tc>
          <w:tcPr>
            <w:tcW w:w="537" w:type="dxa"/>
            <w:shd w:val="clear" w:color="auto" w:fill="auto"/>
            <w:noWrap w:val="0"/>
            <w:vAlign w:val="center"/>
          </w:tcPr>
          <w:p w14:paraId="76BFCD88">
            <w:pPr>
              <w:spacing w:line="280" w:lineRule="exact"/>
              <w:jc w:val="center"/>
              <w:rPr>
                <w:rFonts w:hint="eastAsia"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75</w:t>
            </w:r>
          </w:p>
        </w:tc>
        <w:tc>
          <w:tcPr>
            <w:tcW w:w="537" w:type="dxa"/>
            <w:shd w:val="clear" w:color="auto" w:fill="auto"/>
            <w:noWrap w:val="0"/>
            <w:vAlign w:val="center"/>
          </w:tcPr>
          <w:p w14:paraId="172013EC">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56.86</w:t>
            </w:r>
          </w:p>
        </w:tc>
        <w:tc>
          <w:tcPr>
            <w:tcW w:w="537" w:type="dxa"/>
            <w:shd w:val="clear" w:color="auto" w:fill="auto"/>
            <w:noWrap w:val="0"/>
            <w:vAlign w:val="center"/>
          </w:tcPr>
          <w:p w14:paraId="4B55BDC7">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84.69</w:t>
            </w:r>
          </w:p>
        </w:tc>
        <w:tc>
          <w:tcPr>
            <w:tcW w:w="558" w:type="dxa"/>
            <w:shd w:val="clear" w:color="auto" w:fill="auto"/>
            <w:noWrap w:val="0"/>
            <w:vAlign w:val="center"/>
          </w:tcPr>
          <w:p w14:paraId="2AA184B0">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1.4</w:t>
            </w:r>
          </w:p>
        </w:tc>
        <w:tc>
          <w:tcPr>
            <w:tcW w:w="537" w:type="dxa"/>
            <w:shd w:val="clear" w:color="auto" w:fill="auto"/>
            <w:noWrap w:val="0"/>
            <w:vAlign w:val="center"/>
          </w:tcPr>
          <w:p w14:paraId="646C5415">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9.8</w:t>
            </w:r>
          </w:p>
        </w:tc>
        <w:tc>
          <w:tcPr>
            <w:tcW w:w="537" w:type="dxa"/>
            <w:shd w:val="clear" w:color="auto" w:fill="auto"/>
            <w:noWrap w:val="0"/>
            <w:vAlign w:val="center"/>
          </w:tcPr>
          <w:p w14:paraId="4D4197A3">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62.6</w:t>
            </w:r>
          </w:p>
        </w:tc>
        <w:tc>
          <w:tcPr>
            <w:tcW w:w="542" w:type="dxa"/>
            <w:shd w:val="clear" w:color="auto" w:fill="auto"/>
            <w:noWrap w:val="0"/>
            <w:vAlign w:val="center"/>
          </w:tcPr>
          <w:p w14:paraId="4C638859">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84.7</w:t>
            </w:r>
          </w:p>
        </w:tc>
        <w:tc>
          <w:tcPr>
            <w:tcW w:w="558" w:type="dxa"/>
            <w:shd w:val="clear" w:color="auto" w:fill="auto"/>
            <w:noWrap w:val="0"/>
            <w:vAlign w:val="center"/>
          </w:tcPr>
          <w:p w14:paraId="0959548E">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46.5</w:t>
            </w:r>
          </w:p>
        </w:tc>
        <w:tc>
          <w:tcPr>
            <w:tcW w:w="542" w:type="dxa"/>
            <w:shd w:val="clear" w:color="auto" w:fill="auto"/>
            <w:noWrap w:val="0"/>
            <w:vAlign w:val="center"/>
          </w:tcPr>
          <w:p w14:paraId="783550D1">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50.8 </w:t>
            </w:r>
          </w:p>
        </w:tc>
        <w:tc>
          <w:tcPr>
            <w:tcW w:w="542" w:type="dxa"/>
            <w:shd w:val="clear" w:color="auto" w:fill="auto"/>
            <w:noWrap w:val="0"/>
            <w:vAlign w:val="center"/>
          </w:tcPr>
          <w:p w14:paraId="40F2CC2C">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49.8 </w:t>
            </w:r>
          </w:p>
        </w:tc>
        <w:tc>
          <w:tcPr>
            <w:tcW w:w="542" w:type="dxa"/>
            <w:shd w:val="clear" w:color="auto" w:fill="auto"/>
            <w:noWrap w:val="0"/>
            <w:vAlign w:val="center"/>
          </w:tcPr>
          <w:p w14:paraId="6A703AC5">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49.8 </w:t>
            </w:r>
          </w:p>
        </w:tc>
        <w:tc>
          <w:tcPr>
            <w:tcW w:w="555" w:type="dxa"/>
            <w:shd w:val="clear" w:color="auto" w:fill="auto"/>
            <w:noWrap w:val="0"/>
            <w:vAlign w:val="center"/>
          </w:tcPr>
          <w:p w14:paraId="3656633D">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49.8 </w:t>
            </w:r>
          </w:p>
        </w:tc>
        <w:tc>
          <w:tcPr>
            <w:tcW w:w="542" w:type="dxa"/>
            <w:vMerge w:val="continue"/>
            <w:shd w:val="clear" w:color="auto" w:fill="auto"/>
            <w:noWrap w:val="0"/>
            <w:vAlign w:val="center"/>
          </w:tcPr>
          <w:p w14:paraId="30980925">
            <w:pPr>
              <w:spacing w:line="280" w:lineRule="exact"/>
              <w:jc w:val="center"/>
              <w:rPr>
                <w:rFonts w:hint="default" w:ascii="Times New Roman" w:hAnsi="Times New Roman" w:eastAsia="宋体"/>
                <w:color w:val="000000" w:themeColor="text1"/>
                <w:szCs w:val="21"/>
                <w:highlight w:val="none"/>
                <w:lang w:val="en-US" w:eastAsia="zh-CN"/>
                <w14:textFill>
                  <w14:solidFill>
                    <w14:schemeClr w14:val="tx1"/>
                  </w14:solidFill>
                </w14:textFill>
              </w:rPr>
            </w:pPr>
          </w:p>
        </w:tc>
        <w:tc>
          <w:tcPr>
            <w:tcW w:w="897" w:type="dxa"/>
            <w:shd w:val="clear" w:color="auto" w:fill="auto"/>
            <w:noWrap w:val="0"/>
            <w:vAlign w:val="center"/>
          </w:tcPr>
          <w:p w14:paraId="6C1EDB22">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24.3</w:t>
            </w:r>
          </w:p>
        </w:tc>
        <w:tc>
          <w:tcPr>
            <w:tcW w:w="746" w:type="dxa"/>
            <w:shd w:val="clear" w:color="auto" w:fill="auto"/>
            <w:noWrap w:val="0"/>
            <w:vAlign w:val="center"/>
          </w:tcPr>
          <w:p w14:paraId="24DBE359">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26.5</w:t>
            </w:r>
          </w:p>
        </w:tc>
        <w:tc>
          <w:tcPr>
            <w:tcW w:w="689" w:type="dxa"/>
            <w:shd w:val="clear" w:color="auto" w:fill="auto"/>
            <w:noWrap w:val="0"/>
            <w:vAlign w:val="center"/>
          </w:tcPr>
          <w:p w14:paraId="49267D6A">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25.5</w:t>
            </w:r>
          </w:p>
        </w:tc>
        <w:tc>
          <w:tcPr>
            <w:tcW w:w="838" w:type="dxa"/>
            <w:shd w:val="clear" w:color="auto" w:fill="auto"/>
            <w:noWrap w:val="0"/>
            <w:vAlign w:val="center"/>
          </w:tcPr>
          <w:p w14:paraId="377689DF">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25.5</w:t>
            </w:r>
          </w:p>
        </w:tc>
        <w:tc>
          <w:tcPr>
            <w:tcW w:w="750" w:type="dxa"/>
            <w:shd w:val="clear" w:color="auto" w:fill="auto"/>
            <w:noWrap w:val="0"/>
            <w:vAlign w:val="center"/>
          </w:tcPr>
          <w:p w14:paraId="3F6C686A">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25.5</w:t>
            </w:r>
          </w:p>
        </w:tc>
        <w:tc>
          <w:tcPr>
            <w:tcW w:w="1096" w:type="dxa"/>
            <w:shd w:val="clear" w:color="auto" w:fill="auto"/>
            <w:noWrap w:val="0"/>
            <w:vAlign w:val="center"/>
          </w:tcPr>
          <w:p w14:paraId="3EC5163B">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r>
      <w:tr w14:paraId="08D0AF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0C5520B0">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43</w:t>
            </w:r>
          </w:p>
        </w:tc>
        <w:tc>
          <w:tcPr>
            <w:tcW w:w="714" w:type="dxa"/>
            <w:vMerge w:val="continue"/>
            <w:shd w:val="clear" w:color="auto" w:fill="auto"/>
            <w:noWrap w:val="0"/>
            <w:vAlign w:val="center"/>
          </w:tcPr>
          <w:p w14:paraId="0FE3FD0C">
            <w:pPr>
              <w:autoSpaceDN w:val="0"/>
              <w:adjustRightInd w:val="0"/>
              <w:snapToGrid w:val="0"/>
              <w:jc w:val="center"/>
              <w:textAlignment w:val="top"/>
              <w:rPr>
                <w:rFonts w:hint="default" w:ascii="Times New Roman" w:hAnsi="Times New Roman" w:cs="Times New Roman"/>
                <w:color w:val="000000" w:themeColor="text1"/>
                <w:szCs w:val="21"/>
                <w:highlight w:val="none"/>
                <w14:textFill>
                  <w14:solidFill>
                    <w14:schemeClr w14:val="tx1"/>
                  </w14:solidFill>
                </w14:textFill>
              </w:rPr>
            </w:pPr>
          </w:p>
        </w:tc>
        <w:tc>
          <w:tcPr>
            <w:tcW w:w="714" w:type="dxa"/>
            <w:shd w:val="clear" w:color="auto" w:fill="auto"/>
            <w:noWrap w:val="0"/>
            <w:vAlign w:val="center"/>
          </w:tcPr>
          <w:p w14:paraId="070A36A0">
            <w:pPr>
              <w:autoSpaceDN w:val="0"/>
              <w:adjustRightInd w:val="0"/>
              <w:snapToGrid w:val="0"/>
              <w:jc w:val="center"/>
              <w:textAlignment w:val="top"/>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cs="Times New Roman"/>
                <w:color w:val="000000" w:themeColor="text1"/>
                <w:szCs w:val="21"/>
                <w:highlight w:val="none"/>
                <w:lang w:val="en-US" w:eastAsia="zh-CN"/>
                <w14:textFill>
                  <w14:solidFill>
                    <w14:schemeClr w14:val="tx1"/>
                  </w14:solidFill>
                </w14:textFill>
              </w:rPr>
              <w:t>风柜机组3#</w:t>
            </w:r>
          </w:p>
        </w:tc>
        <w:tc>
          <w:tcPr>
            <w:tcW w:w="537" w:type="dxa"/>
            <w:shd w:val="clear" w:color="auto" w:fill="auto"/>
            <w:noWrap w:val="0"/>
            <w:vAlign w:val="center"/>
          </w:tcPr>
          <w:p w14:paraId="345BE179">
            <w:pPr>
              <w:spacing w:line="280" w:lineRule="exact"/>
              <w:jc w:val="center"/>
              <w:rPr>
                <w:rFonts w:hint="eastAsia"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75</w:t>
            </w:r>
          </w:p>
        </w:tc>
        <w:tc>
          <w:tcPr>
            <w:tcW w:w="537" w:type="dxa"/>
            <w:shd w:val="clear" w:color="auto" w:fill="auto"/>
            <w:noWrap w:val="0"/>
            <w:vAlign w:val="center"/>
          </w:tcPr>
          <w:p w14:paraId="5E20BE1A">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57.83</w:t>
            </w:r>
          </w:p>
        </w:tc>
        <w:tc>
          <w:tcPr>
            <w:tcW w:w="537" w:type="dxa"/>
            <w:shd w:val="clear" w:color="auto" w:fill="auto"/>
            <w:noWrap w:val="0"/>
            <w:vAlign w:val="center"/>
          </w:tcPr>
          <w:p w14:paraId="3FC2EA7A">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81.9</w:t>
            </w:r>
          </w:p>
        </w:tc>
        <w:tc>
          <w:tcPr>
            <w:tcW w:w="558" w:type="dxa"/>
            <w:shd w:val="clear" w:color="auto" w:fill="auto"/>
            <w:noWrap w:val="0"/>
            <w:vAlign w:val="center"/>
          </w:tcPr>
          <w:p w14:paraId="24A821CE">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1.4</w:t>
            </w:r>
          </w:p>
        </w:tc>
        <w:tc>
          <w:tcPr>
            <w:tcW w:w="537" w:type="dxa"/>
            <w:shd w:val="clear" w:color="auto" w:fill="auto"/>
            <w:noWrap w:val="0"/>
            <w:vAlign w:val="center"/>
          </w:tcPr>
          <w:p w14:paraId="08EEF812">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8.5</w:t>
            </w:r>
          </w:p>
        </w:tc>
        <w:tc>
          <w:tcPr>
            <w:tcW w:w="537" w:type="dxa"/>
            <w:shd w:val="clear" w:color="auto" w:fill="auto"/>
            <w:noWrap w:val="0"/>
            <w:vAlign w:val="center"/>
          </w:tcPr>
          <w:p w14:paraId="342559DF">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59.7</w:t>
            </w:r>
          </w:p>
        </w:tc>
        <w:tc>
          <w:tcPr>
            <w:tcW w:w="542" w:type="dxa"/>
            <w:shd w:val="clear" w:color="auto" w:fill="auto"/>
            <w:noWrap w:val="0"/>
            <w:vAlign w:val="center"/>
          </w:tcPr>
          <w:p w14:paraId="06483E97">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84.4</w:t>
            </w:r>
          </w:p>
        </w:tc>
        <w:tc>
          <w:tcPr>
            <w:tcW w:w="558" w:type="dxa"/>
            <w:shd w:val="clear" w:color="auto" w:fill="auto"/>
            <w:noWrap w:val="0"/>
            <w:vAlign w:val="center"/>
          </w:tcPr>
          <w:p w14:paraId="0A97B8C7">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54.2</w:t>
            </w:r>
          </w:p>
        </w:tc>
        <w:tc>
          <w:tcPr>
            <w:tcW w:w="542" w:type="dxa"/>
            <w:shd w:val="clear" w:color="auto" w:fill="auto"/>
            <w:noWrap w:val="0"/>
            <w:vAlign w:val="center"/>
          </w:tcPr>
          <w:p w14:paraId="0BD9053F">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51.1 </w:t>
            </w:r>
          </w:p>
        </w:tc>
        <w:tc>
          <w:tcPr>
            <w:tcW w:w="542" w:type="dxa"/>
            <w:shd w:val="clear" w:color="auto" w:fill="auto"/>
            <w:noWrap w:val="0"/>
            <w:vAlign w:val="center"/>
          </w:tcPr>
          <w:p w14:paraId="3C077D55">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49.8 </w:t>
            </w:r>
          </w:p>
        </w:tc>
        <w:tc>
          <w:tcPr>
            <w:tcW w:w="542" w:type="dxa"/>
            <w:shd w:val="clear" w:color="auto" w:fill="auto"/>
            <w:noWrap w:val="0"/>
            <w:vAlign w:val="center"/>
          </w:tcPr>
          <w:p w14:paraId="207945DA">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49.8 </w:t>
            </w:r>
          </w:p>
        </w:tc>
        <w:tc>
          <w:tcPr>
            <w:tcW w:w="555" w:type="dxa"/>
            <w:shd w:val="clear" w:color="auto" w:fill="auto"/>
            <w:noWrap w:val="0"/>
            <w:vAlign w:val="center"/>
          </w:tcPr>
          <w:p w14:paraId="73DCD82B">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49.8 </w:t>
            </w:r>
          </w:p>
        </w:tc>
        <w:tc>
          <w:tcPr>
            <w:tcW w:w="542" w:type="dxa"/>
            <w:vMerge w:val="continue"/>
            <w:shd w:val="clear" w:color="auto" w:fill="auto"/>
            <w:noWrap w:val="0"/>
            <w:vAlign w:val="center"/>
          </w:tcPr>
          <w:p w14:paraId="5BED742B">
            <w:pPr>
              <w:spacing w:line="280" w:lineRule="exact"/>
              <w:jc w:val="center"/>
              <w:rPr>
                <w:rFonts w:hint="default" w:ascii="Times New Roman" w:hAnsi="Times New Roman" w:eastAsia="宋体"/>
                <w:color w:val="000000" w:themeColor="text1"/>
                <w:szCs w:val="21"/>
                <w:highlight w:val="none"/>
                <w:lang w:val="en-US" w:eastAsia="zh-CN"/>
                <w14:textFill>
                  <w14:solidFill>
                    <w14:schemeClr w14:val="tx1"/>
                  </w14:solidFill>
                </w14:textFill>
              </w:rPr>
            </w:pPr>
          </w:p>
        </w:tc>
        <w:tc>
          <w:tcPr>
            <w:tcW w:w="897" w:type="dxa"/>
            <w:shd w:val="clear" w:color="auto" w:fill="auto"/>
            <w:noWrap w:val="0"/>
            <w:vAlign w:val="center"/>
          </w:tcPr>
          <w:p w14:paraId="02FCB960">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24.3</w:t>
            </w:r>
          </w:p>
        </w:tc>
        <w:tc>
          <w:tcPr>
            <w:tcW w:w="746" w:type="dxa"/>
            <w:shd w:val="clear" w:color="auto" w:fill="auto"/>
            <w:noWrap w:val="0"/>
            <w:vAlign w:val="center"/>
          </w:tcPr>
          <w:p w14:paraId="657D11DE">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26.8</w:t>
            </w:r>
          </w:p>
        </w:tc>
        <w:tc>
          <w:tcPr>
            <w:tcW w:w="689" w:type="dxa"/>
            <w:shd w:val="clear" w:color="auto" w:fill="auto"/>
            <w:noWrap w:val="0"/>
            <w:vAlign w:val="center"/>
          </w:tcPr>
          <w:p w14:paraId="764046A5">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25.5</w:t>
            </w:r>
          </w:p>
        </w:tc>
        <w:tc>
          <w:tcPr>
            <w:tcW w:w="838" w:type="dxa"/>
            <w:shd w:val="clear" w:color="auto" w:fill="auto"/>
            <w:noWrap w:val="0"/>
            <w:vAlign w:val="center"/>
          </w:tcPr>
          <w:p w14:paraId="48289CC8">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25.5</w:t>
            </w:r>
          </w:p>
        </w:tc>
        <w:tc>
          <w:tcPr>
            <w:tcW w:w="750" w:type="dxa"/>
            <w:shd w:val="clear" w:color="auto" w:fill="auto"/>
            <w:noWrap w:val="0"/>
            <w:vAlign w:val="center"/>
          </w:tcPr>
          <w:p w14:paraId="118E1583">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25.5</w:t>
            </w:r>
          </w:p>
        </w:tc>
        <w:tc>
          <w:tcPr>
            <w:tcW w:w="1096" w:type="dxa"/>
            <w:shd w:val="clear" w:color="auto" w:fill="auto"/>
            <w:noWrap w:val="0"/>
            <w:vAlign w:val="center"/>
          </w:tcPr>
          <w:p w14:paraId="6BDFF96E">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r>
      <w:tr w14:paraId="7D9BF3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2050D0E5">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44</w:t>
            </w:r>
          </w:p>
        </w:tc>
        <w:tc>
          <w:tcPr>
            <w:tcW w:w="714" w:type="dxa"/>
            <w:vMerge w:val="continue"/>
            <w:shd w:val="clear" w:color="auto" w:fill="auto"/>
            <w:noWrap w:val="0"/>
            <w:vAlign w:val="center"/>
          </w:tcPr>
          <w:p w14:paraId="281464AE">
            <w:pPr>
              <w:spacing w:line="280" w:lineRule="exact"/>
              <w:jc w:val="center"/>
              <w:rPr>
                <w:rFonts w:hint="eastAsia"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pPr>
          </w:p>
        </w:tc>
        <w:tc>
          <w:tcPr>
            <w:tcW w:w="714" w:type="dxa"/>
            <w:shd w:val="clear" w:color="auto" w:fill="auto"/>
            <w:noWrap w:val="0"/>
            <w:vAlign w:val="center"/>
          </w:tcPr>
          <w:p w14:paraId="77CBA148">
            <w:pPr>
              <w:spacing w:line="280" w:lineRule="exact"/>
              <w:jc w:val="center"/>
              <w:rPr>
                <w:rFonts w:hint="eastAsia" w:ascii="Times New Roman" w:hAnsi="Times New Roman" w:eastAsia="宋体" w:cs="Times New Roman"/>
                <w:b w:val="0"/>
                <w:bCs w:val="0"/>
                <w:color w:val="000000" w:themeColor="text1"/>
                <w:kern w:val="0"/>
                <w:sz w:val="21"/>
                <w:szCs w:val="21"/>
                <w:highlight w:val="none"/>
                <w:vertAlign w:val="baseline"/>
                <w:lang w:val="en-US" w:eastAsia="zh-CN" w:bidi="ar-SA"/>
                <w14:textFill>
                  <w14:solidFill>
                    <w14:schemeClr w14:val="tx1"/>
                  </w14:solidFill>
                </w14:textFill>
              </w:rPr>
            </w:pPr>
            <w:r>
              <w:rPr>
                <w:rFonts w:hint="eastAsia" w:ascii="Times New Roman" w:hAnsi="Times New Roman" w:cs="Times New Roman"/>
                <w:color w:val="000000" w:themeColor="text1"/>
                <w:szCs w:val="21"/>
                <w:highlight w:val="none"/>
                <w:lang w:val="en-US" w:eastAsia="zh-CN"/>
                <w14:textFill>
                  <w14:solidFill>
                    <w14:schemeClr w14:val="tx1"/>
                  </w14:solidFill>
                </w14:textFill>
              </w:rPr>
              <w:t>风柜机组4#</w:t>
            </w:r>
          </w:p>
        </w:tc>
        <w:tc>
          <w:tcPr>
            <w:tcW w:w="537" w:type="dxa"/>
            <w:shd w:val="clear" w:color="auto" w:fill="auto"/>
            <w:noWrap w:val="0"/>
            <w:vAlign w:val="center"/>
          </w:tcPr>
          <w:p w14:paraId="5E8D3C74">
            <w:pPr>
              <w:spacing w:line="280" w:lineRule="exact"/>
              <w:jc w:val="center"/>
              <w:rPr>
                <w:rFonts w:hint="eastAsia"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75</w:t>
            </w:r>
          </w:p>
        </w:tc>
        <w:tc>
          <w:tcPr>
            <w:tcW w:w="537" w:type="dxa"/>
            <w:shd w:val="clear" w:color="auto" w:fill="auto"/>
            <w:noWrap w:val="0"/>
            <w:vAlign w:val="center"/>
          </w:tcPr>
          <w:p w14:paraId="04B287AC">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58.67</w:t>
            </w:r>
          </w:p>
        </w:tc>
        <w:tc>
          <w:tcPr>
            <w:tcW w:w="537" w:type="dxa"/>
            <w:shd w:val="clear" w:color="auto" w:fill="auto"/>
            <w:noWrap w:val="0"/>
            <w:vAlign w:val="center"/>
          </w:tcPr>
          <w:p w14:paraId="611B1867">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79.67</w:t>
            </w:r>
          </w:p>
        </w:tc>
        <w:tc>
          <w:tcPr>
            <w:tcW w:w="558" w:type="dxa"/>
            <w:shd w:val="clear" w:color="auto" w:fill="auto"/>
            <w:noWrap w:val="0"/>
            <w:vAlign w:val="center"/>
          </w:tcPr>
          <w:p w14:paraId="4D703486">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1.4</w:t>
            </w:r>
          </w:p>
        </w:tc>
        <w:tc>
          <w:tcPr>
            <w:tcW w:w="537" w:type="dxa"/>
            <w:shd w:val="clear" w:color="auto" w:fill="auto"/>
            <w:noWrap w:val="0"/>
            <w:vAlign w:val="center"/>
          </w:tcPr>
          <w:p w14:paraId="03A53F3C">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8.2</w:t>
            </w:r>
          </w:p>
        </w:tc>
        <w:tc>
          <w:tcPr>
            <w:tcW w:w="537" w:type="dxa"/>
            <w:shd w:val="clear" w:color="auto" w:fill="auto"/>
            <w:noWrap w:val="0"/>
            <w:vAlign w:val="center"/>
          </w:tcPr>
          <w:p w14:paraId="60F3183F">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56.3</w:t>
            </w:r>
          </w:p>
        </w:tc>
        <w:tc>
          <w:tcPr>
            <w:tcW w:w="542" w:type="dxa"/>
            <w:shd w:val="clear" w:color="auto" w:fill="auto"/>
            <w:noWrap w:val="0"/>
            <w:vAlign w:val="center"/>
          </w:tcPr>
          <w:p w14:paraId="442B964D">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85.3</w:t>
            </w:r>
          </w:p>
        </w:tc>
        <w:tc>
          <w:tcPr>
            <w:tcW w:w="558" w:type="dxa"/>
            <w:shd w:val="clear" w:color="auto" w:fill="auto"/>
            <w:noWrap w:val="0"/>
            <w:vAlign w:val="center"/>
          </w:tcPr>
          <w:p w14:paraId="7E235B0B">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54.9</w:t>
            </w:r>
          </w:p>
        </w:tc>
        <w:tc>
          <w:tcPr>
            <w:tcW w:w="542" w:type="dxa"/>
            <w:shd w:val="clear" w:color="auto" w:fill="auto"/>
            <w:noWrap w:val="0"/>
            <w:vAlign w:val="center"/>
          </w:tcPr>
          <w:p w14:paraId="39920200">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51.2 </w:t>
            </w:r>
          </w:p>
        </w:tc>
        <w:tc>
          <w:tcPr>
            <w:tcW w:w="542" w:type="dxa"/>
            <w:shd w:val="clear" w:color="auto" w:fill="auto"/>
            <w:noWrap w:val="0"/>
            <w:vAlign w:val="center"/>
          </w:tcPr>
          <w:p w14:paraId="0B63EC3C">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49.8 </w:t>
            </w:r>
          </w:p>
        </w:tc>
        <w:tc>
          <w:tcPr>
            <w:tcW w:w="542" w:type="dxa"/>
            <w:shd w:val="clear" w:color="auto" w:fill="auto"/>
            <w:noWrap w:val="0"/>
            <w:vAlign w:val="center"/>
          </w:tcPr>
          <w:p w14:paraId="3AB80778">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49.8 </w:t>
            </w:r>
          </w:p>
        </w:tc>
        <w:tc>
          <w:tcPr>
            <w:tcW w:w="555" w:type="dxa"/>
            <w:shd w:val="clear" w:color="auto" w:fill="auto"/>
            <w:noWrap w:val="0"/>
            <w:vAlign w:val="center"/>
          </w:tcPr>
          <w:p w14:paraId="21C3A5A4">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49.8 </w:t>
            </w:r>
          </w:p>
        </w:tc>
        <w:tc>
          <w:tcPr>
            <w:tcW w:w="542" w:type="dxa"/>
            <w:vMerge w:val="continue"/>
            <w:shd w:val="clear" w:color="auto" w:fill="auto"/>
            <w:noWrap w:val="0"/>
            <w:vAlign w:val="center"/>
          </w:tcPr>
          <w:p w14:paraId="5B5C43C2">
            <w:pPr>
              <w:spacing w:line="280" w:lineRule="exact"/>
              <w:jc w:val="center"/>
              <w:rPr>
                <w:rFonts w:hint="default" w:ascii="Times New Roman" w:hAnsi="Times New Roman" w:eastAsia="宋体"/>
                <w:color w:val="000000" w:themeColor="text1"/>
                <w:szCs w:val="21"/>
                <w:highlight w:val="none"/>
                <w:lang w:val="en-US" w:eastAsia="zh-CN"/>
                <w14:textFill>
                  <w14:solidFill>
                    <w14:schemeClr w14:val="tx1"/>
                  </w14:solidFill>
                </w14:textFill>
              </w:rPr>
            </w:pPr>
          </w:p>
        </w:tc>
        <w:tc>
          <w:tcPr>
            <w:tcW w:w="897" w:type="dxa"/>
            <w:shd w:val="clear" w:color="auto" w:fill="auto"/>
            <w:noWrap w:val="0"/>
            <w:vAlign w:val="center"/>
          </w:tcPr>
          <w:p w14:paraId="7469678E">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24.3</w:t>
            </w:r>
          </w:p>
        </w:tc>
        <w:tc>
          <w:tcPr>
            <w:tcW w:w="746" w:type="dxa"/>
            <w:shd w:val="clear" w:color="auto" w:fill="auto"/>
            <w:noWrap w:val="0"/>
            <w:vAlign w:val="center"/>
          </w:tcPr>
          <w:p w14:paraId="1B869A3E">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26.9</w:t>
            </w:r>
          </w:p>
        </w:tc>
        <w:tc>
          <w:tcPr>
            <w:tcW w:w="689" w:type="dxa"/>
            <w:shd w:val="clear" w:color="auto" w:fill="auto"/>
            <w:noWrap w:val="0"/>
            <w:vAlign w:val="center"/>
          </w:tcPr>
          <w:p w14:paraId="6D3E10EE">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25.5</w:t>
            </w:r>
          </w:p>
        </w:tc>
        <w:tc>
          <w:tcPr>
            <w:tcW w:w="838" w:type="dxa"/>
            <w:shd w:val="clear" w:color="auto" w:fill="auto"/>
            <w:noWrap w:val="0"/>
            <w:vAlign w:val="center"/>
          </w:tcPr>
          <w:p w14:paraId="43D7BB38">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25.5</w:t>
            </w:r>
          </w:p>
        </w:tc>
        <w:tc>
          <w:tcPr>
            <w:tcW w:w="750" w:type="dxa"/>
            <w:shd w:val="clear" w:color="auto" w:fill="auto"/>
            <w:noWrap w:val="0"/>
            <w:vAlign w:val="center"/>
          </w:tcPr>
          <w:p w14:paraId="4E50FCB0">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25.5</w:t>
            </w:r>
          </w:p>
        </w:tc>
        <w:tc>
          <w:tcPr>
            <w:tcW w:w="1096" w:type="dxa"/>
            <w:shd w:val="clear" w:color="auto" w:fill="auto"/>
            <w:noWrap w:val="0"/>
            <w:vAlign w:val="center"/>
          </w:tcPr>
          <w:p w14:paraId="1B1A71F7">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r>
      <w:tr w14:paraId="317BE1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427" w:type="dxa"/>
            <w:shd w:val="clear" w:color="auto" w:fill="auto"/>
            <w:noWrap w:val="0"/>
            <w:vAlign w:val="center"/>
          </w:tcPr>
          <w:p w14:paraId="2FF53BE8">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45</w:t>
            </w:r>
          </w:p>
        </w:tc>
        <w:tc>
          <w:tcPr>
            <w:tcW w:w="714" w:type="dxa"/>
            <w:vMerge w:val="continue"/>
            <w:shd w:val="clear" w:color="auto" w:fill="auto"/>
            <w:noWrap w:val="0"/>
            <w:vAlign w:val="center"/>
          </w:tcPr>
          <w:p w14:paraId="69F7D47E">
            <w:pPr>
              <w:spacing w:line="280" w:lineRule="exact"/>
              <w:jc w:val="center"/>
              <w:rPr>
                <w:rFonts w:hint="eastAsia"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pPr>
          </w:p>
        </w:tc>
        <w:tc>
          <w:tcPr>
            <w:tcW w:w="714" w:type="dxa"/>
            <w:shd w:val="clear" w:color="auto" w:fill="auto"/>
            <w:noWrap w:val="0"/>
            <w:vAlign w:val="center"/>
          </w:tcPr>
          <w:p w14:paraId="2BE26C01">
            <w:pPr>
              <w:spacing w:line="280" w:lineRule="exact"/>
              <w:jc w:val="center"/>
              <w:rPr>
                <w:rFonts w:hint="eastAsia" w:ascii="Times New Roman" w:hAnsi="Times New Roman" w:eastAsia="宋体" w:cs="Times New Roman"/>
                <w:b w:val="0"/>
                <w:bCs w:val="0"/>
                <w:color w:val="000000" w:themeColor="text1"/>
                <w:kern w:val="0"/>
                <w:sz w:val="21"/>
                <w:szCs w:val="21"/>
                <w:highlight w:val="none"/>
                <w:vertAlign w:val="baseline"/>
                <w:lang w:val="en-US" w:eastAsia="zh-CN" w:bidi="ar-SA"/>
                <w14:textFill>
                  <w14:solidFill>
                    <w14:schemeClr w14:val="tx1"/>
                  </w14:solidFill>
                </w14:textFill>
              </w:rPr>
            </w:pPr>
            <w:r>
              <w:rPr>
                <w:rFonts w:hint="eastAsia" w:ascii="Times New Roman" w:hAnsi="Times New Roman" w:cs="Times New Roman"/>
                <w:color w:val="000000" w:themeColor="text1"/>
                <w:szCs w:val="21"/>
                <w:highlight w:val="none"/>
                <w:lang w:val="en-US" w:eastAsia="zh-CN"/>
                <w14:textFill>
                  <w14:solidFill>
                    <w14:schemeClr w14:val="tx1"/>
                  </w14:solidFill>
                </w14:textFill>
              </w:rPr>
              <w:t>风柜机组5#</w:t>
            </w:r>
          </w:p>
        </w:tc>
        <w:tc>
          <w:tcPr>
            <w:tcW w:w="537" w:type="dxa"/>
            <w:shd w:val="clear" w:color="auto" w:fill="auto"/>
            <w:noWrap w:val="0"/>
            <w:vAlign w:val="center"/>
          </w:tcPr>
          <w:p w14:paraId="6C7DC614">
            <w:pPr>
              <w:spacing w:line="280" w:lineRule="exact"/>
              <w:jc w:val="center"/>
              <w:rPr>
                <w:rFonts w:hint="eastAsia"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75</w:t>
            </w:r>
          </w:p>
        </w:tc>
        <w:tc>
          <w:tcPr>
            <w:tcW w:w="537" w:type="dxa"/>
            <w:shd w:val="clear" w:color="auto" w:fill="auto"/>
            <w:noWrap w:val="0"/>
            <w:vAlign w:val="center"/>
          </w:tcPr>
          <w:p w14:paraId="273BEDA2">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59.65</w:t>
            </w:r>
          </w:p>
        </w:tc>
        <w:tc>
          <w:tcPr>
            <w:tcW w:w="537" w:type="dxa"/>
            <w:shd w:val="clear" w:color="auto" w:fill="auto"/>
            <w:noWrap w:val="0"/>
            <w:vAlign w:val="center"/>
          </w:tcPr>
          <w:p w14:paraId="2AB7DA25">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77.58</w:t>
            </w:r>
          </w:p>
        </w:tc>
        <w:tc>
          <w:tcPr>
            <w:tcW w:w="558" w:type="dxa"/>
            <w:shd w:val="clear" w:color="auto" w:fill="auto"/>
            <w:noWrap w:val="0"/>
            <w:vAlign w:val="center"/>
          </w:tcPr>
          <w:p w14:paraId="7847DB53">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1.4</w:t>
            </w:r>
          </w:p>
        </w:tc>
        <w:tc>
          <w:tcPr>
            <w:tcW w:w="537" w:type="dxa"/>
            <w:shd w:val="clear" w:color="auto" w:fill="auto"/>
            <w:noWrap w:val="0"/>
            <w:vAlign w:val="center"/>
          </w:tcPr>
          <w:p w14:paraId="56E5431D">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7.7</w:t>
            </w:r>
          </w:p>
        </w:tc>
        <w:tc>
          <w:tcPr>
            <w:tcW w:w="537" w:type="dxa"/>
            <w:shd w:val="clear" w:color="auto" w:fill="auto"/>
            <w:noWrap w:val="0"/>
            <w:vAlign w:val="center"/>
          </w:tcPr>
          <w:p w14:paraId="390CBE8A">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55.4</w:t>
            </w:r>
          </w:p>
        </w:tc>
        <w:tc>
          <w:tcPr>
            <w:tcW w:w="542" w:type="dxa"/>
            <w:shd w:val="clear" w:color="auto" w:fill="auto"/>
            <w:noWrap w:val="0"/>
            <w:vAlign w:val="center"/>
          </w:tcPr>
          <w:p w14:paraId="7B7C75BF">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83.2</w:t>
            </w:r>
          </w:p>
        </w:tc>
        <w:tc>
          <w:tcPr>
            <w:tcW w:w="558" w:type="dxa"/>
            <w:shd w:val="clear" w:color="auto" w:fill="auto"/>
            <w:noWrap w:val="0"/>
            <w:vAlign w:val="center"/>
          </w:tcPr>
          <w:p w14:paraId="415987AA">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36.9</w:t>
            </w:r>
          </w:p>
        </w:tc>
        <w:tc>
          <w:tcPr>
            <w:tcW w:w="542" w:type="dxa"/>
            <w:shd w:val="clear" w:color="auto" w:fill="auto"/>
            <w:noWrap w:val="0"/>
            <w:vAlign w:val="center"/>
          </w:tcPr>
          <w:p w14:paraId="27181C14">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51.4 </w:t>
            </w:r>
          </w:p>
        </w:tc>
        <w:tc>
          <w:tcPr>
            <w:tcW w:w="542" w:type="dxa"/>
            <w:shd w:val="clear" w:color="auto" w:fill="auto"/>
            <w:noWrap w:val="0"/>
            <w:vAlign w:val="center"/>
          </w:tcPr>
          <w:p w14:paraId="0CBB3E08">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49.8 </w:t>
            </w:r>
          </w:p>
        </w:tc>
        <w:tc>
          <w:tcPr>
            <w:tcW w:w="542" w:type="dxa"/>
            <w:shd w:val="clear" w:color="auto" w:fill="auto"/>
            <w:noWrap w:val="0"/>
            <w:vAlign w:val="center"/>
          </w:tcPr>
          <w:p w14:paraId="44332FCA">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49.8 </w:t>
            </w:r>
          </w:p>
        </w:tc>
        <w:tc>
          <w:tcPr>
            <w:tcW w:w="555" w:type="dxa"/>
            <w:shd w:val="clear" w:color="auto" w:fill="auto"/>
            <w:noWrap w:val="0"/>
            <w:vAlign w:val="center"/>
          </w:tcPr>
          <w:p w14:paraId="2DDB9271">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49.8 </w:t>
            </w:r>
          </w:p>
        </w:tc>
        <w:tc>
          <w:tcPr>
            <w:tcW w:w="542" w:type="dxa"/>
            <w:vMerge w:val="continue"/>
            <w:shd w:val="clear" w:color="auto" w:fill="auto"/>
            <w:noWrap w:val="0"/>
            <w:vAlign w:val="center"/>
          </w:tcPr>
          <w:p w14:paraId="2EC70846">
            <w:pPr>
              <w:spacing w:line="280" w:lineRule="exact"/>
              <w:jc w:val="center"/>
              <w:rPr>
                <w:rFonts w:hint="default" w:ascii="Times New Roman" w:hAnsi="Times New Roman" w:eastAsia="宋体"/>
                <w:color w:val="000000" w:themeColor="text1"/>
                <w:szCs w:val="21"/>
                <w:highlight w:val="none"/>
                <w:lang w:val="en-US" w:eastAsia="zh-CN"/>
                <w14:textFill>
                  <w14:solidFill>
                    <w14:schemeClr w14:val="tx1"/>
                  </w14:solidFill>
                </w14:textFill>
              </w:rPr>
            </w:pPr>
          </w:p>
        </w:tc>
        <w:tc>
          <w:tcPr>
            <w:tcW w:w="897" w:type="dxa"/>
            <w:shd w:val="clear" w:color="auto" w:fill="auto"/>
            <w:noWrap w:val="0"/>
            <w:vAlign w:val="center"/>
          </w:tcPr>
          <w:p w14:paraId="592785F4">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24.3</w:t>
            </w:r>
          </w:p>
        </w:tc>
        <w:tc>
          <w:tcPr>
            <w:tcW w:w="746" w:type="dxa"/>
            <w:shd w:val="clear" w:color="auto" w:fill="auto"/>
            <w:noWrap w:val="0"/>
            <w:vAlign w:val="center"/>
          </w:tcPr>
          <w:p w14:paraId="59094DCE">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27.1</w:t>
            </w:r>
          </w:p>
        </w:tc>
        <w:tc>
          <w:tcPr>
            <w:tcW w:w="689" w:type="dxa"/>
            <w:shd w:val="clear" w:color="auto" w:fill="auto"/>
            <w:noWrap w:val="0"/>
            <w:vAlign w:val="center"/>
          </w:tcPr>
          <w:p w14:paraId="634E8BE8">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25.5</w:t>
            </w:r>
          </w:p>
        </w:tc>
        <w:tc>
          <w:tcPr>
            <w:tcW w:w="838" w:type="dxa"/>
            <w:shd w:val="clear" w:color="auto" w:fill="auto"/>
            <w:noWrap w:val="0"/>
            <w:vAlign w:val="center"/>
          </w:tcPr>
          <w:p w14:paraId="5BB03319">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25.5</w:t>
            </w:r>
          </w:p>
        </w:tc>
        <w:tc>
          <w:tcPr>
            <w:tcW w:w="750" w:type="dxa"/>
            <w:shd w:val="clear" w:color="auto" w:fill="auto"/>
            <w:noWrap w:val="0"/>
            <w:vAlign w:val="center"/>
          </w:tcPr>
          <w:p w14:paraId="24C56D0B">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25.5</w:t>
            </w:r>
          </w:p>
        </w:tc>
        <w:tc>
          <w:tcPr>
            <w:tcW w:w="1096" w:type="dxa"/>
            <w:shd w:val="clear" w:color="auto" w:fill="auto"/>
            <w:noWrap w:val="0"/>
            <w:vAlign w:val="center"/>
          </w:tcPr>
          <w:p w14:paraId="1DAF2E4C">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r>
      <w:tr w14:paraId="70762C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436A9815">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46</w:t>
            </w:r>
          </w:p>
        </w:tc>
        <w:tc>
          <w:tcPr>
            <w:tcW w:w="714" w:type="dxa"/>
            <w:vMerge w:val="continue"/>
            <w:shd w:val="clear" w:color="auto" w:fill="auto"/>
            <w:noWrap w:val="0"/>
            <w:vAlign w:val="center"/>
          </w:tcPr>
          <w:p w14:paraId="4788CFA8">
            <w:pPr>
              <w:spacing w:line="280" w:lineRule="exact"/>
              <w:jc w:val="center"/>
              <w:rPr>
                <w:rFonts w:hint="eastAsia"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pPr>
          </w:p>
        </w:tc>
        <w:tc>
          <w:tcPr>
            <w:tcW w:w="714" w:type="dxa"/>
            <w:shd w:val="clear" w:color="auto" w:fill="auto"/>
            <w:noWrap w:val="0"/>
            <w:vAlign w:val="center"/>
          </w:tcPr>
          <w:p w14:paraId="6AFBCA39">
            <w:pPr>
              <w:spacing w:line="280" w:lineRule="exact"/>
              <w:jc w:val="center"/>
              <w:rPr>
                <w:rFonts w:hint="eastAsia" w:ascii="Times New Roman" w:hAnsi="Times New Roman" w:eastAsia="宋体" w:cs="Times New Roman"/>
                <w:b w:val="0"/>
                <w:bCs w:val="0"/>
                <w:color w:val="000000" w:themeColor="text1"/>
                <w:kern w:val="0"/>
                <w:sz w:val="21"/>
                <w:szCs w:val="21"/>
                <w:highlight w:val="none"/>
                <w:vertAlign w:val="baseline"/>
                <w:lang w:val="en-US" w:eastAsia="zh-CN" w:bidi="ar-SA"/>
                <w14:textFill>
                  <w14:solidFill>
                    <w14:schemeClr w14:val="tx1"/>
                  </w14:solidFill>
                </w14:textFill>
              </w:rPr>
            </w:pPr>
            <w:r>
              <w:rPr>
                <w:rFonts w:hint="eastAsia" w:ascii="Times New Roman" w:hAnsi="Times New Roman" w:cs="Times New Roman"/>
                <w:color w:val="000000" w:themeColor="text1"/>
                <w:szCs w:val="21"/>
                <w:highlight w:val="none"/>
                <w:lang w:val="en-US" w:eastAsia="zh-CN"/>
                <w14:textFill>
                  <w14:solidFill>
                    <w14:schemeClr w14:val="tx1"/>
                  </w14:solidFill>
                </w14:textFill>
              </w:rPr>
              <w:t>风柜机组6#</w:t>
            </w:r>
          </w:p>
        </w:tc>
        <w:tc>
          <w:tcPr>
            <w:tcW w:w="537" w:type="dxa"/>
            <w:shd w:val="clear" w:color="auto" w:fill="auto"/>
            <w:noWrap w:val="0"/>
            <w:vAlign w:val="center"/>
          </w:tcPr>
          <w:p w14:paraId="4547EC29">
            <w:pPr>
              <w:spacing w:line="280" w:lineRule="exact"/>
              <w:jc w:val="center"/>
              <w:rPr>
                <w:rFonts w:hint="eastAsia"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75</w:t>
            </w:r>
          </w:p>
        </w:tc>
        <w:tc>
          <w:tcPr>
            <w:tcW w:w="537" w:type="dxa"/>
            <w:shd w:val="clear" w:color="auto" w:fill="auto"/>
            <w:noWrap w:val="0"/>
            <w:vAlign w:val="center"/>
          </w:tcPr>
          <w:p w14:paraId="1E46A47A">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60.2</w:t>
            </w:r>
          </w:p>
        </w:tc>
        <w:tc>
          <w:tcPr>
            <w:tcW w:w="537" w:type="dxa"/>
            <w:shd w:val="clear" w:color="auto" w:fill="auto"/>
            <w:noWrap w:val="0"/>
            <w:vAlign w:val="center"/>
          </w:tcPr>
          <w:p w14:paraId="48175C17">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74.93</w:t>
            </w:r>
          </w:p>
        </w:tc>
        <w:tc>
          <w:tcPr>
            <w:tcW w:w="558" w:type="dxa"/>
            <w:shd w:val="clear" w:color="auto" w:fill="auto"/>
            <w:noWrap w:val="0"/>
            <w:vAlign w:val="center"/>
          </w:tcPr>
          <w:p w14:paraId="507D8C87">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1.4</w:t>
            </w:r>
          </w:p>
        </w:tc>
        <w:tc>
          <w:tcPr>
            <w:tcW w:w="537" w:type="dxa"/>
            <w:shd w:val="clear" w:color="auto" w:fill="auto"/>
            <w:noWrap w:val="0"/>
            <w:vAlign w:val="center"/>
          </w:tcPr>
          <w:p w14:paraId="4B3CF8AC">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8.7</w:t>
            </w:r>
          </w:p>
        </w:tc>
        <w:tc>
          <w:tcPr>
            <w:tcW w:w="537" w:type="dxa"/>
            <w:shd w:val="clear" w:color="auto" w:fill="auto"/>
            <w:noWrap w:val="0"/>
            <w:vAlign w:val="center"/>
          </w:tcPr>
          <w:p w14:paraId="025DA5C8">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52.3</w:t>
            </w:r>
          </w:p>
        </w:tc>
        <w:tc>
          <w:tcPr>
            <w:tcW w:w="542" w:type="dxa"/>
            <w:shd w:val="clear" w:color="auto" w:fill="auto"/>
            <w:noWrap w:val="0"/>
            <w:vAlign w:val="center"/>
          </w:tcPr>
          <w:p w14:paraId="144A3B3A">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80.1</w:t>
            </w:r>
          </w:p>
        </w:tc>
        <w:tc>
          <w:tcPr>
            <w:tcW w:w="558" w:type="dxa"/>
            <w:shd w:val="clear" w:color="auto" w:fill="auto"/>
            <w:noWrap w:val="0"/>
            <w:vAlign w:val="center"/>
          </w:tcPr>
          <w:p w14:paraId="40110E5A">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58.8</w:t>
            </w:r>
          </w:p>
        </w:tc>
        <w:tc>
          <w:tcPr>
            <w:tcW w:w="542" w:type="dxa"/>
            <w:shd w:val="clear" w:color="auto" w:fill="auto"/>
            <w:noWrap w:val="0"/>
            <w:vAlign w:val="center"/>
          </w:tcPr>
          <w:p w14:paraId="2034FCBA">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51.1 </w:t>
            </w:r>
          </w:p>
        </w:tc>
        <w:tc>
          <w:tcPr>
            <w:tcW w:w="542" w:type="dxa"/>
            <w:shd w:val="clear" w:color="auto" w:fill="auto"/>
            <w:noWrap w:val="0"/>
            <w:vAlign w:val="center"/>
          </w:tcPr>
          <w:p w14:paraId="7B12589E">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49.8 </w:t>
            </w:r>
          </w:p>
        </w:tc>
        <w:tc>
          <w:tcPr>
            <w:tcW w:w="542" w:type="dxa"/>
            <w:shd w:val="clear" w:color="auto" w:fill="auto"/>
            <w:noWrap w:val="0"/>
            <w:vAlign w:val="center"/>
          </w:tcPr>
          <w:p w14:paraId="17410977">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49.8 </w:t>
            </w:r>
          </w:p>
        </w:tc>
        <w:tc>
          <w:tcPr>
            <w:tcW w:w="555" w:type="dxa"/>
            <w:shd w:val="clear" w:color="auto" w:fill="auto"/>
            <w:noWrap w:val="0"/>
            <w:vAlign w:val="center"/>
          </w:tcPr>
          <w:p w14:paraId="42713D36">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49.8 </w:t>
            </w:r>
          </w:p>
        </w:tc>
        <w:tc>
          <w:tcPr>
            <w:tcW w:w="542" w:type="dxa"/>
            <w:vMerge w:val="continue"/>
            <w:shd w:val="clear" w:color="auto" w:fill="auto"/>
            <w:noWrap w:val="0"/>
            <w:vAlign w:val="center"/>
          </w:tcPr>
          <w:p w14:paraId="39AC2B0E">
            <w:pPr>
              <w:spacing w:line="280" w:lineRule="exact"/>
              <w:jc w:val="center"/>
              <w:rPr>
                <w:rFonts w:hint="default" w:ascii="Times New Roman" w:hAnsi="Times New Roman" w:eastAsia="宋体"/>
                <w:color w:val="000000" w:themeColor="text1"/>
                <w:szCs w:val="21"/>
                <w:highlight w:val="none"/>
                <w:lang w:val="en-US" w:eastAsia="zh-CN"/>
                <w14:textFill>
                  <w14:solidFill>
                    <w14:schemeClr w14:val="tx1"/>
                  </w14:solidFill>
                </w14:textFill>
              </w:rPr>
            </w:pPr>
          </w:p>
        </w:tc>
        <w:tc>
          <w:tcPr>
            <w:tcW w:w="897" w:type="dxa"/>
            <w:shd w:val="clear" w:color="auto" w:fill="auto"/>
            <w:noWrap w:val="0"/>
            <w:vAlign w:val="center"/>
          </w:tcPr>
          <w:p w14:paraId="1B5641AC">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24.3</w:t>
            </w:r>
          </w:p>
        </w:tc>
        <w:tc>
          <w:tcPr>
            <w:tcW w:w="746" w:type="dxa"/>
            <w:shd w:val="clear" w:color="auto" w:fill="auto"/>
            <w:noWrap w:val="0"/>
            <w:vAlign w:val="center"/>
          </w:tcPr>
          <w:p w14:paraId="17A4E4F3">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26.8</w:t>
            </w:r>
          </w:p>
        </w:tc>
        <w:tc>
          <w:tcPr>
            <w:tcW w:w="689" w:type="dxa"/>
            <w:shd w:val="clear" w:color="auto" w:fill="auto"/>
            <w:noWrap w:val="0"/>
            <w:vAlign w:val="center"/>
          </w:tcPr>
          <w:p w14:paraId="74FF998A">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25.5</w:t>
            </w:r>
          </w:p>
        </w:tc>
        <w:tc>
          <w:tcPr>
            <w:tcW w:w="838" w:type="dxa"/>
            <w:shd w:val="clear" w:color="auto" w:fill="auto"/>
            <w:noWrap w:val="0"/>
            <w:vAlign w:val="center"/>
          </w:tcPr>
          <w:p w14:paraId="20CFC5B8">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25.5</w:t>
            </w:r>
          </w:p>
        </w:tc>
        <w:tc>
          <w:tcPr>
            <w:tcW w:w="750" w:type="dxa"/>
            <w:shd w:val="clear" w:color="auto" w:fill="auto"/>
            <w:noWrap w:val="0"/>
            <w:vAlign w:val="center"/>
          </w:tcPr>
          <w:p w14:paraId="189032E6">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25.5</w:t>
            </w:r>
          </w:p>
        </w:tc>
        <w:tc>
          <w:tcPr>
            <w:tcW w:w="1096" w:type="dxa"/>
            <w:shd w:val="clear" w:color="auto" w:fill="auto"/>
            <w:noWrap w:val="0"/>
            <w:vAlign w:val="center"/>
          </w:tcPr>
          <w:p w14:paraId="437D7BFE">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r>
      <w:tr w14:paraId="609396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26ADFDE3">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47</w:t>
            </w:r>
          </w:p>
        </w:tc>
        <w:tc>
          <w:tcPr>
            <w:tcW w:w="714" w:type="dxa"/>
            <w:vMerge w:val="continue"/>
            <w:shd w:val="clear" w:color="auto" w:fill="auto"/>
            <w:noWrap w:val="0"/>
            <w:vAlign w:val="center"/>
          </w:tcPr>
          <w:p w14:paraId="3A5432AD">
            <w:pPr>
              <w:spacing w:line="280" w:lineRule="exact"/>
              <w:jc w:val="center"/>
              <w:rPr>
                <w:rFonts w:hint="eastAsia" w:ascii="Times New Roman" w:hAnsi="Times New Roman" w:cs="Times New Roman"/>
                <w:color w:val="000000" w:themeColor="text1"/>
                <w:szCs w:val="21"/>
                <w:highlight w:val="none"/>
                <w:lang w:val="en-US" w:eastAsia="zh-CN"/>
                <w14:textFill>
                  <w14:solidFill>
                    <w14:schemeClr w14:val="tx1"/>
                  </w14:solidFill>
                </w14:textFill>
              </w:rPr>
            </w:pPr>
          </w:p>
        </w:tc>
        <w:tc>
          <w:tcPr>
            <w:tcW w:w="714" w:type="dxa"/>
            <w:shd w:val="clear" w:color="auto" w:fill="auto"/>
            <w:noWrap w:val="0"/>
            <w:vAlign w:val="center"/>
          </w:tcPr>
          <w:p w14:paraId="11E35799">
            <w:pPr>
              <w:spacing w:line="280" w:lineRule="exact"/>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cs="Times New Roman"/>
                <w:color w:val="000000" w:themeColor="text1"/>
                <w:szCs w:val="21"/>
                <w:highlight w:val="none"/>
                <w:lang w:val="en-US" w:eastAsia="zh-CN"/>
                <w14:textFill>
                  <w14:solidFill>
                    <w14:schemeClr w14:val="tx1"/>
                  </w14:solidFill>
                </w14:textFill>
              </w:rPr>
              <w:t>风柜机组7#</w:t>
            </w:r>
          </w:p>
        </w:tc>
        <w:tc>
          <w:tcPr>
            <w:tcW w:w="537" w:type="dxa"/>
            <w:shd w:val="clear" w:color="auto" w:fill="auto"/>
            <w:noWrap w:val="0"/>
            <w:vAlign w:val="center"/>
          </w:tcPr>
          <w:p w14:paraId="2E2E0C41">
            <w:pPr>
              <w:spacing w:line="280" w:lineRule="exact"/>
              <w:jc w:val="center"/>
              <w:rPr>
                <w:rFonts w:hint="eastAsia"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75</w:t>
            </w:r>
          </w:p>
        </w:tc>
        <w:tc>
          <w:tcPr>
            <w:tcW w:w="537" w:type="dxa"/>
            <w:shd w:val="clear" w:color="auto" w:fill="auto"/>
            <w:noWrap w:val="0"/>
            <w:vAlign w:val="center"/>
          </w:tcPr>
          <w:p w14:paraId="5BC071DF">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60.76</w:t>
            </w:r>
          </w:p>
        </w:tc>
        <w:tc>
          <w:tcPr>
            <w:tcW w:w="537" w:type="dxa"/>
            <w:shd w:val="clear" w:color="auto" w:fill="auto"/>
            <w:noWrap w:val="0"/>
            <w:vAlign w:val="center"/>
          </w:tcPr>
          <w:p w14:paraId="67AEA244">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73.25</w:t>
            </w:r>
          </w:p>
        </w:tc>
        <w:tc>
          <w:tcPr>
            <w:tcW w:w="558" w:type="dxa"/>
            <w:shd w:val="clear" w:color="auto" w:fill="auto"/>
            <w:noWrap w:val="0"/>
            <w:vAlign w:val="center"/>
          </w:tcPr>
          <w:p w14:paraId="697277D9">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1.4</w:t>
            </w:r>
          </w:p>
        </w:tc>
        <w:tc>
          <w:tcPr>
            <w:tcW w:w="537" w:type="dxa"/>
            <w:shd w:val="clear" w:color="auto" w:fill="auto"/>
            <w:noWrap w:val="0"/>
            <w:vAlign w:val="center"/>
          </w:tcPr>
          <w:p w14:paraId="540CAE2C">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7.7</w:t>
            </w:r>
          </w:p>
        </w:tc>
        <w:tc>
          <w:tcPr>
            <w:tcW w:w="537" w:type="dxa"/>
            <w:shd w:val="clear" w:color="auto" w:fill="auto"/>
            <w:noWrap w:val="0"/>
            <w:vAlign w:val="center"/>
          </w:tcPr>
          <w:p w14:paraId="6D6ECC78">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51.4</w:t>
            </w:r>
          </w:p>
        </w:tc>
        <w:tc>
          <w:tcPr>
            <w:tcW w:w="542" w:type="dxa"/>
            <w:shd w:val="clear" w:color="auto" w:fill="auto"/>
            <w:noWrap w:val="0"/>
            <w:vAlign w:val="center"/>
          </w:tcPr>
          <w:p w14:paraId="1E744E6F">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82.5</w:t>
            </w:r>
          </w:p>
        </w:tc>
        <w:tc>
          <w:tcPr>
            <w:tcW w:w="558" w:type="dxa"/>
            <w:shd w:val="clear" w:color="auto" w:fill="auto"/>
            <w:noWrap w:val="0"/>
            <w:vAlign w:val="center"/>
          </w:tcPr>
          <w:p w14:paraId="4A69B259">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47.6</w:t>
            </w:r>
          </w:p>
        </w:tc>
        <w:tc>
          <w:tcPr>
            <w:tcW w:w="542" w:type="dxa"/>
            <w:shd w:val="clear" w:color="auto" w:fill="auto"/>
            <w:noWrap w:val="0"/>
            <w:vAlign w:val="center"/>
          </w:tcPr>
          <w:p w14:paraId="7ABCDD1D">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51.4 </w:t>
            </w:r>
          </w:p>
        </w:tc>
        <w:tc>
          <w:tcPr>
            <w:tcW w:w="542" w:type="dxa"/>
            <w:shd w:val="clear" w:color="auto" w:fill="auto"/>
            <w:noWrap w:val="0"/>
            <w:vAlign w:val="center"/>
          </w:tcPr>
          <w:p w14:paraId="71AFEAFF">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49.8 </w:t>
            </w:r>
          </w:p>
        </w:tc>
        <w:tc>
          <w:tcPr>
            <w:tcW w:w="542" w:type="dxa"/>
            <w:shd w:val="clear" w:color="auto" w:fill="auto"/>
            <w:noWrap w:val="0"/>
            <w:vAlign w:val="center"/>
          </w:tcPr>
          <w:p w14:paraId="1B5B749F">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49.8 </w:t>
            </w:r>
          </w:p>
        </w:tc>
        <w:tc>
          <w:tcPr>
            <w:tcW w:w="555" w:type="dxa"/>
            <w:shd w:val="clear" w:color="auto" w:fill="auto"/>
            <w:noWrap w:val="0"/>
            <w:vAlign w:val="center"/>
          </w:tcPr>
          <w:p w14:paraId="358B64FE">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49.8 </w:t>
            </w:r>
          </w:p>
        </w:tc>
        <w:tc>
          <w:tcPr>
            <w:tcW w:w="542" w:type="dxa"/>
            <w:vMerge w:val="continue"/>
            <w:shd w:val="clear" w:color="auto" w:fill="auto"/>
            <w:noWrap w:val="0"/>
            <w:vAlign w:val="center"/>
          </w:tcPr>
          <w:p w14:paraId="6D84B2A3">
            <w:pPr>
              <w:spacing w:line="280" w:lineRule="exact"/>
              <w:jc w:val="center"/>
              <w:rPr>
                <w:rFonts w:hint="default" w:ascii="Times New Roman" w:hAnsi="Times New Roman" w:eastAsia="宋体"/>
                <w:color w:val="000000" w:themeColor="text1"/>
                <w:szCs w:val="21"/>
                <w:highlight w:val="none"/>
                <w:lang w:val="en-US" w:eastAsia="zh-CN"/>
                <w14:textFill>
                  <w14:solidFill>
                    <w14:schemeClr w14:val="tx1"/>
                  </w14:solidFill>
                </w14:textFill>
              </w:rPr>
            </w:pPr>
          </w:p>
        </w:tc>
        <w:tc>
          <w:tcPr>
            <w:tcW w:w="897" w:type="dxa"/>
            <w:shd w:val="clear" w:color="auto" w:fill="auto"/>
            <w:noWrap w:val="0"/>
            <w:vAlign w:val="center"/>
          </w:tcPr>
          <w:p w14:paraId="670509E5">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24.3</w:t>
            </w:r>
          </w:p>
        </w:tc>
        <w:tc>
          <w:tcPr>
            <w:tcW w:w="746" w:type="dxa"/>
            <w:shd w:val="clear" w:color="auto" w:fill="auto"/>
            <w:noWrap w:val="0"/>
            <w:vAlign w:val="center"/>
          </w:tcPr>
          <w:p w14:paraId="0BE60630">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27.1</w:t>
            </w:r>
          </w:p>
        </w:tc>
        <w:tc>
          <w:tcPr>
            <w:tcW w:w="689" w:type="dxa"/>
            <w:shd w:val="clear" w:color="auto" w:fill="auto"/>
            <w:noWrap w:val="0"/>
            <w:vAlign w:val="center"/>
          </w:tcPr>
          <w:p w14:paraId="2C671422">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25.5</w:t>
            </w:r>
          </w:p>
        </w:tc>
        <w:tc>
          <w:tcPr>
            <w:tcW w:w="838" w:type="dxa"/>
            <w:shd w:val="clear" w:color="auto" w:fill="auto"/>
            <w:noWrap w:val="0"/>
            <w:vAlign w:val="center"/>
          </w:tcPr>
          <w:p w14:paraId="7009BF2F">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25.5</w:t>
            </w:r>
          </w:p>
        </w:tc>
        <w:tc>
          <w:tcPr>
            <w:tcW w:w="750" w:type="dxa"/>
            <w:shd w:val="clear" w:color="auto" w:fill="auto"/>
            <w:noWrap w:val="0"/>
            <w:vAlign w:val="center"/>
          </w:tcPr>
          <w:p w14:paraId="5D5735A8">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25.5</w:t>
            </w:r>
          </w:p>
        </w:tc>
        <w:tc>
          <w:tcPr>
            <w:tcW w:w="1096" w:type="dxa"/>
            <w:shd w:val="clear" w:color="auto" w:fill="auto"/>
            <w:noWrap w:val="0"/>
            <w:vAlign w:val="center"/>
          </w:tcPr>
          <w:p w14:paraId="3B0DF47F">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r>
      <w:tr w14:paraId="42E8A4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76B8519B">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48</w:t>
            </w:r>
          </w:p>
        </w:tc>
        <w:tc>
          <w:tcPr>
            <w:tcW w:w="714" w:type="dxa"/>
            <w:vMerge w:val="continue"/>
            <w:shd w:val="clear" w:color="auto" w:fill="auto"/>
            <w:noWrap w:val="0"/>
            <w:vAlign w:val="center"/>
          </w:tcPr>
          <w:p w14:paraId="088DA7C6">
            <w:pPr>
              <w:spacing w:line="280" w:lineRule="exact"/>
              <w:jc w:val="center"/>
              <w:rPr>
                <w:rFonts w:hint="eastAsia" w:ascii="Times New Roman" w:hAnsi="Times New Roman" w:cs="Times New Roman"/>
                <w:color w:val="000000" w:themeColor="text1"/>
                <w:szCs w:val="21"/>
                <w:highlight w:val="none"/>
                <w:lang w:val="en-US" w:eastAsia="zh-CN"/>
                <w14:textFill>
                  <w14:solidFill>
                    <w14:schemeClr w14:val="tx1"/>
                  </w14:solidFill>
                </w14:textFill>
              </w:rPr>
            </w:pPr>
          </w:p>
        </w:tc>
        <w:tc>
          <w:tcPr>
            <w:tcW w:w="714" w:type="dxa"/>
            <w:shd w:val="clear" w:color="auto" w:fill="auto"/>
            <w:noWrap w:val="0"/>
            <w:vAlign w:val="center"/>
          </w:tcPr>
          <w:p w14:paraId="08B96739">
            <w:pPr>
              <w:spacing w:line="280" w:lineRule="exact"/>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cs="Times New Roman"/>
                <w:color w:val="000000" w:themeColor="text1"/>
                <w:szCs w:val="21"/>
                <w:highlight w:val="none"/>
                <w:lang w:val="en-US" w:eastAsia="zh-CN"/>
                <w14:textFill>
                  <w14:solidFill>
                    <w14:schemeClr w14:val="tx1"/>
                  </w14:solidFill>
                </w14:textFill>
              </w:rPr>
              <w:t>风柜机组8#</w:t>
            </w:r>
          </w:p>
        </w:tc>
        <w:tc>
          <w:tcPr>
            <w:tcW w:w="537" w:type="dxa"/>
            <w:shd w:val="clear" w:color="auto" w:fill="auto"/>
            <w:noWrap w:val="0"/>
            <w:vAlign w:val="center"/>
          </w:tcPr>
          <w:p w14:paraId="10639103">
            <w:pPr>
              <w:spacing w:line="280" w:lineRule="exact"/>
              <w:jc w:val="center"/>
              <w:rPr>
                <w:rFonts w:hint="eastAsia"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75</w:t>
            </w:r>
          </w:p>
        </w:tc>
        <w:tc>
          <w:tcPr>
            <w:tcW w:w="537" w:type="dxa"/>
            <w:shd w:val="clear" w:color="auto" w:fill="auto"/>
            <w:noWrap w:val="0"/>
            <w:vAlign w:val="center"/>
          </w:tcPr>
          <w:p w14:paraId="3899306C">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61.46</w:t>
            </w:r>
          </w:p>
        </w:tc>
        <w:tc>
          <w:tcPr>
            <w:tcW w:w="537" w:type="dxa"/>
            <w:shd w:val="clear" w:color="auto" w:fill="auto"/>
            <w:noWrap w:val="0"/>
            <w:vAlign w:val="center"/>
          </w:tcPr>
          <w:p w14:paraId="1E9E2167">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71.44</w:t>
            </w:r>
          </w:p>
        </w:tc>
        <w:tc>
          <w:tcPr>
            <w:tcW w:w="558" w:type="dxa"/>
            <w:shd w:val="clear" w:color="auto" w:fill="auto"/>
            <w:noWrap w:val="0"/>
            <w:vAlign w:val="center"/>
          </w:tcPr>
          <w:p w14:paraId="03193793">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1.4</w:t>
            </w:r>
          </w:p>
        </w:tc>
        <w:tc>
          <w:tcPr>
            <w:tcW w:w="537" w:type="dxa"/>
            <w:shd w:val="clear" w:color="auto" w:fill="auto"/>
            <w:noWrap w:val="0"/>
            <w:vAlign w:val="center"/>
          </w:tcPr>
          <w:p w14:paraId="496C220C">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8.2</w:t>
            </w:r>
          </w:p>
        </w:tc>
        <w:tc>
          <w:tcPr>
            <w:tcW w:w="537" w:type="dxa"/>
            <w:shd w:val="clear" w:color="auto" w:fill="auto"/>
            <w:noWrap w:val="0"/>
            <w:vAlign w:val="center"/>
          </w:tcPr>
          <w:p w14:paraId="4058C9BA">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47.9</w:t>
            </w:r>
          </w:p>
        </w:tc>
        <w:tc>
          <w:tcPr>
            <w:tcW w:w="542" w:type="dxa"/>
            <w:shd w:val="clear" w:color="auto" w:fill="auto"/>
            <w:noWrap w:val="0"/>
            <w:vAlign w:val="center"/>
          </w:tcPr>
          <w:p w14:paraId="6DE24747">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81.9</w:t>
            </w:r>
          </w:p>
        </w:tc>
        <w:tc>
          <w:tcPr>
            <w:tcW w:w="558" w:type="dxa"/>
            <w:shd w:val="clear" w:color="auto" w:fill="auto"/>
            <w:noWrap w:val="0"/>
            <w:vAlign w:val="center"/>
          </w:tcPr>
          <w:p w14:paraId="209775B9">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42.4</w:t>
            </w:r>
          </w:p>
        </w:tc>
        <w:tc>
          <w:tcPr>
            <w:tcW w:w="542" w:type="dxa"/>
            <w:shd w:val="clear" w:color="auto" w:fill="auto"/>
            <w:noWrap w:val="0"/>
            <w:vAlign w:val="center"/>
          </w:tcPr>
          <w:p w14:paraId="405757A5">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51.2 </w:t>
            </w:r>
          </w:p>
        </w:tc>
        <w:tc>
          <w:tcPr>
            <w:tcW w:w="542" w:type="dxa"/>
            <w:shd w:val="clear" w:color="auto" w:fill="auto"/>
            <w:noWrap w:val="0"/>
            <w:vAlign w:val="center"/>
          </w:tcPr>
          <w:p w14:paraId="534F97E3">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49.8 </w:t>
            </w:r>
          </w:p>
        </w:tc>
        <w:tc>
          <w:tcPr>
            <w:tcW w:w="542" w:type="dxa"/>
            <w:shd w:val="clear" w:color="auto" w:fill="auto"/>
            <w:noWrap w:val="0"/>
            <w:vAlign w:val="center"/>
          </w:tcPr>
          <w:p w14:paraId="49778802">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49.8 </w:t>
            </w:r>
          </w:p>
        </w:tc>
        <w:tc>
          <w:tcPr>
            <w:tcW w:w="555" w:type="dxa"/>
            <w:shd w:val="clear" w:color="auto" w:fill="auto"/>
            <w:noWrap w:val="0"/>
            <w:vAlign w:val="center"/>
          </w:tcPr>
          <w:p w14:paraId="3AF31139">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49.8 </w:t>
            </w:r>
          </w:p>
        </w:tc>
        <w:tc>
          <w:tcPr>
            <w:tcW w:w="542" w:type="dxa"/>
            <w:vMerge w:val="continue"/>
            <w:shd w:val="clear" w:color="auto" w:fill="auto"/>
            <w:noWrap w:val="0"/>
            <w:vAlign w:val="center"/>
          </w:tcPr>
          <w:p w14:paraId="13F6DEE1">
            <w:pPr>
              <w:spacing w:line="280" w:lineRule="exact"/>
              <w:jc w:val="center"/>
              <w:rPr>
                <w:rFonts w:hint="default" w:ascii="Times New Roman" w:hAnsi="Times New Roman" w:eastAsia="宋体"/>
                <w:color w:val="000000" w:themeColor="text1"/>
                <w:szCs w:val="21"/>
                <w:highlight w:val="none"/>
                <w:lang w:val="en-US" w:eastAsia="zh-CN"/>
                <w14:textFill>
                  <w14:solidFill>
                    <w14:schemeClr w14:val="tx1"/>
                  </w14:solidFill>
                </w14:textFill>
              </w:rPr>
            </w:pPr>
          </w:p>
        </w:tc>
        <w:tc>
          <w:tcPr>
            <w:tcW w:w="897" w:type="dxa"/>
            <w:shd w:val="clear" w:color="auto" w:fill="auto"/>
            <w:noWrap w:val="0"/>
            <w:vAlign w:val="center"/>
          </w:tcPr>
          <w:p w14:paraId="0503E98A">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24.3</w:t>
            </w:r>
          </w:p>
        </w:tc>
        <w:tc>
          <w:tcPr>
            <w:tcW w:w="746" w:type="dxa"/>
            <w:shd w:val="clear" w:color="auto" w:fill="auto"/>
            <w:noWrap w:val="0"/>
            <w:vAlign w:val="center"/>
          </w:tcPr>
          <w:p w14:paraId="586D8086">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26.9</w:t>
            </w:r>
          </w:p>
        </w:tc>
        <w:tc>
          <w:tcPr>
            <w:tcW w:w="689" w:type="dxa"/>
            <w:shd w:val="clear" w:color="auto" w:fill="auto"/>
            <w:noWrap w:val="0"/>
            <w:vAlign w:val="center"/>
          </w:tcPr>
          <w:p w14:paraId="152CB316">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25.5</w:t>
            </w:r>
          </w:p>
        </w:tc>
        <w:tc>
          <w:tcPr>
            <w:tcW w:w="838" w:type="dxa"/>
            <w:shd w:val="clear" w:color="auto" w:fill="auto"/>
            <w:noWrap w:val="0"/>
            <w:vAlign w:val="center"/>
          </w:tcPr>
          <w:p w14:paraId="40462D72">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25.5</w:t>
            </w:r>
          </w:p>
        </w:tc>
        <w:tc>
          <w:tcPr>
            <w:tcW w:w="750" w:type="dxa"/>
            <w:shd w:val="clear" w:color="auto" w:fill="auto"/>
            <w:noWrap w:val="0"/>
            <w:vAlign w:val="center"/>
          </w:tcPr>
          <w:p w14:paraId="243EB74F">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25.5</w:t>
            </w:r>
          </w:p>
        </w:tc>
        <w:tc>
          <w:tcPr>
            <w:tcW w:w="1096" w:type="dxa"/>
            <w:shd w:val="clear" w:color="auto" w:fill="auto"/>
            <w:noWrap w:val="0"/>
            <w:vAlign w:val="center"/>
          </w:tcPr>
          <w:p w14:paraId="47A6A7AE">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r>
      <w:tr w14:paraId="66D6C5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05B16454">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49</w:t>
            </w:r>
          </w:p>
        </w:tc>
        <w:tc>
          <w:tcPr>
            <w:tcW w:w="714" w:type="dxa"/>
            <w:vMerge w:val="continue"/>
            <w:shd w:val="clear" w:color="auto" w:fill="auto"/>
            <w:noWrap w:val="0"/>
            <w:vAlign w:val="center"/>
          </w:tcPr>
          <w:p w14:paraId="046A0CE0">
            <w:pPr>
              <w:spacing w:line="280" w:lineRule="exact"/>
              <w:jc w:val="center"/>
              <w:rPr>
                <w:rFonts w:hint="eastAsia" w:ascii="Times New Roman" w:hAnsi="Times New Roman" w:cs="Times New Roman"/>
                <w:color w:val="000000" w:themeColor="text1"/>
                <w:szCs w:val="21"/>
                <w:highlight w:val="none"/>
                <w:lang w:val="en-US" w:eastAsia="zh-CN"/>
                <w14:textFill>
                  <w14:solidFill>
                    <w14:schemeClr w14:val="tx1"/>
                  </w14:solidFill>
                </w14:textFill>
              </w:rPr>
            </w:pPr>
          </w:p>
        </w:tc>
        <w:tc>
          <w:tcPr>
            <w:tcW w:w="714" w:type="dxa"/>
            <w:shd w:val="clear" w:color="auto" w:fill="auto"/>
            <w:noWrap w:val="0"/>
            <w:vAlign w:val="center"/>
          </w:tcPr>
          <w:p w14:paraId="10D168BA">
            <w:pPr>
              <w:spacing w:line="280" w:lineRule="exact"/>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cs="Times New Roman"/>
                <w:color w:val="000000" w:themeColor="text1"/>
                <w:szCs w:val="21"/>
                <w:highlight w:val="none"/>
                <w:lang w:val="en-US" w:eastAsia="zh-CN"/>
                <w14:textFill>
                  <w14:solidFill>
                    <w14:schemeClr w14:val="tx1"/>
                  </w14:solidFill>
                </w14:textFill>
              </w:rPr>
              <w:t>风柜机组9#</w:t>
            </w:r>
          </w:p>
        </w:tc>
        <w:tc>
          <w:tcPr>
            <w:tcW w:w="537" w:type="dxa"/>
            <w:shd w:val="clear" w:color="auto" w:fill="auto"/>
            <w:noWrap w:val="0"/>
            <w:vAlign w:val="center"/>
          </w:tcPr>
          <w:p w14:paraId="48E33D63">
            <w:pPr>
              <w:spacing w:line="280" w:lineRule="exact"/>
              <w:jc w:val="center"/>
              <w:rPr>
                <w:rFonts w:hint="eastAsia"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75</w:t>
            </w:r>
          </w:p>
        </w:tc>
        <w:tc>
          <w:tcPr>
            <w:tcW w:w="537" w:type="dxa"/>
            <w:shd w:val="clear" w:color="auto" w:fill="auto"/>
            <w:noWrap w:val="0"/>
            <w:vAlign w:val="center"/>
          </w:tcPr>
          <w:p w14:paraId="048E0706">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62.3</w:t>
            </w:r>
          </w:p>
        </w:tc>
        <w:tc>
          <w:tcPr>
            <w:tcW w:w="537" w:type="dxa"/>
            <w:shd w:val="clear" w:color="auto" w:fill="auto"/>
            <w:noWrap w:val="0"/>
            <w:vAlign w:val="center"/>
          </w:tcPr>
          <w:p w14:paraId="1D978232">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69.63</w:t>
            </w:r>
          </w:p>
        </w:tc>
        <w:tc>
          <w:tcPr>
            <w:tcW w:w="558" w:type="dxa"/>
            <w:shd w:val="clear" w:color="auto" w:fill="auto"/>
            <w:noWrap w:val="0"/>
            <w:vAlign w:val="center"/>
          </w:tcPr>
          <w:p w14:paraId="41A250B9">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1.4</w:t>
            </w:r>
          </w:p>
        </w:tc>
        <w:tc>
          <w:tcPr>
            <w:tcW w:w="537" w:type="dxa"/>
            <w:shd w:val="clear" w:color="auto" w:fill="auto"/>
            <w:noWrap w:val="0"/>
            <w:vAlign w:val="center"/>
          </w:tcPr>
          <w:p w14:paraId="70409B5B">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7.7</w:t>
            </w:r>
          </w:p>
        </w:tc>
        <w:tc>
          <w:tcPr>
            <w:tcW w:w="537" w:type="dxa"/>
            <w:shd w:val="clear" w:color="auto" w:fill="auto"/>
            <w:noWrap w:val="0"/>
            <w:vAlign w:val="center"/>
          </w:tcPr>
          <w:p w14:paraId="7F08D338">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45.7</w:t>
            </w:r>
          </w:p>
        </w:tc>
        <w:tc>
          <w:tcPr>
            <w:tcW w:w="542" w:type="dxa"/>
            <w:shd w:val="clear" w:color="auto" w:fill="auto"/>
            <w:noWrap w:val="0"/>
            <w:vAlign w:val="center"/>
          </w:tcPr>
          <w:p w14:paraId="65EF1645">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83.5</w:t>
            </w:r>
          </w:p>
        </w:tc>
        <w:tc>
          <w:tcPr>
            <w:tcW w:w="558" w:type="dxa"/>
            <w:shd w:val="clear" w:color="auto" w:fill="auto"/>
            <w:noWrap w:val="0"/>
            <w:vAlign w:val="center"/>
          </w:tcPr>
          <w:p w14:paraId="621B95BA">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32.3</w:t>
            </w:r>
          </w:p>
        </w:tc>
        <w:tc>
          <w:tcPr>
            <w:tcW w:w="542" w:type="dxa"/>
            <w:shd w:val="clear" w:color="auto" w:fill="auto"/>
            <w:noWrap w:val="0"/>
            <w:vAlign w:val="center"/>
          </w:tcPr>
          <w:p w14:paraId="0D9245D3">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51.4 </w:t>
            </w:r>
          </w:p>
        </w:tc>
        <w:tc>
          <w:tcPr>
            <w:tcW w:w="542" w:type="dxa"/>
            <w:shd w:val="clear" w:color="auto" w:fill="auto"/>
            <w:noWrap w:val="0"/>
            <w:vAlign w:val="center"/>
          </w:tcPr>
          <w:p w14:paraId="7173E66A">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49.8 </w:t>
            </w:r>
          </w:p>
        </w:tc>
        <w:tc>
          <w:tcPr>
            <w:tcW w:w="542" w:type="dxa"/>
            <w:shd w:val="clear" w:color="auto" w:fill="auto"/>
            <w:noWrap w:val="0"/>
            <w:vAlign w:val="center"/>
          </w:tcPr>
          <w:p w14:paraId="4455DE9B">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49.8 </w:t>
            </w:r>
          </w:p>
        </w:tc>
        <w:tc>
          <w:tcPr>
            <w:tcW w:w="555" w:type="dxa"/>
            <w:shd w:val="clear" w:color="auto" w:fill="auto"/>
            <w:noWrap w:val="0"/>
            <w:vAlign w:val="center"/>
          </w:tcPr>
          <w:p w14:paraId="273E8050">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49.9 </w:t>
            </w:r>
          </w:p>
        </w:tc>
        <w:tc>
          <w:tcPr>
            <w:tcW w:w="542" w:type="dxa"/>
            <w:vMerge w:val="continue"/>
            <w:shd w:val="clear" w:color="auto" w:fill="auto"/>
            <w:noWrap w:val="0"/>
            <w:vAlign w:val="center"/>
          </w:tcPr>
          <w:p w14:paraId="050242F4">
            <w:pPr>
              <w:spacing w:line="280" w:lineRule="exact"/>
              <w:jc w:val="center"/>
              <w:rPr>
                <w:rFonts w:hint="default" w:ascii="Times New Roman" w:hAnsi="Times New Roman" w:eastAsia="宋体"/>
                <w:color w:val="000000" w:themeColor="text1"/>
                <w:szCs w:val="21"/>
                <w:highlight w:val="none"/>
                <w:lang w:val="en-US" w:eastAsia="zh-CN"/>
                <w14:textFill>
                  <w14:solidFill>
                    <w14:schemeClr w14:val="tx1"/>
                  </w14:solidFill>
                </w14:textFill>
              </w:rPr>
            </w:pPr>
          </w:p>
        </w:tc>
        <w:tc>
          <w:tcPr>
            <w:tcW w:w="897" w:type="dxa"/>
            <w:shd w:val="clear" w:color="auto" w:fill="auto"/>
            <w:noWrap w:val="0"/>
            <w:vAlign w:val="center"/>
          </w:tcPr>
          <w:p w14:paraId="4E4060A6">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24.3</w:t>
            </w:r>
          </w:p>
        </w:tc>
        <w:tc>
          <w:tcPr>
            <w:tcW w:w="746" w:type="dxa"/>
            <w:shd w:val="clear" w:color="auto" w:fill="auto"/>
            <w:noWrap w:val="0"/>
            <w:vAlign w:val="center"/>
          </w:tcPr>
          <w:p w14:paraId="109F4B19">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27.1</w:t>
            </w:r>
          </w:p>
        </w:tc>
        <w:tc>
          <w:tcPr>
            <w:tcW w:w="689" w:type="dxa"/>
            <w:shd w:val="clear" w:color="auto" w:fill="auto"/>
            <w:noWrap w:val="0"/>
            <w:vAlign w:val="center"/>
          </w:tcPr>
          <w:p w14:paraId="3B43E111">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25.5</w:t>
            </w:r>
          </w:p>
        </w:tc>
        <w:tc>
          <w:tcPr>
            <w:tcW w:w="838" w:type="dxa"/>
            <w:shd w:val="clear" w:color="auto" w:fill="auto"/>
            <w:noWrap w:val="0"/>
            <w:vAlign w:val="center"/>
          </w:tcPr>
          <w:p w14:paraId="431E7DF5">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25.5</w:t>
            </w:r>
          </w:p>
        </w:tc>
        <w:tc>
          <w:tcPr>
            <w:tcW w:w="750" w:type="dxa"/>
            <w:shd w:val="clear" w:color="auto" w:fill="auto"/>
            <w:noWrap w:val="0"/>
            <w:vAlign w:val="center"/>
          </w:tcPr>
          <w:p w14:paraId="2F436A4F">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25.6</w:t>
            </w:r>
          </w:p>
        </w:tc>
        <w:tc>
          <w:tcPr>
            <w:tcW w:w="1096" w:type="dxa"/>
            <w:shd w:val="clear" w:color="auto" w:fill="auto"/>
            <w:noWrap w:val="0"/>
            <w:vAlign w:val="center"/>
          </w:tcPr>
          <w:p w14:paraId="08DE4F10">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r>
      <w:tr w14:paraId="3F3A6B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0FDFE98C">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50</w:t>
            </w:r>
          </w:p>
        </w:tc>
        <w:tc>
          <w:tcPr>
            <w:tcW w:w="714" w:type="dxa"/>
            <w:vMerge w:val="continue"/>
            <w:shd w:val="clear" w:color="auto" w:fill="auto"/>
            <w:noWrap w:val="0"/>
            <w:vAlign w:val="center"/>
          </w:tcPr>
          <w:p w14:paraId="41C2B406">
            <w:pPr>
              <w:spacing w:line="280" w:lineRule="exact"/>
              <w:jc w:val="center"/>
              <w:rPr>
                <w:rFonts w:hint="eastAsia" w:ascii="Times New Roman" w:hAnsi="Times New Roman" w:cs="Times New Roman"/>
                <w:color w:val="000000" w:themeColor="text1"/>
                <w:szCs w:val="21"/>
                <w:highlight w:val="none"/>
                <w:lang w:val="en-US" w:eastAsia="zh-CN"/>
                <w14:textFill>
                  <w14:solidFill>
                    <w14:schemeClr w14:val="tx1"/>
                  </w14:solidFill>
                </w14:textFill>
              </w:rPr>
            </w:pPr>
          </w:p>
        </w:tc>
        <w:tc>
          <w:tcPr>
            <w:tcW w:w="714" w:type="dxa"/>
            <w:shd w:val="clear" w:color="auto" w:fill="auto"/>
            <w:noWrap w:val="0"/>
            <w:vAlign w:val="center"/>
          </w:tcPr>
          <w:p w14:paraId="7D17C3AC">
            <w:pPr>
              <w:spacing w:line="280" w:lineRule="exact"/>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cs="Times New Roman"/>
                <w:color w:val="000000" w:themeColor="text1"/>
                <w:szCs w:val="21"/>
                <w:highlight w:val="none"/>
                <w:lang w:val="en-US" w:eastAsia="zh-CN"/>
                <w14:textFill>
                  <w14:solidFill>
                    <w14:schemeClr w14:val="tx1"/>
                  </w14:solidFill>
                </w14:textFill>
              </w:rPr>
              <w:t>风柜机组10#</w:t>
            </w:r>
          </w:p>
        </w:tc>
        <w:tc>
          <w:tcPr>
            <w:tcW w:w="537" w:type="dxa"/>
            <w:shd w:val="clear" w:color="auto" w:fill="auto"/>
            <w:noWrap w:val="0"/>
            <w:vAlign w:val="center"/>
          </w:tcPr>
          <w:p w14:paraId="19CB6BD3">
            <w:pPr>
              <w:spacing w:line="280" w:lineRule="exact"/>
              <w:jc w:val="center"/>
              <w:rPr>
                <w:rFonts w:hint="eastAsia"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75</w:t>
            </w:r>
          </w:p>
        </w:tc>
        <w:tc>
          <w:tcPr>
            <w:tcW w:w="537" w:type="dxa"/>
            <w:shd w:val="clear" w:color="auto" w:fill="auto"/>
            <w:noWrap w:val="0"/>
            <w:vAlign w:val="center"/>
          </w:tcPr>
          <w:p w14:paraId="64032B00">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62.81</w:t>
            </w:r>
          </w:p>
        </w:tc>
        <w:tc>
          <w:tcPr>
            <w:tcW w:w="537" w:type="dxa"/>
            <w:shd w:val="clear" w:color="auto" w:fill="auto"/>
            <w:noWrap w:val="0"/>
            <w:vAlign w:val="center"/>
          </w:tcPr>
          <w:p w14:paraId="12CA410D">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68.34</w:t>
            </w:r>
          </w:p>
        </w:tc>
        <w:tc>
          <w:tcPr>
            <w:tcW w:w="558" w:type="dxa"/>
            <w:shd w:val="clear" w:color="auto" w:fill="auto"/>
            <w:noWrap w:val="0"/>
            <w:vAlign w:val="center"/>
          </w:tcPr>
          <w:p w14:paraId="35976F51">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1.4</w:t>
            </w:r>
          </w:p>
        </w:tc>
        <w:tc>
          <w:tcPr>
            <w:tcW w:w="537" w:type="dxa"/>
            <w:shd w:val="clear" w:color="auto" w:fill="auto"/>
            <w:noWrap w:val="0"/>
            <w:vAlign w:val="center"/>
          </w:tcPr>
          <w:p w14:paraId="3CD81F3F">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7.5</w:t>
            </w:r>
          </w:p>
        </w:tc>
        <w:tc>
          <w:tcPr>
            <w:tcW w:w="537" w:type="dxa"/>
            <w:shd w:val="clear" w:color="auto" w:fill="auto"/>
            <w:noWrap w:val="0"/>
            <w:vAlign w:val="center"/>
          </w:tcPr>
          <w:p w14:paraId="1D147862">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45.1</w:t>
            </w:r>
          </w:p>
        </w:tc>
        <w:tc>
          <w:tcPr>
            <w:tcW w:w="542" w:type="dxa"/>
            <w:shd w:val="clear" w:color="auto" w:fill="auto"/>
            <w:noWrap w:val="0"/>
            <w:vAlign w:val="center"/>
          </w:tcPr>
          <w:p w14:paraId="5DDCBFE5">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81.8</w:t>
            </w:r>
          </w:p>
        </w:tc>
        <w:tc>
          <w:tcPr>
            <w:tcW w:w="558" w:type="dxa"/>
            <w:shd w:val="clear" w:color="auto" w:fill="auto"/>
            <w:noWrap w:val="0"/>
            <w:vAlign w:val="center"/>
          </w:tcPr>
          <w:p w14:paraId="700D3B9D">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41.6</w:t>
            </w:r>
          </w:p>
        </w:tc>
        <w:tc>
          <w:tcPr>
            <w:tcW w:w="542" w:type="dxa"/>
            <w:shd w:val="clear" w:color="auto" w:fill="auto"/>
            <w:noWrap w:val="0"/>
            <w:vAlign w:val="center"/>
          </w:tcPr>
          <w:p w14:paraId="7CAA622A">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51.4 </w:t>
            </w:r>
          </w:p>
        </w:tc>
        <w:tc>
          <w:tcPr>
            <w:tcW w:w="542" w:type="dxa"/>
            <w:shd w:val="clear" w:color="auto" w:fill="auto"/>
            <w:noWrap w:val="0"/>
            <w:vAlign w:val="center"/>
          </w:tcPr>
          <w:p w14:paraId="7EF29E9C">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49.8 </w:t>
            </w:r>
          </w:p>
        </w:tc>
        <w:tc>
          <w:tcPr>
            <w:tcW w:w="542" w:type="dxa"/>
            <w:shd w:val="clear" w:color="auto" w:fill="auto"/>
            <w:noWrap w:val="0"/>
            <w:vAlign w:val="center"/>
          </w:tcPr>
          <w:p w14:paraId="55AC517E">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49.8 </w:t>
            </w:r>
          </w:p>
        </w:tc>
        <w:tc>
          <w:tcPr>
            <w:tcW w:w="555" w:type="dxa"/>
            <w:shd w:val="clear" w:color="auto" w:fill="auto"/>
            <w:noWrap w:val="0"/>
            <w:vAlign w:val="center"/>
          </w:tcPr>
          <w:p w14:paraId="47DF487D">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49.8 </w:t>
            </w:r>
          </w:p>
        </w:tc>
        <w:tc>
          <w:tcPr>
            <w:tcW w:w="542" w:type="dxa"/>
            <w:vMerge w:val="continue"/>
            <w:shd w:val="clear" w:color="auto" w:fill="auto"/>
            <w:noWrap w:val="0"/>
            <w:vAlign w:val="center"/>
          </w:tcPr>
          <w:p w14:paraId="7D566D6A">
            <w:pPr>
              <w:spacing w:line="280" w:lineRule="exact"/>
              <w:jc w:val="center"/>
              <w:rPr>
                <w:rFonts w:hint="default" w:ascii="Times New Roman" w:hAnsi="Times New Roman" w:eastAsia="宋体"/>
                <w:color w:val="000000" w:themeColor="text1"/>
                <w:szCs w:val="21"/>
                <w:highlight w:val="none"/>
                <w:lang w:val="en-US" w:eastAsia="zh-CN"/>
                <w14:textFill>
                  <w14:solidFill>
                    <w14:schemeClr w14:val="tx1"/>
                  </w14:solidFill>
                </w14:textFill>
              </w:rPr>
            </w:pPr>
          </w:p>
        </w:tc>
        <w:tc>
          <w:tcPr>
            <w:tcW w:w="897" w:type="dxa"/>
            <w:shd w:val="clear" w:color="auto" w:fill="auto"/>
            <w:noWrap w:val="0"/>
            <w:vAlign w:val="center"/>
          </w:tcPr>
          <w:p w14:paraId="1732C2D1">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24.3</w:t>
            </w:r>
          </w:p>
        </w:tc>
        <w:tc>
          <w:tcPr>
            <w:tcW w:w="746" w:type="dxa"/>
            <w:shd w:val="clear" w:color="auto" w:fill="auto"/>
            <w:noWrap w:val="0"/>
            <w:vAlign w:val="center"/>
          </w:tcPr>
          <w:p w14:paraId="01085022">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27.1</w:t>
            </w:r>
          </w:p>
        </w:tc>
        <w:tc>
          <w:tcPr>
            <w:tcW w:w="689" w:type="dxa"/>
            <w:shd w:val="clear" w:color="auto" w:fill="auto"/>
            <w:noWrap w:val="0"/>
            <w:vAlign w:val="center"/>
          </w:tcPr>
          <w:p w14:paraId="79E4F8B4">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25.5</w:t>
            </w:r>
          </w:p>
        </w:tc>
        <w:tc>
          <w:tcPr>
            <w:tcW w:w="838" w:type="dxa"/>
            <w:shd w:val="clear" w:color="auto" w:fill="auto"/>
            <w:noWrap w:val="0"/>
            <w:vAlign w:val="center"/>
          </w:tcPr>
          <w:p w14:paraId="6A42158C">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25.5</w:t>
            </w:r>
          </w:p>
        </w:tc>
        <w:tc>
          <w:tcPr>
            <w:tcW w:w="750" w:type="dxa"/>
            <w:shd w:val="clear" w:color="auto" w:fill="auto"/>
            <w:noWrap w:val="0"/>
            <w:vAlign w:val="center"/>
          </w:tcPr>
          <w:p w14:paraId="003955EB">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25.5</w:t>
            </w:r>
          </w:p>
        </w:tc>
        <w:tc>
          <w:tcPr>
            <w:tcW w:w="1096" w:type="dxa"/>
            <w:shd w:val="clear" w:color="auto" w:fill="auto"/>
            <w:noWrap w:val="0"/>
            <w:vAlign w:val="center"/>
          </w:tcPr>
          <w:p w14:paraId="45A409CE">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r>
      <w:tr w14:paraId="6A7570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3402F586">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51</w:t>
            </w:r>
          </w:p>
        </w:tc>
        <w:tc>
          <w:tcPr>
            <w:tcW w:w="714" w:type="dxa"/>
            <w:vMerge w:val="continue"/>
            <w:shd w:val="clear" w:color="auto" w:fill="auto"/>
            <w:noWrap w:val="0"/>
            <w:vAlign w:val="center"/>
          </w:tcPr>
          <w:p w14:paraId="6897ED32">
            <w:pPr>
              <w:spacing w:line="280" w:lineRule="exact"/>
              <w:jc w:val="center"/>
              <w:rPr>
                <w:rFonts w:hint="eastAsia" w:ascii="Times New Roman" w:hAnsi="Times New Roman" w:cs="Times New Roman"/>
                <w:color w:val="000000" w:themeColor="text1"/>
                <w:szCs w:val="21"/>
                <w:highlight w:val="none"/>
                <w:lang w:val="en-US" w:eastAsia="zh-CN"/>
                <w14:textFill>
                  <w14:solidFill>
                    <w14:schemeClr w14:val="tx1"/>
                  </w14:solidFill>
                </w14:textFill>
              </w:rPr>
            </w:pPr>
          </w:p>
        </w:tc>
        <w:tc>
          <w:tcPr>
            <w:tcW w:w="714" w:type="dxa"/>
            <w:shd w:val="clear" w:color="auto" w:fill="auto"/>
            <w:noWrap w:val="0"/>
            <w:vAlign w:val="center"/>
          </w:tcPr>
          <w:p w14:paraId="6B5C3C9A">
            <w:pPr>
              <w:spacing w:line="280" w:lineRule="exact"/>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cs="Times New Roman"/>
                <w:color w:val="000000" w:themeColor="text1"/>
                <w:szCs w:val="21"/>
                <w:highlight w:val="none"/>
                <w:lang w:val="en-US" w:eastAsia="zh-CN"/>
                <w14:textFill>
                  <w14:solidFill>
                    <w14:schemeClr w14:val="tx1"/>
                  </w14:solidFill>
                </w14:textFill>
              </w:rPr>
              <w:t>风柜机组11#</w:t>
            </w:r>
          </w:p>
        </w:tc>
        <w:tc>
          <w:tcPr>
            <w:tcW w:w="537" w:type="dxa"/>
            <w:shd w:val="clear" w:color="auto" w:fill="auto"/>
            <w:noWrap w:val="0"/>
            <w:vAlign w:val="center"/>
          </w:tcPr>
          <w:p w14:paraId="17295DD5">
            <w:pPr>
              <w:spacing w:line="280" w:lineRule="exact"/>
              <w:jc w:val="center"/>
              <w:rPr>
                <w:rFonts w:hint="eastAsia"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75</w:t>
            </w:r>
          </w:p>
        </w:tc>
        <w:tc>
          <w:tcPr>
            <w:tcW w:w="537" w:type="dxa"/>
            <w:shd w:val="clear" w:color="auto" w:fill="auto"/>
            <w:noWrap w:val="0"/>
            <w:vAlign w:val="center"/>
          </w:tcPr>
          <w:p w14:paraId="0521DB47">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63.3</w:t>
            </w:r>
          </w:p>
        </w:tc>
        <w:tc>
          <w:tcPr>
            <w:tcW w:w="537" w:type="dxa"/>
            <w:shd w:val="clear" w:color="auto" w:fill="auto"/>
            <w:noWrap w:val="0"/>
            <w:vAlign w:val="center"/>
          </w:tcPr>
          <w:p w14:paraId="42C4FCDB">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67.45</w:t>
            </w:r>
          </w:p>
        </w:tc>
        <w:tc>
          <w:tcPr>
            <w:tcW w:w="558" w:type="dxa"/>
            <w:shd w:val="clear" w:color="auto" w:fill="auto"/>
            <w:noWrap w:val="0"/>
            <w:vAlign w:val="center"/>
          </w:tcPr>
          <w:p w14:paraId="0CD329CC">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1.4</w:t>
            </w:r>
          </w:p>
        </w:tc>
        <w:tc>
          <w:tcPr>
            <w:tcW w:w="537" w:type="dxa"/>
            <w:shd w:val="clear" w:color="auto" w:fill="auto"/>
            <w:noWrap w:val="0"/>
            <w:vAlign w:val="center"/>
          </w:tcPr>
          <w:p w14:paraId="6D644B36">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6.8</w:t>
            </w:r>
          </w:p>
        </w:tc>
        <w:tc>
          <w:tcPr>
            <w:tcW w:w="537" w:type="dxa"/>
            <w:shd w:val="clear" w:color="auto" w:fill="auto"/>
            <w:noWrap w:val="0"/>
            <w:vAlign w:val="center"/>
          </w:tcPr>
          <w:p w14:paraId="0EDD46D6">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43.3</w:t>
            </w:r>
          </w:p>
        </w:tc>
        <w:tc>
          <w:tcPr>
            <w:tcW w:w="542" w:type="dxa"/>
            <w:shd w:val="clear" w:color="auto" w:fill="auto"/>
            <w:noWrap w:val="0"/>
            <w:vAlign w:val="center"/>
          </w:tcPr>
          <w:p w14:paraId="1CDA5D60">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82.3</w:t>
            </w:r>
          </w:p>
        </w:tc>
        <w:tc>
          <w:tcPr>
            <w:tcW w:w="558" w:type="dxa"/>
            <w:shd w:val="clear" w:color="auto" w:fill="auto"/>
            <w:noWrap w:val="0"/>
            <w:vAlign w:val="center"/>
          </w:tcPr>
          <w:p w14:paraId="7A3D067E">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32.2</w:t>
            </w:r>
          </w:p>
        </w:tc>
        <w:tc>
          <w:tcPr>
            <w:tcW w:w="542" w:type="dxa"/>
            <w:shd w:val="clear" w:color="auto" w:fill="auto"/>
            <w:noWrap w:val="0"/>
            <w:vAlign w:val="center"/>
          </w:tcPr>
          <w:p w14:paraId="2D61CEB3">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51.7 </w:t>
            </w:r>
          </w:p>
        </w:tc>
        <w:tc>
          <w:tcPr>
            <w:tcW w:w="542" w:type="dxa"/>
            <w:shd w:val="clear" w:color="auto" w:fill="auto"/>
            <w:noWrap w:val="0"/>
            <w:vAlign w:val="center"/>
          </w:tcPr>
          <w:p w14:paraId="50778B71">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49.8 </w:t>
            </w:r>
          </w:p>
        </w:tc>
        <w:tc>
          <w:tcPr>
            <w:tcW w:w="542" w:type="dxa"/>
            <w:shd w:val="clear" w:color="auto" w:fill="auto"/>
            <w:noWrap w:val="0"/>
            <w:vAlign w:val="center"/>
          </w:tcPr>
          <w:p w14:paraId="3318DBE9">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49.8 </w:t>
            </w:r>
          </w:p>
        </w:tc>
        <w:tc>
          <w:tcPr>
            <w:tcW w:w="555" w:type="dxa"/>
            <w:shd w:val="clear" w:color="auto" w:fill="auto"/>
            <w:noWrap w:val="0"/>
            <w:vAlign w:val="center"/>
          </w:tcPr>
          <w:p w14:paraId="198107FA">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49.9 </w:t>
            </w:r>
          </w:p>
        </w:tc>
        <w:tc>
          <w:tcPr>
            <w:tcW w:w="542" w:type="dxa"/>
            <w:vMerge w:val="continue"/>
            <w:shd w:val="clear" w:color="auto" w:fill="auto"/>
            <w:noWrap w:val="0"/>
            <w:vAlign w:val="center"/>
          </w:tcPr>
          <w:p w14:paraId="31845AAB">
            <w:pPr>
              <w:spacing w:line="280" w:lineRule="exact"/>
              <w:jc w:val="center"/>
              <w:rPr>
                <w:rFonts w:hint="default" w:ascii="Times New Roman" w:hAnsi="Times New Roman" w:eastAsia="宋体"/>
                <w:color w:val="000000" w:themeColor="text1"/>
                <w:szCs w:val="21"/>
                <w:highlight w:val="none"/>
                <w:lang w:val="en-US" w:eastAsia="zh-CN"/>
                <w14:textFill>
                  <w14:solidFill>
                    <w14:schemeClr w14:val="tx1"/>
                  </w14:solidFill>
                </w14:textFill>
              </w:rPr>
            </w:pPr>
          </w:p>
        </w:tc>
        <w:tc>
          <w:tcPr>
            <w:tcW w:w="897" w:type="dxa"/>
            <w:shd w:val="clear" w:color="auto" w:fill="auto"/>
            <w:noWrap w:val="0"/>
            <w:vAlign w:val="center"/>
          </w:tcPr>
          <w:p w14:paraId="20B4210C">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24.3</w:t>
            </w:r>
          </w:p>
        </w:tc>
        <w:tc>
          <w:tcPr>
            <w:tcW w:w="746" w:type="dxa"/>
            <w:shd w:val="clear" w:color="auto" w:fill="auto"/>
            <w:noWrap w:val="0"/>
            <w:vAlign w:val="center"/>
          </w:tcPr>
          <w:p w14:paraId="5AF14CA7">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27.4</w:t>
            </w:r>
          </w:p>
        </w:tc>
        <w:tc>
          <w:tcPr>
            <w:tcW w:w="689" w:type="dxa"/>
            <w:shd w:val="clear" w:color="auto" w:fill="auto"/>
            <w:noWrap w:val="0"/>
            <w:vAlign w:val="center"/>
          </w:tcPr>
          <w:p w14:paraId="74876738">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25.5</w:t>
            </w:r>
          </w:p>
        </w:tc>
        <w:tc>
          <w:tcPr>
            <w:tcW w:w="838" w:type="dxa"/>
            <w:shd w:val="clear" w:color="auto" w:fill="auto"/>
            <w:noWrap w:val="0"/>
            <w:vAlign w:val="center"/>
          </w:tcPr>
          <w:p w14:paraId="1380F05F">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25.5</w:t>
            </w:r>
          </w:p>
        </w:tc>
        <w:tc>
          <w:tcPr>
            <w:tcW w:w="750" w:type="dxa"/>
            <w:shd w:val="clear" w:color="auto" w:fill="auto"/>
            <w:noWrap w:val="0"/>
            <w:vAlign w:val="center"/>
          </w:tcPr>
          <w:p w14:paraId="3520F441">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25.6</w:t>
            </w:r>
          </w:p>
        </w:tc>
        <w:tc>
          <w:tcPr>
            <w:tcW w:w="1096" w:type="dxa"/>
            <w:shd w:val="clear" w:color="auto" w:fill="auto"/>
            <w:noWrap w:val="0"/>
            <w:vAlign w:val="center"/>
          </w:tcPr>
          <w:p w14:paraId="55C825D1">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r>
      <w:tr w14:paraId="3D22CF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1BE15442">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52</w:t>
            </w:r>
          </w:p>
        </w:tc>
        <w:tc>
          <w:tcPr>
            <w:tcW w:w="714" w:type="dxa"/>
            <w:vMerge w:val="continue"/>
            <w:shd w:val="clear" w:color="auto" w:fill="auto"/>
            <w:noWrap w:val="0"/>
            <w:vAlign w:val="center"/>
          </w:tcPr>
          <w:p w14:paraId="7CE0E781">
            <w:pPr>
              <w:spacing w:line="280" w:lineRule="exact"/>
              <w:jc w:val="center"/>
              <w:rPr>
                <w:rFonts w:hint="eastAsia"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pPr>
          </w:p>
        </w:tc>
        <w:tc>
          <w:tcPr>
            <w:tcW w:w="714" w:type="dxa"/>
            <w:shd w:val="clear" w:color="auto" w:fill="auto"/>
            <w:noWrap w:val="0"/>
            <w:vAlign w:val="center"/>
          </w:tcPr>
          <w:p w14:paraId="76FF1857">
            <w:pPr>
              <w:spacing w:line="280" w:lineRule="exact"/>
              <w:jc w:val="center"/>
              <w:rPr>
                <w:rFonts w:hint="eastAsia" w:ascii="Times New Roman" w:hAnsi="Times New Roman" w:eastAsia="宋体" w:cs="Times New Roman"/>
                <w:b w:val="0"/>
                <w:bCs w:val="0"/>
                <w:color w:val="000000" w:themeColor="text1"/>
                <w:kern w:val="0"/>
                <w:sz w:val="21"/>
                <w:szCs w:val="21"/>
                <w:highlight w:val="none"/>
                <w:vertAlign w:val="baseline"/>
                <w:lang w:val="en-US" w:eastAsia="zh-CN" w:bidi="ar-SA"/>
                <w14:textFill>
                  <w14:solidFill>
                    <w14:schemeClr w14:val="tx1"/>
                  </w14:solidFill>
                </w14:textFill>
              </w:rPr>
            </w:pPr>
            <w:r>
              <w:rPr>
                <w:rFonts w:hint="eastAsia" w:ascii="Times New Roman" w:hAnsi="Times New Roman" w:cs="Times New Roman"/>
                <w:color w:val="000000" w:themeColor="text1"/>
                <w:szCs w:val="21"/>
                <w:highlight w:val="none"/>
                <w:lang w:val="en-US" w:eastAsia="zh-CN"/>
                <w14:textFill>
                  <w14:solidFill>
                    <w14:schemeClr w14:val="tx1"/>
                  </w14:solidFill>
                </w14:textFill>
              </w:rPr>
              <w:t>风柜机组12#</w:t>
            </w:r>
          </w:p>
        </w:tc>
        <w:tc>
          <w:tcPr>
            <w:tcW w:w="537" w:type="dxa"/>
            <w:shd w:val="clear" w:color="auto" w:fill="auto"/>
            <w:noWrap w:val="0"/>
            <w:vAlign w:val="center"/>
          </w:tcPr>
          <w:p w14:paraId="27A0D326">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75</w:t>
            </w:r>
          </w:p>
        </w:tc>
        <w:tc>
          <w:tcPr>
            <w:tcW w:w="537" w:type="dxa"/>
            <w:shd w:val="clear" w:color="auto" w:fill="auto"/>
            <w:noWrap w:val="0"/>
            <w:vAlign w:val="center"/>
          </w:tcPr>
          <w:p w14:paraId="5C76D18E">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63.78</w:t>
            </w:r>
          </w:p>
        </w:tc>
        <w:tc>
          <w:tcPr>
            <w:tcW w:w="537" w:type="dxa"/>
            <w:shd w:val="clear" w:color="auto" w:fill="auto"/>
            <w:noWrap w:val="0"/>
            <w:vAlign w:val="center"/>
          </w:tcPr>
          <w:p w14:paraId="457342CD">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66.4</w:t>
            </w:r>
          </w:p>
        </w:tc>
        <w:tc>
          <w:tcPr>
            <w:tcW w:w="558" w:type="dxa"/>
            <w:shd w:val="clear" w:color="auto" w:fill="auto"/>
            <w:noWrap w:val="0"/>
            <w:vAlign w:val="center"/>
          </w:tcPr>
          <w:p w14:paraId="390B9401">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1.4</w:t>
            </w:r>
          </w:p>
        </w:tc>
        <w:tc>
          <w:tcPr>
            <w:tcW w:w="537" w:type="dxa"/>
            <w:shd w:val="clear" w:color="auto" w:fill="auto"/>
            <w:noWrap w:val="0"/>
            <w:vAlign w:val="center"/>
          </w:tcPr>
          <w:p w14:paraId="1DFB623F">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7.9</w:t>
            </w:r>
          </w:p>
        </w:tc>
        <w:tc>
          <w:tcPr>
            <w:tcW w:w="537" w:type="dxa"/>
            <w:shd w:val="clear" w:color="auto" w:fill="auto"/>
            <w:noWrap w:val="0"/>
            <w:vAlign w:val="center"/>
          </w:tcPr>
          <w:p w14:paraId="0340D5DA">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42.8</w:t>
            </w:r>
          </w:p>
        </w:tc>
        <w:tc>
          <w:tcPr>
            <w:tcW w:w="542" w:type="dxa"/>
            <w:shd w:val="clear" w:color="auto" w:fill="auto"/>
            <w:noWrap w:val="0"/>
            <w:vAlign w:val="center"/>
          </w:tcPr>
          <w:p w14:paraId="7844EDF0">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82.6</w:t>
            </w:r>
          </w:p>
        </w:tc>
        <w:tc>
          <w:tcPr>
            <w:tcW w:w="558" w:type="dxa"/>
            <w:shd w:val="clear" w:color="auto" w:fill="auto"/>
            <w:noWrap w:val="0"/>
            <w:vAlign w:val="center"/>
          </w:tcPr>
          <w:p w14:paraId="66FC65AA">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54.3</w:t>
            </w:r>
          </w:p>
        </w:tc>
        <w:tc>
          <w:tcPr>
            <w:tcW w:w="542" w:type="dxa"/>
            <w:shd w:val="clear" w:color="auto" w:fill="auto"/>
            <w:noWrap w:val="0"/>
            <w:vAlign w:val="center"/>
          </w:tcPr>
          <w:p w14:paraId="259D003C">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51.3 </w:t>
            </w:r>
          </w:p>
        </w:tc>
        <w:tc>
          <w:tcPr>
            <w:tcW w:w="542" w:type="dxa"/>
            <w:shd w:val="clear" w:color="auto" w:fill="auto"/>
            <w:noWrap w:val="0"/>
            <w:vAlign w:val="center"/>
          </w:tcPr>
          <w:p w14:paraId="55073DFA">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49.8 </w:t>
            </w:r>
          </w:p>
        </w:tc>
        <w:tc>
          <w:tcPr>
            <w:tcW w:w="542" w:type="dxa"/>
            <w:shd w:val="clear" w:color="auto" w:fill="auto"/>
            <w:noWrap w:val="0"/>
            <w:vAlign w:val="center"/>
          </w:tcPr>
          <w:p w14:paraId="75251F77">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49.8 </w:t>
            </w:r>
          </w:p>
        </w:tc>
        <w:tc>
          <w:tcPr>
            <w:tcW w:w="555" w:type="dxa"/>
            <w:shd w:val="clear" w:color="auto" w:fill="auto"/>
            <w:noWrap w:val="0"/>
            <w:vAlign w:val="center"/>
          </w:tcPr>
          <w:p w14:paraId="3995745A">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49.8 </w:t>
            </w:r>
          </w:p>
        </w:tc>
        <w:tc>
          <w:tcPr>
            <w:tcW w:w="542" w:type="dxa"/>
            <w:vMerge w:val="continue"/>
            <w:shd w:val="clear" w:color="auto" w:fill="auto"/>
            <w:noWrap w:val="0"/>
            <w:vAlign w:val="center"/>
          </w:tcPr>
          <w:p w14:paraId="22BD1BE9">
            <w:pPr>
              <w:spacing w:line="280" w:lineRule="exact"/>
              <w:jc w:val="center"/>
              <w:rPr>
                <w:rFonts w:hint="default" w:ascii="Times New Roman" w:hAnsi="Times New Roman" w:eastAsia="宋体"/>
                <w:color w:val="000000" w:themeColor="text1"/>
                <w:szCs w:val="21"/>
                <w:highlight w:val="none"/>
                <w:lang w:val="en-US" w:eastAsia="zh-CN"/>
                <w14:textFill>
                  <w14:solidFill>
                    <w14:schemeClr w14:val="tx1"/>
                  </w14:solidFill>
                </w14:textFill>
              </w:rPr>
            </w:pPr>
          </w:p>
        </w:tc>
        <w:tc>
          <w:tcPr>
            <w:tcW w:w="897" w:type="dxa"/>
            <w:shd w:val="clear" w:color="auto" w:fill="auto"/>
            <w:noWrap w:val="0"/>
            <w:vAlign w:val="center"/>
          </w:tcPr>
          <w:p w14:paraId="3415AC31">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24.3</w:t>
            </w:r>
          </w:p>
        </w:tc>
        <w:tc>
          <w:tcPr>
            <w:tcW w:w="746" w:type="dxa"/>
            <w:shd w:val="clear" w:color="auto" w:fill="auto"/>
            <w:noWrap w:val="0"/>
            <w:vAlign w:val="center"/>
          </w:tcPr>
          <w:p w14:paraId="2DD2B6E7">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27</w:t>
            </w:r>
          </w:p>
        </w:tc>
        <w:tc>
          <w:tcPr>
            <w:tcW w:w="689" w:type="dxa"/>
            <w:shd w:val="clear" w:color="auto" w:fill="auto"/>
            <w:noWrap w:val="0"/>
            <w:vAlign w:val="center"/>
          </w:tcPr>
          <w:p w14:paraId="0A755AE7">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25.5</w:t>
            </w:r>
          </w:p>
        </w:tc>
        <w:tc>
          <w:tcPr>
            <w:tcW w:w="838" w:type="dxa"/>
            <w:shd w:val="clear" w:color="auto" w:fill="auto"/>
            <w:noWrap w:val="0"/>
            <w:vAlign w:val="center"/>
          </w:tcPr>
          <w:p w14:paraId="14CBA4B2">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25.5</w:t>
            </w:r>
          </w:p>
        </w:tc>
        <w:tc>
          <w:tcPr>
            <w:tcW w:w="750" w:type="dxa"/>
            <w:shd w:val="clear" w:color="auto" w:fill="auto"/>
            <w:noWrap w:val="0"/>
            <w:vAlign w:val="center"/>
          </w:tcPr>
          <w:p w14:paraId="6A49C6C1">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25.5</w:t>
            </w:r>
          </w:p>
        </w:tc>
        <w:tc>
          <w:tcPr>
            <w:tcW w:w="1096" w:type="dxa"/>
            <w:shd w:val="clear" w:color="auto" w:fill="auto"/>
            <w:noWrap w:val="0"/>
            <w:vAlign w:val="center"/>
          </w:tcPr>
          <w:p w14:paraId="7C80C90D">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r>
      <w:tr w14:paraId="6EE066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3DA1B973">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53</w:t>
            </w:r>
          </w:p>
        </w:tc>
        <w:tc>
          <w:tcPr>
            <w:tcW w:w="714" w:type="dxa"/>
            <w:vMerge w:val="continue"/>
            <w:shd w:val="clear" w:color="auto" w:fill="auto"/>
            <w:noWrap w:val="0"/>
            <w:vAlign w:val="center"/>
          </w:tcPr>
          <w:p w14:paraId="043A2C0F">
            <w:pPr>
              <w:spacing w:line="280" w:lineRule="exact"/>
              <w:jc w:val="center"/>
              <w:rPr>
                <w:rFonts w:hint="default"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pPr>
          </w:p>
        </w:tc>
        <w:tc>
          <w:tcPr>
            <w:tcW w:w="714" w:type="dxa"/>
            <w:shd w:val="clear" w:color="auto" w:fill="auto"/>
            <w:noWrap w:val="0"/>
            <w:vAlign w:val="center"/>
          </w:tcPr>
          <w:p w14:paraId="25F43BDE">
            <w:pPr>
              <w:spacing w:line="280" w:lineRule="exact"/>
              <w:jc w:val="center"/>
              <w:rPr>
                <w:rFonts w:hint="eastAsia" w:ascii="Times New Roman" w:hAnsi="Times New Roman" w:eastAsia="宋体" w:cs="Times New Roman"/>
                <w:b w:val="0"/>
                <w:bCs w:val="0"/>
                <w:color w:val="000000" w:themeColor="text1"/>
                <w:kern w:val="0"/>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14:textFill>
                  <w14:solidFill>
                    <w14:schemeClr w14:val="tx1"/>
                  </w14:solidFill>
                </w14:textFill>
              </w:rPr>
              <w:t>真空泵系统1#</w:t>
            </w:r>
          </w:p>
        </w:tc>
        <w:tc>
          <w:tcPr>
            <w:tcW w:w="537" w:type="dxa"/>
            <w:shd w:val="clear" w:color="auto" w:fill="auto"/>
            <w:noWrap w:val="0"/>
            <w:vAlign w:val="center"/>
          </w:tcPr>
          <w:p w14:paraId="50219BF6">
            <w:pPr>
              <w:spacing w:line="280" w:lineRule="exact"/>
              <w:jc w:val="center"/>
              <w:rPr>
                <w:rFonts w:hint="eastAsia"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80</w:t>
            </w:r>
          </w:p>
        </w:tc>
        <w:tc>
          <w:tcPr>
            <w:tcW w:w="537" w:type="dxa"/>
            <w:shd w:val="clear" w:color="auto" w:fill="auto"/>
            <w:noWrap w:val="0"/>
            <w:vAlign w:val="center"/>
          </w:tcPr>
          <w:p w14:paraId="14653B02">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-18.67</w:t>
            </w:r>
          </w:p>
        </w:tc>
        <w:tc>
          <w:tcPr>
            <w:tcW w:w="537" w:type="dxa"/>
            <w:shd w:val="clear" w:color="auto" w:fill="auto"/>
            <w:noWrap w:val="0"/>
            <w:vAlign w:val="center"/>
          </w:tcPr>
          <w:p w14:paraId="1B186F6B">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171.78</w:t>
            </w:r>
          </w:p>
        </w:tc>
        <w:tc>
          <w:tcPr>
            <w:tcW w:w="558" w:type="dxa"/>
            <w:shd w:val="clear" w:color="auto" w:fill="auto"/>
            <w:noWrap w:val="0"/>
            <w:vAlign w:val="center"/>
          </w:tcPr>
          <w:p w14:paraId="62865D3B">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1.3</w:t>
            </w:r>
          </w:p>
        </w:tc>
        <w:tc>
          <w:tcPr>
            <w:tcW w:w="537" w:type="dxa"/>
            <w:shd w:val="clear" w:color="auto" w:fill="auto"/>
            <w:noWrap w:val="0"/>
            <w:vAlign w:val="center"/>
          </w:tcPr>
          <w:p w14:paraId="4F0B2E96">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51.4</w:t>
            </w:r>
          </w:p>
        </w:tc>
        <w:tc>
          <w:tcPr>
            <w:tcW w:w="537" w:type="dxa"/>
            <w:shd w:val="clear" w:color="auto" w:fill="auto"/>
            <w:noWrap w:val="0"/>
            <w:vAlign w:val="center"/>
          </w:tcPr>
          <w:p w14:paraId="5C3CA59E">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175.3</w:t>
            </w:r>
          </w:p>
        </w:tc>
        <w:tc>
          <w:tcPr>
            <w:tcW w:w="542" w:type="dxa"/>
            <w:shd w:val="clear" w:color="auto" w:fill="auto"/>
            <w:noWrap w:val="0"/>
            <w:vAlign w:val="center"/>
          </w:tcPr>
          <w:p w14:paraId="32002C9F">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92.4</w:t>
            </w:r>
          </w:p>
        </w:tc>
        <w:tc>
          <w:tcPr>
            <w:tcW w:w="558" w:type="dxa"/>
            <w:shd w:val="clear" w:color="auto" w:fill="auto"/>
            <w:noWrap w:val="0"/>
            <w:vAlign w:val="center"/>
          </w:tcPr>
          <w:p w14:paraId="748F6C11">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4.9</w:t>
            </w:r>
          </w:p>
        </w:tc>
        <w:tc>
          <w:tcPr>
            <w:tcW w:w="542" w:type="dxa"/>
            <w:shd w:val="clear" w:color="auto" w:fill="auto"/>
            <w:noWrap w:val="0"/>
            <w:vAlign w:val="center"/>
          </w:tcPr>
          <w:p w14:paraId="4980C2F6">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42" w:type="dxa"/>
            <w:shd w:val="clear" w:color="auto" w:fill="auto"/>
            <w:noWrap w:val="0"/>
            <w:vAlign w:val="center"/>
          </w:tcPr>
          <w:p w14:paraId="77F0743E">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42" w:type="dxa"/>
            <w:shd w:val="clear" w:color="auto" w:fill="auto"/>
            <w:noWrap w:val="0"/>
            <w:vAlign w:val="center"/>
          </w:tcPr>
          <w:p w14:paraId="15950F0E">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55" w:type="dxa"/>
            <w:shd w:val="clear" w:color="auto" w:fill="auto"/>
            <w:noWrap w:val="0"/>
            <w:vAlign w:val="center"/>
          </w:tcPr>
          <w:p w14:paraId="026CC65B">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58.0 </w:t>
            </w:r>
          </w:p>
        </w:tc>
        <w:tc>
          <w:tcPr>
            <w:tcW w:w="542" w:type="dxa"/>
            <w:vMerge w:val="continue"/>
            <w:shd w:val="clear" w:color="auto" w:fill="auto"/>
            <w:noWrap w:val="0"/>
            <w:vAlign w:val="center"/>
          </w:tcPr>
          <w:p w14:paraId="659BDB2C">
            <w:pPr>
              <w:spacing w:line="280" w:lineRule="exact"/>
              <w:jc w:val="center"/>
              <w:rPr>
                <w:rFonts w:hint="default" w:ascii="Times New Roman" w:hAnsi="Times New Roman" w:eastAsia="宋体"/>
                <w:color w:val="000000" w:themeColor="text1"/>
                <w:szCs w:val="21"/>
                <w:highlight w:val="none"/>
                <w:lang w:val="en-US" w:eastAsia="zh-CN"/>
                <w14:textFill>
                  <w14:solidFill>
                    <w14:schemeClr w14:val="tx1"/>
                  </w14:solidFill>
                </w14:textFill>
              </w:rPr>
            </w:pPr>
          </w:p>
        </w:tc>
        <w:tc>
          <w:tcPr>
            <w:tcW w:w="897" w:type="dxa"/>
            <w:shd w:val="clear" w:color="auto" w:fill="auto"/>
            <w:noWrap w:val="0"/>
            <w:vAlign w:val="center"/>
          </w:tcPr>
          <w:p w14:paraId="5240F6A5">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24.3</w:t>
            </w:r>
          </w:p>
        </w:tc>
        <w:tc>
          <w:tcPr>
            <w:tcW w:w="746" w:type="dxa"/>
            <w:shd w:val="clear" w:color="auto" w:fill="auto"/>
            <w:noWrap w:val="0"/>
            <w:vAlign w:val="center"/>
          </w:tcPr>
          <w:p w14:paraId="43B5FD2B">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689" w:type="dxa"/>
            <w:shd w:val="clear" w:color="auto" w:fill="auto"/>
            <w:noWrap w:val="0"/>
            <w:vAlign w:val="center"/>
          </w:tcPr>
          <w:p w14:paraId="775623F2">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838" w:type="dxa"/>
            <w:shd w:val="clear" w:color="auto" w:fill="auto"/>
            <w:noWrap w:val="0"/>
            <w:vAlign w:val="center"/>
          </w:tcPr>
          <w:p w14:paraId="747D881B">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750" w:type="dxa"/>
            <w:shd w:val="clear" w:color="auto" w:fill="auto"/>
            <w:noWrap w:val="0"/>
            <w:vAlign w:val="center"/>
          </w:tcPr>
          <w:p w14:paraId="49F02BE8">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33.7</w:t>
            </w:r>
          </w:p>
        </w:tc>
        <w:tc>
          <w:tcPr>
            <w:tcW w:w="1096" w:type="dxa"/>
            <w:shd w:val="clear" w:color="auto" w:fill="auto"/>
            <w:noWrap w:val="0"/>
            <w:vAlign w:val="center"/>
          </w:tcPr>
          <w:p w14:paraId="1CC89296">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r>
      <w:tr w14:paraId="476211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1C891F06">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54</w:t>
            </w:r>
          </w:p>
        </w:tc>
        <w:tc>
          <w:tcPr>
            <w:tcW w:w="714" w:type="dxa"/>
            <w:vMerge w:val="continue"/>
            <w:shd w:val="clear" w:color="auto" w:fill="auto"/>
            <w:noWrap w:val="0"/>
            <w:vAlign w:val="center"/>
          </w:tcPr>
          <w:p w14:paraId="28DBFB2E">
            <w:pPr>
              <w:spacing w:line="280" w:lineRule="exact"/>
              <w:jc w:val="center"/>
              <w:rPr>
                <w:rFonts w:hint="eastAsia" w:cs="Times New Roman"/>
                <w:b w:val="0"/>
                <w:bCs w:val="0"/>
                <w:color w:val="000000" w:themeColor="text1"/>
                <w:kern w:val="0"/>
                <w:sz w:val="21"/>
                <w:szCs w:val="21"/>
                <w:highlight w:val="none"/>
                <w:vertAlign w:val="baseline"/>
                <w:lang w:val="en-US" w:eastAsia="zh-CN"/>
                <w14:textFill>
                  <w14:solidFill>
                    <w14:schemeClr w14:val="tx1"/>
                  </w14:solidFill>
                </w14:textFill>
              </w:rPr>
            </w:pPr>
          </w:p>
        </w:tc>
        <w:tc>
          <w:tcPr>
            <w:tcW w:w="714" w:type="dxa"/>
            <w:shd w:val="clear" w:color="auto" w:fill="auto"/>
            <w:noWrap w:val="0"/>
            <w:vAlign w:val="center"/>
          </w:tcPr>
          <w:p w14:paraId="0B2B7DF3">
            <w:pPr>
              <w:spacing w:line="280" w:lineRule="exact"/>
              <w:jc w:val="center"/>
              <w:rPr>
                <w:rFonts w:hint="eastAsia" w:ascii="Times New Roman" w:hAnsi="Times New Roman" w:eastAsia="宋体" w:cs="Times New Roman"/>
                <w:b w:val="0"/>
                <w:bCs w:val="0"/>
                <w:color w:val="000000" w:themeColor="text1"/>
                <w:kern w:val="0"/>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14:textFill>
                  <w14:solidFill>
                    <w14:schemeClr w14:val="tx1"/>
                  </w14:solidFill>
                </w14:textFill>
              </w:rPr>
              <w:t>真空泵系统2#</w:t>
            </w:r>
          </w:p>
        </w:tc>
        <w:tc>
          <w:tcPr>
            <w:tcW w:w="537" w:type="dxa"/>
            <w:shd w:val="clear" w:color="auto" w:fill="auto"/>
            <w:noWrap w:val="0"/>
            <w:vAlign w:val="center"/>
          </w:tcPr>
          <w:p w14:paraId="3F94ABAA">
            <w:pPr>
              <w:spacing w:line="280" w:lineRule="exact"/>
              <w:jc w:val="center"/>
              <w:rPr>
                <w:rFonts w:hint="eastAsia"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80</w:t>
            </w:r>
          </w:p>
        </w:tc>
        <w:tc>
          <w:tcPr>
            <w:tcW w:w="537" w:type="dxa"/>
            <w:shd w:val="clear" w:color="auto" w:fill="auto"/>
            <w:noWrap w:val="0"/>
            <w:vAlign w:val="center"/>
          </w:tcPr>
          <w:p w14:paraId="719876CD">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-17.93</w:t>
            </w:r>
          </w:p>
        </w:tc>
        <w:tc>
          <w:tcPr>
            <w:tcW w:w="537" w:type="dxa"/>
            <w:shd w:val="clear" w:color="auto" w:fill="auto"/>
            <w:noWrap w:val="0"/>
            <w:vAlign w:val="center"/>
          </w:tcPr>
          <w:p w14:paraId="5FE59C69">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170.06</w:t>
            </w:r>
          </w:p>
        </w:tc>
        <w:tc>
          <w:tcPr>
            <w:tcW w:w="558" w:type="dxa"/>
            <w:shd w:val="clear" w:color="auto" w:fill="auto"/>
            <w:noWrap w:val="0"/>
            <w:vAlign w:val="center"/>
          </w:tcPr>
          <w:p w14:paraId="6700CBCF">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1.3</w:t>
            </w:r>
          </w:p>
        </w:tc>
        <w:tc>
          <w:tcPr>
            <w:tcW w:w="537" w:type="dxa"/>
            <w:shd w:val="clear" w:color="auto" w:fill="auto"/>
            <w:noWrap w:val="0"/>
            <w:vAlign w:val="center"/>
          </w:tcPr>
          <w:p w14:paraId="29BDF351">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54.4</w:t>
            </w:r>
          </w:p>
        </w:tc>
        <w:tc>
          <w:tcPr>
            <w:tcW w:w="537" w:type="dxa"/>
            <w:shd w:val="clear" w:color="auto" w:fill="auto"/>
            <w:noWrap w:val="0"/>
            <w:vAlign w:val="center"/>
          </w:tcPr>
          <w:p w14:paraId="510A3CEA">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161.8</w:t>
            </w:r>
          </w:p>
        </w:tc>
        <w:tc>
          <w:tcPr>
            <w:tcW w:w="542" w:type="dxa"/>
            <w:shd w:val="clear" w:color="auto" w:fill="auto"/>
            <w:noWrap w:val="0"/>
            <w:vAlign w:val="center"/>
          </w:tcPr>
          <w:p w14:paraId="0C1B56F0">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50.8</w:t>
            </w:r>
          </w:p>
        </w:tc>
        <w:tc>
          <w:tcPr>
            <w:tcW w:w="558" w:type="dxa"/>
            <w:shd w:val="clear" w:color="auto" w:fill="auto"/>
            <w:noWrap w:val="0"/>
            <w:vAlign w:val="center"/>
          </w:tcPr>
          <w:p w14:paraId="70C4A5EF">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6.3</w:t>
            </w:r>
          </w:p>
        </w:tc>
        <w:tc>
          <w:tcPr>
            <w:tcW w:w="542" w:type="dxa"/>
            <w:shd w:val="clear" w:color="auto" w:fill="auto"/>
            <w:noWrap w:val="0"/>
            <w:vAlign w:val="center"/>
          </w:tcPr>
          <w:p w14:paraId="16538B9C">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42" w:type="dxa"/>
            <w:shd w:val="clear" w:color="auto" w:fill="auto"/>
            <w:noWrap w:val="0"/>
            <w:vAlign w:val="center"/>
          </w:tcPr>
          <w:p w14:paraId="7E51D2CC">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42" w:type="dxa"/>
            <w:shd w:val="clear" w:color="auto" w:fill="auto"/>
            <w:noWrap w:val="0"/>
            <w:vAlign w:val="center"/>
          </w:tcPr>
          <w:p w14:paraId="1679E8FE">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55" w:type="dxa"/>
            <w:shd w:val="clear" w:color="auto" w:fill="auto"/>
            <w:noWrap w:val="0"/>
            <w:vAlign w:val="center"/>
          </w:tcPr>
          <w:p w14:paraId="5653DC96">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57.0 </w:t>
            </w:r>
          </w:p>
        </w:tc>
        <w:tc>
          <w:tcPr>
            <w:tcW w:w="542" w:type="dxa"/>
            <w:vMerge w:val="continue"/>
            <w:shd w:val="clear" w:color="auto" w:fill="auto"/>
            <w:noWrap w:val="0"/>
            <w:vAlign w:val="center"/>
          </w:tcPr>
          <w:p w14:paraId="14BC5AE2">
            <w:pPr>
              <w:spacing w:line="280" w:lineRule="exact"/>
              <w:jc w:val="center"/>
              <w:rPr>
                <w:rFonts w:hint="default" w:ascii="Times New Roman" w:hAnsi="Times New Roman" w:eastAsia="宋体"/>
                <w:color w:val="000000" w:themeColor="text1"/>
                <w:szCs w:val="21"/>
                <w:highlight w:val="none"/>
                <w:lang w:val="en-US" w:eastAsia="zh-CN"/>
                <w14:textFill>
                  <w14:solidFill>
                    <w14:schemeClr w14:val="tx1"/>
                  </w14:solidFill>
                </w14:textFill>
              </w:rPr>
            </w:pPr>
          </w:p>
        </w:tc>
        <w:tc>
          <w:tcPr>
            <w:tcW w:w="897" w:type="dxa"/>
            <w:shd w:val="clear" w:color="auto" w:fill="auto"/>
            <w:noWrap w:val="0"/>
            <w:vAlign w:val="center"/>
          </w:tcPr>
          <w:p w14:paraId="5948139A">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24.3</w:t>
            </w:r>
          </w:p>
        </w:tc>
        <w:tc>
          <w:tcPr>
            <w:tcW w:w="746" w:type="dxa"/>
            <w:shd w:val="clear" w:color="auto" w:fill="auto"/>
            <w:noWrap w:val="0"/>
            <w:vAlign w:val="center"/>
          </w:tcPr>
          <w:p w14:paraId="57DBB6B9">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689" w:type="dxa"/>
            <w:shd w:val="clear" w:color="auto" w:fill="auto"/>
            <w:noWrap w:val="0"/>
            <w:vAlign w:val="center"/>
          </w:tcPr>
          <w:p w14:paraId="075E24B3">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838" w:type="dxa"/>
            <w:shd w:val="clear" w:color="auto" w:fill="auto"/>
            <w:noWrap w:val="0"/>
            <w:vAlign w:val="center"/>
          </w:tcPr>
          <w:p w14:paraId="2BB1AE13">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750" w:type="dxa"/>
            <w:shd w:val="clear" w:color="auto" w:fill="auto"/>
            <w:noWrap w:val="0"/>
            <w:vAlign w:val="center"/>
          </w:tcPr>
          <w:p w14:paraId="69E6EAAB">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32.7</w:t>
            </w:r>
          </w:p>
        </w:tc>
        <w:tc>
          <w:tcPr>
            <w:tcW w:w="1096" w:type="dxa"/>
            <w:shd w:val="clear" w:color="auto" w:fill="auto"/>
            <w:noWrap w:val="0"/>
            <w:vAlign w:val="center"/>
          </w:tcPr>
          <w:p w14:paraId="466E66F1">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r>
      <w:tr w14:paraId="0B2388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11ACF0E0">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55</w:t>
            </w:r>
          </w:p>
        </w:tc>
        <w:tc>
          <w:tcPr>
            <w:tcW w:w="714" w:type="dxa"/>
            <w:vMerge w:val="continue"/>
            <w:shd w:val="clear" w:color="auto" w:fill="auto"/>
            <w:noWrap w:val="0"/>
            <w:vAlign w:val="center"/>
          </w:tcPr>
          <w:p w14:paraId="57ED8169">
            <w:pPr>
              <w:spacing w:line="280" w:lineRule="exact"/>
              <w:jc w:val="center"/>
              <w:rPr>
                <w:rFonts w:hint="eastAsia" w:cs="Times New Roman"/>
                <w:b w:val="0"/>
                <w:bCs w:val="0"/>
                <w:color w:val="000000" w:themeColor="text1"/>
                <w:kern w:val="0"/>
                <w:sz w:val="21"/>
                <w:szCs w:val="21"/>
                <w:highlight w:val="none"/>
                <w:vertAlign w:val="baseline"/>
                <w:lang w:val="en-US" w:eastAsia="zh-CN"/>
                <w14:textFill>
                  <w14:solidFill>
                    <w14:schemeClr w14:val="tx1"/>
                  </w14:solidFill>
                </w14:textFill>
              </w:rPr>
            </w:pPr>
          </w:p>
        </w:tc>
        <w:tc>
          <w:tcPr>
            <w:tcW w:w="714" w:type="dxa"/>
            <w:shd w:val="clear" w:color="auto" w:fill="auto"/>
            <w:noWrap w:val="0"/>
            <w:vAlign w:val="center"/>
          </w:tcPr>
          <w:p w14:paraId="713E4E49">
            <w:pPr>
              <w:spacing w:line="280" w:lineRule="exact"/>
              <w:jc w:val="center"/>
              <w:rPr>
                <w:rFonts w:hint="eastAsia" w:ascii="Times New Roman" w:hAnsi="Times New Roman" w:eastAsia="宋体" w:cs="Times New Roman"/>
                <w:b w:val="0"/>
                <w:bCs w:val="0"/>
                <w:color w:val="000000" w:themeColor="text1"/>
                <w:kern w:val="0"/>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14:textFill>
                  <w14:solidFill>
                    <w14:schemeClr w14:val="tx1"/>
                  </w14:solidFill>
                </w14:textFill>
              </w:rPr>
              <w:t>真空泵系统3#</w:t>
            </w:r>
          </w:p>
        </w:tc>
        <w:tc>
          <w:tcPr>
            <w:tcW w:w="537" w:type="dxa"/>
            <w:shd w:val="clear" w:color="auto" w:fill="auto"/>
            <w:noWrap w:val="0"/>
            <w:vAlign w:val="center"/>
          </w:tcPr>
          <w:p w14:paraId="5CAAA656">
            <w:pPr>
              <w:spacing w:line="280" w:lineRule="exact"/>
              <w:jc w:val="center"/>
              <w:rPr>
                <w:rFonts w:hint="eastAsia"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80</w:t>
            </w:r>
          </w:p>
        </w:tc>
        <w:tc>
          <w:tcPr>
            <w:tcW w:w="537" w:type="dxa"/>
            <w:shd w:val="clear" w:color="auto" w:fill="auto"/>
            <w:noWrap w:val="0"/>
            <w:vAlign w:val="center"/>
          </w:tcPr>
          <w:p w14:paraId="31BDE3B8">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-16.84</w:t>
            </w:r>
          </w:p>
        </w:tc>
        <w:tc>
          <w:tcPr>
            <w:tcW w:w="537" w:type="dxa"/>
            <w:shd w:val="clear" w:color="auto" w:fill="auto"/>
            <w:noWrap w:val="0"/>
            <w:vAlign w:val="center"/>
          </w:tcPr>
          <w:p w14:paraId="6C566267">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172.33</w:t>
            </w:r>
          </w:p>
        </w:tc>
        <w:tc>
          <w:tcPr>
            <w:tcW w:w="558" w:type="dxa"/>
            <w:shd w:val="clear" w:color="auto" w:fill="auto"/>
            <w:noWrap w:val="0"/>
            <w:vAlign w:val="center"/>
          </w:tcPr>
          <w:p w14:paraId="38E55225">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1.3</w:t>
            </w:r>
          </w:p>
        </w:tc>
        <w:tc>
          <w:tcPr>
            <w:tcW w:w="537" w:type="dxa"/>
            <w:shd w:val="clear" w:color="auto" w:fill="auto"/>
            <w:noWrap w:val="0"/>
            <w:vAlign w:val="center"/>
          </w:tcPr>
          <w:p w14:paraId="365CA977">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53.4</w:t>
            </w:r>
          </w:p>
        </w:tc>
        <w:tc>
          <w:tcPr>
            <w:tcW w:w="537" w:type="dxa"/>
            <w:shd w:val="clear" w:color="auto" w:fill="auto"/>
            <w:noWrap w:val="0"/>
            <w:vAlign w:val="center"/>
          </w:tcPr>
          <w:p w14:paraId="5E8B8E2C">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159.7</w:t>
            </w:r>
          </w:p>
        </w:tc>
        <w:tc>
          <w:tcPr>
            <w:tcW w:w="542" w:type="dxa"/>
            <w:shd w:val="clear" w:color="auto" w:fill="auto"/>
            <w:noWrap w:val="0"/>
            <w:vAlign w:val="center"/>
          </w:tcPr>
          <w:p w14:paraId="3C6FFC99">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53.3</w:t>
            </w:r>
          </w:p>
        </w:tc>
        <w:tc>
          <w:tcPr>
            <w:tcW w:w="558" w:type="dxa"/>
            <w:shd w:val="clear" w:color="auto" w:fill="auto"/>
            <w:noWrap w:val="0"/>
            <w:vAlign w:val="center"/>
          </w:tcPr>
          <w:p w14:paraId="0A5D0175">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4.6</w:t>
            </w:r>
          </w:p>
        </w:tc>
        <w:tc>
          <w:tcPr>
            <w:tcW w:w="542" w:type="dxa"/>
            <w:shd w:val="clear" w:color="auto" w:fill="auto"/>
            <w:noWrap w:val="0"/>
            <w:vAlign w:val="center"/>
          </w:tcPr>
          <w:p w14:paraId="161AB932">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42" w:type="dxa"/>
            <w:shd w:val="clear" w:color="auto" w:fill="auto"/>
            <w:noWrap w:val="0"/>
            <w:vAlign w:val="center"/>
          </w:tcPr>
          <w:p w14:paraId="5C6C17B0">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42" w:type="dxa"/>
            <w:shd w:val="clear" w:color="auto" w:fill="auto"/>
            <w:noWrap w:val="0"/>
            <w:vAlign w:val="center"/>
          </w:tcPr>
          <w:p w14:paraId="7CD73DFB">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55" w:type="dxa"/>
            <w:shd w:val="clear" w:color="auto" w:fill="auto"/>
            <w:noWrap w:val="0"/>
            <w:vAlign w:val="center"/>
          </w:tcPr>
          <w:p w14:paraId="357FFFA0">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58.3 </w:t>
            </w:r>
          </w:p>
        </w:tc>
        <w:tc>
          <w:tcPr>
            <w:tcW w:w="542" w:type="dxa"/>
            <w:vMerge w:val="continue"/>
            <w:shd w:val="clear" w:color="auto" w:fill="auto"/>
            <w:noWrap w:val="0"/>
            <w:vAlign w:val="center"/>
          </w:tcPr>
          <w:p w14:paraId="7FBD9088">
            <w:pPr>
              <w:spacing w:line="280" w:lineRule="exact"/>
              <w:jc w:val="center"/>
              <w:rPr>
                <w:rFonts w:hint="default" w:ascii="Times New Roman" w:hAnsi="Times New Roman" w:eastAsia="宋体"/>
                <w:color w:val="000000" w:themeColor="text1"/>
                <w:szCs w:val="21"/>
                <w:highlight w:val="none"/>
                <w:lang w:val="en-US" w:eastAsia="zh-CN"/>
                <w14:textFill>
                  <w14:solidFill>
                    <w14:schemeClr w14:val="tx1"/>
                  </w14:solidFill>
                </w14:textFill>
              </w:rPr>
            </w:pPr>
          </w:p>
        </w:tc>
        <w:tc>
          <w:tcPr>
            <w:tcW w:w="897" w:type="dxa"/>
            <w:shd w:val="clear" w:color="auto" w:fill="auto"/>
            <w:noWrap w:val="0"/>
            <w:vAlign w:val="center"/>
          </w:tcPr>
          <w:p w14:paraId="48ED8516">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24.3</w:t>
            </w:r>
          </w:p>
        </w:tc>
        <w:tc>
          <w:tcPr>
            <w:tcW w:w="746" w:type="dxa"/>
            <w:shd w:val="clear" w:color="auto" w:fill="auto"/>
            <w:noWrap w:val="0"/>
            <w:vAlign w:val="center"/>
          </w:tcPr>
          <w:p w14:paraId="2DA99C42">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689" w:type="dxa"/>
            <w:shd w:val="clear" w:color="auto" w:fill="auto"/>
            <w:noWrap w:val="0"/>
            <w:vAlign w:val="center"/>
          </w:tcPr>
          <w:p w14:paraId="5A1F8873">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838" w:type="dxa"/>
            <w:shd w:val="clear" w:color="auto" w:fill="auto"/>
            <w:noWrap w:val="0"/>
            <w:vAlign w:val="center"/>
          </w:tcPr>
          <w:p w14:paraId="0D07189A">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750" w:type="dxa"/>
            <w:shd w:val="clear" w:color="auto" w:fill="auto"/>
            <w:noWrap w:val="0"/>
            <w:vAlign w:val="center"/>
          </w:tcPr>
          <w:p w14:paraId="6BFC1E8A">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34</w:t>
            </w:r>
          </w:p>
        </w:tc>
        <w:tc>
          <w:tcPr>
            <w:tcW w:w="1096" w:type="dxa"/>
            <w:shd w:val="clear" w:color="auto" w:fill="auto"/>
            <w:noWrap w:val="0"/>
            <w:vAlign w:val="center"/>
          </w:tcPr>
          <w:p w14:paraId="23C09E1B">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r>
      <w:tr w14:paraId="320D96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5B3ABB35">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56</w:t>
            </w:r>
          </w:p>
        </w:tc>
        <w:tc>
          <w:tcPr>
            <w:tcW w:w="714" w:type="dxa"/>
            <w:vMerge w:val="continue"/>
            <w:shd w:val="clear" w:color="auto" w:fill="auto"/>
            <w:noWrap w:val="0"/>
            <w:vAlign w:val="center"/>
          </w:tcPr>
          <w:p w14:paraId="04CCA49F">
            <w:pPr>
              <w:spacing w:line="280" w:lineRule="exact"/>
              <w:jc w:val="center"/>
              <w:rPr>
                <w:rFonts w:hint="eastAsia" w:cs="Times New Roman"/>
                <w:b w:val="0"/>
                <w:bCs w:val="0"/>
                <w:color w:val="000000" w:themeColor="text1"/>
                <w:kern w:val="0"/>
                <w:sz w:val="21"/>
                <w:szCs w:val="21"/>
                <w:highlight w:val="none"/>
                <w:vertAlign w:val="baseline"/>
                <w:lang w:val="en-US" w:eastAsia="zh-CN"/>
                <w14:textFill>
                  <w14:solidFill>
                    <w14:schemeClr w14:val="tx1"/>
                  </w14:solidFill>
                </w14:textFill>
              </w:rPr>
            </w:pPr>
          </w:p>
        </w:tc>
        <w:tc>
          <w:tcPr>
            <w:tcW w:w="714" w:type="dxa"/>
            <w:shd w:val="clear" w:color="auto" w:fill="auto"/>
            <w:noWrap w:val="0"/>
            <w:vAlign w:val="center"/>
          </w:tcPr>
          <w:p w14:paraId="39393F4B">
            <w:pPr>
              <w:spacing w:line="280" w:lineRule="exact"/>
              <w:jc w:val="center"/>
              <w:rPr>
                <w:rFonts w:hint="eastAsia" w:ascii="Times New Roman" w:hAnsi="Times New Roman" w:eastAsia="宋体" w:cs="Times New Roman"/>
                <w:b w:val="0"/>
                <w:bCs w:val="0"/>
                <w:color w:val="000000" w:themeColor="text1"/>
                <w:kern w:val="0"/>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14:textFill>
                  <w14:solidFill>
                    <w14:schemeClr w14:val="tx1"/>
                  </w14:solidFill>
                </w14:textFill>
              </w:rPr>
              <w:t>真空泵系统4#</w:t>
            </w:r>
          </w:p>
        </w:tc>
        <w:tc>
          <w:tcPr>
            <w:tcW w:w="537" w:type="dxa"/>
            <w:shd w:val="clear" w:color="auto" w:fill="auto"/>
            <w:noWrap w:val="0"/>
            <w:vAlign w:val="center"/>
          </w:tcPr>
          <w:p w14:paraId="6B06D070">
            <w:pPr>
              <w:spacing w:line="280" w:lineRule="exact"/>
              <w:jc w:val="center"/>
              <w:rPr>
                <w:rFonts w:hint="eastAsia"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80</w:t>
            </w:r>
          </w:p>
        </w:tc>
        <w:tc>
          <w:tcPr>
            <w:tcW w:w="537" w:type="dxa"/>
            <w:shd w:val="clear" w:color="auto" w:fill="auto"/>
            <w:noWrap w:val="0"/>
            <w:vAlign w:val="center"/>
          </w:tcPr>
          <w:p w14:paraId="3EA4256D">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-16.33</w:t>
            </w:r>
          </w:p>
        </w:tc>
        <w:tc>
          <w:tcPr>
            <w:tcW w:w="537" w:type="dxa"/>
            <w:shd w:val="clear" w:color="auto" w:fill="auto"/>
            <w:noWrap w:val="0"/>
            <w:vAlign w:val="center"/>
          </w:tcPr>
          <w:p w14:paraId="17062222">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170.82</w:t>
            </w:r>
          </w:p>
        </w:tc>
        <w:tc>
          <w:tcPr>
            <w:tcW w:w="558" w:type="dxa"/>
            <w:shd w:val="clear" w:color="auto" w:fill="auto"/>
            <w:noWrap w:val="0"/>
            <w:vAlign w:val="center"/>
          </w:tcPr>
          <w:p w14:paraId="010D81C2">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1.3</w:t>
            </w:r>
          </w:p>
        </w:tc>
        <w:tc>
          <w:tcPr>
            <w:tcW w:w="537" w:type="dxa"/>
            <w:shd w:val="clear" w:color="auto" w:fill="auto"/>
            <w:noWrap w:val="0"/>
            <w:vAlign w:val="center"/>
          </w:tcPr>
          <w:p w14:paraId="00AD1EF0">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52.3</w:t>
            </w:r>
          </w:p>
        </w:tc>
        <w:tc>
          <w:tcPr>
            <w:tcW w:w="537" w:type="dxa"/>
            <w:shd w:val="clear" w:color="auto" w:fill="auto"/>
            <w:noWrap w:val="0"/>
            <w:vAlign w:val="center"/>
          </w:tcPr>
          <w:p w14:paraId="58674087">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171.0</w:t>
            </w:r>
          </w:p>
        </w:tc>
        <w:tc>
          <w:tcPr>
            <w:tcW w:w="542" w:type="dxa"/>
            <w:shd w:val="clear" w:color="auto" w:fill="auto"/>
            <w:noWrap w:val="0"/>
            <w:vAlign w:val="center"/>
          </w:tcPr>
          <w:p w14:paraId="420081C5">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57.4</w:t>
            </w:r>
          </w:p>
        </w:tc>
        <w:tc>
          <w:tcPr>
            <w:tcW w:w="558" w:type="dxa"/>
            <w:shd w:val="clear" w:color="auto" w:fill="auto"/>
            <w:noWrap w:val="0"/>
            <w:vAlign w:val="center"/>
          </w:tcPr>
          <w:p w14:paraId="22741F03">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6.2</w:t>
            </w:r>
          </w:p>
        </w:tc>
        <w:tc>
          <w:tcPr>
            <w:tcW w:w="542" w:type="dxa"/>
            <w:shd w:val="clear" w:color="auto" w:fill="auto"/>
            <w:noWrap w:val="0"/>
            <w:vAlign w:val="center"/>
          </w:tcPr>
          <w:p w14:paraId="299F969F">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42" w:type="dxa"/>
            <w:shd w:val="clear" w:color="auto" w:fill="auto"/>
            <w:noWrap w:val="0"/>
            <w:vAlign w:val="center"/>
          </w:tcPr>
          <w:p w14:paraId="52ABF6E3">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42" w:type="dxa"/>
            <w:shd w:val="clear" w:color="auto" w:fill="auto"/>
            <w:noWrap w:val="0"/>
            <w:vAlign w:val="center"/>
          </w:tcPr>
          <w:p w14:paraId="31E59CBF">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55" w:type="dxa"/>
            <w:shd w:val="clear" w:color="auto" w:fill="auto"/>
            <w:noWrap w:val="0"/>
            <w:vAlign w:val="center"/>
          </w:tcPr>
          <w:p w14:paraId="6DFE2FBE">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57.0 </w:t>
            </w:r>
          </w:p>
        </w:tc>
        <w:tc>
          <w:tcPr>
            <w:tcW w:w="542" w:type="dxa"/>
            <w:vMerge w:val="continue"/>
            <w:shd w:val="clear" w:color="auto" w:fill="auto"/>
            <w:noWrap w:val="0"/>
            <w:vAlign w:val="center"/>
          </w:tcPr>
          <w:p w14:paraId="3A1FED01">
            <w:pPr>
              <w:spacing w:line="280" w:lineRule="exact"/>
              <w:jc w:val="center"/>
              <w:rPr>
                <w:rFonts w:hint="default" w:ascii="Times New Roman" w:hAnsi="Times New Roman" w:eastAsia="宋体"/>
                <w:color w:val="000000" w:themeColor="text1"/>
                <w:szCs w:val="21"/>
                <w:highlight w:val="none"/>
                <w:lang w:val="en-US" w:eastAsia="zh-CN"/>
                <w14:textFill>
                  <w14:solidFill>
                    <w14:schemeClr w14:val="tx1"/>
                  </w14:solidFill>
                </w14:textFill>
              </w:rPr>
            </w:pPr>
          </w:p>
        </w:tc>
        <w:tc>
          <w:tcPr>
            <w:tcW w:w="897" w:type="dxa"/>
            <w:shd w:val="clear" w:color="auto" w:fill="auto"/>
            <w:noWrap w:val="0"/>
            <w:vAlign w:val="center"/>
          </w:tcPr>
          <w:p w14:paraId="540875F7">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24.3</w:t>
            </w:r>
          </w:p>
        </w:tc>
        <w:tc>
          <w:tcPr>
            <w:tcW w:w="746" w:type="dxa"/>
            <w:shd w:val="clear" w:color="auto" w:fill="auto"/>
            <w:noWrap w:val="0"/>
            <w:vAlign w:val="center"/>
          </w:tcPr>
          <w:p w14:paraId="3908BE80">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689" w:type="dxa"/>
            <w:shd w:val="clear" w:color="auto" w:fill="auto"/>
            <w:noWrap w:val="0"/>
            <w:vAlign w:val="center"/>
          </w:tcPr>
          <w:p w14:paraId="3623B52B">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838" w:type="dxa"/>
            <w:shd w:val="clear" w:color="auto" w:fill="auto"/>
            <w:noWrap w:val="0"/>
            <w:vAlign w:val="center"/>
          </w:tcPr>
          <w:p w14:paraId="2257A342">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750" w:type="dxa"/>
            <w:shd w:val="clear" w:color="auto" w:fill="auto"/>
            <w:noWrap w:val="0"/>
            <w:vAlign w:val="center"/>
          </w:tcPr>
          <w:p w14:paraId="3C52C735">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32.7</w:t>
            </w:r>
          </w:p>
        </w:tc>
        <w:tc>
          <w:tcPr>
            <w:tcW w:w="1096" w:type="dxa"/>
            <w:shd w:val="clear" w:color="auto" w:fill="auto"/>
            <w:noWrap w:val="0"/>
            <w:vAlign w:val="center"/>
          </w:tcPr>
          <w:p w14:paraId="014DAB25">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r>
      <w:tr w14:paraId="27CFED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0F3EFBCC">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57</w:t>
            </w:r>
          </w:p>
        </w:tc>
        <w:tc>
          <w:tcPr>
            <w:tcW w:w="714" w:type="dxa"/>
            <w:vMerge w:val="continue"/>
            <w:shd w:val="clear" w:color="auto" w:fill="auto"/>
            <w:noWrap w:val="0"/>
            <w:vAlign w:val="center"/>
          </w:tcPr>
          <w:p w14:paraId="0F204525">
            <w:pPr>
              <w:spacing w:line="280" w:lineRule="exact"/>
              <w:jc w:val="center"/>
              <w:rPr>
                <w:rFonts w:hint="eastAsia" w:cs="Times New Roman"/>
                <w:b w:val="0"/>
                <w:bCs w:val="0"/>
                <w:color w:val="000000" w:themeColor="text1"/>
                <w:kern w:val="0"/>
                <w:sz w:val="21"/>
                <w:szCs w:val="21"/>
                <w:highlight w:val="none"/>
                <w:vertAlign w:val="baseline"/>
                <w:lang w:val="en-US" w:eastAsia="zh-CN"/>
                <w14:textFill>
                  <w14:solidFill>
                    <w14:schemeClr w14:val="tx1"/>
                  </w14:solidFill>
                </w14:textFill>
              </w:rPr>
            </w:pPr>
          </w:p>
        </w:tc>
        <w:tc>
          <w:tcPr>
            <w:tcW w:w="714" w:type="dxa"/>
            <w:shd w:val="clear" w:color="auto" w:fill="auto"/>
            <w:noWrap w:val="0"/>
            <w:vAlign w:val="center"/>
          </w:tcPr>
          <w:p w14:paraId="0AADC06F">
            <w:pPr>
              <w:spacing w:line="280" w:lineRule="exact"/>
              <w:jc w:val="center"/>
              <w:rPr>
                <w:rFonts w:hint="eastAsia" w:ascii="Times New Roman" w:hAnsi="Times New Roman" w:eastAsia="宋体" w:cs="Times New Roman"/>
                <w:b w:val="0"/>
                <w:bCs w:val="0"/>
                <w:color w:val="000000" w:themeColor="text1"/>
                <w:kern w:val="0"/>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14:textFill>
                  <w14:solidFill>
                    <w14:schemeClr w14:val="tx1"/>
                  </w14:solidFill>
                </w14:textFill>
              </w:rPr>
              <w:t>真空泵系统5#</w:t>
            </w:r>
          </w:p>
        </w:tc>
        <w:tc>
          <w:tcPr>
            <w:tcW w:w="537" w:type="dxa"/>
            <w:shd w:val="clear" w:color="auto" w:fill="auto"/>
            <w:noWrap w:val="0"/>
            <w:vAlign w:val="center"/>
          </w:tcPr>
          <w:p w14:paraId="3D9E55DE">
            <w:pPr>
              <w:spacing w:line="280" w:lineRule="exact"/>
              <w:jc w:val="center"/>
              <w:rPr>
                <w:rFonts w:hint="eastAsia"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80</w:t>
            </w:r>
          </w:p>
        </w:tc>
        <w:tc>
          <w:tcPr>
            <w:tcW w:w="537" w:type="dxa"/>
            <w:shd w:val="clear" w:color="auto" w:fill="auto"/>
            <w:noWrap w:val="0"/>
            <w:vAlign w:val="center"/>
          </w:tcPr>
          <w:p w14:paraId="5E92C8AC">
            <w:pPr>
              <w:spacing w:line="280" w:lineRule="exact"/>
              <w:jc w:val="both"/>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-15.76</w:t>
            </w:r>
          </w:p>
        </w:tc>
        <w:tc>
          <w:tcPr>
            <w:tcW w:w="537" w:type="dxa"/>
            <w:shd w:val="clear" w:color="auto" w:fill="auto"/>
            <w:noWrap w:val="0"/>
            <w:vAlign w:val="center"/>
          </w:tcPr>
          <w:p w14:paraId="233C70B5">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172.62</w:t>
            </w:r>
          </w:p>
        </w:tc>
        <w:tc>
          <w:tcPr>
            <w:tcW w:w="558" w:type="dxa"/>
            <w:shd w:val="clear" w:color="auto" w:fill="auto"/>
            <w:noWrap w:val="0"/>
            <w:vAlign w:val="center"/>
          </w:tcPr>
          <w:p w14:paraId="2419D55C">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1.3</w:t>
            </w:r>
          </w:p>
        </w:tc>
        <w:tc>
          <w:tcPr>
            <w:tcW w:w="537" w:type="dxa"/>
            <w:shd w:val="clear" w:color="auto" w:fill="auto"/>
            <w:noWrap w:val="0"/>
            <w:vAlign w:val="center"/>
          </w:tcPr>
          <w:p w14:paraId="3540AB11">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51.2</w:t>
            </w:r>
          </w:p>
        </w:tc>
        <w:tc>
          <w:tcPr>
            <w:tcW w:w="537" w:type="dxa"/>
            <w:shd w:val="clear" w:color="auto" w:fill="auto"/>
            <w:noWrap w:val="0"/>
            <w:vAlign w:val="center"/>
          </w:tcPr>
          <w:p w14:paraId="282EA13C">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172.2</w:t>
            </w:r>
          </w:p>
        </w:tc>
        <w:tc>
          <w:tcPr>
            <w:tcW w:w="542" w:type="dxa"/>
            <w:shd w:val="clear" w:color="auto" w:fill="auto"/>
            <w:noWrap w:val="0"/>
            <w:vAlign w:val="center"/>
          </w:tcPr>
          <w:p w14:paraId="45318BEE">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47.5</w:t>
            </w:r>
          </w:p>
        </w:tc>
        <w:tc>
          <w:tcPr>
            <w:tcW w:w="558" w:type="dxa"/>
            <w:shd w:val="clear" w:color="auto" w:fill="auto"/>
            <w:noWrap w:val="0"/>
            <w:vAlign w:val="center"/>
          </w:tcPr>
          <w:p w14:paraId="67313BAE">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4.7</w:t>
            </w:r>
          </w:p>
        </w:tc>
        <w:tc>
          <w:tcPr>
            <w:tcW w:w="542" w:type="dxa"/>
            <w:shd w:val="clear" w:color="auto" w:fill="auto"/>
            <w:noWrap w:val="0"/>
            <w:vAlign w:val="center"/>
          </w:tcPr>
          <w:p w14:paraId="39407319">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42" w:type="dxa"/>
            <w:shd w:val="clear" w:color="auto" w:fill="auto"/>
            <w:noWrap w:val="0"/>
            <w:vAlign w:val="center"/>
          </w:tcPr>
          <w:p w14:paraId="090E64D8">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42" w:type="dxa"/>
            <w:shd w:val="clear" w:color="auto" w:fill="auto"/>
            <w:noWrap w:val="0"/>
            <w:vAlign w:val="center"/>
          </w:tcPr>
          <w:p w14:paraId="1E52F892">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55" w:type="dxa"/>
            <w:shd w:val="clear" w:color="auto" w:fill="auto"/>
            <w:noWrap w:val="0"/>
            <w:vAlign w:val="center"/>
          </w:tcPr>
          <w:p w14:paraId="327314AB">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58.2 </w:t>
            </w:r>
          </w:p>
        </w:tc>
        <w:tc>
          <w:tcPr>
            <w:tcW w:w="542" w:type="dxa"/>
            <w:vMerge w:val="continue"/>
            <w:shd w:val="clear" w:color="auto" w:fill="auto"/>
            <w:noWrap w:val="0"/>
            <w:vAlign w:val="center"/>
          </w:tcPr>
          <w:p w14:paraId="3ACC0219">
            <w:pPr>
              <w:spacing w:line="280" w:lineRule="exact"/>
              <w:jc w:val="center"/>
              <w:rPr>
                <w:rFonts w:hint="default" w:ascii="Times New Roman" w:hAnsi="Times New Roman" w:eastAsia="宋体"/>
                <w:color w:val="000000" w:themeColor="text1"/>
                <w:szCs w:val="21"/>
                <w:highlight w:val="none"/>
                <w:lang w:val="en-US" w:eastAsia="zh-CN"/>
                <w14:textFill>
                  <w14:solidFill>
                    <w14:schemeClr w14:val="tx1"/>
                  </w14:solidFill>
                </w14:textFill>
              </w:rPr>
            </w:pPr>
          </w:p>
        </w:tc>
        <w:tc>
          <w:tcPr>
            <w:tcW w:w="897" w:type="dxa"/>
            <w:shd w:val="clear" w:color="auto" w:fill="auto"/>
            <w:noWrap w:val="0"/>
            <w:vAlign w:val="center"/>
          </w:tcPr>
          <w:p w14:paraId="36343F84">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24.3</w:t>
            </w:r>
          </w:p>
        </w:tc>
        <w:tc>
          <w:tcPr>
            <w:tcW w:w="746" w:type="dxa"/>
            <w:shd w:val="clear" w:color="auto" w:fill="auto"/>
            <w:noWrap w:val="0"/>
            <w:vAlign w:val="center"/>
          </w:tcPr>
          <w:p w14:paraId="4955351E">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689" w:type="dxa"/>
            <w:shd w:val="clear" w:color="auto" w:fill="auto"/>
            <w:noWrap w:val="0"/>
            <w:vAlign w:val="center"/>
          </w:tcPr>
          <w:p w14:paraId="41608422">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838" w:type="dxa"/>
            <w:shd w:val="clear" w:color="auto" w:fill="auto"/>
            <w:noWrap w:val="0"/>
            <w:vAlign w:val="center"/>
          </w:tcPr>
          <w:p w14:paraId="15BBDBD0">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750" w:type="dxa"/>
            <w:shd w:val="clear" w:color="auto" w:fill="auto"/>
            <w:noWrap w:val="0"/>
            <w:vAlign w:val="center"/>
          </w:tcPr>
          <w:p w14:paraId="50E6F158">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33.9</w:t>
            </w:r>
          </w:p>
        </w:tc>
        <w:tc>
          <w:tcPr>
            <w:tcW w:w="1096" w:type="dxa"/>
            <w:shd w:val="clear" w:color="auto" w:fill="auto"/>
            <w:noWrap w:val="0"/>
            <w:vAlign w:val="center"/>
          </w:tcPr>
          <w:p w14:paraId="5A2CA015">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r>
      <w:tr w14:paraId="0261D6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0F5A3F46">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58</w:t>
            </w:r>
          </w:p>
        </w:tc>
        <w:tc>
          <w:tcPr>
            <w:tcW w:w="714" w:type="dxa"/>
            <w:vMerge w:val="continue"/>
            <w:shd w:val="clear" w:color="auto" w:fill="auto"/>
            <w:noWrap w:val="0"/>
            <w:vAlign w:val="center"/>
          </w:tcPr>
          <w:p w14:paraId="6A163285">
            <w:pPr>
              <w:spacing w:line="280" w:lineRule="exact"/>
              <w:jc w:val="center"/>
              <w:rPr>
                <w:rFonts w:hint="eastAsia" w:cs="Times New Roman"/>
                <w:b w:val="0"/>
                <w:bCs w:val="0"/>
                <w:color w:val="000000" w:themeColor="text1"/>
                <w:kern w:val="0"/>
                <w:sz w:val="21"/>
                <w:szCs w:val="21"/>
                <w:highlight w:val="none"/>
                <w:vertAlign w:val="baseline"/>
                <w:lang w:val="en-US" w:eastAsia="zh-CN"/>
                <w14:textFill>
                  <w14:solidFill>
                    <w14:schemeClr w14:val="tx1"/>
                  </w14:solidFill>
                </w14:textFill>
              </w:rPr>
            </w:pPr>
          </w:p>
        </w:tc>
        <w:tc>
          <w:tcPr>
            <w:tcW w:w="714" w:type="dxa"/>
            <w:shd w:val="clear" w:color="auto" w:fill="auto"/>
            <w:noWrap w:val="0"/>
            <w:vAlign w:val="center"/>
          </w:tcPr>
          <w:p w14:paraId="72B01024">
            <w:pPr>
              <w:spacing w:line="280" w:lineRule="exact"/>
              <w:jc w:val="center"/>
              <w:rPr>
                <w:rFonts w:hint="eastAsia" w:ascii="Times New Roman" w:hAnsi="Times New Roman" w:eastAsia="宋体" w:cs="Times New Roman"/>
                <w:b w:val="0"/>
                <w:bCs w:val="0"/>
                <w:color w:val="000000" w:themeColor="text1"/>
                <w:kern w:val="0"/>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14:textFill>
                  <w14:solidFill>
                    <w14:schemeClr w14:val="tx1"/>
                  </w14:solidFill>
                </w14:textFill>
              </w:rPr>
              <w:t>真空泵系统6#</w:t>
            </w:r>
          </w:p>
        </w:tc>
        <w:tc>
          <w:tcPr>
            <w:tcW w:w="537" w:type="dxa"/>
            <w:shd w:val="clear" w:color="auto" w:fill="auto"/>
            <w:noWrap w:val="0"/>
            <w:vAlign w:val="center"/>
          </w:tcPr>
          <w:p w14:paraId="088FE1F4">
            <w:pPr>
              <w:spacing w:line="280" w:lineRule="exact"/>
              <w:jc w:val="center"/>
              <w:rPr>
                <w:rFonts w:hint="eastAsia"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80</w:t>
            </w:r>
          </w:p>
        </w:tc>
        <w:tc>
          <w:tcPr>
            <w:tcW w:w="537" w:type="dxa"/>
            <w:shd w:val="clear" w:color="auto" w:fill="auto"/>
            <w:noWrap w:val="0"/>
            <w:vAlign w:val="center"/>
          </w:tcPr>
          <w:p w14:paraId="0D04C0B9">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-15.25</w:t>
            </w:r>
          </w:p>
        </w:tc>
        <w:tc>
          <w:tcPr>
            <w:tcW w:w="537" w:type="dxa"/>
            <w:shd w:val="clear" w:color="auto" w:fill="auto"/>
            <w:noWrap w:val="0"/>
            <w:vAlign w:val="center"/>
          </w:tcPr>
          <w:p w14:paraId="3B55AE0A">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171.35</w:t>
            </w:r>
          </w:p>
        </w:tc>
        <w:tc>
          <w:tcPr>
            <w:tcW w:w="558" w:type="dxa"/>
            <w:shd w:val="clear" w:color="auto" w:fill="auto"/>
            <w:noWrap w:val="0"/>
            <w:vAlign w:val="center"/>
          </w:tcPr>
          <w:p w14:paraId="0C121781">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1.3</w:t>
            </w:r>
          </w:p>
        </w:tc>
        <w:tc>
          <w:tcPr>
            <w:tcW w:w="537" w:type="dxa"/>
            <w:shd w:val="clear" w:color="auto" w:fill="auto"/>
            <w:noWrap w:val="0"/>
            <w:vAlign w:val="center"/>
          </w:tcPr>
          <w:p w14:paraId="2A5E3422">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51.2</w:t>
            </w:r>
          </w:p>
        </w:tc>
        <w:tc>
          <w:tcPr>
            <w:tcW w:w="537" w:type="dxa"/>
            <w:shd w:val="clear" w:color="auto" w:fill="auto"/>
            <w:noWrap w:val="0"/>
            <w:vAlign w:val="center"/>
          </w:tcPr>
          <w:p w14:paraId="7E8925CA">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172.2</w:t>
            </w:r>
          </w:p>
        </w:tc>
        <w:tc>
          <w:tcPr>
            <w:tcW w:w="542" w:type="dxa"/>
            <w:shd w:val="clear" w:color="auto" w:fill="auto"/>
            <w:noWrap w:val="0"/>
            <w:vAlign w:val="center"/>
          </w:tcPr>
          <w:p w14:paraId="0823C032">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57.4</w:t>
            </w:r>
          </w:p>
        </w:tc>
        <w:tc>
          <w:tcPr>
            <w:tcW w:w="558" w:type="dxa"/>
            <w:shd w:val="clear" w:color="auto" w:fill="auto"/>
            <w:noWrap w:val="0"/>
            <w:vAlign w:val="center"/>
          </w:tcPr>
          <w:p w14:paraId="4C51A20A">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6.4</w:t>
            </w:r>
          </w:p>
        </w:tc>
        <w:tc>
          <w:tcPr>
            <w:tcW w:w="542" w:type="dxa"/>
            <w:shd w:val="clear" w:color="auto" w:fill="auto"/>
            <w:noWrap w:val="0"/>
            <w:vAlign w:val="center"/>
          </w:tcPr>
          <w:p w14:paraId="7CC099A9">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42" w:type="dxa"/>
            <w:shd w:val="clear" w:color="auto" w:fill="auto"/>
            <w:noWrap w:val="0"/>
            <w:vAlign w:val="center"/>
          </w:tcPr>
          <w:p w14:paraId="25589F09">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42" w:type="dxa"/>
            <w:shd w:val="clear" w:color="auto" w:fill="auto"/>
            <w:noWrap w:val="0"/>
            <w:vAlign w:val="center"/>
          </w:tcPr>
          <w:p w14:paraId="7BA1D333">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55" w:type="dxa"/>
            <w:shd w:val="clear" w:color="auto" w:fill="auto"/>
            <w:noWrap w:val="0"/>
            <w:vAlign w:val="center"/>
          </w:tcPr>
          <w:p w14:paraId="5362E682">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56.9 </w:t>
            </w:r>
          </w:p>
        </w:tc>
        <w:tc>
          <w:tcPr>
            <w:tcW w:w="542" w:type="dxa"/>
            <w:vMerge w:val="continue"/>
            <w:shd w:val="clear" w:color="auto" w:fill="auto"/>
            <w:noWrap w:val="0"/>
            <w:vAlign w:val="center"/>
          </w:tcPr>
          <w:p w14:paraId="24A02BF7">
            <w:pPr>
              <w:spacing w:line="280" w:lineRule="exact"/>
              <w:jc w:val="center"/>
              <w:rPr>
                <w:rFonts w:hint="default" w:ascii="Times New Roman" w:hAnsi="Times New Roman" w:eastAsia="宋体"/>
                <w:color w:val="000000" w:themeColor="text1"/>
                <w:szCs w:val="21"/>
                <w:highlight w:val="none"/>
                <w:lang w:val="en-US" w:eastAsia="zh-CN"/>
                <w14:textFill>
                  <w14:solidFill>
                    <w14:schemeClr w14:val="tx1"/>
                  </w14:solidFill>
                </w14:textFill>
              </w:rPr>
            </w:pPr>
          </w:p>
        </w:tc>
        <w:tc>
          <w:tcPr>
            <w:tcW w:w="897" w:type="dxa"/>
            <w:shd w:val="clear" w:color="auto" w:fill="auto"/>
            <w:noWrap w:val="0"/>
            <w:vAlign w:val="center"/>
          </w:tcPr>
          <w:p w14:paraId="2DA6851F">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24.3</w:t>
            </w:r>
          </w:p>
        </w:tc>
        <w:tc>
          <w:tcPr>
            <w:tcW w:w="746" w:type="dxa"/>
            <w:shd w:val="clear" w:color="auto" w:fill="auto"/>
            <w:noWrap w:val="0"/>
            <w:vAlign w:val="center"/>
          </w:tcPr>
          <w:p w14:paraId="5340EB47">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689" w:type="dxa"/>
            <w:shd w:val="clear" w:color="auto" w:fill="auto"/>
            <w:noWrap w:val="0"/>
            <w:vAlign w:val="center"/>
          </w:tcPr>
          <w:p w14:paraId="2A303F85">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838" w:type="dxa"/>
            <w:shd w:val="clear" w:color="auto" w:fill="auto"/>
            <w:noWrap w:val="0"/>
            <w:vAlign w:val="center"/>
          </w:tcPr>
          <w:p w14:paraId="4A606BC3">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750" w:type="dxa"/>
            <w:shd w:val="clear" w:color="auto" w:fill="auto"/>
            <w:noWrap w:val="0"/>
            <w:vAlign w:val="center"/>
          </w:tcPr>
          <w:p w14:paraId="4D408DEB">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32.6</w:t>
            </w:r>
          </w:p>
        </w:tc>
        <w:tc>
          <w:tcPr>
            <w:tcW w:w="1096" w:type="dxa"/>
            <w:shd w:val="clear" w:color="auto" w:fill="auto"/>
            <w:noWrap w:val="0"/>
            <w:vAlign w:val="center"/>
          </w:tcPr>
          <w:p w14:paraId="01D5DDB5">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r>
      <w:tr w14:paraId="63A30E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3DFEA924">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59</w:t>
            </w:r>
          </w:p>
        </w:tc>
        <w:tc>
          <w:tcPr>
            <w:tcW w:w="714" w:type="dxa"/>
            <w:vMerge w:val="continue"/>
            <w:shd w:val="clear" w:color="auto" w:fill="auto"/>
            <w:noWrap w:val="0"/>
            <w:vAlign w:val="center"/>
          </w:tcPr>
          <w:p w14:paraId="7CA3705B">
            <w:pPr>
              <w:spacing w:line="280" w:lineRule="exact"/>
              <w:jc w:val="center"/>
              <w:rPr>
                <w:rFonts w:hint="eastAsia" w:cs="Times New Roman"/>
                <w:b w:val="0"/>
                <w:bCs w:val="0"/>
                <w:color w:val="000000" w:themeColor="text1"/>
                <w:kern w:val="0"/>
                <w:sz w:val="21"/>
                <w:szCs w:val="21"/>
                <w:highlight w:val="none"/>
                <w:vertAlign w:val="baseline"/>
                <w:lang w:val="en-US" w:eastAsia="zh-CN"/>
                <w14:textFill>
                  <w14:solidFill>
                    <w14:schemeClr w14:val="tx1"/>
                  </w14:solidFill>
                </w14:textFill>
              </w:rPr>
            </w:pPr>
          </w:p>
        </w:tc>
        <w:tc>
          <w:tcPr>
            <w:tcW w:w="714" w:type="dxa"/>
            <w:shd w:val="clear" w:color="auto" w:fill="auto"/>
            <w:noWrap w:val="0"/>
            <w:vAlign w:val="center"/>
          </w:tcPr>
          <w:p w14:paraId="761F86D3">
            <w:pPr>
              <w:spacing w:line="280" w:lineRule="exact"/>
              <w:jc w:val="center"/>
              <w:rPr>
                <w:rFonts w:hint="eastAsia" w:ascii="Times New Roman" w:hAnsi="Times New Roman" w:eastAsia="宋体" w:cs="Times New Roman"/>
                <w:b w:val="0"/>
                <w:bCs w:val="0"/>
                <w:color w:val="000000" w:themeColor="text1"/>
                <w:kern w:val="0"/>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14:textFill>
                  <w14:solidFill>
                    <w14:schemeClr w14:val="tx1"/>
                  </w14:solidFill>
                </w14:textFill>
              </w:rPr>
              <w:t>真空泵系统7#</w:t>
            </w:r>
          </w:p>
        </w:tc>
        <w:tc>
          <w:tcPr>
            <w:tcW w:w="537" w:type="dxa"/>
            <w:shd w:val="clear" w:color="auto" w:fill="auto"/>
            <w:noWrap w:val="0"/>
            <w:vAlign w:val="center"/>
          </w:tcPr>
          <w:p w14:paraId="5AD62295">
            <w:pPr>
              <w:spacing w:line="280" w:lineRule="exact"/>
              <w:jc w:val="center"/>
              <w:rPr>
                <w:rFonts w:hint="eastAsia"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80</w:t>
            </w:r>
          </w:p>
        </w:tc>
        <w:tc>
          <w:tcPr>
            <w:tcW w:w="537" w:type="dxa"/>
            <w:shd w:val="clear" w:color="auto" w:fill="auto"/>
            <w:noWrap w:val="0"/>
            <w:vAlign w:val="center"/>
          </w:tcPr>
          <w:p w14:paraId="6FC34121">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-14.88</w:t>
            </w:r>
          </w:p>
        </w:tc>
        <w:tc>
          <w:tcPr>
            <w:tcW w:w="537" w:type="dxa"/>
            <w:shd w:val="clear" w:color="auto" w:fill="auto"/>
            <w:noWrap w:val="0"/>
            <w:vAlign w:val="center"/>
          </w:tcPr>
          <w:p w14:paraId="39F198AB">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172.9</w:t>
            </w:r>
          </w:p>
        </w:tc>
        <w:tc>
          <w:tcPr>
            <w:tcW w:w="558" w:type="dxa"/>
            <w:shd w:val="clear" w:color="auto" w:fill="auto"/>
            <w:noWrap w:val="0"/>
            <w:vAlign w:val="center"/>
          </w:tcPr>
          <w:p w14:paraId="6E801A4E">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1.3</w:t>
            </w:r>
          </w:p>
        </w:tc>
        <w:tc>
          <w:tcPr>
            <w:tcW w:w="537" w:type="dxa"/>
            <w:shd w:val="clear" w:color="auto" w:fill="auto"/>
            <w:noWrap w:val="0"/>
            <w:vAlign w:val="center"/>
          </w:tcPr>
          <w:p w14:paraId="0A917A20">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50.9</w:t>
            </w:r>
          </w:p>
        </w:tc>
        <w:tc>
          <w:tcPr>
            <w:tcW w:w="537" w:type="dxa"/>
            <w:shd w:val="clear" w:color="auto" w:fill="auto"/>
            <w:noWrap w:val="0"/>
            <w:vAlign w:val="center"/>
          </w:tcPr>
          <w:p w14:paraId="37044FBE">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175.2</w:t>
            </w:r>
          </w:p>
        </w:tc>
        <w:tc>
          <w:tcPr>
            <w:tcW w:w="542" w:type="dxa"/>
            <w:shd w:val="clear" w:color="auto" w:fill="auto"/>
            <w:noWrap w:val="0"/>
            <w:vAlign w:val="center"/>
          </w:tcPr>
          <w:p w14:paraId="63FA17AB">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50.3</w:t>
            </w:r>
          </w:p>
        </w:tc>
        <w:tc>
          <w:tcPr>
            <w:tcW w:w="558" w:type="dxa"/>
            <w:shd w:val="clear" w:color="auto" w:fill="auto"/>
            <w:noWrap w:val="0"/>
            <w:vAlign w:val="center"/>
          </w:tcPr>
          <w:p w14:paraId="112BF2DA">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5.1</w:t>
            </w:r>
          </w:p>
        </w:tc>
        <w:tc>
          <w:tcPr>
            <w:tcW w:w="542" w:type="dxa"/>
            <w:shd w:val="clear" w:color="auto" w:fill="auto"/>
            <w:noWrap w:val="0"/>
            <w:vAlign w:val="center"/>
          </w:tcPr>
          <w:p w14:paraId="1592C4F2">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42" w:type="dxa"/>
            <w:shd w:val="clear" w:color="auto" w:fill="auto"/>
            <w:noWrap w:val="0"/>
            <w:vAlign w:val="center"/>
          </w:tcPr>
          <w:p w14:paraId="5A1F8390">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42" w:type="dxa"/>
            <w:shd w:val="clear" w:color="auto" w:fill="auto"/>
            <w:noWrap w:val="0"/>
            <w:vAlign w:val="center"/>
          </w:tcPr>
          <w:p w14:paraId="1837922C">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55" w:type="dxa"/>
            <w:shd w:val="clear" w:color="auto" w:fill="auto"/>
            <w:noWrap w:val="0"/>
            <w:vAlign w:val="center"/>
          </w:tcPr>
          <w:p w14:paraId="3F56366B">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57.8 </w:t>
            </w:r>
          </w:p>
        </w:tc>
        <w:tc>
          <w:tcPr>
            <w:tcW w:w="542" w:type="dxa"/>
            <w:vMerge w:val="continue"/>
            <w:shd w:val="clear" w:color="auto" w:fill="auto"/>
            <w:noWrap w:val="0"/>
            <w:vAlign w:val="center"/>
          </w:tcPr>
          <w:p w14:paraId="6E27BE30">
            <w:pPr>
              <w:spacing w:line="280" w:lineRule="exact"/>
              <w:jc w:val="center"/>
              <w:rPr>
                <w:rFonts w:hint="default" w:ascii="Times New Roman" w:hAnsi="Times New Roman" w:eastAsia="宋体"/>
                <w:color w:val="000000" w:themeColor="text1"/>
                <w:szCs w:val="21"/>
                <w:highlight w:val="none"/>
                <w:lang w:val="en-US" w:eastAsia="zh-CN"/>
                <w14:textFill>
                  <w14:solidFill>
                    <w14:schemeClr w14:val="tx1"/>
                  </w14:solidFill>
                </w14:textFill>
              </w:rPr>
            </w:pPr>
          </w:p>
        </w:tc>
        <w:tc>
          <w:tcPr>
            <w:tcW w:w="897" w:type="dxa"/>
            <w:shd w:val="clear" w:color="auto" w:fill="auto"/>
            <w:noWrap w:val="0"/>
            <w:vAlign w:val="center"/>
          </w:tcPr>
          <w:p w14:paraId="650E24D6">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24.3</w:t>
            </w:r>
          </w:p>
        </w:tc>
        <w:tc>
          <w:tcPr>
            <w:tcW w:w="746" w:type="dxa"/>
            <w:shd w:val="clear" w:color="auto" w:fill="auto"/>
            <w:noWrap w:val="0"/>
            <w:vAlign w:val="center"/>
          </w:tcPr>
          <w:p w14:paraId="54EE4637">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689" w:type="dxa"/>
            <w:shd w:val="clear" w:color="auto" w:fill="auto"/>
            <w:noWrap w:val="0"/>
            <w:vAlign w:val="center"/>
          </w:tcPr>
          <w:p w14:paraId="0C74B84D">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838" w:type="dxa"/>
            <w:shd w:val="clear" w:color="auto" w:fill="auto"/>
            <w:noWrap w:val="0"/>
            <w:vAlign w:val="center"/>
          </w:tcPr>
          <w:p w14:paraId="1DDC7590">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750" w:type="dxa"/>
            <w:shd w:val="clear" w:color="auto" w:fill="auto"/>
            <w:noWrap w:val="0"/>
            <w:vAlign w:val="center"/>
          </w:tcPr>
          <w:p w14:paraId="6525AC06">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33.5</w:t>
            </w:r>
          </w:p>
        </w:tc>
        <w:tc>
          <w:tcPr>
            <w:tcW w:w="1096" w:type="dxa"/>
            <w:shd w:val="clear" w:color="auto" w:fill="auto"/>
            <w:noWrap w:val="0"/>
            <w:vAlign w:val="center"/>
          </w:tcPr>
          <w:p w14:paraId="2852BA69">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r>
      <w:tr w14:paraId="24AAA1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78D2B5B4">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60</w:t>
            </w:r>
          </w:p>
        </w:tc>
        <w:tc>
          <w:tcPr>
            <w:tcW w:w="714" w:type="dxa"/>
            <w:vMerge w:val="continue"/>
            <w:shd w:val="clear" w:color="auto" w:fill="auto"/>
            <w:noWrap w:val="0"/>
            <w:vAlign w:val="center"/>
          </w:tcPr>
          <w:p w14:paraId="14E6E5FE">
            <w:pPr>
              <w:spacing w:line="280" w:lineRule="exact"/>
              <w:jc w:val="center"/>
              <w:rPr>
                <w:rFonts w:hint="eastAsia" w:cs="Times New Roman"/>
                <w:b w:val="0"/>
                <w:bCs w:val="0"/>
                <w:color w:val="000000" w:themeColor="text1"/>
                <w:kern w:val="0"/>
                <w:sz w:val="21"/>
                <w:szCs w:val="21"/>
                <w:highlight w:val="none"/>
                <w:vertAlign w:val="baseline"/>
                <w:lang w:val="en-US" w:eastAsia="zh-CN"/>
                <w14:textFill>
                  <w14:solidFill>
                    <w14:schemeClr w14:val="tx1"/>
                  </w14:solidFill>
                </w14:textFill>
              </w:rPr>
            </w:pPr>
          </w:p>
        </w:tc>
        <w:tc>
          <w:tcPr>
            <w:tcW w:w="714" w:type="dxa"/>
            <w:shd w:val="clear" w:color="auto" w:fill="auto"/>
            <w:noWrap w:val="0"/>
            <w:vAlign w:val="center"/>
          </w:tcPr>
          <w:p w14:paraId="38C05A07">
            <w:pPr>
              <w:spacing w:line="280" w:lineRule="exact"/>
              <w:jc w:val="center"/>
              <w:rPr>
                <w:rFonts w:hint="eastAsia" w:ascii="Times New Roman" w:hAnsi="Times New Roman" w:eastAsia="宋体" w:cs="Times New Roman"/>
                <w:b w:val="0"/>
                <w:bCs w:val="0"/>
                <w:color w:val="000000" w:themeColor="text1"/>
                <w:kern w:val="0"/>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14:textFill>
                  <w14:solidFill>
                    <w14:schemeClr w14:val="tx1"/>
                  </w14:solidFill>
                </w14:textFill>
              </w:rPr>
              <w:t>真空泵系统8#</w:t>
            </w:r>
          </w:p>
        </w:tc>
        <w:tc>
          <w:tcPr>
            <w:tcW w:w="537" w:type="dxa"/>
            <w:shd w:val="clear" w:color="auto" w:fill="auto"/>
            <w:noWrap w:val="0"/>
            <w:vAlign w:val="center"/>
          </w:tcPr>
          <w:p w14:paraId="7AB809EC">
            <w:pPr>
              <w:spacing w:line="280" w:lineRule="exact"/>
              <w:jc w:val="center"/>
              <w:rPr>
                <w:rFonts w:hint="eastAsia"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80</w:t>
            </w:r>
          </w:p>
        </w:tc>
        <w:tc>
          <w:tcPr>
            <w:tcW w:w="537" w:type="dxa"/>
            <w:shd w:val="clear" w:color="auto" w:fill="auto"/>
            <w:noWrap w:val="0"/>
            <w:vAlign w:val="center"/>
          </w:tcPr>
          <w:p w14:paraId="3FB52620">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-14.4</w:t>
            </w:r>
          </w:p>
        </w:tc>
        <w:tc>
          <w:tcPr>
            <w:tcW w:w="537" w:type="dxa"/>
            <w:shd w:val="clear" w:color="auto" w:fill="auto"/>
            <w:noWrap w:val="0"/>
            <w:vAlign w:val="center"/>
          </w:tcPr>
          <w:p w14:paraId="32DC73CF">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171.61</w:t>
            </w:r>
          </w:p>
        </w:tc>
        <w:tc>
          <w:tcPr>
            <w:tcW w:w="558" w:type="dxa"/>
            <w:shd w:val="clear" w:color="auto" w:fill="auto"/>
            <w:noWrap w:val="0"/>
            <w:vAlign w:val="center"/>
          </w:tcPr>
          <w:p w14:paraId="5F39FBE8">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1.3</w:t>
            </w:r>
          </w:p>
        </w:tc>
        <w:tc>
          <w:tcPr>
            <w:tcW w:w="537" w:type="dxa"/>
            <w:shd w:val="clear" w:color="auto" w:fill="auto"/>
            <w:noWrap w:val="0"/>
            <w:vAlign w:val="center"/>
          </w:tcPr>
          <w:p w14:paraId="4EBB9D86">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50.0</w:t>
            </w:r>
          </w:p>
        </w:tc>
        <w:tc>
          <w:tcPr>
            <w:tcW w:w="537" w:type="dxa"/>
            <w:shd w:val="clear" w:color="auto" w:fill="auto"/>
            <w:noWrap w:val="0"/>
            <w:vAlign w:val="center"/>
          </w:tcPr>
          <w:p w14:paraId="60163E05">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172.0</w:t>
            </w:r>
          </w:p>
        </w:tc>
        <w:tc>
          <w:tcPr>
            <w:tcW w:w="542" w:type="dxa"/>
            <w:shd w:val="clear" w:color="auto" w:fill="auto"/>
            <w:noWrap w:val="0"/>
            <w:vAlign w:val="center"/>
          </w:tcPr>
          <w:p w14:paraId="5F3DD02E">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62.2</w:t>
            </w:r>
          </w:p>
        </w:tc>
        <w:tc>
          <w:tcPr>
            <w:tcW w:w="558" w:type="dxa"/>
            <w:shd w:val="clear" w:color="auto" w:fill="auto"/>
            <w:noWrap w:val="0"/>
            <w:vAlign w:val="center"/>
          </w:tcPr>
          <w:p w14:paraId="38D1CC17">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6.7</w:t>
            </w:r>
          </w:p>
        </w:tc>
        <w:tc>
          <w:tcPr>
            <w:tcW w:w="542" w:type="dxa"/>
            <w:shd w:val="clear" w:color="auto" w:fill="auto"/>
            <w:noWrap w:val="0"/>
            <w:vAlign w:val="center"/>
          </w:tcPr>
          <w:p w14:paraId="13E420AC">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42" w:type="dxa"/>
            <w:shd w:val="clear" w:color="auto" w:fill="auto"/>
            <w:noWrap w:val="0"/>
            <w:vAlign w:val="center"/>
          </w:tcPr>
          <w:p w14:paraId="2A865624">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42" w:type="dxa"/>
            <w:shd w:val="clear" w:color="auto" w:fill="auto"/>
            <w:noWrap w:val="0"/>
            <w:vAlign w:val="center"/>
          </w:tcPr>
          <w:p w14:paraId="37549C99">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55" w:type="dxa"/>
            <w:shd w:val="clear" w:color="auto" w:fill="auto"/>
            <w:noWrap w:val="0"/>
            <w:vAlign w:val="center"/>
          </w:tcPr>
          <w:p w14:paraId="4478FE81">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56.8 </w:t>
            </w:r>
          </w:p>
        </w:tc>
        <w:tc>
          <w:tcPr>
            <w:tcW w:w="542" w:type="dxa"/>
            <w:vMerge w:val="continue"/>
            <w:shd w:val="clear" w:color="auto" w:fill="auto"/>
            <w:noWrap w:val="0"/>
            <w:vAlign w:val="center"/>
          </w:tcPr>
          <w:p w14:paraId="16FAE22A">
            <w:pPr>
              <w:spacing w:line="280" w:lineRule="exact"/>
              <w:jc w:val="center"/>
              <w:rPr>
                <w:rFonts w:hint="default" w:ascii="Times New Roman" w:hAnsi="Times New Roman" w:eastAsia="宋体"/>
                <w:color w:val="000000" w:themeColor="text1"/>
                <w:szCs w:val="21"/>
                <w:highlight w:val="none"/>
                <w:lang w:val="en-US" w:eastAsia="zh-CN"/>
                <w14:textFill>
                  <w14:solidFill>
                    <w14:schemeClr w14:val="tx1"/>
                  </w14:solidFill>
                </w14:textFill>
              </w:rPr>
            </w:pPr>
          </w:p>
        </w:tc>
        <w:tc>
          <w:tcPr>
            <w:tcW w:w="897" w:type="dxa"/>
            <w:shd w:val="clear" w:color="auto" w:fill="auto"/>
            <w:noWrap w:val="0"/>
            <w:vAlign w:val="center"/>
          </w:tcPr>
          <w:p w14:paraId="64FD801D">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24.3</w:t>
            </w:r>
          </w:p>
        </w:tc>
        <w:tc>
          <w:tcPr>
            <w:tcW w:w="746" w:type="dxa"/>
            <w:shd w:val="clear" w:color="auto" w:fill="auto"/>
            <w:noWrap w:val="0"/>
            <w:vAlign w:val="center"/>
          </w:tcPr>
          <w:p w14:paraId="342E4168">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689" w:type="dxa"/>
            <w:shd w:val="clear" w:color="auto" w:fill="auto"/>
            <w:noWrap w:val="0"/>
            <w:vAlign w:val="center"/>
          </w:tcPr>
          <w:p w14:paraId="09AA09F6">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838" w:type="dxa"/>
            <w:shd w:val="clear" w:color="auto" w:fill="auto"/>
            <w:noWrap w:val="0"/>
            <w:vAlign w:val="center"/>
          </w:tcPr>
          <w:p w14:paraId="01F40E48">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750" w:type="dxa"/>
            <w:shd w:val="clear" w:color="auto" w:fill="auto"/>
            <w:noWrap w:val="0"/>
            <w:vAlign w:val="center"/>
          </w:tcPr>
          <w:p w14:paraId="350B9897">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32.5</w:t>
            </w:r>
          </w:p>
        </w:tc>
        <w:tc>
          <w:tcPr>
            <w:tcW w:w="1096" w:type="dxa"/>
            <w:shd w:val="clear" w:color="auto" w:fill="auto"/>
            <w:noWrap w:val="0"/>
            <w:vAlign w:val="center"/>
          </w:tcPr>
          <w:p w14:paraId="509167B2">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r>
      <w:tr w14:paraId="328B06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1580A315">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61</w:t>
            </w:r>
          </w:p>
        </w:tc>
        <w:tc>
          <w:tcPr>
            <w:tcW w:w="714" w:type="dxa"/>
            <w:vMerge w:val="continue"/>
            <w:shd w:val="clear" w:color="auto" w:fill="auto"/>
            <w:noWrap w:val="0"/>
            <w:vAlign w:val="center"/>
          </w:tcPr>
          <w:p w14:paraId="7BF04695">
            <w:pPr>
              <w:spacing w:line="280" w:lineRule="exact"/>
              <w:jc w:val="center"/>
              <w:rPr>
                <w:rFonts w:hint="eastAsia" w:cs="Times New Roman"/>
                <w:b w:val="0"/>
                <w:bCs w:val="0"/>
                <w:color w:val="000000" w:themeColor="text1"/>
                <w:kern w:val="0"/>
                <w:sz w:val="21"/>
                <w:szCs w:val="21"/>
                <w:highlight w:val="none"/>
                <w:vertAlign w:val="baseline"/>
                <w:lang w:val="en-US" w:eastAsia="zh-CN"/>
                <w14:textFill>
                  <w14:solidFill>
                    <w14:schemeClr w14:val="tx1"/>
                  </w14:solidFill>
                </w14:textFill>
              </w:rPr>
            </w:pPr>
          </w:p>
        </w:tc>
        <w:tc>
          <w:tcPr>
            <w:tcW w:w="714" w:type="dxa"/>
            <w:shd w:val="clear" w:color="auto" w:fill="auto"/>
            <w:noWrap w:val="0"/>
            <w:vAlign w:val="center"/>
          </w:tcPr>
          <w:p w14:paraId="71C17F53">
            <w:pPr>
              <w:spacing w:line="280" w:lineRule="exact"/>
              <w:jc w:val="center"/>
              <w:rPr>
                <w:rFonts w:hint="eastAsia" w:ascii="Times New Roman" w:hAnsi="Times New Roman" w:eastAsia="宋体" w:cs="Times New Roman"/>
                <w:b w:val="0"/>
                <w:bCs w:val="0"/>
                <w:color w:val="000000" w:themeColor="text1"/>
                <w:kern w:val="0"/>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14:textFill>
                  <w14:solidFill>
                    <w14:schemeClr w14:val="tx1"/>
                  </w14:solidFill>
                </w14:textFill>
              </w:rPr>
              <w:t>真空泵系统9#</w:t>
            </w:r>
          </w:p>
        </w:tc>
        <w:tc>
          <w:tcPr>
            <w:tcW w:w="537" w:type="dxa"/>
            <w:shd w:val="clear" w:color="auto" w:fill="auto"/>
            <w:noWrap w:val="0"/>
            <w:vAlign w:val="center"/>
          </w:tcPr>
          <w:p w14:paraId="69FA6597">
            <w:pPr>
              <w:spacing w:line="280" w:lineRule="exact"/>
              <w:jc w:val="center"/>
              <w:rPr>
                <w:rFonts w:hint="eastAsia"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80</w:t>
            </w:r>
          </w:p>
        </w:tc>
        <w:tc>
          <w:tcPr>
            <w:tcW w:w="537" w:type="dxa"/>
            <w:shd w:val="clear" w:color="auto" w:fill="auto"/>
            <w:noWrap w:val="0"/>
            <w:vAlign w:val="center"/>
          </w:tcPr>
          <w:p w14:paraId="79DC005B">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-14.07</w:t>
            </w:r>
          </w:p>
        </w:tc>
        <w:tc>
          <w:tcPr>
            <w:tcW w:w="537" w:type="dxa"/>
            <w:shd w:val="clear" w:color="auto" w:fill="auto"/>
            <w:noWrap w:val="0"/>
            <w:vAlign w:val="center"/>
          </w:tcPr>
          <w:p w14:paraId="61D98005">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173.08</w:t>
            </w:r>
          </w:p>
        </w:tc>
        <w:tc>
          <w:tcPr>
            <w:tcW w:w="558" w:type="dxa"/>
            <w:shd w:val="clear" w:color="auto" w:fill="auto"/>
            <w:noWrap w:val="0"/>
            <w:vAlign w:val="center"/>
          </w:tcPr>
          <w:p w14:paraId="41C74646">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1.3</w:t>
            </w:r>
          </w:p>
        </w:tc>
        <w:tc>
          <w:tcPr>
            <w:tcW w:w="537" w:type="dxa"/>
            <w:shd w:val="clear" w:color="auto" w:fill="auto"/>
            <w:noWrap w:val="0"/>
            <w:vAlign w:val="center"/>
          </w:tcPr>
          <w:p w14:paraId="11D251FA">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49.3</w:t>
            </w:r>
          </w:p>
        </w:tc>
        <w:tc>
          <w:tcPr>
            <w:tcW w:w="537" w:type="dxa"/>
            <w:shd w:val="clear" w:color="auto" w:fill="auto"/>
            <w:noWrap w:val="0"/>
            <w:vAlign w:val="center"/>
          </w:tcPr>
          <w:p w14:paraId="22E255D9">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175.3</w:t>
            </w:r>
          </w:p>
        </w:tc>
        <w:tc>
          <w:tcPr>
            <w:tcW w:w="542" w:type="dxa"/>
            <w:shd w:val="clear" w:color="auto" w:fill="auto"/>
            <w:noWrap w:val="0"/>
            <w:vAlign w:val="center"/>
          </w:tcPr>
          <w:p w14:paraId="3B6EFAA1">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32.2</w:t>
            </w:r>
          </w:p>
        </w:tc>
        <w:tc>
          <w:tcPr>
            <w:tcW w:w="558" w:type="dxa"/>
            <w:shd w:val="clear" w:color="auto" w:fill="auto"/>
            <w:noWrap w:val="0"/>
            <w:vAlign w:val="center"/>
          </w:tcPr>
          <w:p w14:paraId="4C0A047F">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4.7</w:t>
            </w:r>
          </w:p>
        </w:tc>
        <w:tc>
          <w:tcPr>
            <w:tcW w:w="542" w:type="dxa"/>
            <w:shd w:val="clear" w:color="auto" w:fill="auto"/>
            <w:noWrap w:val="0"/>
            <w:vAlign w:val="center"/>
          </w:tcPr>
          <w:p w14:paraId="6AF1EB3A">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42" w:type="dxa"/>
            <w:shd w:val="clear" w:color="auto" w:fill="auto"/>
            <w:noWrap w:val="0"/>
            <w:vAlign w:val="center"/>
          </w:tcPr>
          <w:p w14:paraId="74AC2887">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42" w:type="dxa"/>
            <w:shd w:val="clear" w:color="auto" w:fill="auto"/>
            <w:noWrap w:val="0"/>
            <w:vAlign w:val="center"/>
          </w:tcPr>
          <w:p w14:paraId="722E0789">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54.9 </w:t>
            </w:r>
          </w:p>
        </w:tc>
        <w:tc>
          <w:tcPr>
            <w:tcW w:w="555" w:type="dxa"/>
            <w:shd w:val="clear" w:color="auto" w:fill="auto"/>
            <w:noWrap w:val="0"/>
            <w:vAlign w:val="center"/>
          </w:tcPr>
          <w:p w14:paraId="49BD44EA">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58.2 </w:t>
            </w:r>
          </w:p>
        </w:tc>
        <w:tc>
          <w:tcPr>
            <w:tcW w:w="542" w:type="dxa"/>
            <w:vMerge w:val="continue"/>
            <w:shd w:val="clear" w:color="auto" w:fill="auto"/>
            <w:noWrap w:val="0"/>
            <w:vAlign w:val="center"/>
          </w:tcPr>
          <w:p w14:paraId="45DCCB39">
            <w:pPr>
              <w:spacing w:line="280" w:lineRule="exact"/>
              <w:jc w:val="center"/>
              <w:rPr>
                <w:rFonts w:hint="default" w:ascii="Times New Roman" w:hAnsi="Times New Roman" w:eastAsia="宋体"/>
                <w:color w:val="000000" w:themeColor="text1"/>
                <w:szCs w:val="21"/>
                <w:highlight w:val="none"/>
                <w:lang w:val="en-US" w:eastAsia="zh-CN"/>
                <w14:textFill>
                  <w14:solidFill>
                    <w14:schemeClr w14:val="tx1"/>
                  </w14:solidFill>
                </w14:textFill>
              </w:rPr>
            </w:pPr>
          </w:p>
        </w:tc>
        <w:tc>
          <w:tcPr>
            <w:tcW w:w="897" w:type="dxa"/>
            <w:shd w:val="clear" w:color="auto" w:fill="auto"/>
            <w:noWrap w:val="0"/>
            <w:vAlign w:val="center"/>
          </w:tcPr>
          <w:p w14:paraId="4F341D0D">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24.3</w:t>
            </w:r>
          </w:p>
        </w:tc>
        <w:tc>
          <w:tcPr>
            <w:tcW w:w="746" w:type="dxa"/>
            <w:shd w:val="clear" w:color="auto" w:fill="auto"/>
            <w:noWrap w:val="0"/>
            <w:vAlign w:val="center"/>
          </w:tcPr>
          <w:p w14:paraId="4F4EFB44">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689" w:type="dxa"/>
            <w:shd w:val="clear" w:color="auto" w:fill="auto"/>
            <w:noWrap w:val="0"/>
            <w:vAlign w:val="center"/>
          </w:tcPr>
          <w:p w14:paraId="329716C8">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838" w:type="dxa"/>
            <w:shd w:val="clear" w:color="auto" w:fill="auto"/>
            <w:noWrap w:val="0"/>
            <w:vAlign w:val="center"/>
          </w:tcPr>
          <w:p w14:paraId="10B88629">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30.6</w:t>
            </w:r>
          </w:p>
        </w:tc>
        <w:tc>
          <w:tcPr>
            <w:tcW w:w="750" w:type="dxa"/>
            <w:shd w:val="clear" w:color="auto" w:fill="auto"/>
            <w:noWrap w:val="0"/>
            <w:vAlign w:val="center"/>
          </w:tcPr>
          <w:p w14:paraId="603DBD51">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33.9</w:t>
            </w:r>
          </w:p>
        </w:tc>
        <w:tc>
          <w:tcPr>
            <w:tcW w:w="1096" w:type="dxa"/>
            <w:shd w:val="clear" w:color="auto" w:fill="auto"/>
            <w:noWrap w:val="0"/>
            <w:vAlign w:val="center"/>
          </w:tcPr>
          <w:p w14:paraId="5CF1A972">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r>
      <w:tr w14:paraId="12847F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5624CE87">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62</w:t>
            </w:r>
          </w:p>
        </w:tc>
        <w:tc>
          <w:tcPr>
            <w:tcW w:w="714" w:type="dxa"/>
            <w:vMerge w:val="continue"/>
            <w:shd w:val="clear" w:color="auto" w:fill="auto"/>
            <w:noWrap w:val="0"/>
            <w:vAlign w:val="center"/>
          </w:tcPr>
          <w:p w14:paraId="76056385">
            <w:pPr>
              <w:spacing w:line="280" w:lineRule="exact"/>
              <w:jc w:val="center"/>
              <w:rPr>
                <w:rFonts w:hint="eastAsia" w:cs="Times New Roman"/>
                <w:b w:val="0"/>
                <w:bCs w:val="0"/>
                <w:color w:val="000000" w:themeColor="text1"/>
                <w:kern w:val="0"/>
                <w:sz w:val="21"/>
                <w:szCs w:val="21"/>
                <w:highlight w:val="none"/>
                <w:vertAlign w:val="baseline"/>
                <w:lang w:val="en-US" w:eastAsia="zh-CN"/>
                <w14:textFill>
                  <w14:solidFill>
                    <w14:schemeClr w14:val="tx1"/>
                  </w14:solidFill>
                </w14:textFill>
              </w:rPr>
            </w:pPr>
          </w:p>
        </w:tc>
        <w:tc>
          <w:tcPr>
            <w:tcW w:w="714" w:type="dxa"/>
            <w:shd w:val="clear" w:color="auto" w:fill="auto"/>
            <w:noWrap w:val="0"/>
            <w:vAlign w:val="center"/>
          </w:tcPr>
          <w:p w14:paraId="118153FA">
            <w:pPr>
              <w:spacing w:line="280" w:lineRule="exact"/>
              <w:jc w:val="center"/>
              <w:rPr>
                <w:rFonts w:hint="eastAsia" w:ascii="Times New Roman" w:hAnsi="Times New Roman" w:eastAsia="宋体" w:cs="Times New Roman"/>
                <w:b w:val="0"/>
                <w:bCs w:val="0"/>
                <w:color w:val="000000" w:themeColor="text1"/>
                <w:kern w:val="0"/>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14:textFill>
                  <w14:solidFill>
                    <w14:schemeClr w14:val="tx1"/>
                  </w14:solidFill>
                </w14:textFill>
              </w:rPr>
              <w:t>真空泵系统10#</w:t>
            </w:r>
          </w:p>
        </w:tc>
        <w:tc>
          <w:tcPr>
            <w:tcW w:w="537" w:type="dxa"/>
            <w:shd w:val="clear" w:color="auto" w:fill="auto"/>
            <w:noWrap w:val="0"/>
            <w:vAlign w:val="center"/>
          </w:tcPr>
          <w:p w14:paraId="0EE62B59">
            <w:pPr>
              <w:spacing w:line="280" w:lineRule="exact"/>
              <w:jc w:val="center"/>
              <w:rPr>
                <w:rFonts w:hint="eastAsia"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80</w:t>
            </w:r>
          </w:p>
        </w:tc>
        <w:tc>
          <w:tcPr>
            <w:tcW w:w="537" w:type="dxa"/>
            <w:shd w:val="clear" w:color="auto" w:fill="auto"/>
            <w:noWrap w:val="0"/>
            <w:vAlign w:val="center"/>
          </w:tcPr>
          <w:p w14:paraId="0866F1ED">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-13.55</w:t>
            </w:r>
          </w:p>
        </w:tc>
        <w:tc>
          <w:tcPr>
            <w:tcW w:w="537" w:type="dxa"/>
            <w:shd w:val="clear" w:color="auto" w:fill="auto"/>
            <w:noWrap w:val="0"/>
            <w:vAlign w:val="center"/>
          </w:tcPr>
          <w:p w14:paraId="4663B2F4">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171.83</w:t>
            </w:r>
          </w:p>
        </w:tc>
        <w:tc>
          <w:tcPr>
            <w:tcW w:w="558" w:type="dxa"/>
            <w:shd w:val="clear" w:color="auto" w:fill="auto"/>
            <w:noWrap w:val="0"/>
            <w:vAlign w:val="center"/>
          </w:tcPr>
          <w:p w14:paraId="565D9027">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1.3</w:t>
            </w:r>
          </w:p>
        </w:tc>
        <w:tc>
          <w:tcPr>
            <w:tcW w:w="537" w:type="dxa"/>
            <w:shd w:val="clear" w:color="auto" w:fill="auto"/>
            <w:noWrap w:val="0"/>
            <w:vAlign w:val="center"/>
          </w:tcPr>
          <w:p w14:paraId="4296BED3">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50.4</w:t>
            </w:r>
          </w:p>
        </w:tc>
        <w:tc>
          <w:tcPr>
            <w:tcW w:w="537" w:type="dxa"/>
            <w:shd w:val="clear" w:color="auto" w:fill="auto"/>
            <w:noWrap w:val="0"/>
            <w:vAlign w:val="center"/>
          </w:tcPr>
          <w:p w14:paraId="4F068EBD">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174.8</w:t>
            </w:r>
          </w:p>
        </w:tc>
        <w:tc>
          <w:tcPr>
            <w:tcW w:w="542" w:type="dxa"/>
            <w:shd w:val="clear" w:color="auto" w:fill="auto"/>
            <w:noWrap w:val="0"/>
            <w:vAlign w:val="center"/>
          </w:tcPr>
          <w:p w14:paraId="5029CB1A">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43.2</w:t>
            </w:r>
          </w:p>
        </w:tc>
        <w:tc>
          <w:tcPr>
            <w:tcW w:w="558" w:type="dxa"/>
            <w:shd w:val="clear" w:color="auto" w:fill="auto"/>
            <w:noWrap w:val="0"/>
            <w:vAlign w:val="center"/>
          </w:tcPr>
          <w:p w14:paraId="5F5A35FF">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9</w:t>
            </w:r>
          </w:p>
        </w:tc>
        <w:tc>
          <w:tcPr>
            <w:tcW w:w="542" w:type="dxa"/>
            <w:shd w:val="clear" w:color="auto" w:fill="auto"/>
            <w:noWrap w:val="0"/>
            <w:vAlign w:val="center"/>
          </w:tcPr>
          <w:p w14:paraId="0D3E5D2B">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42" w:type="dxa"/>
            <w:shd w:val="clear" w:color="auto" w:fill="auto"/>
            <w:noWrap w:val="0"/>
            <w:vAlign w:val="center"/>
          </w:tcPr>
          <w:p w14:paraId="2A6A62F3">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42" w:type="dxa"/>
            <w:shd w:val="clear" w:color="auto" w:fill="auto"/>
            <w:noWrap w:val="0"/>
            <w:vAlign w:val="center"/>
          </w:tcPr>
          <w:p w14:paraId="286DAB88">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55" w:type="dxa"/>
            <w:shd w:val="clear" w:color="auto" w:fill="auto"/>
            <w:noWrap w:val="0"/>
            <w:vAlign w:val="center"/>
          </w:tcPr>
          <w:p w14:paraId="15DEAB55">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56.0 </w:t>
            </w:r>
          </w:p>
        </w:tc>
        <w:tc>
          <w:tcPr>
            <w:tcW w:w="542" w:type="dxa"/>
            <w:vMerge w:val="continue"/>
            <w:shd w:val="clear" w:color="auto" w:fill="auto"/>
            <w:noWrap w:val="0"/>
            <w:vAlign w:val="center"/>
          </w:tcPr>
          <w:p w14:paraId="591D56CC">
            <w:pPr>
              <w:spacing w:line="280" w:lineRule="exact"/>
              <w:jc w:val="center"/>
              <w:rPr>
                <w:rFonts w:hint="default" w:ascii="Times New Roman" w:hAnsi="Times New Roman" w:eastAsia="宋体"/>
                <w:color w:val="000000" w:themeColor="text1"/>
                <w:szCs w:val="21"/>
                <w:highlight w:val="none"/>
                <w:lang w:val="en-US" w:eastAsia="zh-CN"/>
                <w14:textFill>
                  <w14:solidFill>
                    <w14:schemeClr w14:val="tx1"/>
                  </w14:solidFill>
                </w14:textFill>
              </w:rPr>
            </w:pPr>
          </w:p>
        </w:tc>
        <w:tc>
          <w:tcPr>
            <w:tcW w:w="897" w:type="dxa"/>
            <w:shd w:val="clear" w:color="auto" w:fill="auto"/>
            <w:noWrap w:val="0"/>
            <w:vAlign w:val="center"/>
          </w:tcPr>
          <w:p w14:paraId="6F44164A">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24.3</w:t>
            </w:r>
          </w:p>
        </w:tc>
        <w:tc>
          <w:tcPr>
            <w:tcW w:w="746" w:type="dxa"/>
            <w:shd w:val="clear" w:color="auto" w:fill="auto"/>
            <w:noWrap w:val="0"/>
            <w:vAlign w:val="center"/>
          </w:tcPr>
          <w:p w14:paraId="53191F09">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689" w:type="dxa"/>
            <w:shd w:val="clear" w:color="auto" w:fill="auto"/>
            <w:noWrap w:val="0"/>
            <w:vAlign w:val="center"/>
          </w:tcPr>
          <w:p w14:paraId="1CDAD455">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838" w:type="dxa"/>
            <w:shd w:val="clear" w:color="auto" w:fill="auto"/>
            <w:noWrap w:val="0"/>
            <w:vAlign w:val="center"/>
          </w:tcPr>
          <w:p w14:paraId="17264074">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750" w:type="dxa"/>
            <w:shd w:val="clear" w:color="auto" w:fill="auto"/>
            <w:noWrap w:val="0"/>
            <w:vAlign w:val="center"/>
          </w:tcPr>
          <w:p w14:paraId="083F55E2">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31.7</w:t>
            </w:r>
          </w:p>
        </w:tc>
        <w:tc>
          <w:tcPr>
            <w:tcW w:w="1096" w:type="dxa"/>
            <w:shd w:val="clear" w:color="auto" w:fill="auto"/>
            <w:noWrap w:val="0"/>
            <w:vAlign w:val="center"/>
          </w:tcPr>
          <w:p w14:paraId="0743A9EA">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r>
      <w:tr w14:paraId="1DDFB8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22081DE8">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63</w:t>
            </w:r>
          </w:p>
        </w:tc>
        <w:tc>
          <w:tcPr>
            <w:tcW w:w="714" w:type="dxa"/>
            <w:vMerge w:val="continue"/>
            <w:shd w:val="clear" w:color="auto" w:fill="auto"/>
            <w:noWrap w:val="0"/>
            <w:vAlign w:val="center"/>
          </w:tcPr>
          <w:p w14:paraId="2249306C">
            <w:pPr>
              <w:spacing w:line="280" w:lineRule="exact"/>
              <w:jc w:val="center"/>
              <w:rPr>
                <w:rFonts w:hint="eastAsia" w:cs="Times New Roman"/>
                <w:b w:val="0"/>
                <w:bCs w:val="0"/>
                <w:color w:val="000000" w:themeColor="text1"/>
                <w:kern w:val="0"/>
                <w:sz w:val="21"/>
                <w:szCs w:val="21"/>
                <w:highlight w:val="none"/>
                <w:vertAlign w:val="baseline"/>
                <w:lang w:val="en-US" w:eastAsia="zh-CN"/>
                <w14:textFill>
                  <w14:solidFill>
                    <w14:schemeClr w14:val="tx1"/>
                  </w14:solidFill>
                </w14:textFill>
              </w:rPr>
            </w:pPr>
          </w:p>
        </w:tc>
        <w:tc>
          <w:tcPr>
            <w:tcW w:w="714" w:type="dxa"/>
            <w:shd w:val="clear" w:color="auto" w:fill="auto"/>
            <w:noWrap w:val="0"/>
            <w:vAlign w:val="center"/>
          </w:tcPr>
          <w:p w14:paraId="62A60514">
            <w:pPr>
              <w:spacing w:line="280" w:lineRule="exact"/>
              <w:jc w:val="center"/>
              <w:rPr>
                <w:rFonts w:hint="eastAsia" w:ascii="Times New Roman" w:hAnsi="Times New Roman" w:eastAsia="宋体" w:cs="Times New Roman"/>
                <w:b w:val="0"/>
                <w:bCs w:val="0"/>
                <w:color w:val="000000" w:themeColor="text1"/>
                <w:kern w:val="0"/>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14:textFill>
                  <w14:solidFill>
                    <w14:schemeClr w14:val="tx1"/>
                  </w14:solidFill>
                </w14:textFill>
              </w:rPr>
              <w:t>真空泵系统11#</w:t>
            </w:r>
          </w:p>
        </w:tc>
        <w:tc>
          <w:tcPr>
            <w:tcW w:w="537" w:type="dxa"/>
            <w:shd w:val="clear" w:color="auto" w:fill="auto"/>
            <w:noWrap w:val="0"/>
            <w:vAlign w:val="center"/>
          </w:tcPr>
          <w:p w14:paraId="47B52AE1">
            <w:pPr>
              <w:spacing w:line="280" w:lineRule="exact"/>
              <w:jc w:val="center"/>
              <w:rPr>
                <w:rFonts w:hint="eastAsia"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80</w:t>
            </w:r>
          </w:p>
        </w:tc>
        <w:tc>
          <w:tcPr>
            <w:tcW w:w="537" w:type="dxa"/>
            <w:shd w:val="clear" w:color="auto" w:fill="auto"/>
            <w:noWrap w:val="0"/>
            <w:vAlign w:val="center"/>
          </w:tcPr>
          <w:p w14:paraId="60F5C7ED">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-13.33</w:t>
            </w:r>
          </w:p>
        </w:tc>
        <w:tc>
          <w:tcPr>
            <w:tcW w:w="537" w:type="dxa"/>
            <w:shd w:val="clear" w:color="auto" w:fill="auto"/>
            <w:noWrap w:val="0"/>
            <w:vAlign w:val="center"/>
          </w:tcPr>
          <w:p w14:paraId="7C77E6E3">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173.23</w:t>
            </w:r>
          </w:p>
        </w:tc>
        <w:tc>
          <w:tcPr>
            <w:tcW w:w="558" w:type="dxa"/>
            <w:shd w:val="clear" w:color="auto" w:fill="auto"/>
            <w:noWrap w:val="0"/>
            <w:vAlign w:val="center"/>
          </w:tcPr>
          <w:p w14:paraId="0D52C24A">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1.3</w:t>
            </w:r>
          </w:p>
        </w:tc>
        <w:tc>
          <w:tcPr>
            <w:tcW w:w="537" w:type="dxa"/>
            <w:shd w:val="clear" w:color="auto" w:fill="auto"/>
            <w:noWrap w:val="0"/>
            <w:vAlign w:val="center"/>
          </w:tcPr>
          <w:p w14:paraId="4DF2DB41">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50.1</w:t>
            </w:r>
          </w:p>
        </w:tc>
        <w:tc>
          <w:tcPr>
            <w:tcW w:w="537" w:type="dxa"/>
            <w:shd w:val="clear" w:color="auto" w:fill="auto"/>
            <w:noWrap w:val="0"/>
            <w:vAlign w:val="center"/>
          </w:tcPr>
          <w:p w14:paraId="0CD2C6DD">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163.1</w:t>
            </w:r>
          </w:p>
        </w:tc>
        <w:tc>
          <w:tcPr>
            <w:tcW w:w="542" w:type="dxa"/>
            <w:shd w:val="clear" w:color="auto" w:fill="auto"/>
            <w:noWrap w:val="0"/>
            <w:vAlign w:val="center"/>
          </w:tcPr>
          <w:p w14:paraId="5CCA0AE8">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58.9</w:t>
            </w:r>
          </w:p>
        </w:tc>
        <w:tc>
          <w:tcPr>
            <w:tcW w:w="558" w:type="dxa"/>
            <w:shd w:val="clear" w:color="auto" w:fill="auto"/>
            <w:noWrap w:val="0"/>
            <w:vAlign w:val="center"/>
          </w:tcPr>
          <w:p w14:paraId="54D2ADE4">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5.4</w:t>
            </w:r>
          </w:p>
        </w:tc>
        <w:tc>
          <w:tcPr>
            <w:tcW w:w="542" w:type="dxa"/>
            <w:shd w:val="clear" w:color="auto" w:fill="auto"/>
            <w:noWrap w:val="0"/>
            <w:vAlign w:val="center"/>
          </w:tcPr>
          <w:p w14:paraId="0431DBF7">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42" w:type="dxa"/>
            <w:shd w:val="clear" w:color="auto" w:fill="auto"/>
            <w:noWrap w:val="0"/>
            <w:vAlign w:val="center"/>
          </w:tcPr>
          <w:p w14:paraId="549C57CB">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42" w:type="dxa"/>
            <w:shd w:val="clear" w:color="auto" w:fill="auto"/>
            <w:noWrap w:val="0"/>
            <w:vAlign w:val="center"/>
          </w:tcPr>
          <w:p w14:paraId="3081BB4F">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55" w:type="dxa"/>
            <w:shd w:val="clear" w:color="auto" w:fill="auto"/>
            <w:noWrap w:val="0"/>
            <w:vAlign w:val="center"/>
          </w:tcPr>
          <w:p w14:paraId="33405F27">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57.6 </w:t>
            </w:r>
          </w:p>
        </w:tc>
        <w:tc>
          <w:tcPr>
            <w:tcW w:w="542" w:type="dxa"/>
            <w:vMerge w:val="continue"/>
            <w:shd w:val="clear" w:color="auto" w:fill="auto"/>
            <w:noWrap w:val="0"/>
            <w:vAlign w:val="center"/>
          </w:tcPr>
          <w:p w14:paraId="35A063A0">
            <w:pPr>
              <w:spacing w:line="280" w:lineRule="exact"/>
              <w:jc w:val="center"/>
              <w:rPr>
                <w:rFonts w:hint="default" w:ascii="Times New Roman" w:hAnsi="Times New Roman" w:eastAsia="宋体"/>
                <w:color w:val="000000" w:themeColor="text1"/>
                <w:szCs w:val="21"/>
                <w:highlight w:val="none"/>
                <w:lang w:val="en-US" w:eastAsia="zh-CN"/>
                <w14:textFill>
                  <w14:solidFill>
                    <w14:schemeClr w14:val="tx1"/>
                  </w14:solidFill>
                </w14:textFill>
              </w:rPr>
            </w:pPr>
          </w:p>
        </w:tc>
        <w:tc>
          <w:tcPr>
            <w:tcW w:w="897" w:type="dxa"/>
            <w:shd w:val="clear" w:color="auto" w:fill="auto"/>
            <w:noWrap w:val="0"/>
            <w:vAlign w:val="center"/>
          </w:tcPr>
          <w:p w14:paraId="4A14D52C">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24.3</w:t>
            </w:r>
          </w:p>
        </w:tc>
        <w:tc>
          <w:tcPr>
            <w:tcW w:w="746" w:type="dxa"/>
            <w:shd w:val="clear" w:color="auto" w:fill="auto"/>
            <w:noWrap w:val="0"/>
            <w:vAlign w:val="center"/>
          </w:tcPr>
          <w:p w14:paraId="20949D5F">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689" w:type="dxa"/>
            <w:shd w:val="clear" w:color="auto" w:fill="auto"/>
            <w:noWrap w:val="0"/>
            <w:vAlign w:val="center"/>
          </w:tcPr>
          <w:p w14:paraId="0558804C">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838" w:type="dxa"/>
            <w:shd w:val="clear" w:color="auto" w:fill="auto"/>
            <w:noWrap w:val="0"/>
            <w:vAlign w:val="center"/>
          </w:tcPr>
          <w:p w14:paraId="51A2AC77">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750" w:type="dxa"/>
            <w:shd w:val="clear" w:color="auto" w:fill="auto"/>
            <w:noWrap w:val="0"/>
            <w:vAlign w:val="center"/>
          </w:tcPr>
          <w:p w14:paraId="4D9CAE73">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33.3</w:t>
            </w:r>
          </w:p>
        </w:tc>
        <w:tc>
          <w:tcPr>
            <w:tcW w:w="1096" w:type="dxa"/>
            <w:shd w:val="clear" w:color="auto" w:fill="auto"/>
            <w:noWrap w:val="0"/>
            <w:vAlign w:val="center"/>
          </w:tcPr>
          <w:p w14:paraId="2566107C">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r>
      <w:tr w14:paraId="5418E8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337AC92C">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64</w:t>
            </w:r>
          </w:p>
        </w:tc>
        <w:tc>
          <w:tcPr>
            <w:tcW w:w="714" w:type="dxa"/>
            <w:vMerge w:val="continue"/>
            <w:shd w:val="clear" w:color="auto" w:fill="auto"/>
            <w:noWrap w:val="0"/>
            <w:vAlign w:val="center"/>
          </w:tcPr>
          <w:p w14:paraId="28BE607B">
            <w:pPr>
              <w:spacing w:line="280" w:lineRule="exact"/>
              <w:jc w:val="center"/>
              <w:rPr>
                <w:rFonts w:hint="eastAsia" w:cs="Times New Roman"/>
                <w:b w:val="0"/>
                <w:bCs w:val="0"/>
                <w:color w:val="000000" w:themeColor="text1"/>
                <w:kern w:val="0"/>
                <w:sz w:val="21"/>
                <w:szCs w:val="21"/>
                <w:highlight w:val="none"/>
                <w:vertAlign w:val="baseline"/>
                <w:lang w:val="en-US" w:eastAsia="zh-CN"/>
                <w14:textFill>
                  <w14:solidFill>
                    <w14:schemeClr w14:val="tx1"/>
                  </w14:solidFill>
                </w14:textFill>
              </w:rPr>
            </w:pPr>
          </w:p>
        </w:tc>
        <w:tc>
          <w:tcPr>
            <w:tcW w:w="714" w:type="dxa"/>
            <w:shd w:val="clear" w:color="auto" w:fill="auto"/>
            <w:noWrap w:val="0"/>
            <w:vAlign w:val="center"/>
          </w:tcPr>
          <w:p w14:paraId="7C53B2A2">
            <w:pPr>
              <w:spacing w:line="280" w:lineRule="exact"/>
              <w:jc w:val="center"/>
              <w:rPr>
                <w:rFonts w:hint="eastAsia" w:ascii="Times New Roman" w:hAnsi="Times New Roman" w:eastAsia="宋体" w:cs="Times New Roman"/>
                <w:b w:val="0"/>
                <w:bCs w:val="0"/>
                <w:color w:val="000000" w:themeColor="text1"/>
                <w:kern w:val="0"/>
                <w:sz w:val="21"/>
                <w:szCs w:val="21"/>
                <w:highlight w:val="none"/>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14:textFill>
                  <w14:solidFill>
                    <w14:schemeClr w14:val="tx1"/>
                  </w14:solidFill>
                </w14:textFill>
              </w:rPr>
              <w:t>真空泵系统12#</w:t>
            </w:r>
          </w:p>
        </w:tc>
        <w:tc>
          <w:tcPr>
            <w:tcW w:w="537" w:type="dxa"/>
            <w:shd w:val="clear" w:color="auto" w:fill="auto"/>
            <w:noWrap w:val="0"/>
            <w:vAlign w:val="center"/>
          </w:tcPr>
          <w:p w14:paraId="1B2FDE86">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80</w:t>
            </w:r>
          </w:p>
        </w:tc>
        <w:tc>
          <w:tcPr>
            <w:tcW w:w="537" w:type="dxa"/>
            <w:shd w:val="clear" w:color="auto" w:fill="auto"/>
            <w:noWrap w:val="0"/>
            <w:vAlign w:val="center"/>
          </w:tcPr>
          <w:p w14:paraId="0258E87B">
            <w:pPr>
              <w:spacing w:line="280" w:lineRule="exact"/>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-12.96</w:t>
            </w:r>
          </w:p>
        </w:tc>
        <w:tc>
          <w:tcPr>
            <w:tcW w:w="537" w:type="dxa"/>
            <w:shd w:val="clear" w:color="auto" w:fill="auto"/>
            <w:noWrap w:val="0"/>
            <w:vAlign w:val="center"/>
          </w:tcPr>
          <w:p w14:paraId="13AE60ED">
            <w:pPr>
              <w:spacing w:line="280" w:lineRule="exact"/>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172.05</w:t>
            </w:r>
          </w:p>
        </w:tc>
        <w:tc>
          <w:tcPr>
            <w:tcW w:w="558" w:type="dxa"/>
            <w:shd w:val="clear" w:color="auto" w:fill="auto"/>
            <w:noWrap w:val="0"/>
            <w:vAlign w:val="center"/>
          </w:tcPr>
          <w:p w14:paraId="5B1CC482">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1.3</w:t>
            </w:r>
          </w:p>
        </w:tc>
        <w:tc>
          <w:tcPr>
            <w:tcW w:w="537" w:type="dxa"/>
            <w:shd w:val="clear" w:color="auto" w:fill="auto"/>
            <w:noWrap w:val="0"/>
            <w:vAlign w:val="center"/>
          </w:tcPr>
          <w:p w14:paraId="73C6E124">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49.2</w:t>
            </w:r>
          </w:p>
        </w:tc>
        <w:tc>
          <w:tcPr>
            <w:tcW w:w="537" w:type="dxa"/>
            <w:shd w:val="clear" w:color="auto" w:fill="auto"/>
            <w:noWrap w:val="0"/>
            <w:vAlign w:val="center"/>
          </w:tcPr>
          <w:p w14:paraId="3D238DD1">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172.9</w:t>
            </w:r>
          </w:p>
        </w:tc>
        <w:tc>
          <w:tcPr>
            <w:tcW w:w="542" w:type="dxa"/>
            <w:shd w:val="clear" w:color="auto" w:fill="auto"/>
            <w:noWrap w:val="0"/>
            <w:vAlign w:val="center"/>
          </w:tcPr>
          <w:p w14:paraId="7CE52AD2">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57.2</w:t>
            </w:r>
          </w:p>
        </w:tc>
        <w:tc>
          <w:tcPr>
            <w:tcW w:w="558" w:type="dxa"/>
            <w:shd w:val="clear" w:color="auto" w:fill="auto"/>
            <w:noWrap w:val="0"/>
            <w:vAlign w:val="center"/>
          </w:tcPr>
          <w:p w14:paraId="59047175">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7.3</w:t>
            </w:r>
          </w:p>
        </w:tc>
        <w:tc>
          <w:tcPr>
            <w:tcW w:w="542" w:type="dxa"/>
            <w:shd w:val="clear" w:color="auto" w:fill="auto"/>
            <w:noWrap w:val="0"/>
            <w:vAlign w:val="center"/>
          </w:tcPr>
          <w:p w14:paraId="7956937B">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42" w:type="dxa"/>
            <w:shd w:val="clear" w:color="auto" w:fill="auto"/>
            <w:noWrap w:val="0"/>
            <w:vAlign w:val="center"/>
          </w:tcPr>
          <w:p w14:paraId="16034503">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42" w:type="dxa"/>
            <w:shd w:val="clear" w:color="auto" w:fill="auto"/>
            <w:noWrap w:val="0"/>
            <w:vAlign w:val="center"/>
          </w:tcPr>
          <w:p w14:paraId="6A0697DB">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55" w:type="dxa"/>
            <w:shd w:val="clear" w:color="auto" w:fill="auto"/>
            <w:noWrap w:val="0"/>
            <w:vAlign w:val="center"/>
          </w:tcPr>
          <w:p w14:paraId="568D1DC8">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56.5 </w:t>
            </w:r>
          </w:p>
        </w:tc>
        <w:tc>
          <w:tcPr>
            <w:tcW w:w="542" w:type="dxa"/>
            <w:vMerge w:val="continue"/>
            <w:shd w:val="clear" w:color="auto" w:fill="auto"/>
            <w:noWrap w:val="0"/>
            <w:vAlign w:val="center"/>
          </w:tcPr>
          <w:p w14:paraId="36B6C035">
            <w:pPr>
              <w:spacing w:line="280" w:lineRule="exact"/>
              <w:jc w:val="center"/>
              <w:rPr>
                <w:rFonts w:hint="default" w:ascii="Times New Roman" w:hAnsi="Times New Roman" w:eastAsia="宋体"/>
                <w:color w:val="000000" w:themeColor="text1"/>
                <w:szCs w:val="21"/>
                <w:highlight w:val="none"/>
                <w:lang w:val="en-US" w:eastAsia="zh-CN"/>
                <w14:textFill>
                  <w14:solidFill>
                    <w14:schemeClr w14:val="tx1"/>
                  </w14:solidFill>
                </w14:textFill>
              </w:rPr>
            </w:pPr>
          </w:p>
        </w:tc>
        <w:tc>
          <w:tcPr>
            <w:tcW w:w="897" w:type="dxa"/>
            <w:shd w:val="clear" w:color="auto" w:fill="auto"/>
            <w:noWrap w:val="0"/>
            <w:vAlign w:val="center"/>
          </w:tcPr>
          <w:p w14:paraId="7B665054">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24.3</w:t>
            </w:r>
          </w:p>
        </w:tc>
        <w:tc>
          <w:tcPr>
            <w:tcW w:w="746" w:type="dxa"/>
            <w:shd w:val="clear" w:color="auto" w:fill="auto"/>
            <w:noWrap w:val="0"/>
            <w:vAlign w:val="center"/>
          </w:tcPr>
          <w:p w14:paraId="2B4AB715">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689" w:type="dxa"/>
            <w:shd w:val="clear" w:color="auto" w:fill="auto"/>
            <w:noWrap w:val="0"/>
            <w:vAlign w:val="center"/>
          </w:tcPr>
          <w:p w14:paraId="29634691">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838" w:type="dxa"/>
            <w:shd w:val="clear" w:color="auto" w:fill="auto"/>
            <w:noWrap w:val="0"/>
            <w:vAlign w:val="center"/>
          </w:tcPr>
          <w:p w14:paraId="1596A86B">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750" w:type="dxa"/>
            <w:shd w:val="clear" w:color="auto" w:fill="auto"/>
            <w:noWrap w:val="0"/>
            <w:vAlign w:val="center"/>
          </w:tcPr>
          <w:p w14:paraId="00723F92">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32.2</w:t>
            </w:r>
          </w:p>
        </w:tc>
        <w:tc>
          <w:tcPr>
            <w:tcW w:w="1096" w:type="dxa"/>
            <w:shd w:val="clear" w:color="auto" w:fill="auto"/>
            <w:noWrap w:val="0"/>
            <w:vAlign w:val="center"/>
          </w:tcPr>
          <w:p w14:paraId="521A4CAB">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r>
      <w:tr w14:paraId="59EB99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687F97E3">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65</w:t>
            </w:r>
          </w:p>
        </w:tc>
        <w:tc>
          <w:tcPr>
            <w:tcW w:w="714" w:type="dxa"/>
            <w:vMerge w:val="continue"/>
            <w:shd w:val="clear" w:color="auto" w:fill="auto"/>
            <w:noWrap w:val="0"/>
            <w:vAlign w:val="center"/>
          </w:tcPr>
          <w:p w14:paraId="65ED22FC">
            <w:pPr>
              <w:spacing w:line="280" w:lineRule="exact"/>
              <w:jc w:val="center"/>
              <w:rPr>
                <w:rFonts w:hint="eastAsia" w:cs="Times New Roman"/>
                <w:b w:val="0"/>
                <w:bCs w:val="0"/>
                <w:color w:val="000000" w:themeColor="text1"/>
                <w:kern w:val="0"/>
                <w:sz w:val="21"/>
                <w:szCs w:val="21"/>
                <w:highlight w:val="none"/>
                <w:vertAlign w:val="baseline"/>
                <w:lang w:val="en-US" w:eastAsia="zh-CN"/>
                <w14:textFill>
                  <w14:solidFill>
                    <w14:schemeClr w14:val="tx1"/>
                  </w14:solidFill>
                </w14:textFill>
              </w:rPr>
            </w:pPr>
          </w:p>
        </w:tc>
        <w:tc>
          <w:tcPr>
            <w:tcW w:w="714" w:type="dxa"/>
            <w:shd w:val="clear" w:color="auto" w:fill="auto"/>
            <w:noWrap w:val="0"/>
            <w:vAlign w:val="center"/>
          </w:tcPr>
          <w:p w14:paraId="7FBDF82C">
            <w:pPr>
              <w:spacing w:line="280" w:lineRule="exact"/>
              <w:jc w:val="center"/>
              <w:rPr>
                <w:rFonts w:hint="default" w:ascii="Times New Roman" w:hAnsi="Times New Roman" w:eastAsia="宋体" w:cs="Times New Roman"/>
                <w:b w:val="0"/>
                <w:bCs w:val="0"/>
                <w:color w:val="000000" w:themeColor="text1"/>
                <w:kern w:val="0"/>
                <w:sz w:val="21"/>
                <w:szCs w:val="21"/>
                <w:highlight w:val="none"/>
                <w:vertAlign w:val="baseline"/>
                <w:lang w:val="en-US" w:eastAsia="zh-CN" w:bidi="ar-SA"/>
                <w14:textFill>
                  <w14:solidFill>
                    <w14:schemeClr w14:val="tx1"/>
                  </w14:solidFill>
                </w14:textFill>
              </w:rPr>
            </w:pPr>
            <w:r>
              <w:rPr>
                <w:rFonts w:hint="default" w:ascii="Times New Roman" w:hAnsi="Times New Roman" w:cs="Times New Roman"/>
                <w:color w:val="000000" w:themeColor="text1"/>
                <w:szCs w:val="21"/>
                <w:highlight w:val="none"/>
                <w:lang w:val="en-US" w:eastAsia="zh-CN"/>
                <w14:textFill>
                  <w14:solidFill>
                    <w14:schemeClr w14:val="tx1"/>
                  </w14:solidFill>
                </w14:textFill>
              </w:rPr>
              <w:t>全自动高真空烘烤线</w:t>
            </w:r>
          </w:p>
        </w:tc>
        <w:tc>
          <w:tcPr>
            <w:tcW w:w="537" w:type="dxa"/>
            <w:shd w:val="clear" w:color="auto" w:fill="auto"/>
            <w:noWrap w:val="0"/>
            <w:vAlign w:val="center"/>
          </w:tcPr>
          <w:p w14:paraId="039FCAA1">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80</w:t>
            </w:r>
          </w:p>
        </w:tc>
        <w:tc>
          <w:tcPr>
            <w:tcW w:w="537" w:type="dxa"/>
            <w:shd w:val="clear" w:color="auto" w:fill="auto"/>
            <w:noWrap w:val="0"/>
            <w:vAlign w:val="center"/>
          </w:tcPr>
          <w:p w14:paraId="5294B670">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-3.47</w:t>
            </w:r>
          </w:p>
        </w:tc>
        <w:tc>
          <w:tcPr>
            <w:tcW w:w="537" w:type="dxa"/>
            <w:shd w:val="clear" w:color="auto" w:fill="auto"/>
            <w:noWrap w:val="0"/>
            <w:vAlign w:val="center"/>
          </w:tcPr>
          <w:p w14:paraId="4791A317">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143.05</w:t>
            </w:r>
          </w:p>
        </w:tc>
        <w:tc>
          <w:tcPr>
            <w:tcW w:w="558" w:type="dxa"/>
            <w:shd w:val="clear" w:color="auto" w:fill="auto"/>
            <w:noWrap w:val="0"/>
            <w:vAlign w:val="center"/>
          </w:tcPr>
          <w:p w14:paraId="6DFF5CA6">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1.2</w:t>
            </w:r>
          </w:p>
        </w:tc>
        <w:tc>
          <w:tcPr>
            <w:tcW w:w="537" w:type="dxa"/>
            <w:shd w:val="clear" w:color="auto" w:fill="auto"/>
            <w:noWrap w:val="0"/>
            <w:vAlign w:val="center"/>
          </w:tcPr>
          <w:p w14:paraId="024516AE">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47.7</w:t>
            </w:r>
          </w:p>
        </w:tc>
        <w:tc>
          <w:tcPr>
            <w:tcW w:w="537" w:type="dxa"/>
            <w:shd w:val="clear" w:color="auto" w:fill="auto"/>
            <w:noWrap w:val="0"/>
            <w:vAlign w:val="center"/>
          </w:tcPr>
          <w:p w14:paraId="7F68EDC1">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140.9</w:t>
            </w:r>
          </w:p>
        </w:tc>
        <w:tc>
          <w:tcPr>
            <w:tcW w:w="542" w:type="dxa"/>
            <w:shd w:val="clear" w:color="auto" w:fill="auto"/>
            <w:noWrap w:val="0"/>
            <w:vAlign w:val="center"/>
          </w:tcPr>
          <w:p w14:paraId="1708E0A1">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98.4</w:t>
            </w:r>
          </w:p>
        </w:tc>
        <w:tc>
          <w:tcPr>
            <w:tcW w:w="558" w:type="dxa"/>
            <w:shd w:val="clear" w:color="auto" w:fill="auto"/>
            <w:noWrap w:val="0"/>
            <w:vAlign w:val="center"/>
          </w:tcPr>
          <w:p w14:paraId="14771957">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40.1</w:t>
            </w:r>
          </w:p>
        </w:tc>
        <w:tc>
          <w:tcPr>
            <w:tcW w:w="542" w:type="dxa"/>
            <w:shd w:val="clear" w:color="auto" w:fill="auto"/>
            <w:noWrap w:val="0"/>
            <w:vAlign w:val="center"/>
          </w:tcPr>
          <w:p w14:paraId="311E1A74">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42" w:type="dxa"/>
            <w:shd w:val="clear" w:color="auto" w:fill="auto"/>
            <w:noWrap w:val="0"/>
            <w:vAlign w:val="center"/>
          </w:tcPr>
          <w:p w14:paraId="00607B10">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42" w:type="dxa"/>
            <w:shd w:val="clear" w:color="auto" w:fill="auto"/>
            <w:noWrap w:val="0"/>
            <w:vAlign w:val="center"/>
          </w:tcPr>
          <w:p w14:paraId="57B8BDA9">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55" w:type="dxa"/>
            <w:shd w:val="clear" w:color="auto" w:fill="auto"/>
            <w:noWrap w:val="0"/>
            <w:vAlign w:val="center"/>
          </w:tcPr>
          <w:p w14:paraId="0CF21D0C">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54.8 </w:t>
            </w:r>
          </w:p>
        </w:tc>
        <w:tc>
          <w:tcPr>
            <w:tcW w:w="542" w:type="dxa"/>
            <w:vMerge w:val="continue"/>
            <w:shd w:val="clear" w:color="auto" w:fill="auto"/>
            <w:noWrap w:val="0"/>
            <w:vAlign w:val="center"/>
          </w:tcPr>
          <w:p w14:paraId="0A476466">
            <w:pPr>
              <w:spacing w:line="280" w:lineRule="exact"/>
              <w:jc w:val="center"/>
              <w:rPr>
                <w:rFonts w:hint="default" w:ascii="Times New Roman" w:hAnsi="Times New Roman" w:eastAsia="宋体"/>
                <w:color w:val="000000" w:themeColor="text1"/>
                <w:szCs w:val="21"/>
                <w:highlight w:val="none"/>
                <w:lang w:val="en-US" w:eastAsia="zh-CN"/>
                <w14:textFill>
                  <w14:solidFill>
                    <w14:schemeClr w14:val="tx1"/>
                  </w14:solidFill>
                </w14:textFill>
              </w:rPr>
            </w:pPr>
          </w:p>
        </w:tc>
        <w:tc>
          <w:tcPr>
            <w:tcW w:w="897" w:type="dxa"/>
            <w:shd w:val="clear" w:color="auto" w:fill="auto"/>
            <w:noWrap w:val="0"/>
            <w:vAlign w:val="center"/>
          </w:tcPr>
          <w:p w14:paraId="24B0C5E2">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24.3</w:t>
            </w:r>
          </w:p>
        </w:tc>
        <w:tc>
          <w:tcPr>
            <w:tcW w:w="746" w:type="dxa"/>
            <w:shd w:val="clear" w:color="auto" w:fill="auto"/>
            <w:noWrap w:val="0"/>
            <w:vAlign w:val="center"/>
          </w:tcPr>
          <w:p w14:paraId="7CB3F966">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689" w:type="dxa"/>
            <w:shd w:val="clear" w:color="auto" w:fill="auto"/>
            <w:noWrap w:val="0"/>
            <w:vAlign w:val="center"/>
          </w:tcPr>
          <w:p w14:paraId="72BA00FA">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838" w:type="dxa"/>
            <w:shd w:val="clear" w:color="auto" w:fill="auto"/>
            <w:noWrap w:val="0"/>
            <w:vAlign w:val="center"/>
          </w:tcPr>
          <w:p w14:paraId="60C8FBB9">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750" w:type="dxa"/>
            <w:shd w:val="clear" w:color="auto" w:fill="auto"/>
            <w:noWrap w:val="0"/>
            <w:vAlign w:val="center"/>
          </w:tcPr>
          <w:p w14:paraId="57250E52">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30.5</w:t>
            </w:r>
          </w:p>
        </w:tc>
        <w:tc>
          <w:tcPr>
            <w:tcW w:w="1096" w:type="dxa"/>
            <w:shd w:val="clear" w:color="auto" w:fill="auto"/>
            <w:noWrap w:val="0"/>
            <w:vAlign w:val="center"/>
          </w:tcPr>
          <w:p w14:paraId="5775F44C">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r>
      <w:tr w14:paraId="53BE4B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1C637F42">
            <w:pPr>
              <w:spacing w:line="280" w:lineRule="exact"/>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66</w:t>
            </w:r>
          </w:p>
        </w:tc>
        <w:tc>
          <w:tcPr>
            <w:tcW w:w="714" w:type="dxa"/>
            <w:vMerge w:val="continue"/>
            <w:shd w:val="clear" w:color="auto" w:fill="auto"/>
            <w:noWrap w:val="0"/>
            <w:vAlign w:val="center"/>
          </w:tcPr>
          <w:p w14:paraId="6BBFCED2">
            <w:pPr>
              <w:spacing w:line="280" w:lineRule="exact"/>
              <w:jc w:val="center"/>
              <w:rPr>
                <w:rFonts w:hint="default" w:ascii="Times New Roman" w:hAnsi="Times New Roman" w:cs="Times New Roman"/>
                <w:color w:val="000000" w:themeColor="text1"/>
                <w:szCs w:val="21"/>
                <w:highlight w:val="none"/>
                <w:lang w:val="en-US" w:eastAsia="zh-CN"/>
                <w14:textFill>
                  <w14:solidFill>
                    <w14:schemeClr w14:val="tx1"/>
                  </w14:solidFill>
                </w14:textFill>
              </w:rPr>
            </w:pPr>
          </w:p>
        </w:tc>
        <w:tc>
          <w:tcPr>
            <w:tcW w:w="714" w:type="dxa"/>
            <w:shd w:val="clear" w:color="auto" w:fill="auto"/>
            <w:noWrap w:val="0"/>
            <w:vAlign w:val="center"/>
          </w:tcPr>
          <w:p w14:paraId="1E6D4188">
            <w:pPr>
              <w:spacing w:line="280" w:lineRule="exact"/>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Cs w:val="21"/>
                <w:highlight w:val="none"/>
                <w:lang w:val="en-US" w:eastAsia="zh-CN"/>
                <w14:textFill>
                  <w14:solidFill>
                    <w14:schemeClr w14:val="tx1"/>
                  </w14:solidFill>
                </w14:textFill>
              </w:rPr>
              <w:t>制氮机</w:t>
            </w:r>
            <w:r>
              <w:rPr>
                <w:rFonts w:hint="eastAsia" w:cs="Times New Roman"/>
                <w:color w:val="000000" w:themeColor="text1"/>
                <w:szCs w:val="21"/>
                <w:highlight w:val="none"/>
                <w:lang w:val="en-US" w:eastAsia="zh-CN"/>
                <w14:textFill>
                  <w14:solidFill>
                    <w14:schemeClr w14:val="tx1"/>
                  </w14:solidFill>
                </w14:textFill>
              </w:rPr>
              <w:t>1#</w:t>
            </w:r>
          </w:p>
        </w:tc>
        <w:tc>
          <w:tcPr>
            <w:tcW w:w="537" w:type="dxa"/>
            <w:shd w:val="clear" w:color="auto" w:fill="auto"/>
            <w:noWrap w:val="0"/>
            <w:vAlign w:val="center"/>
          </w:tcPr>
          <w:p w14:paraId="163A15BC">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95</w:t>
            </w:r>
          </w:p>
        </w:tc>
        <w:tc>
          <w:tcPr>
            <w:tcW w:w="537" w:type="dxa"/>
            <w:shd w:val="clear" w:color="auto" w:fill="auto"/>
            <w:noWrap w:val="0"/>
            <w:vAlign w:val="center"/>
          </w:tcPr>
          <w:p w14:paraId="0C6C5605">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-78.19</w:t>
            </w:r>
          </w:p>
        </w:tc>
        <w:tc>
          <w:tcPr>
            <w:tcW w:w="537" w:type="dxa"/>
            <w:shd w:val="clear" w:color="auto" w:fill="auto"/>
            <w:noWrap w:val="0"/>
            <w:vAlign w:val="center"/>
          </w:tcPr>
          <w:p w14:paraId="1BA3C14D">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147.11</w:t>
            </w:r>
          </w:p>
        </w:tc>
        <w:tc>
          <w:tcPr>
            <w:tcW w:w="558" w:type="dxa"/>
            <w:shd w:val="clear" w:color="auto" w:fill="auto"/>
            <w:noWrap w:val="0"/>
            <w:vAlign w:val="center"/>
          </w:tcPr>
          <w:p w14:paraId="70279D05">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1.5</w:t>
            </w:r>
          </w:p>
        </w:tc>
        <w:tc>
          <w:tcPr>
            <w:tcW w:w="537" w:type="dxa"/>
            <w:shd w:val="clear" w:color="auto" w:fill="auto"/>
            <w:noWrap w:val="0"/>
            <w:vAlign w:val="center"/>
          </w:tcPr>
          <w:p w14:paraId="0FCC9495">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119.9</w:t>
            </w:r>
          </w:p>
        </w:tc>
        <w:tc>
          <w:tcPr>
            <w:tcW w:w="537" w:type="dxa"/>
            <w:shd w:val="clear" w:color="auto" w:fill="auto"/>
            <w:noWrap w:val="0"/>
            <w:vAlign w:val="center"/>
          </w:tcPr>
          <w:p w14:paraId="4F196746">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66.1</w:t>
            </w:r>
          </w:p>
        </w:tc>
        <w:tc>
          <w:tcPr>
            <w:tcW w:w="542" w:type="dxa"/>
            <w:shd w:val="clear" w:color="auto" w:fill="auto"/>
            <w:noWrap w:val="0"/>
            <w:vAlign w:val="center"/>
          </w:tcPr>
          <w:p w14:paraId="1D09893C">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33.2</w:t>
            </w:r>
          </w:p>
        </w:tc>
        <w:tc>
          <w:tcPr>
            <w:tcW w:w="558" w:type="dxa"/>
            <w:shd w:val="clear" w:color="auto" w:fill="auto"/>
            <w:noWrap w:val="0"/>
            <w:vAlign w:val="center"/>
          </w:tcPr>
          <w:p w14:paraId="2ED67749">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13.4</w:t>
            </w:r>
          </w:p>
        </w:tc>
        <w:tc>
          <w:tcPr>
            <w:tcW w:w="542" w:type="dxa"/>
            <w:shd w:val="clear" w:color="auto" w:fill="auto"/>
            <w:noWrap w:val="0"/>
            <w:vAlign w:val="center"/>
          </w:tcPr>
          <w:p w14:paraId="0C0AFC2C">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69.8 </w:t>
            </w:r>
          </w:p>
        </w:tc>
        <w:tc>
          <w:tcPr>
            <w:tcW w:w="542" w:type="dxa"/>
            <w:shd w:val="clear" w:color="auto" w:fill="auto"/>
            <w:noWrap w:val="0"/>
            <w:vAlign w:val="center"/>
          </w:tcPr>
          <w:p w14:paraId="3B32B146">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69.8 </w:t>
            </w:r>
          </w:p>
        </w:tc>
        <w:tc>
          <w:tcPr>
            <w:tcW w:w="542" w:type="dxa"/>
            <w:shd w:val="clear" w:color="auto" w:fill="auto"/>
            <w:noWrap w:val="0"/>
            <w:vAlign w:val="center"/>
          </w:tcPr>
          <w:p w14:paraId="0E5502D6">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69.9 </w:t>
            </w:r>
          </w:p>
        </w:tc>
        <w:tc>
          <w:tcPr>
            <w:tcW w:w="555" w:type="dxa"/>
            <w:shd w:val="clear" w:color="auto" w:fill="auto"/>
            <w:noWrap w:val="0"/>
            <w:vAlign w:val="center"/>
          </w:tcPr>
          <w:p w14:paraId="7DF2F8C0">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70.4 </w:t>
            </w:r>
          </w:p>
        </w:tc>
        <w:tc>
          <w:tcPr>
            <w:tcW w:w="542" w:type="dxa"/>
            <w:vMerge w:val="continue"/>
            <w:shd w:val="clear" w:color="auto" w:fill="auto"/>
            <w:noWrap w:val="0"/>
            <w:vAlign w:val="center"/>
          </w:tcPr>
          <w:p w14:paraId="18147BB7">
            <w:pPr>
              <w:spacing w:line="280" w:lineRule="exact"/>
              <w:jc w:val="center"/>
              <w:rPr>
                <w:rFonts w:hint="default" w:ascii="Times New Roman" w:hAnsi="Times New Roman" w:eastAsia="宋体"/>
                <w:color w:val="000000" w:themeColor="text1"/>
                <w:szCs w:val="21"/>
                <w:highlight w:val="none"/>
                <w:lang w:val="en-US" w:eastAsia="zh-CN"/>
                <w14:textFill>
                  <w14:solidFill>
                    <w14:schemeClr w14:val="tx1"/>
                  </w14:solidFill>
                </w14:textFill>
              </w:rPr>
            </w:pPr>
          </w:p>
        </w:tc>
        <w:tc>
          <w:tcPr>
            <w:tcW w:w="897" w:type="dxa"/>
            <w:shd w:val="clear" w:color="auto" w:fill="auto"/>
            <w:noWrap w:val="0"/>
            <w:vAlign w:val="center"/>
          </w:tcPr>
          <w:p w14:paraId="5F052661">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24.3</w:t>
            </w:r>
          </w:p>
        </w:tc>
        <w:tc>
          <w:tcPr>
            <w:tcW w:w="746" w:type="dxa"/>
            <w:shd w:val="clear" w:color="auto" w:fill="auto"/>
            <w:noWrap w:val="0"/>
            <w:vAlign w:val="center"/>
          </w:tcPr>
          <w:p w14:paraId="77C1EADF">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45.5</w:t>
            </w:r>
          </w:p>
        </w:tc>
        <w:tc>
          <w:tcPr>
            <w:tcW w:w="689" w:type="dxa"/>
            <w:shd w:val="clear" w:color="auto" w:fill="auto"/>
            <w:noWrap w:val="0"/>
            <w:vAlign w:val="center"/>
          </w:tcPr>
          <w:p w14:paraId="72A3552D">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45.5</w:t>
            </w:r>
          </w:p>
        </w:tc>
        <w:tc>
          <w:tcPr>
            <w:tcW w:w="838" w:type="dxa"/>
            <w:shd w:val="clear" w:color="auto" w:fill="auto"/>
            <w:noWrap w:val="0"/>
            <w:vAlign w:val="center"/>
          </w:tcPr>
          <w:p w14:paraId="2D18CD25">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45.6</w:t>
            </w:r>
          </w:p>
        </w:tc>
        <w:tc>
          <w:tcPr>
            <w:tcW w:w="750" w:type="dxa"/>
            <w:shd w:val="clear" w:color="auto" w:fill="auto"/>
            <w:noWrap w:val="0"/>
            <w:vAlign w:val="center"/>
          </w:tcPr>
          <w:p w14:paraId="48065B8D">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46.1</w:t>
            </w:r>
          </w:p>
        </w:tc>
        <w:tc>
          <w:tcPr>
            <w:tcW w:w="1096" w:type="dxa"/>
            <w:shd w:val="clear" w:color="auto" w:fill="auto"/>
            <w:noWrap w:val="0"/>
            <w:vAlign w:val="center"/>
          </w:tcPr>
          <w:p w14:paraId="3EB9AF98">
            <w:pPr>
              <w:spacing w:line="280" w:lineRule="exac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r>
      <w:tr w14:paraId="5AAE40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24FC78B0">
            <w:pPr>
              <w:spacing w:line="280" w:lineRule="exact"/>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67</w:t>
            </w:r>
          </w:p>
        </w:tc>
        <w:tc>
          <w:tcPr>
            <w:tcW w:w="714" w:type="dxa"/>
            <w:vMerge w:val="continue"/>
            <w:shd w:val="clear" w:color="auto" w:fill="auto"/>
            <w:noWrap w:val="0"/>
            <w:vAlign w:val="center"/>
          </w:tcPr>
          <w:p w14:paraId="777E185D">
            <w:pPr>
              <w:spacing w:line="280" w:lineRule="exact"/>
              <w:jc w:val="center"/>
              <w:rPr>
                <w:rFonts w:hint="default" w:ascii="Times New Roman" w:hAnsi="Times New Roman" w:cs="Times New Roman"/>
                <w:color w:val="000000" w:themeColor="text1"/>
                <w:szCs w:val="21"/>
                <w:highlight w:val="none"/>
                <w:lang w:val="en-US" w:eastAsia="zh-CN"/>
                <w14:textFill>
                  <w14:solidFill>
                    <w14:schemeClr w14:val="tx1"/>
                  </w14:solidFill>
                </w14:textFill>
              </w:rPr>
            </w:pPr>
          </w:p>
        </w:tc>
        <w:tc>
          <w:tcPr>
            <w:tcW w:w="714" w:type="dxa"/>
            <w:shd w:val="clear" w:color="auto" w:fill="auto"/>
            <w:noWrap w:val="0"/>
            <w:vAlign w:val="center"/>
          </w:tcPr>
          <w:p w14:paraId="1F7D1119">
            <w:pPr>
              <w:spacing w:line="280" w:lineRule="exact"/>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Cs w:val="21"/>
                <w:highlight w:val="none"/>
                <w:lang w:val="en-US" w:eastAsia="zh-CN"/>
                <w14:textFill>
                  <w14:solidFill>
                    <w14:schemeClr w14:val="tx1"/>
                  </w14:solidFill>
                </w14:textFill>
              </w:rPr>
              <w:t>制氮机</w:t>
            </w:r>
            <w:r>
              <w:rPr>
                <w:rFonts w:hint="eastAsia" w:cs="Times New Roman"/>
                <w:color w:val="000000" w:themeColor="text1"/>
                <w:szCs w:val="21"/>
                <w:highlight w:val="none"/>
                <w:lang w:val="en-US" w:eastAsia="zh-CN"/>
                <w14:textFill>
                  <w14:solidFill>
                    <w14:schemeClr w14:val="tx1"/>
                  </w14:solidFill>
                </w14:textFill>
              </w:rPr>
              <w:t>2#</w:t>
            </w:r>
          </w:p>
        </w:tc>
        <w:tc>
          <w:tcPr>
            <w:tcW w:w="537" w:type="dxa"/>
            <w:shd w:val="clear" w:color="auto" w:fill="auto"/>
            <w:noWrap w:val="0"/>
            <w:vAlign w:val="center"/>
          </w:tcPr>
          <w:p w14:paraId="5950ED8A">
            <w:pPr>
              <w:spacing w:line="280" w:lineRule="exact"/>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95</w:t>
            </w:r>
          </w:p>
        </w:tc>
        <w:tc>
          <w:tcPr>
            <w:tcW w:w="537" w:type="dxa"/>
            <w:shd w:val="clear" w:color="auto" w:fill="auto"/>
            <w:noWrap w:val="0"/>
            <w:vAlign w:val="center"/>
          </w:tcPr>
          <w:p w14:paraId="15DF7B54">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-77.34</w:t>
            </w:r>
          </w:p>
        </w:tc>
        <w:tc>
          <w:tcPr>
            <w:tcW w:w="537" w:type="dxa"/>
            <w:shd w:val="clear" w:color="auto" w:fill="auto"/>
            <w:noWrap w:val="0"/>
            <w:vAlign w:val="center"/>
          </w:tcPr>
          <w:p w14:paraId="4EDE324F">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147.54</w:t>
            </w:r>
          </w:p>
        </w:tc>
        <w:tc>
          <w:tcPr>
            <w:tcW w:w="558" w:type="dxa"/>
            <w:shd w:val="clear" w:color="auto" w:fill="auto"/>
            <w:noWrap w:val="0"/>
            <w:vAlign w:val="center"/>
          </w:tcPr>
          <w:p w14:paraId="02FA9659">
            <w:pPr>
              <w:spacing w:line="280" w:lineRule="exac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1.5</w:t>
            </w:r>
          </w:p>
        </w:tc>
        <w:tc>
          <w:tcPr>
            <w:tcW w:w="537" w:type="dxa"/>
            <w:shd w:val="clear" w:color="auto" w:fill="auto"/>
            <w:noWrap w:val="0"/>
            <w:vAlign w:val="center"/>
          </w:tcPr>
          <w:p w14:paraId="301848B9">
            <w:pPr>
              <w:spacing w:line="280" w:lineRule="exac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116.8</w:t>
            </w:r>
          </w:p>
        </w:tc>
        <w:tc>
          <w:tcPr>
            <w:tcW w:w="537" w:type="dxa"/>
            <w:shd w:val="clear" w:color="auto" w:fill="auto"/>
            <w:noWrap w:val="0"/>
            <w:vAlign w:val="center"/>
          </w:tcPr>
          <w:p w14:paraId="3202069E">
            <w:pPr>
              <w:spacing w:line="280" w:lineRule="exac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67.8</w:t>
            </w:r>
          </w:p>
        </w:tc>
        <w:tc>
          <w:tcPr>
            <w:tcW w:w="542" w:type="dxa"/>
            <w:shd w:val="clear" w:color="auto" w:fill="auto"/>
            <w:noWrap w:val="0"/>
            <w:vAlign w:val="center"/>
          </w:tcPr>
          <w:p w14:paraId="2323F59F">
            <w:pPr>
              <w:spacing w:line="280" w:lineRule="exac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29.4</w:t>
            </w:r>
          </w:p>
        </w:tc>
        <w:tc>
          <w:tcPr>
            <w:tcW w:w="558" w:type="dxa"/>
            <w:shd w:val="clear" w:color="auto" w:fill="auto"/>
            <w:noWrap w:val="0"/>
            <w:vAlign w:val="center"/>
          </w:tcPr>
          <w:p w14:paraId="290AF363">
            <w:pPr>
              <w:spacing w:line="280" w:lineRule="exac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10.3</w:t>
            </w:r>
          </w:p>
        </w:tc>
        <w:tc>
          <w:tcPr>
            <w:tcW w:w="542" w:type="dxa"/>
            <w:shd w:val="clear" w:color="auto" w:fill="auto"/>
            <w:noWrap w:val="0"/>
            <w:vAlign w:val="center"/>
          </w:tcPr>
          <w:p w14:paraId="6E3AF92C">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 xml:space="preserve">69.8 </w:t>
            </w:r>
          </w:p>
        </w:tc>
        <w:tc>
          <w:tcPr>
            <w:tcW w:w="542" w:type="dxa"/>
            <w:shd w:val="clear" w:color="auto" w:fill="auto"/>
            <w:noWrap w:val="0"/>
            <w:vAlign w:val="center"/>
          </w:tcPr>
          <w:p w14:paraId="4BE33635">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 xml:space="preserve">69.8 </w:t>
            </w:r>
          </w:p>
        </w:tc>
        <w:tc>
          <w:tcPr>
            <w:tcW w:w="542" w:type="dxa"/>
            <w:shd w:val="clear" w:color="auto" w:fill="auto"/>
            <w:noWrap w:val="0"/>
            <w:vAlign w:val="center"/>
          </w:tcPr>
          <w:p w14:paraId="30669065">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 xml:space="preserve">69.9 </w:t>
            </w:r>
          </w:p>
        </w:tc>
        <w:tc>
          <w:tcPr>
            <w:tcW w:w="555" w:type="dxa"/>
            <w:shd w:val="clear" w:color="auto" w:fill="auto"/>
            <w:noWrap w:val="0"/>
            <w:vAlign w:val="center"/>
          </w:tcPr>
          <w:p w14:paraId="5F26D42F">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 xml:space="preserve">70.7 </w:t>
            </w:r>
          </w:p>
        </w:tc>
        <w:tc>
          <w:tcPr>
            <w:tcW w:w="542" w:type="dxa"/>
            <w:vMerge w:val="continue"/>
            <w:shd w:val="clear" w:color="auto" w:fill="auto"/>
            <w:noWrap w:val="0"/>
            <w:vAlign w:val="center"/>
          </w:tcPr>
          <w:p w14:paraId="3610E0D4">
            <w:pPr>
              <w:spacing w:line="280" w:lineRule="exact"/>
              <w:jc w:val="center"/>
              <w:rPr>
                <w:rFonts w:hint="default" w:ascii="Times New Roman" w:hAnsi="Times New Roman" w:eastAsia="宋体"/>
                <w:color w:val="000000" w:themeColor="text1"/>
                <w:szCs w:val="21"/>
                <w:highlight w:val="none"/>
                <w:lang w:val="en-US" w:eastAsia="zh-CN"/>
                <w14:textFill>
                  <w14:solidFill>
                    <w14:schemeClr w14:val="tx1"/>
                  </w14:solidFill>
                </w14:textFill>
              </w:rPr>
            </w:pPr>
          </w:p>
        </w:tc>
        <w:tc>
          <w:tcPr>
            <w:tcW w:w="897" w:type="dxa"/>
            <w:shd w:val="clear" w:color="auto" w:fill="auto"/>
            <w:noWrap w:val="0"/>
            <w:vAlign w:val="center"/>
          </w:tcPr>
          <w:p w14:paraId="50CBC27B">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24.3</w:t>
            </w:r>
          </w:p>
        </w:tc>
        <w:tc>
          <w:tcPr>
            <w:tcW w:w="746" w:type="dxa"/>
            <w:shd w:val="clear" w:color="auto" w:fill="auto"/>
            <w:noWrap w:val="0"/>
            <w:vAlign w:val="center"/>
          </w:tcPr>
          <w:p w14:paraId="21EF724F">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45.5</w:t>
            </w:r>
          </w:p>
        </w:tc>
        <w:tc>
          <w:tcPr>
            <w:tcW w:w="689" w:type="dxa"/>
            <w:shd w:val="clear" w:color="auto" w:fill="auto"/>
            <w:noWrap w:val="0"/>
            <w:vAlign w:val="center"/>
          </w:tcPr>
          <w:p w14:paraId="6C578A53">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45.5</w:t>
            </w:r>
          </w:p>
        </w:tc>
        <w:tc>
          <w:tcPr>
            <w:tcW w:w="838" w:type="dxa"/>
            <w:shd w:val="clear" w:color="auto" w:fill="auto"/>
            <w:noWrap w:val="0"/>
            <w:vAlign w:val="center"/>
          </w:tcPr>
          <w:p w14:paraId="2467009C">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45.6</w:t>
            </w:r>
          </w:p>
        </w:tc>
        <w:tc>
          <w:tcPr>
            <w:tcW w:w="750" w:type="dxa"/>
            <w:shd w:val="clear" w:color="auto" w:fill="auto"/>
            <w:noWrap w:val="0"/>
            <w:vAlign w:val="center"/>
          </w:tcPr>
          <w:p w14:paraId="1DBCDCC3">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46.4</w:t>
            </w:r>
          </w:p>
        </w:tc>
        <w:tc>
          <w:tcPr>
            <w:tcW w:w="1096" w:type="dxa"/>
            <w:shd w:val="clear" w:color="auto" w:fill="auto"/>
            <w:noWrap w:val="0"/>
            <w:vAlign w:val="center"/>
          </w:tcPr>
          <w:p w14:paraId="04C48CA9">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1</w:t>
            </w:r>
          </w:p>
        </w:tc>
      </w:tr>
      <w:tr w14:paraId="618752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65C9ABAE">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68</w:t>
            </w:r>
          </w:p>
        </w:tc>
        <w:tc>
          <w:tcPr>
            <w:tcW w:w="714" w:type="dxa"/>
            <w:vMerge w:val="continue"/>
            <w:shd w:val="clear" w:color="auto" w:fill="auto"/>
            <w:noWrap w:val="0"/>
            <w:vAlign w:val="center"/>
          </w:tcPr>
          <w:p w14:paraId="5125E4BA">
            <w:pPr>
              <w:spacing w:line="280" w:lineRule="exact"/>
              <w:jc w:val="center"/>
              <w:rPr>
                <w:rFonts w:hint="eastAsia" w:cs="Times New Roman"/>
                <w:b w:val="0"/>
                <w:bCs w:val="0"/>
                <w:color w:val="000000" w:themeColor="text1"/>
                <w:kern w:val="0"/>
                <w:sz w:val="21"/>
                <w:szCs w:val="21"/>
                <w:highlight w:val="none"/>
                <w:vertAlign w:val="baseline"/>
                <w:lang w:val="en-US" w:eastAsia="zh-CN"/>
                <w14:textFill>
                  <w14:solidFill>
                    <w14:schemeClr w14:val="tx1"/>
                  </w14:solidFill>
                </w14:textFill>
              </w:rPr>
            </w:pPr>
          </w:p>
        </w:tc>
        <w:tc>
          <w:tcPr>
            <w:tcW w:w="714" w:type="dxa"/>
            <w:shd w:val="clear" w:color="auto" w:fill="auto"/>
            <w:noWrap w:val="0"/>
            <w:vAlign w:val="center"/>
          </w:tcPr>
          <w:p w14:paraId="3E3F1904">
            <w:pPr>
              <w:spacing w:line="280" w:lineRule="exact"/>
              <w:jc w:val="center"/>
              <w:rPr>
                <w:rFonts w:hint="default" w:ascii="Times New Roman" w:hAnsi="Times New Roman" w:eastAsia="宋体" w:cs="Times New Roman"/>
                <w:b w:val="0"/>
                <w:bCs w:val="0"/>
                <w:color w:val="000000" w:themeColor="text1"/>
                <w:kern w:val="0"/>
                <w:sz w:val="21"/>
                <w:szCs w:val="21"/>
                <w:highlight w:val="none"/>
                <w:vertAlign w:val="baseline"/>
                <w:lang w:val="en-US" w:eastAsia="zh-CN" w:bidi="ar-SA"/>
                <w14:textFill>
                  <w14:solidFill>
                    <w14:schemeClr w14:val="tx1"/>
                  </w14:solidFill>
                </w14:textFill>
              </w:rPr>
            </w:pPr>
            <w:r>
              <w:rPr>
                <w:rFonts w:hint="default" w:ascii="Times New Roman" w:hAnsi="Times New Roman" w:cs="Times New Roman"/>
                <w:color w:val="000000" w:themeColor="text1"/>
                <w:szCs w:val="21"/>
                <w:highlight w:val="none"/>
                <w:lang w:val="en-US" w:eastAsia="zh-CN"/>
                <w14:textFill>
                  <w14:solidFill>
                    <w14:schemeClr w14:val="tx1"/>
                  </w14:solidFill>
                </w14:textFill>
              </w:rPr>
              <w:t>纯水系统</w:t>
            </w:r>
          </w:p>
        </w:tc>
        <w:tc>
          <w:tcPr>
            <w:tcW w:w="537" w:type="dxa"/>
            <w:shd w:val="clear" w:color="auto" w:fill="auto"/>
            <w:noWrap w:val="0"/>
            <w:vAlign w:val="center"/>
          </w:tcPr>
          <w:p w14:paraId="481A78EB">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60</w:t>
            </w:r>
          </w:p>
        </w:tc>
        <w:tc>
          <w:tcPr>
            <w:tcW w:w="537" w:type="dxa"/>
            <w:shd w:val="clear" w:color="auto" w:fill="auto"/>
            <w:noWrap w:val="0"/>
            <w:vAlign w:val="center"/>
          </w:tcPr>
          <w:p w14:paraId="42354DF3">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48.08</w:t>
            </w:r>
          </w:p>
        </w:tc>
        <w:tc>
          <w:tcPr>
            <w:tcW w:w="537" w:type="dxa"/>
            <w:shd w:val="clear" w:color="auto" w:fill="auto"/>
            <w:noWrap w:val="0"/>
            <w:vAlign w:val="center"/>
          </w:tcPr>
          <w:p w14:paraId="74F05E65">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21.38</w:t>
            </w:r>
          </w:p>
        </w:tc>
        <w:tc>
          <w:tcPr>
            <w:tcW w:w="558" w:type="dxa"/>
            <w:shd w:val="clear" w:color="auto" w:fill="auto"/>
            <w:noWrap w:val="0"/>
            <w:vAlign w:val="center"/>
          </w:tcPr>
          <w:p w14:paraId="4BCD0A94">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1.0</w:t>
            </w:r>
          </w:p>
        </w:tc>
        <w:tc>
          <w:tcPr>
            <w:tcW w:w="537" w:type="dxa"/>
            <w:shd w:val="clear" w:color="auto" w:fill="auto"/>
            <w:noWrap w:val="0"/>
            <w:vAlign w:val="center"/>
          </w:tcPr>
          <w:p w14:paraId="7639D3CC">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12.4</w:t>
            </w:r>
          </w:p>
        </w:tc>
        <w:tc>
          <w:tcPr>
            <w:tcW w:w="537" w:type="dxa"/>
            <w:shd w:val="clear" w:color="auto" w:fill="auto"/>
            <w:noWrap w:val="0"/>
            <w:vAlign w:val="center"/>
          </w:tcPr>
          <w:p w14:paraId="377F6715">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5.1</w:t>
            </w:r>
          </w:p>
        </w:tc>
        <w:tc>
          <w:tcPr>
            <w:tcW w:w="542" w:type="dxa"/>
            <w:shd w:val="clear" w:color="auto" w:fill="auto"/>
            <w:noWrap w:val="0"/>
            <w:vAlign w:val="center"/>
          </w:tcPr>
          <w:p w14:paraId="24342B79">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55.3</w:t>
            </w:r>
          </w:p>
        </w:tc>
        <w:tc>
          <w:tcPr>
            <w:tcW w:w="558" w:type="dxa"/>
            <w:shd w:val="clear" w:color="auto" w:fill="auto"/>
            <w:noWrap w:val="0"/>
            <w:vAlign w:val="center"/>
          </w:tcPr>
          <w:p w14:paraId="5D0D7D1F">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144.8</w:t>
            </w:r>
          </w:p>
        </w:tc>
        <w:tc>
          <w:tcPr>
            <w:tcW w:w="542" w:type="dxa"/>
            <w:shd w:val="clear" w:color="auto" w:fill="auto"/>
            <w:noWrap w:val="0"/>
            <w:vAlign w:val="center"/>
          </w:tcPr>
          <w:p w14:paraId="4367C332">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35.5 </w:t>
            </w:r>
          </w:p>
        </w:tc>
        <w:tc>
          <w:tcPr>
            <w:tcW w:w="542" w:type="dxa"/>
            <w:shd w:val="clear" w:color="auto" w:fill="auto"/>
            <w:noWrap w:val="0"/>
            <w:vAlign w:val="center"/>
          </w:tcPr>
          <w:p w14:paraId="6BB6675F">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57.8 </w:t>
            </w:r>
          </w:p>
        </w:tc>
        <w:tc>
          <w:tcPr>
            <w:tcW w:w="542" w:type="dxa"/>
            <w:shd w:val="clear" w:color="auto" w:fill="auto"/>
            <w:noWrap w:val="0"/>
            <w:vAlign w:val="center"/>
          </w:tcPr>
          <w:p w14:paraId="013AB45F">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34.8 </w:t>
            </w:r>
          </w:p>
        </w:tc>
        <w:tc>
          <w:tcPr>
            <w:tcW w:w="555" w:type="dxa"/>
            <w:shd w:val="clear" w:color="auto" w:fill="auto"/>
            <w:noWrap w:val="0"/>
            <w:vAlign w:val="center"/>
          </w:tcPr>
          <w:p w14:paraId="36735078">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 xml:space="preserve">34.8 </w:t>
            </w:r>
          </w:p>
        </w:tc>
        <w:tc>
          <w:tcPr>
            <w:tcW w:w="542" w:type="dxa"/>
            <w:vMerge w:val="continue"/>
            <w:shd w:val="clear" w:color="auto" w:fill="auto"/>
            <w:noWrap w:val="0"/>
            <w:vAlign w:val="center"/>
          </w:tcPr>
          <w:p w14:paraId="6EE3C6B7">
            <w:pPr>
              <w:spacing w:line="280" w:lineRule="exact"/>
              <w:jc w:val="center"/>
              <w:rPr>
                <w:rFonts w:hint="default" w:ascii="Times New Roman" w:hAnsi="Times New Roman" w:eastAsia="宋体"/>
                <w:color w:val="000000" w:themeColor="text1"/>
                <w:szCs w:val="21"/>
                <w:highlight w:val="none"/>
                <w:lang w:val="en-US" w:eastAsia="zh-CN"/>
                <w14:textFill>
                  <w14:solidFill>
                    <w14:schemeClr w14:val="tx1"/>
                  </w14:solidFill>
                </w14:textFill>
              </w:rPr>
            </w:pPr>
          </w:p>
        </w:tc>
        <w:tc>
          <w:tcPr>
            <w:tcW w:w="897" w:type="dxa"/>
            <w:shd w:val="clear" w:color="auto" w:fill="auto"/>
            <w:noWrap w:val="0"/>
            <w:vAlign w:val="center"/>
          </w:tcPr>
          <w:p w14:paraId="7A6C4027">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24.3</w:t>
            </w:r>
          </w:p>
        </w:tc>
        <w:tc>
          <w:tcPr>
            <w:tcW w:w="746" w:type="dxa"/>
            <w:shd w:val="clear" w:color="auto" w:fill="auto"/>
            <w:noWrap w:val="0"/>
            <w:vAlign w:val="center"/>
          </w:tcPr>
          <w:p w14:paraId="32CCA3C9">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11.2</w:t>
            </w:r>
          </w:p>
        </w:tc>
        <w:tc>
          <w:tcPr>
            <w:tcW w:w="689" w:type="dxa"/>
            <w:shd w:val="clear" w:color="auto" w:fill="auto"/>
            <w:noWrap w:val="0"/>
            <w:vAlign w:val="center"/>
          </w:tcPr>
          <w:p w14:paraId="5AA2EFD2">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33.5</w:t>
            </w:r>
          </w:p>
        </w:tc>
        <w:tc>
          <w:tcPr>
            <w:tcW w:w="838" w:type="dxa"/>
            <w:shd w:val="clear" w:color="auto" w:fill="auto"/>
            <w:noWrap w:val="0"/>
            <w:vAlign w:val="center"/>
          </w:tcPr>
          <w:p w14:paraId="735F973F">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10.5</w:t>
            </w:r>
          </w:p>
        </w:tc>
        <w:tc>
          <w:tcPr>
            <w:tcW w:w="750" w:type="dxa"/>
            <w:shd w:val="clear" w:color="auto" w:fill="auto"/>
            <w:noWrap w:val="0"/>
            <w:vAlign w:val="center"/>
          </w:tcPr>
          <w:p w14:paraId="3EC8166D">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10.5</w:t>
            </w:r>
          </w:p>
        </w:tc>
        <w:tc>
          <w:tcPr>
            <w:tcW w:w="1096" w:type="dxa"/>
            <w:shd w:val="clear" w:color="auto" w:fill="auto"/>
            <w:noWrap w:val="0"/>
            <w:vAlign w:val="center"/>
          </w:tcPr>
          <w:p w14:paraId="5B5CC63D">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r>
      <w:tr w14:paraId="66A31C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0AAC67ED">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69</w:t>
            </w:r>
          </w:p>
        </w:tc>
        <w:tc>
          <w:tcPr>
            <w:tcW w:w="714" w:type="dxa"/>
            <w:vMerge w:val="continue"/>
            <w:shd w:val="clear" w:color="auto" w:fill="auto"/>
            <w:noWrap w:val="0"/>
            <w:vAlign w:val="center"/>
          </w:tcPr>
          <w:p w14:paraId="7F22DA01">
            <w:pPr>
              <w:spacing w:line="280" w:lineRule="exact"/>
              <w:jc w:val="center"/>
              <w:rPr>
                <w:rFonts w:hint="eastAsia" w:ascii="Times New Roman" w:hAnsi="Times New Roman" w:eastAsia="宋体" w:cs="Times New Roman"/>
                <w:b w:val="0"/>
                <w:bCs w:val="0"/>
                <w:color w:val="000000" w:themeColor="text1"/>
                <w:kern w:val="0"/>
                <w:sz w:val="21"/>
                <w:szCs w:val="21"/>
                <w:highlight w:val="none"/>
                <w:vertAlign w:val="baseline"/>
                <w:lang w:val="en-US" w:eastAsia="zh-CN"/>
                <w14:textFill>
                  <w14:solidFill>
                    <w14:schemeClr w14:val="tx1"/>
                  </w14:solidFill>
                </w14:textFill>
              </w:rPr>
            </w:pPr>
          </w:p>
        </w:tc>
        <w:tc>
          <w:tcPr>
            <w:tcW w:w="714" w:type="dxa"/>
            <w:shd w:val="clear" w:color="auto" w:fill="auto"/>
            <w:noWrap w:val="0"/>
            <w:vAlign w:val="center"/>
          </w:tcPr>
          <w:p w14:paraId="1D2519C0">
            <w:pPr>
              <w:spacing w:line="280" w:lineRule="exact"/>
              <w:jc w:val="center"/>
              <w:rPr>
                <w:rFonts w:hint="default" w:ascii="Times New Roman" w:hAnsi="Times New Roman" w:eastAsia="宋体" w:cs="Times New Roman"/>
                <w:b w:val="0"/>
                <w:bCs w:val="0"/>
                <w:color w:val="000000" w:themeColor="text1"/>
                <w:kern w:val="0"/>
                <w:sz w:val="21"/>
                <w:szCs w:val="21"/>
                <w:highlight w:val="none"/>
                <w:vertAlign w:val="baseline"/>
                <w:lang w:val="en-US" w:eastAsia="zh-CN" w:bidi="ar-SA"/>
                <w14:textFill>
                  <w14:solidFill>
                    <w14:schemeClr w14:val="tx1"/>
                  </w14:solidFill>
                </w14:textFill>
              </w:rPr>
            </w:pPr>
            <w:r>
              <w:rPr>
                <w:rFonts w:hint="default" w:ascii="Times New Roman" w:hAnsi="Times New Roman" w:cs="Times New Roman"/>
                <w:color w:val="000000" w:themeColor="text1"/>
                <w:szCs w:val="21"/>
                <w:highlight w:val="none"/>
                <w:lang w:val="en-US" w:eastAsia="zh-CN"/>
                <w14:textFill>
                  <w14:solidFill>
                    <w14:schemeClr w14:val="tx1"/>
                  </w14:solidFill>
                </w14:textFill>
              </w:rPr>
              <w:t>污水处理系统</w:t>
            </w:r>
          </w:p>
        </w:tc>
        <w:tc>
          <w:tcPr>
            <w:tcW w:w="537" w:type="dxa"/>
            <w:shd w:val="clear" w:color="auto" w:fill="auto"/>
            <w:noWrap w:val="0"/>
            <w:vAlign w:val="center"/>
          </w:tcPr>
          <w:p w14:paraId="3B5C46F9">
            <w:pPr>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80</w:t>
            </w:r>
          </w:p>
        </w:tc>
        <w:tc>
          <w:tcPr>
            <w:tcW w:w="537" w:type="dxa"/>
            <w:shd w:val="clear" w:color="auto" w:fill="auto"/>
            <w:noWrap w:val="0"/>
            <w:vAlign w:val="center"/>
          </w:tcPr>
          <w:p w14:paraId="4AEF15ED">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27.53</w:t>
            </w:r>
          </w:p>
        </w:tc>
        <w:tc>
          <w:tcPr>
            <w:tcW w:w="537" w:type="dxa"/>
            <w:shd w:val="clear" w:color="auto" w:fill="auto"/>
            <w:noWrap w:val="0"/>
            <w:vAlign w:val="center"/>
          </w:tcPr>
          <w:p w14:paraId="0D05A1A2">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13.47</w:t>
            </w:r>
          </w:p>
        </w:tc>
        <w:tc>
          <w:tcPr>
            <w:tcW w:w="558" w:type="dxa"/>
            <w:shd w:val="clear" w:color="auto" w:fill="auto"/>
            <w:noWrap w:val="0"/>
            <w:vAlign w:val="center"/>
          </w:tcPr>
          <w:p w14:paraId="7971718E">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1.0</w:t>
            </w:r>
          </w:p>
        </w:tc>
        <w:tc>
          <w:tcPr>
            <w:tcW w:w="537" w:type="dxa"/>
            <w:shd w:val="clear" w:color="auto" w:fill="auto"/>
            <w:noWrap w:val="0"/>
            <w:vAlign w:val="center"/>
          </w:tcPr>
          <w:p w14:paraId="3A660D4F">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14.8</w:t>
            </w:r>
          </w:p>
        </w:tc>
        <w:tc>
          <w:tcPr>
            <w:tcW w:w="537" w:type="dxa"/>
            <w:shd w:val="clear" w:color="auto" w:fill="auto"/>
            <w:noWrap w:val="0"/>
            <w:vAlign w:val="center"/>
          </w:tcPr>
          <w:p w14:paraId="3553CC01">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4.3</w:t>
            </w:r>
          </w:p>
        </w:tc>
        <w:tc>
          <w:tcPr>
            <w:tcW w:w="542" w:type="dxa"/>
            <w:shd w:val="clear" w:color="auto" w:fill="auto"/>
            <w:noWrap w:val="0"/>
            <w:vAlign w:val="center"/>
          </w:tcPr>
          <w:p w14:paraId="4D075A9D">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30.6</w:t>
            </w:r>
          </w:p>
        </w:tc>
        <w:tc>
          <w:tcPr>
            <w:tcW w:w="558" w:type="dxa"/>
            <w:shd w:val="clear" w:color="auto" w:fill="auto"/>
            <w:noWrap w:val="0"/>
            <w:vAlign w:val="center"/>
          </w:tcPr>
          <w:p w14:paraId="170DAE0E">
            <w:pPr>
              <w:spacing w:line="280" w:lineRule="exac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174.6</w:t>
            </w:r>
          </w:p>
        </w:tc>
        <w:tc>
          <w:tcPr>
            <w:tcW w:w="542" w:type="dxa"/>
            <w:shd w:val="clear" w:color="auto" w:fill="auto"/>
            <w:noWrap w:val="0"/>
            <w:vAlign w:val="center"/>
          </w:tcPr>
          <w:p w14:paraId="664BDB34">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 xml:space="preserve">55.3 </w:t>
            </w:r>
          </w:p>
        </w:tc>
        <w:tc>
          <w:tcPr>
            <w:tcW w:w="542" w:type="dxa"/>
            <w:shd w:val="clear" w:color="auto" w:fill="auto"/>
            <w:noWrap w:val="0"/>
            <w:vAlign w:val="center"/>
          </w:tcPr>
          <w:p w14:paraId="47091BF0">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 xml:space="preserve">58.6 </w:t>
            </w:r>
          </w:p>
        </w:tc>
        <w:tc>
          <w:tcPr>
            <w:tcW w:w="542" w:type="dxa"/>
            <w:shd w:val="clear" w:color="auto" w:fill="auto"/>
            <w:noWrap w:val="0"/>
            <w:vAlign w:val="center"/>
          </w:tcPr>
          <w:p w14:paraId="0B1464DD">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 xml:space="preserve">54.9 </w:t>
            </w:r>
          </w:p>
        </w:tc>
        <w:tc>
          <w:tcPr>
            <w:tcW w:w="555" w:type="dxa"/>
            <w:shd w:val="clear" w:color="auto" w:fill="auto"/>
            <w:noWrap w:val="0"/>
            <w:vAlign w:val="center"/>
          </w:tcPr>
          <w:p w14:paraId="0E120611">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 xml:space="preserve">54.8 </w:t>
            </w:r>
          </w:p>
        </w:tc>
        <w:tc>
          <w:tcPr>
            <w:tcW w:w="542" w:type="dxa"/>
            <w:vMerge w:val="continue"/>
            <w:shd w:val="clear" w:color="auto" w:fill="auto"/>
            <w:noWrap w:val="0"/>
            <w:vAlign w:val="center"/>
          </w:tcPr>
          <w:p w14:paraId="70F3057A">
            <w:pPr>
              <w:spacing w:line="280" w:lineRule="exact"/>
              <w:jc w:val="center"/>
              <w:rPr>
                <w:rFonts w:hint="default" w:ascii="Times New Roman" w:hAnsi="Times New Roman" w:eastAsia="宋体"/>
                <w:color w:val="000000" w:themeColor="text1"/>
                <w:szCs w:val="21"/>
                <w:highlight w:val="none"/>
                <w:lang w:val="en-US" w:eastAsia="zh-CN"/>
                <w14:textFill>
                  <w14:solidFill>
                    <w14:schemeClr w14:val="tx1"/>
                  </w14:solidFill>
                </w14:textFill>
              </w:rPr>
            </w:pPr>
          </w:p>
        </w:tc>
        <w:tc>
          <w:tcPr>
            <w:tcW w:w="897" w:type="dxa"/>
            <w:shd w:val="clear" w:color="auto" w:fill="auto"/>
            <w:noWrap w:val="0"/>
            <w:vAlign w:val="center"/>
          </w:tcPr>
          <w:p w14:paraId="7602CAAE">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24.3</w:t>
            </w:r>
          </w:p>
        </w:tc>
        <w:tc>
          <w:tcPr>
            <w:tcW w:w="746" w:type="dxa"/>
            <w:shd w:val="clear" w:color="auto" w:fill="auto"/>
            <w:noWrap w:val="0"/>
            <w:vAlign w:val="center"/>
          </w:tcPr>
          <w:p w14:paraId="0DAFB0D7">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31</w:t>
            </w:r>
          </w:p>
        </w:tc>
        <w:tc>
          <w:tcPr>
            <w:tcW w:w="689" w:type="dxa"/>
            <w:shd w:val="clear" w:color="auto" w:fill="auto"/>
            <w:noWrap w:val="0"/>
            <w:vAlign w:val="center"/>
          </w:tcPr>
          <w:p w14:paraId="24623455">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34.3</w:t>
            </w:r>
          </w:p>
        </w:tc>
        <w:tc>
          <w:tcPr>
            <w:tcW w:w="838" w:type="dxa"/>
            <w:shd w:val="clear" w:color="auto" w:fill="auto"/>
            <w:noWrap w:val="0"/>
            <w:vAlign w:val="center"/>
          </w:tcPr>
          <w:p w14:paraId="2EC42287">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30.6</w:t>
            </w:r>
          </w:p>
        </w:tc>
        <w:tc>
          <w:tcPr>
            <w:tcW w:w="750" w:type="dxa"/>
            <w:shd w:val="clear" w:color="auto" w:fill="auto"/>
            <w:noWrap w:val="0"/>
            <w:vAlign w:val="center"/>
          </w:tcPr>
          <w:p w14:paraId="4B23BEFD">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30.5</w:t>
            </w:r>
          </w:p>
        </w:tc>
        <w:tc>
          <w:tcPr>
            <w:tcW w:w="1096" w:type="dxa"/>
            <w:shd w:val="clear" w:color="auto" w:fill="auto"/>
            <w:noWrap w:val="0"/>
            <w:vAlign w:val="center"/>
          </w:tcPr>
          <w:p w14:paraId="77A497CF">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r>
      <w:tr w14:paraId="3471FA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27203F65">
            <w:pPr>
              <w:spacing w:line="280" w:lineRule="exact"/>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70</w:t>
            </w:r>
          </w:p>
        </w:tc>
        <w:tc>
          <w:tcPr>
            <w:tcW w:w="714" w:type="dxa"/>
            <w:vMerge w:val="continue"/>
            <w:shd w:val="clear" w:color="auto" w:fill="auto"/>
            <w:noWrap w:val="0"/>
            <w:vAlign w:val="center"/>
          </w:tcPr>
          <w:p w14:paraId="38D0D6BD">
            <w:pPr>
              <w:spacing w:line="280" w:lineRule="exact"/>
              <w:jc w:val="center"/>
              <w:rPr>
                <w:rFonts w:hint="default" w:ascii="Times New Roman" w:hAnsi="Times New Roman" w:cs="Times New Roman"/>
                <w:color w:val="000000" w:themeColor="text1"/>
                <w:szCs w:val="21"/>
                <w:highlight w:val="none"/>
                <w:lang w:val="en-US" w:eastAsia="zh-CN"/>
                <w14:textFill>
                  <w14:solidFill>
                    <w14:schemeClr w14:val="tx1"/>
                  </w14:solidFill>
                </w14:textFill>
              </w:rPr>
            </w:pPr>
          </w:p>
        </w:tc>
        <w:tc>
          <w:tcPr>
            <w:tcW w:w="714" w:type="dxa"/>
            <w:shd w:val="clear" w:color="auto" w:fill="auto"/>
            <w:noWrap w:val="0"/>
            <w:vAlign w:val="center"/>
          </w:tcPr>
          <w:p w14:paraId="49991326">
            <w:pPr>
              <w:spacing w:line="280" w:lineRule="exact"/>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正极</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粉体上料系统</w:t>
            </w:r>
            <w:r>
              <w:rPr>
                <w:rFonts w:hint="eastAsia" w:cs="Times New Roman"/>
                <w:color w:val="000000" w:themeColor="text1"/>
                <w:sz w:val="21"/>
                <w:szCs w:val="21"/>
                <w:highlight w:val="none"/>
                <w:lang w:val="en-US" w:eastAsia="zh-CN"/>
                <w14:textFill>
                  <w14:solidFill>
                    <w14:schemeClr w14:val="tx1"/>
                  </w14:solidFill>
                </w14:textFill>
              </w:rPr>
              <w:t>1#</w:t>
            </w:r>
          </w:p>
        </w:tc>
        <w:tc>
          <w:tcPr>
            <w:tcW w:w="537" w:type="dxa"/>
            <w:shd w:val="clear" w:color="auto" w:fill="auto"/>
            <w:noWrap w:val="0"/>
            <w:vAlign w:val="center"/>
          </w:tcPr>
          <w:p w14:paraId="1412AD6E">
            <w:pPr>
              <w:spacing w:line="280" w:lineRule="exact"/>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75</w:t>
            </w:r>
          </w:p>
        </w:tc>
        <w:tc>
          <w:tcPr>
            <w:tcW w:w="537" w:type="dxa"/>
            <w:shd w:val="clear" w:color="auto" w:fill="auto"/>
            <w:noWrap w:val="0"/>
            <w:vAlign w:val="center"/>
          </w:tcPr>
          <w:p w14:paraId="12AEB780">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46.78</w:t>
            </w:r>
          </w:p>
        </w:tc>
        <w:tc>
          <w:tcPr>
            <w:tcW w:w="537" w:type="dxa"/>
            <w:shd w:val="clear" w:color="auto" w:fill="auto"/>
            <w:noWrap w:val="0"/>
            <w:vAlign w:val="center"/>
          </w:tcPr>
          <w:p w14:paraId="1DE0A06F">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35.18</w:t>
            </w:r>
          </w:p>
        </w:tc>
        <w:tc>
          <w:tcPr>
            <w:tcW w:w="558" w:type="dxa"/>
            <w:shd w:val="clear" w:color="auto" w:fill="auto"/>
            <w:noWrap w:val="0"/>
            <w:vAlign w:val="center"/>
          </w:tcPr>
          <w:p w14:paraId="75331FB2">
            <w:pPr>
              <w:spacing w:line="280" w:lineRule="exac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1.3</w:t>
            </w:r>
          </w:p>
        </w:tc>
        <w:tc>
          <w:tcPr>
            <w:tcW w:w="537" w:type="dxa"/>
            <w:shd w:val="clear" w:color="auto" w:fill="auto"/>
            <w:noWrap w:val="0"/>
            <w:vAlign w:val="center"/>
          </w:tcPr>
          <w:p w14:paraId="1C3B6B6A">
            <w:pPr>
              <w:spacing w:line="280" w:lineRule="exac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33.0</w:t>
            </w:r>
          </w:p>
        </w:tc>
        <w:tc>
          <w:tcPr>
            <w:tcW w:w="537" w:type="dxa"/>
            <w:shd w:val="clear" w:color="auto" w:fill="auto"/>
            <w:noWrap w:val="0"/>
            <w:vAlign w:val="center"/>
          </w:tcPr>
          <w:p w14:paraId="537D6D49">
            <w:pPr>
              <w:spacing w:line="280" w:lineRule="exac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18.4</w:t>
            </w:r>
          </w:p>
        </w:tc>
        <w:tc>
          <w:tcPr>
            <w:tcW w:w="542" w:type="dxa"/>
            <w:shd w:val="clear" w:color="auto" w:fill="auto"/>
            <w:noWrap w:val="0"/>
            <w:vAlign w:val="center"/>
          </w:tcPr>
          <w:p w14:paraId="5B3A24AD">
            <w:pPr>
              <w:spacing w:line="280" w:lineRule="exac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57.5</w:t>
            </w:r>
          </w:p>
        </w:tc>
        <w:tc>
          <w:tcPr>
            <w:tcW w:w="558" w:type="dxa"/>
            <w:shd w:val="clear" w:color="auto" w:fill="auto"/>
            <w:noWrap w:val="0"/>
            <w:vAlign w:val="center"/>
          </w:tcPr>
          <w:p w14:paraId="0F2935D1">
            <w:pPr>
              <w:spacing w:line="280" w:lineRule="exac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144.2</w:t>
            </w:r>
          </w:p>
        </w:tc>
        <w:tc>
          <w:tcPr>
            <w:tcW w:w="542" w:type="dxa"/>
            <w:shd w:val="clear" w:color="auto" w:fill="auto"/>
            <w:noWrap w:val="0"/>
            <w:vAlign w:val="center"/>
          </w:tcPr>
          <w:p w14:paraId="369F7665">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 xml:space="preserve">49.9 </w:t>
            </w:r>
          </w:p>
        </w:tc>
        <w:tc>
          <w:tcPr>
            <w:tcW w:w="542" w:type="dxa"/>
            <w:shd w:val="clear" w:color="auto" w:fill="auto"/>
            <w:noWrap w:val="0"/>
            <w:vAlign w:val="center"/>
          </w:tcPr>
          <w:p w14:paraId="0F22B36E">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 xml:space="preserve">50.1 </w:t>
            </w:r>
          </w:p>
        </w:tc>
        <w:tc>
          <w:tcPr>
            <w:tcW w:w="542" w:type="dxa"/>
            <w:shd w:val="clear" w:color="auto" w:fill="auto"/>
            <w:noWrap w:val="0"/>
            <w:vAlign w:val="center"/>
          </w:tcPr>
          <w:p w14:paraId="27F23E99">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 xml:space="preserve">49.8 </w:t>
            </w:r>
          </w:p>
        </w:tc>
        <w:tc>
          <w:tcPr>
            <w:tcW w:w="555" w:type="dxa"/>
            <w:shd w:val="clear" w:color="auto" w:fill="auto"/>
            <w:noWrap w:val="0"/>
            <w:vAlign w:val="center"/>
          </w:tcPr>
          <w:p w14:paraId="2AE46467">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 xml:space="preserve">49.8 </w:t>
            </w:r>
          </w:p>
        </w:tc>
        <w:tc>
          <w:tcPr>
            <w:tcW w:w="542" w:type="dxa"/>
            <w:vMerge w:val="continue"/>
            <w:shd w:val="clear" w:color="auto" w:fill="auto"/>
            <w:noWrap w:val="0"/>
            <w:vAlign w:val="center"/>
          </w:tcPr>
          <w:p w14:paraId="18EDD579">
            <w:pPr>
              <w:spacing w:line="280" w:lineRule="exact"/>
              <w:jc w:val="center"/>
              <w:rPr>
                <w:rFonts w:hint="default" w:ascii="Times New Roman" w:hAnsi="Times New Roman" w:eastAsia="宋体"/>
                <w:color w:val="000000" w:themeColor="text1"/>
                <w:szCs w:val="21"/>
                <w:highlight w:val="none"/>
                <w:lang w:val="en-US" w:eastAsia="zh-CN"/>
                <w14:textFill>
                  <w14:solidFill>
                    <w14:schemeClr w14:val="tx1"/>
                  </w14:solidFill>
                </w14:textFill>
              </w:rPr>
            </w:pPr>
          </w:p>
        </w:tc>
        <w:tc>
          <w:tcPr>
            <w:tcW w:w="897" w:type="dxa"/>
            <w:shd w:val="clear" w:color="auto" w:fill="auto"/>
            <w:noWrap w:val="0"/>
            <w:vAlign w:val="center"/>
          </w:tcPr>
          <w:p w14:paraId="5406A289">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24.3</w:t>
            </w:r>
          </w:p>
        </w:tc>
        <w:tc>
          <w:tcPr>
            <w:tcW w:w="746" w:type="dxa"/>
            <w:shd w:val="clear" w:color="auto" w:fill="auto"/>
            <w:noWrap w:val="0"/>
            <w:vAlign w:val="center"/>
          </w:tcPr>
          <w:p w14:paraId="6D3CFA1A">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25.6</w:t>
            </w:r>
          </w:p>
        </w:tc>
        <w:tc>
          <w:tcPr>
            <w:tcW w:w="689" w:type="dxa"/>
            <w:shd w:val="clear" w:color="auto" w:fill="auto"/>
            <w:noWrap w:val="0"/>
            <w:vAlign w:val="center"/>
          </w:tcPr>
          <w:p w14:paraId="63EDA673">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25.8</w:t>
            </w:r>
          </w:p>
        </w:tc>
        <w:tc>
          <w:tcPr>
            <w:tcW w:w="838" w:type="dxa"/>
            <w:shd w:val="clear" w:color="auto" w:fill="auto"/>
            <w:noWrap w:val="0"/>
            <w:vAlign w:val="center"/>
          </w:tcPr>
          <w:p w14:paraId="0651ACA0">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25.5</w:t>
            </w:r>
          </w:p>
        </w:tc>
        <w:tc>
          <w:tcPr>
            <w:tcW w:w="750" w:type="dxa"/>
            <w:shd w:val="clear" w:color="auto" w:fill="auto"/>
            <w:noWrap w:val="0"/>
            <w:vAlign w:val="center"/>
          </w:tcPr>
          <w:p w14:paraId="2E4C2A88">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25.5</w:t>
            </w:r>
          </w:p>
        </w:tc>
        <w:tc>
          <w:tcPr>
            <w:tcW w:w="1096" w:type="dxa"/>
            <w:shd w:val="clear" w:color="auto" w:fill="auto"/>
            <w:noWrap w:val="0"/>
            <w:vAlign w:val="center"/>
          </w:tcPr>
          <w:p w14:paraId="2893C13A">
            <w:pPr>
              <w:spacing w:line="280" w:lineRule="exac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r>
      <w:tr w14:paraId="133F9F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0F3E979A">
            <w:pPr>
              <w:spacing w:line="280" w:lineRule="exact"/>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71</w:t>
            </w:r>
          </w:p>
        </w:tc>
        <w:tc>
          <w:tcPr>
            <w:tcW w:w="714" w:type="dxa"/>
            <w:vMerge w:val="continue"/>
            <w:shd w:val="clear" w:color="auto" w:fill="auto"/>
            <w:noWrap w:val="0"/>
            <w:vAlign w:val="center"/>
          </w:tcPr>
          <w:p w14:paraId="2C2C5B11">
            <w:pPr>
              <w:spacing w:line="280" w:lineRule="exact"/>
              <w:jc w:val="center"/>
              <w:rPr>
                <w:rFonts w:hint="default" w:ascii="Times New Roman" w:hAnsi="Times New Roman" w:cs="Times New Roman"/>
                <w:color w:val="000000" w:themeColor="text1"/>
                <w:szCs w:val="21"/>
                <w:highlight w:val="none"/>
                <w:lang w:val="en-US" w:eastAsia="zh-CN"/>
                <w14:textFill>
                  <w14:solidFill>
                    <w14:schemeClr w14:val="tx1"/>
                  </w14:solidFill>
                </w14:textFill>
              </w:rPr>
            </w:pPr>
          </w:p>
        </w:tc>
        <w:tc>
          <w:tcPr>
            <w:tcW w:w="714" w:type="dxa"/>
            <w:shd w:val="clear" w:color="auto" w:fill="auto"/>
            <w:noWrap w:val="0"/>
            <w:vAlign w:val="center"/>
          </w:tcPr>
          <w:p w14:paraId="0071980B">
            <w:pPr>
              <w:spacing w:line="280" w:lineRule="exact"/>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正极</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粉体上料系统</w:t>
            </w:r>
            <w:r>
              <w:rPr>
                <w:rFonts w:hint="eastAsia" w:cs="Times New Roman"/>
                <w:color w:val="000000" w:themeColor="text1"/>
                <w:sz w:val="21"/>
                <w:szCs w:val="21"/>
                <w:highlight w:val="none"/>
                <w:lang w:val="en-US" w:eastAsia="zh-CN"/>
                <w14:textFill>
                  <w14:solidFill>
                    <w14:schemeClr w14:val="tx1"/>
                  </w14:solidFill>
                </w14:textFill>
              </w:rPr>
              <w:t>2#</w:t>
            </w:r>
          </w:p>
        </w:tc>
        <w:tc>
          <w:tcPr>
            <w:tcW w:w="537" w:type="dxa"/>
            <w:shd w:val="clear" w:color="auto" w:fill="auto"/>
            <w:noWrap w:val="0"/>
            <w:vAlign w:val="center"/>
          </w:tcPr>
          <w:p w14:paraId="004CE684">
            <w:pPr>
              <w:spacing w:line="280" w:lineRule="exact"/>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75</w:t>
            </w:r>
          </w:p>
        </w:tc>
        <w:tc>
          <w:tcPr>
            <w:tcW w:w="537" w:type="dxa"/>
            <w:shd w:val="clear" w:color="auto" w:fill="auto"/>
            <w:noWrap w:val="0"/>
            <w:vAlign w:val="center"/>
          </w:tcPr>
          <w:p w14:paraId="70A071D9">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47.05</w:t>
            </w:r>
          </w:p>
        </w:tc>
        <w:tc>
          <w:tcPr>
            <w:tcW w:w="537" w:type="dxa"/>
            <w:shd w:val="clear" w:color="auto" w:fill="auto"/>
            <w:noWrap w:val="0"/>
            <w:vAlign w:val="center"/>
          </w:tcPr>
          <w:p w14:paraId="683B3D63">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33.41</w:t>
            </w:r>
          </w:p>
        </w:tc>
        <w:tc>
          <w:tcPr>
            <w:tcW w:w="558" w:type="dxa"/>
            <w:shd w:val="clear" w:color="auto" w:fill="auto"/>
            <w:noWrap w:val="0"/>
            <w:vAlign w:val="center"/>
          </w:tcPr>
          <w:p w14:paraId="0AFB8668">
            <w:pPr>
              <w:spacing w:line="280" w:lineRule="exac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1.3</w:t>
            </w:r>
          </w:p>
        </w:tc>
        <w:tc>
          <w:tcPr>
            <w:tcW w:w="537" w:type="dxa"/>
            <w:shd w:val="clear" w:color="auto" w:fill="auto"/>
            <w:noWrap w:val="0"/>
            <w:vAlign w:val="center"/>
          </w:tcPr>
          <w:p w14:paraId="69A51982">
            <w:pPr>
              <w:spacing w:line="280" w:lineRule="exac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33.6</w:t>
            </w:r>
          </w:p>
        </w:tc>
        <w:tc>
          <w:tcPr>
            <w:tcW w:w="537" w:type="dxa"/>
            <w:shd w:val="clear" w:color="auto" w:fill="auto"/>
            <w:noWrap w:val="0"/>
            <w:vAlign w:val="center"/>
          </w:tcPr>
          <w:p w14:paraId="3A44F336">
            <w:pPr>
              <w:spacing w:line="280" w:lineRule="exac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16.4</w:t>
            </w:r>
          </w:p>
        </w:tc>
        <w:tc>
          <w:tcPr>
            <w:tcW w:w="542" w:type="dxa"/>
            <w:shd w:val="clear" w:color="auto" w:fill="auto"/>
            <w:noWrap w:val="0"/>
            <w:vAlign w:val="center"/>
          </w:tcPr>
          <w:p w14:paraId="25228972">
            <w:pPr>
              <w:spacing w:line="280" w:lineRule="exac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56.5</w:t>
            </w:r>
          </w:p>
        </w:tc>
        <w:tc>
          <w:tcPr>
            <w:tcW w:w="558" w:type="dxa"/>
            <w:shd w:val="clear" w:color="auto" w:fill="auto"/>
            <w:noWrap w:val="0"/>
            <w:vAlign w:val="center"/>
          </w:tcPr>
          <w:p w14:paraId="7D3339BE">
            <w:pPr>
              <w:spacing w:line="280" w:lineRule="exac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146.5</w:t>
            </w:r>
          </w:p>
        </w:tc>
        <w:tc>
          <w:tcPr>
            <w:tcW w:w="542" w:type="dxa"/>
            <w:shd w:val="clear" w:color="auto" w:fill="auto"/>
            <w:noWrap w:val="0"/>
            <w:vAlign w:val="center"/>
          </w:tcPr>
          <w:p w14:paraId="47F7B4E8">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 xml:space="preserve">49.9 </w:t>
            </w:r>
          </w:p>
        </w:tc>
        <w:tc>
          <w:tcPr>
            <w:tcW w:w="542" w:type="dxa"/>
            <w:shd w:val="clear" w:color="auto" w:fill="auto"/>
            <w:noWrap w:val="0"/>
            <w:vAlign w:val="center"/>
          </w:tcPr>
          <w:p w14:paraId="05AF5B35">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 xml:space="preserve">50.2 </w:t>
            </w:r>
          </w:p>
        </w:tc>
        <w:tc>
          <w:tcPr>
            <w:tcW w:w="542" w:type="dxa"/>
            <w:shd w:val="clear" w:color="auto" w:fill="auto"/>
            <w:noWrap w:val="0"/>
            <w:vAlign w:val="center"/>
          </w:tcPr>
          <w:p w14:paraId="4FB7DA21">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 xml:space="preserve">49.8 </w:t>
            </w:r>
          </w:p>
        </w:tc>
        <w:tc>
          <w:tcPr>
            <w:tcW w:w="555" w:type="dxa"/>
            <w:shd w:val="clear" w:color="auto" w:fill="auto"/>
            <w:noWrap w:val="0"/>
            <w:vAlign w:val="center"/>
          </w:tcPr>
          <w:p w14:paraId="779C4F32">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 xml:space="preserve">49.8 </w:t>
            </w:r>
          </w:p>
        </w:tc>
        <w:tc>
          <w:tcPr>
            <w:tcW w:w="542" w:type="dxa"/>
            <w:vMerge w:val="continue"/>
            <w:shd w:val="clear" w:color="auto" w:fill="auto"/>
            <w:noWrap w:val="0"/>
            <w:vAlign w:val="center"/>
          </w:tcPr>
          <w:p w14:paraId="1A6C036B">
            <w:pPr>
              <w:spacing w:line="280" w:lineRule="exact"/>
              <w:jc w:val="center"/>
              <w:rPr>
                <w:rFonts w:hint="default" w:ascii="Times New Roman" w:hAnsi="Times New Roman" w:eastAsia="宋体"/>
                <w:color w:val="000000" w:themeColor="text1"/>
                <w:szCs w:val="21"/>
                <w:highlight w:val="none"/>
                <w:lang w:val="en-US" w:eastAsia="zh-CN"/>
                <w14:textFill>
                  <w14:solidFill>
                    <w14:schemeClr w14:val="tx1"/>
                  </w14:solidFill>
                </w14:textFill>
              </w:rPr>
            </w:pPr>
          </w:p>
        </w:tc>
        <w:tc>
          <w:tcPr>
            <w:tcW w:w="897" w:type="dxa"/>
            <w:shd w:val="clear" w:color="auto" w:fill="auto"/>
            <w:noWrap w:val="0"/>
            <w:vAlign w:val="center"/>
          </w:tcPr>
          <w:p w14:paraId="144923A5">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24.3</w:t>
            </w:r>
          </w:p>
        </w:tc>
        <w:tc>
          <w:tcPr>
            <w:tcW w:w="746" w:type="dxa"/>
            <w:shd w:val="clear" w:color="auto" w:fill="auto"/>
            <w:noWrap w:val="0"/>
            <w:vAlign w:val="center"/>
          </w:tcPr>
          <w:p w14:paraId="4CB3DF84">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25.6</w:t>
            </w:r>
          </w:p>
        </w:tc>
        <w:tc>
          <w:tcPr>
            <w:tcW w:w="689" w:type="dxa"/>
            <w:shd w:val="clear" w:color="auto" w:fill="auto"/>
            <w:noWrap w:val="0"/>
            <w:vAlign w:val="center"/>
          </w:tcPr>
          <w:p w14:paraId="1FD72AC2">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25.9</w:t>
            </w:r>
          </w:p>
        </w:tc>
        <w:tc>
          <w:tcPr>
            <w:tcW w:w="838" w:type="dxa"/>
            <w:shd w:val="clear" w:color="auto" w:fill="auto"/>
            <w:noWrap w:val="0"/>
            <w:vAlign w:val="center"/>
          </w:tcPr>
          <w:p w14:paraId="03D05FBF">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25.5</w:t>
            </w:r>
          </w:p>
        </w:tc>
        <w:tc>
          <w:tcPr>
            <w:tcW w:w="750" w:type="dxa"/>
            <w:shd w:val="clear" w:color="auto" w:fill="auto"/>
            <w:noWrap w:val="0"/>
            <w:vAlign w:val="center"/>
          </w:tcPr>
          <w:p w14:paraId="75EB3ABE">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25.5</w:t>
            </w:r>
          </w:p>
        </w:tc>
        <w:tc>
          <w:tcPr>
            <w:tcW w:w="1096" w:type="dxa"/>
            <w:shd w:val="clear" w:color="auto" w:fill="auto"/>
            <w:noWrap w:val="0"/>
            <w:vAlign w:val="center"/>
          </w:tcPr>
          <w:p w14:paraId="1A823338">
            <w:pPr>
              <w:spacing w:line="280" w:lineRule="exac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r>
      <w:tr w14:paraId="516118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2A1E4112">
            <w:pPr>
              <w:spacing w:line="280" w:lineRule="exact"/>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72</w:t>
            </w:r>
          </w:p>
        </w:tc>
        <w:tc>
          <w:tcPr>
            <w:tcW w:w="714" w:type="dxa"/>
            <w:vMerge w:val="continue"/>
            <w:shd w:val="clear" w:color="auto" w:fill="auto"/>
            <w:noWrap w:val="0"/>
            <w:vAlign w:val="center"/>
          </w:tcPr>
          <w:p w14:paraId="674A796F">
            <w:pPr>
              <w:spacing w:line="280" w:lineRule="exact"/>
              <w:jc w:val="center"/>
              <w:rPr>
                <w:rFonts w:hint="default" w:ascii="Times New Roman" w:hAnsi="Times New Roman" w:cs="Times New Roman"/>
                <w:color w:val="000000" w:themeColor="text1"/>
                <w:szCs w:val="21"/>
                <w:highlight w:val="none"/>
                <w:lang w:val="en-US" w:eastAsia="zh-CN"/>
                <w14:textFill>
                  <w14:solidFill>
                    <w14:schemeClr w14:val="tx1"/>
                  </w14:solidFill>
                </w14:textFill>
              </w:rPr>
            </w:pPr>
          </w:p>
        </w:tc>
        <w:tc>
          <w:tcPr>
            <w:tcW w:w="714" w:type="dxa"/>
            <w:shd w:val="clear" w:color="auto" w:fill="auto"/>
            <w:noWrap w:val="0"/>
            <w:vAlign w:val="center"/>
          </w:tcPr>
          <w:p w14:paraId="1BD14793">
            <w:pPr>
              <w:spacing w:line="280" w:lineRule="exact"/>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正极</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液体上料系统</w:t>
            </w:r>
          </w:p>
        </w:tc>
        <w:tc>
          <w:tcPr>
            <w:tcW w:w="537" w:type="dxa"/>
            <w:shd w:val="clear" w:color="auto" w:fill="auto"/>
            <w:noWrap w:val="0"/>
            <w:vAlign w:val="center"/>
          </w:tcPr>
          <w:p w14:paraId="0C91587F">
            <w:pPr>
              <w:spacing w:line="280" w:lineRule="exact"/>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70</w:t>
            </w:r>
          </w:p>
        </w:tc>
        <w:tc>
          <w:tcPr>
            <w:tcW w:w="537" w:type="dxa"/>
            <w:shd w:val="clear" w:color="auto" w:fill="auto"/>
            <w:noWrap w:val="0"/>
            <w:vAlign w:val="center"/>
          </w:tcPr>
          <w:p w14:paraId="111C6BA2">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47.46</w:t>
            </w:r>
          </w:p>
        </w:tc>
        <w:tc>
          <w:tcPr>
            <w:tcW w:w="537" w:type="dxa"/>
            <w:shd w:val="clear" w:color="auto" w:fill="auto"/>
            <w:noWrap w:val="0"/>
            <w:vAlign w:val="center"/>
          </w:tcPr>
          <w:p w14:paraId="78ED03C7">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33.41</w:t>
            </w:r>
          </w:p>
        </w:tc>
        <w:tc>
          <w:tcPr>
            <w:tcW w:w="558" w:type="dxa"/>
            <w:shd w:val="clear" w:color="auto" w:fill="auto"/>
            <w:noWrap w:val="0"/>
            <w:vAlign w:val="center"/>
          </w:tcPr>
          <w:p w14:paraId="6F50A5B1">
            <w:pPr>
              <w:spacing w:line="280" w:lineRule="exac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1.3</w:t>
            </w:r>
          </w:p>
        </w:tc>
        <w:tc>
          <w:tcPr>
            <w:tcW w:w="537" w:type="dxa"/>
            <w:shd w:val="clear" w:color="auto" w:fill="auto"/>
            <w:noWrap w:val="0"/>
            <w:vAlign w:val="center"/>
          </w:tcPr>
          <w:p w14:paraId="255AF9BE">
            <w:pPr>
              <w:spacing w:line="280" w:lineRule="exac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33.8</w:t>
            </w:r>
          </w:p>
        </w:tc>
        <w:tc>
          <w:tcPr>
            <w:tcW w:w="537" w:type="dxa"/>
            <w:shd w:val="clear" w:color="auto" w:fill="auto"/>
            <w:noWrap w:val="0"/>
            <w:vAlign w:val="center"/>
          </w:tcPr>
          <w:p w14:paraId="4425C4A2">
            <w:pPr>
              <w:spacing w:line="280" w:lineRule="exac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16.6</w:t>
            </w:r>
          </w:p>
        </w:tc>
        <w:tc>
          <w:tcPr>
            <w:tcW w:w="542" w:type="dxa"/>
            <w:shd w:val="clear" w:color="auto" w:fill="auto"/>
            <w:noWrap w:val="0"/>
            <w:vAlign w:val="center"/>
          </w:tcPr>
          <w:p w14:paraId="61E2FDDE">
            <w:pPr>
              <w:spacing w:line="280" w:lineRule="exac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57.6</w:t>
            </w:r>
          </w:p>
        </w:tc>
        <w:tc>
          <w:tcPr>
            <w:tcW w:w="558" w:type="dxa"/>
            <w:shd w:val="clear" w:color="auto" w:fill="auto"/>
            <w:noWrap w:val="0"/>
            <w:vAlign w:val="center"/>
          </w:tcPr>
          <w:p w14:paraId="6F030FF3">
            <w:pPr>
              <w:spacing w:line="280" w:lineRule="exac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157.8</w:t>
            </w:r>
          </w:p>
        </w:tc>
        <w:tc>
          <w:tcPr>
            <w:tcW w:w="542" w:type="dxa"/>
            <w:shd w:val="clear" w:color="auto" w:fill="auto"/>
            <w:noWrap w:val="0"/>
            <w:vAlign w:val="center"/>
          </w:tcPr>
          <w:p w14:paraId="686EFBC0">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 xml:space="preserve">44.9 </w:t>
            </w:r>
          </w:p>
        </w:tc>
        <w:tc>
          <w:tcPr>
            <w:tcW w:w="542" w:type="dxa"/>
            <w:shd w:val="clear" w:color="auto" w:fill="auto"/>
            <w:noWrap w:val="0"/>
            <w:vAlign w:val="center"/>
          </w:tcPr>
          <w:p w14:paraId="45C568F6">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 xml:space="preserve">45.2 </w:t>
            </w:r>
          </w:p>
        </w:tc>
        <w:tc>
          <w:tcPr>
            <w:tcW w:w="542" w:type="dxa"/>
            <w:shd w:val="clear" w:color="auto" w:fill="auto"/>
            <w:noWrap w:val="0"/>
            <w:vAlign w:val="center"/>
          </w:tcPr>
          <w:p w14:paraId="13864EF4">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 xml:space="preserve">44.8 </w:t>
            </w:r>
          </w:p>
        </w:tc>
        <w:tc>
          <w:tcPr>
            <w:tcW w:w="555" w:type="dxa"/>
            <w:shd w:val="clear" w:color="auto" w:fill="auto"/>
            <w:noWrap w:val="0"/>
            <w:vAlign w:val="center"/>
          </w:tcPr>
          <w:p w14:paraId="3642E020">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 xml:space="preserve">44.8 </w:t>
            </w:r>
          </w:p>
        </w:tc>
        <w:tc>
          <w:tcPr>
            <w:tcW w:w="542" w:type="dxa"/>
            <w:vMerge w:val="continue"/>
            <w:shd w:val="clear" w:color="auto" w:fill="auto"/>
            <w:noWrap w:val="0"/>
            <w:vAlign w:val="center"/>
          </w:tcPr>
          <w:p w14:paraId="7024AA21">
            <w:pPr>
              <w:spacing w:line="280" w:lineRule="exact"/>
              <w:jc w:val="center"/>
              <w:rPr>
                <w:rFonts w:hint="default" w:ascii="Times New Roman" w:hAnsi="Times New Roman" w:eastAsia="宋体"/>
                <w:color w:val="000000" w:themeColor="text1"/>
                <w:szCs w:val="21"/>
                <w:highlight w:val="none"/>
                <w:lang w:val="en-US" w:eastAsia="zh-CN"/>
                <w14:textFill>
                  <w14:solidFill>
                    <w14:schemeClr w14:val="tx1"/>
                  </w14:solidFill>
                </w14:textFill>
              </w:rPr>
            </w:pPr>
          </w:p>
        </w:tc>
        <w:tc>
          <w:tcPr>
            <w:tcW w:w="897" w:type="dxa"/>
            <w:shd w:val="clear" w:color="auto" w:fill="auto"/>
            <w:noWrap w:val="0"/>
            <w:vAlign w:val="center"/>
          </w:tcPr>
          <w:p w14:paraId="17867704">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24.3</w:t>
            </w:r>
          </w:p>
        </w:tc>
        <w:tc>
          <w:tcPr>
            <w:tcW w:w="746" w:type="dxa"/>
            <w:shd w:val="clear" w:color="auto" w:fill="auto"/>
            <w:noWrap w:val="0"/>
            <w:vAlign w:val="center"/>
          </w:tcPr>
          <w:p w14:paraId="67AB78C7">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20.6</w:t>
            </w:r>
          </w:p>
        </w:tc>
        <w:tc>
          <w:tcPr>
            <w:tcW w:w="689" w:type="dxa"/>
            <w:shd w:val="clear" w:color="auto" w:fill="auto"/>
            <w:noWrap w:val="0"/>
            <w:vAlign w:val="center"/>
          </w:tcPr>
          <w:p w14:paraId="4ED39E79">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20.9</w:t>
            </w:r>
          </w:p>
        </w:tc>
        <w:tc>
          <w:tcPr>
            <w:tcW w:w="838" w:type="dxa"/>
            <w:shd w:val="clear" w:color="auto" w:fill="auto"/>
            <w:noWrap w:val="0"/>
            <w:vAlign w:val="center"/>
          </w:tcPr>
          <w:p w14:paraId="0AF2CF12">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20.5</w:t>
            </w:r>
          </w:p>
        </w:tc>
        <w:tc>
          <w:tcPr>
            <w:tcW w:w="750" w:type="dxa"/>
            <w:shd w:val="clear" w:color="auto" w:fill="auto"/>
            <w:noWrap w:val="0"/>
            <w:vAlign w:val="center"/>
          </w:tcPr>
          <w:p w14:paraId="6D608B7D">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20.5</w:t>
            </w:r>
          </w:p>
        </w:tc>
        <w:tc>
          <w:tcPr>
            <w:tcW w:w="1096" w:type="dxa"/>
            <w:shd w:val="clear" w:color="auto" w:fill="auto"/>
            <w:noWrap w:val="0"/>
            <w:vAlign w:val="center"/>
          </w:tcPr>
          <w:p w14:paraId="53022FA4">
            <w:pPr>
              <w:spacing w:line="280" w:lineRule="exac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r>
      <w:tr w14:paraId="38A1AF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6BDA0A48">
            <w:pPr>
              <w:spacing w:line="280" w:lineRule="exact"/>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73</w:t>
            </w:r>
          </w:p>
        </w:tc>
        <w:tc>
          <w:tcPr>
            <w:tcW w:w="714" w:type="dxa"/>
            <w:vMerge w:val="continue"/>
            <w:shd w:val="clear" w:color="auto" w:fill="auto"/>
            <w:noWrap w:val="0"/>
            <w:vAlign w:val="center"/>
          </w:tcPr>
          <w:p w14:paraId="3CF43296">
            <w:pPr>
              <w:spacing w:line="280" w:lineRule="exact"/>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714" w:type="dxa"/>
            <w:shd w:val="clear" w:color="auto" w:fill="auto"/>
            <w:noWrap w:val="0"/>
            <w:vAlign w:val="center"/>
          </w:tcPr>
          <w:p w14:paraId="1E37AEFA">
            <w:pPr>
              <w:spacing w:line="280" w:lineRule="exact"/>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负</w:t>
            </w:r>
            <w:r>
              <w:rPr>
                <w:rFonts w:hint="default" w:ascii="Times New Roman" w:hAnsi="Times New Roman" w:cs="Times New Roman"/>
                <w:color w:val="000000" w:themeColor="text1"/>
                <w:sz w:val="21"/>
                <w:szCs w:val="21"/>
                <w:highlight w:val="none"/>
                <w14:textFill>
                  <w14:solidFill>
                    <w14:schemeClr w14:val="tx1"/>
                  </w14:solidFill>
                </w14:textFill>
              </w:rPr>
              <w:t>极</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粉体上料系统</w:t>
            </w:r>
          </w:p>
        </w:tc>
        <w:tc>
          <w:tcPr>
            <w:tcW w:w="537" w:type="dxa"/>
            <w:shd w:val="clear" w:color="auto" w:fill="auto"/>
            <w:noWrap w:val="0"/>
            <w:vAlign w:val="center"/>
          </w:tcPr>
          <w:p w14:paraId="44CBCF26">
            <w:pPr>
              <w:spacing w:line="280" w:lineRule="exact"/>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75</w:t>
            </w:r>
          </w:p>
        </w:tc>
        <w:tc>
          <w:tcPr>
            <w:tcW w:w="537" w:type="dxa"/>
            <w:shd w:val="clear" w:color="auto" w:fill="auto"/>
            <w:noWrap w:val="0"/>
            <w:vAlign w:val="center"/>
          </w:tcPr>
          <w:p w14:paraId="2DBD51DE">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41.22</w:t>
            </w:r>
          </w:p>
        </w:tc>
        <w:tc>
          <w:tcPr>
            <w:tcW w:w="537" w:type="dxa"/>
            <w:shd w:val="clear" w:color="auto" w:fill="auto"/>
            <w:noWrap w:val="0"/>
            <w:vAlign w:val="center"/>
          </w:tcPr>
          <w:p w14:paraId="48653C53">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33.41</w:t>
            </w:r>
          </w:p>
        </w:tc>
        <w:tc>
          <w:tcPr>
            <w:tcW w:w="558" w:type="dxa"/>
            <w:shd w:val="clear" w:color="auto" w:fill="auto"/>
            <w:noWrap w:val="0"/>
            <w:vAlign w:val="center"/>
          </w:tcPr>
          <w:p w14:paraId="1C8291F3">
            <w:pPr>
              <w:spacing w:line="280" w:lineRule="exac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1.3</w:t>
            </w:r>
          </w:p>
        </w:tc>
        <w:tc>
          <w:tcPr>
            <w:tcW w:w="537" w:type="dxa"/>
            <w:shd w:val="clear" w:color="auto" w:fill="auto"/>
            <w:noWrap w:val="0"/>
            <w:vAlign w:val="center"/>
          </w:tcPr>
          <w:p w14:paraId="395471DE">
            <w:pPr>
              <w:spacing w:line="280" w:lineRule="exac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39.5</w:t>
            </w:r>
          </w:p>
        </w:tc>
        <w:tc>
          <w:tcPr>
            <w:tcW w:w="537" w:type="dxa"/>
            <w:shd w:val="clear" w:color="auto" w:fill="auto"/>
            <w:noWrap w:val="0"/>
            <w:vAlign w:val="center"/>
          </w:tcPr>
          <w:p w14:paraId="0AF91EF5">
            <w:pPr>
              <w:spacing w:line="280" w:lineRule="exac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18.9</w:t>
            </w:r>
          </w:p>
        </w:tc>
        <w:tc>
          <w:tcPr>
            <w:tcW w:w="542" w:type="dxa"/>
            <w:shd w:val="clear" w:color="auto" w:fill="auto"/>
            <w:noWrap w:val="0"/>
            <w:vAlign w:val="center"/>
          </w:tcPr>
          <w:p w14:paraId="3EB7F5F9">
            <w:pPr>
              <w:spacing w:line="280" w:lineRule="exac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51.7</w:t>
            </w:r>
          </w:p>
        </w:tc>
        <w:tc>
          <w:tcPr>
            <w:tcW w:w="558" w:type="dxa"/>
            <w:shd w:val="clear" w:color="auto" w:fill="auto"/>
            <w:noWrap w:val="0"/>
            <w:vAlign w:val="center"/>
          </w:tcPr>
          <w:p w14:paraId="68EA3CDF">
            <w:pPr>
              <w:spacing w:line="280" w:lineRule="exac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157.7</w:t>
            </w:r>
          </w:p>
        </w:tc>
        <w:tc>
          <w:tcPr>
            <w:tcW w:w="542" w:type="dxa"/>
            <w:shd w:val="clear" w:color="auto" w:fill="auto"/>
            <w:noWrap w:val="0"/>
            <w:vAlign w:val="center"/>
          </w:tcPr>
          <w:p w14:paraId="2F90EF11">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 xml:space="preserve">49.8 </w:t>
            </w:r>
          </w:p>
        </w:tc>
        <w:tc>
          <w:tcPr>
            <w:tcW w:w="542" w:type="dxa"/>
            <w:shd w:val="clear" w:color="auto" w:fill="auto"/>
            <w:noWrap w:val="0"/>
            <w:vAlign w:val="center"/>
          </w:tcPr>
          <w:p w14:paraId="73C95751">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 xml:space="preserve">50.1 </w:t>
            </w:r>
          </w:p>
        </w:tc>
        <w:tc>
          <w:tcPr>
            <w:tcW w:w="542" w:type="dxa"/>
            <w:shd w:val="clear" w:color="auto" w:fill="auto"/>
            <w:noWrap w:val="0"/>
            <w:vAlign w:val="center"/>
          </w:tcPr>
          <w:p w14:paraId="29C6E33F">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 xml:space="preserve">49.8 </w:t>
            </w:r>
          </w:p>
        </w:tc>
        <w:tc>
          <w:tcPr>
            <w:tcW w:w="555" w:type="dxa"/>
            <w:shd w:val="clear" w:color="auto" w:fill="auto"/>
            <w:noWrap w:val="0"/>
            <w:vAlign w:val="center"/>
          </w:tcPr>
          <w:p w14:paraId="452348BD">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 xml:space="preserve">49.8 </w:t>
            </w:r>
          </w:p>
        </w:tc>
        <w:tc>
          <w:tcPr>
            <w:tcW w:w="542" w:type="dxa"/>
            <w:vMerge w:val="continue"/>
            <w:shd w:val="clear" w:color="auto" w:fill="auto"/>
            <w:noWrap w:val="0"/>
            <w:vAlign w:val="center"/>
          </w:tcPr>
          <w:p w14:paraId="1AC62CAB">
            <w:pPr>
              <w:spacing w:line="280" w:lineRule="exact"/>
              <w:jc w:val="center"/>
              <w:rPr>
                <w:rFonts w:hint="default" w:ascii="Times New Roman" w:hAnsi="Times New Roman" w:eastAsia="宋体"/>
                <w:color w:val="000000" w:themeColor="text1"/>
                <w:szCs w:val="21"/>
                <w:highlight w:val="none"/>
                <w:lang w:val="en-US" w:eastAsia="zh-CN"/>
                <w14:textFill>
                  <w14:solidFill>
                    <w14:schemeClr w14:val="tx1"/>
                  </w14:solidFill>
                </w14:textFill>
              </w:rPr>
            </w:pPr>
          </w:p>
        </w:tc>
        <w:tc>
          <w:tcPr>
            <w:tcW w:w="897" w:type="dxa"/>
            <w:shd w:val="clear" w:color="auto" w:fill="auto"/>
            <w:noWrap w:val="0"/>
            <w:vAlign w:val="center"/>
          </w:tcPr>
          <w:p w14:paraId="0144B657">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24.3</w:t>
            </w:r>
          </w:p>
        </w:tc>
        <w:tc>
          <w:tcPr>
            <w:tcW w:w="746" w:type="dxa"/>
            <w:shd w:val="clear" w:color="auto" w:fill="auto"/>
            <w:noWrap w:val="0"/>
            <w:vAlign w:val="center"/>
          </w:tcPr>
          <w:p w14:paraId="5BF35BF9">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25.5</w:t>
            </w:r>
          </w:p>
        </w:tc>
        <w:tc>
          <w:tcPr>
            <w:tcW w:w="689" w:type="dxa"/>
            <w:shd w:val="clear" w:color="auto" w:fill="auto"/>
            <w:noWrap w:val="0"/>
            <w:vAlign w:val="center"/>
          </w:tcPr>
          <w:p w14:paraId="29F89873">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25.8</w:t>
            </w:r>
          </w:p>
        </w:tc>
        <w:tc>
          <w:tcPr>
            <w:tcW w:w="838" w:type="dxa"/>
            <w:shd w:val="clear" w:color="auto" w:fill="auto"/>
            <w:noWrap w:val="0"/>
            <w:vAlign w:val="center"/>
          </w:tcPr>
          <w:p w14:paraId="506AD3CD">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25.5</w:t>
            </w:r>
          </w:p>
        </w:tc>
        <w:tc>
          <w:tcPr>
            <w:tcW w:w="750" w:type="dxa"/>
            <w:shd w:val="clear" w:color="auto" w:fill="auto"/>
            <w:noWrap w:val="0"/>
            <w:vAlign w:val="center"/>
          </w:tcPr>
          <w:p w14:paraId="71504067">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25.5</w:t>
            </w:r>
          </w:p>
        </w:tc>
        <w:tc>
          <w:tcPr>
            <w:tcW w:w="1096" w:type="dxa"/>
            <w:shd w:val="clear" w:color="auto" w:fill="auto"/>
            <w:noWrap w:val="0"/>
            <w:vAlign w:val="center"/>
          </w:tcPr>
          <w:p w14:paraId="742A64F1">
            <w:pPr>
              <w:spacing w:line="280" w:lineRule="exac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r>
      <w:tr w14:paraId="2596B0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294F4028">
            <w:pPr>
              <w:spacing w:line="280" w:lineRule="exact"/>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74</w:t>
            </w:r>
          </w:p>
        </w:tc>
        <w:tc>
          <w:tcPr>
            <w:tcW w:w="714" w:type="dxa"/>
            <w:vMerge w:val="continue"/>
            <w:shd w:val="clear" w:color="auto" w:fill="auto"/>
            <w:noWrap w:val="0"/>
            <w:vAlign w:val="center"/>
          </w:tcPr>
          <w:p w14:paraId="164E6AE9">
            <w:pPr>
              <w:spacing w:line="280" w:lineRule="exact"/>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714" w:type="dxa"/>
            <w:shd w:val="clear" w:color="auto" w:fill="auto"/>
            <w:noWrap w:val="0"/>
            <w:vAlign w:val="center"/>
          </w:tcPr>
          <w:p w14:paraId="7B9E7193">
            <w:pPr>
              <w:spacing w:line="280" w:lineRule="exact"/>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负</w:t>
            </w:r>
            <w:r>
              <w:rPr>
                <w:rFonts w:hint="default" w:ascii="Times New Roman" w:hAnsi="Times New Roman" w:cs="Times New Roman"/>
                <w:color w:val="000000" w:themeColor="text1"/>
                <w:sz w:val="21"/>
                <w:szCs w:val="21"/>
                <w:highlight w:val="none"/>
                <w14:textFill>
                  <w14:solidFill>
                    <w14:schemeClr w14:val="tx1"/>
                  </w14:solidFill>
                </w14:textFill>
              </w:rPr>
              <w:t>极</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液体上料系统</w:t>
            </w:r>
          </w:p>
        </w:tc>
        <w:tc>
          <w:tcPr>
            <w:tcW w:w="537" w:type="dxa"/>
            <w:shd w:val="clear" w:color="auto" w:fill="auto"/>
            <w:noWrap w:val="0"/>
            <w:vAlign w:val="center"/>
          </w:tcPr>
          <w:p w14:paraId="55E4BAEC">
            <w:pPr>
              <w:spacing w:line="280" w:lineRule="exact"/>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70</w:t>
            </w:r>
          </w:p>
        </w:tc>
        <w:tc>
          <w:tcPr>
            <w:tcW w:w="537" w:type="dxa"/>
            <w:shd w:val="clear" w:color="auto" w:fill="auto"/>
            <w:noWrap w:val="0"/>
            <w:vAlign w:val="center"/>
          </w:tcPr>
          <w:p w14:paraId="7C9E385D">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41.63</w:t>
            </w:r>
          </w:p>
        </w:tc>
        <w:tc>
          <w:tcPr>
            <w:tcW w:w="537" w:type="dxa"/>
            <w:shd w:val="clear" w:color="auto" w:fill="auto"/>
            <w:noWrap w:val="0"/>
            <w:vAlign w:val="center"/>
          </w:tcPr>
          <w:p w14:paraId="79862A13">
            <w:pPr>
              <w:spacing w:line="28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32.06</w:t>
            </w:r>
          </w:p>
        </w:tc>
        <w:tc>
          <w:tcPr>
            <w:tcW w:w="558" w:type="dxa"/>
            <w:shd w:val="clear" w:color="auto" w:fill="auto"/>
            <w:noWrap w:val="0"/>
            <w:vAlign w:val="center"/>
          </w:tcPr>
          <w:p w14:paraId="5FD75148">
            <w:pPr>
              <w:spacing w:line="280" w:lineRule="exact"/>
              <w:jc w:val="center"/>
              <w:rPr>
                <w:rFonts w:hint="default" w:eastAsia="宋体" w:cs="Times New Roman"/>
                <w:color w:val="000000" w:themeColor="text1"/>
                <w:szCs w:val="21"/>
                <w:highlight w:val="none"/>
                <w:lang w:val="en-US" w:eastAsia="zh-CN"/>
                <w14:textFill>
                  <w14:solidFill>
                    <w14:schemeClr w14:val="tx1"/>
                  </w14:solidFill>
                </w14:textFill>
              </w:rPr>
            </w:pPr>
            <w:r>
              <w:rPr>
                <w:rFonts w:hint="eastAsia" w:eastAsia="宋体" w:cs="Times New Roman"/>
                <w:color w:val="000000" w:themeColor="text1"/>
                <w:szCs w:val="21"/>
                <w:highlight w:val="none"/>
                <w:lang w:val="en-US" w:eastAsia="zh-CN"/>
                <w14:textFill>
                  <w14:solidFill>
                    <w14:schemeClr w14:val="tx1"/>
                  </w14:solidFill>
                </w14:textFill>
              </w:rPr>
              <w:t>1.3</w:t>
            </w:r>
          </w:p>
        </w:tc>
        <w:tc>
          <w:tcPr>
            <w:tcW w:w="537" w:type="dxa"/>
            <w:shd w:val="clear" w:color="auto" w:fill="auto"/>
            <w:noWrap w:val="0"/>
            <w:vAlign w:val="center"/>
          </w:tcPr>
          <w:p w14:paraId="24766661">
            <w:pPr>
              <w:spacing w:line="280" w:lineRule="exact"/>
              <w:jc w:val="center"/>
              <w:rPr>
                <w:rFonts w:hint="default" w:eastAsia="宋体" w:cs="Times New Roman"/>
                <w:color w:val="000000" w:themeColor="text1"/>
                <w:szCs w:val="21"/>
                <w:highlight w:val="none"/>
                <w:lang w:val="en-US" w:eastAsia="zh-CN"/>
                <w14:textFill>
                  <w14:solidFill>
                    <w14:schemeClr w14:val="tx1"/>
                  </w14:solidFill>
                </w14:textFill>
              </w:rPr>
            </w:pPr>
            <w:r>
              <w:rPr>
                <w:rFonts w:hint="eastAsia" w:eastAsia="宋体" w:cs="Times New Roman"/>
                <w:color w:val="000000" w:themeColor="text1"/>
                <w:szCs w:val="21"/>
                <w:highlight w:val="none"/>
                <w:lang w:val="en-US" w:eastAsia="zh-CN"/>
                <w14:textFill>
                  <w14:solidFill>
                    <w14:schemeClr w14:val="tx1"/>
                  </w14:solidFill>
                </w14:textFill>
              </w:rPr>
              <w:t>38.9</w:t>
            </w:r>
          </w:p>
        </w:tc>
        <w:tc>
          <w:tcPr>
            <w:tcW w:w="537" w:type="dxa"/>
            <w:shd w:val="clear" w:color="auto" w:fill="auto"/>
            <w:noWrap w:val="0"/>
            <w:vAlign w:val="center"/>
          </w:tcPr>
          <w:p w14:paraId="0A5CC7B9">
            <w:pPr>
              <w:spacing w:line="280" w:lineRule="exact"/>
              <w:jc w:val="center"/>
              <w:rPr>
                <w:rFonts w:hint="default" w:eastAsia="宋体" w:cs="Times New Roman"/>
                <w:color w:val="000000" w:themeColor="text1"/>
                <w:szCs w:val="21"/>
                <w:highlight w:val="none"/>
                <w:lang w:val="en-US" w:eastAsia="zh-CN"/>
                <w14:textFill>
                  <w14:solidFill>
                    <w14:schemeClr w14:val="tx1"/>
                  </w14:solidFill>
                </w14:textFill>
              </w:rPr>
            </w:pPr>
            <w:r>
              <w:rPr>
                <w:rFonts w:hint="eastAsia" w:eastAsia="宋体" w:cs="Times New Roman"/>
                <w:color w:val="000000" w:themeColor="text1"/>
                <w:szCs w:val="21"/>
                <w:highlight w:val="none"/>
                <w:lang w:val="en-US" w:eastAsia="zh-CN"/>
                <w14:textFill>
                  <w14:solidFill>
                    <w14:schemeClr w14:val="tx1"/>
                  </w14:solidFill>
                </w14:textFill>
              </w:rPr>
              <w:t>17.3</w:t>
            </w:r>
          </w:p>
        </w:tc>
        <w:tc>
          <w:tcPr>
            <w:tcW w:w="542" w:type="dxa"/>
            <w:shd w:val="clear" w:color="auto" w:fill="auto"/>
            <w:noWrap w:val="0"/>
            <w:vAlign w:val="center"/>
          </w:tcPr>
          <w:p w14:paraId="4DD5C322">
            <w:pPr>
              <w:spacing w:line="280" w:lineRule="exact"/>
              <w:jc w:val="center"/>
              <w:rPr>
                <w:rFonts w:hint="default" w:eastAsia="宋体" w:cs="Times New Roman"/>
                <w:color w:val="000000" w:themeColor="text1"/>
                <w:szCs w:val="21"/>
                <w:highlight w:val="none"/>
                <w:lang w:val="en-US" w:eastAsia="zh-CN"/>
                <w14:textFill>
                  <w14:solidFill>
                    <w14:schemeClr w14:val="tx1"/>
                  </w14:solidFill>
                </w14:textFill>
              </w:rPr>
            </w:pPr>
            <w:r>
              <w:rPr>
                <w:rFonts w:hint="eastAsia" w:eastAsia="宋体" w:cs="Times New Roman"/>
                <w:color w:val="000000" w:themeColor="text1"/>
                <w:szCs w:val="21"/>
                <w:highlight w:val="none"/>
                <w:lang w:val="en-US" w:eastAsia="zh-CN"/>
                <w14:textFill>
                  <w14:solidFill>
                    <w14:schemeClr w14:val="tx1"/>
                  </w14:solidFill>
                </w14:textFill>
              </w:rPr>
              <w:t>51.9</w:t>
            </w:r>
          </w:p>
        </w:tc>
        <w:tc>
          <w:tcPr>
            <w:tcW w:w="558" w:type="dxa"/>
            <w:shd w:val="clear" w:color="auto" w:fill="auto"/>
            <w:noWrap w:val="0"/>
            <w:vAlign w:val="center"/>
          </w:tcPr>
          <w:p w14:paraId="4EB2B0D3">
            <w:pPr>
              <w:spacing w:line="280" w:lineRule="exact"/>
              <w:jc w:val="center"/>
              <w:rPr>
                <w:rFonts w:hint="default" w:eastAsia="宋体" w:cs="Times New Roman"/>
                <w:color w:val="000000" w:themeColor="text1"/>
                <w:szCs w:val="21"/>
                <w:highlight w:val="none"/>
                <w:lang w:val="en-US" w:eastAsia="zh-CN"/>
                <w14:textFill>
                  <w14:solidFill>
                    <w14:schemeClr w14:val="tx1"/>
                  </w14:solidFill>
                </w14:textFill>
              </w:rPr>
            </w:pPr>
            <w:r>
              <w:rPr>
                <w:rFonts w:hint="eastAsia" w:eastAsia="宋体" w:cs="Times New Roman"/>
                <w:color w:val="000000" w:themeColor="text1"/>
                <w:szCs w:val="21"/>
                <w:highlight w:val="none"/>
                <w:lang w:val="en-US" w:eastAsia="zh-CN"/>
                <w14:textFill>
                  <w14:solidFill>
                    <w14:schemeClr w14:val="tx1"/>
                  </w14:solidFill>
                </w14:textFill>
              </w:rPr>
              <w:t>158.7</w:t>
            </w:r>
          </w:p>
        </w:tc>
        <w:tc>
          <w:tcPr>
            <w:tcW w:w="542" w:type="dxa"/>
            <w:shd w:val="clear" w:color="auto" w:fill="auto"/>
            <w:noWrap w:val="0"/>
            <w:vAlign w:val="center"/>
          </w:tcPr>
          <w:p w14:paraId="7672F29F">
            <w:pPr>
              <w:spacing w:line="280" w:lineRule="exact"/>
              <w:jc w:val="center"/>
              <w:rPr>
                <w:rFonts w:hint="eastAsia" w:eastAsia="宋体" w:cs="Times New Roman"/>
                <w:color w:val="000000" w:themeColor="text1"/>
                <w:szCs w:val="21"/>
                <w:highlight w:val="none"/>
                <w:lang w:val="en-US" w:eastAsia="zh-CN"/>
                <w14:textFill>
                  <w14:solidFill>
                    <w14:schemeClr w14:val="tx1"/>
                  </w14:solidFill>
                </w14:textFill>
              </w:rPr>
            </w:pPr>
            <w:r>
              <w:rPr>
                <w:rFonts w:hint="eastAsia" w:eastAsia="宋体" w:cs="Times New Roman"/>
                <w:color w:val="000000" w:themeColor="text1"/>
                <w:szCs w:val="21"/>
                <w:highlight w:val="none"/>
                <w:lang w:val="en-US" w:eastAsia="zh-CN"/>
                <w14:textFill>
                  <w14:solidFill>
                    <w14:schemeClr w14:val="tx1"/>
                  </w14:solidFill>
                </w14:textFill>
              </w:rPr>
              <w:t xml:space="preserve">44.8 </w:t>
            </w:r>
          </w:p>
        </w:tc>
        <w:tc>
          <w:tcPr>
            <w:tcW w:w="542" w:type="dxa"/>
            <w:shd w:val="clear" w:color="auto" w:fill="auto"/>
            <w:noWrap w:val="0"/>
            <w:vAlign w:val="center"/>
          </w:tcPr>
          <w:p w14:paraId="09D44A5F">
            <w:pPr>
              <w:spacing w:line="280" w:lineRule="exact"/>
              <w:jc w:val="center"/>
              <w:rPr>
                <w:rFonts w:hint="eastAsia" w:eastAsia="宋体" w:cs="Times New Roman"/>
                <w:color w:val="000000" w:themeColor="text1"/>
                <w:szCs w:val="21"/>
                <w:highlight w:val="none"/>
                <w:lang w:val="en-US" w:eastAsia="zh-CN"/>
                <w14:textFill>
                  <w14:solidFill>
                    <w14:schemeClr w14:val="tx1"/>
                  </w14:solidFill>
                </w14:textFill>
              </w:rPr>
            </w:pPr>
            <w:r>
              <w:rPr>
                <w:rFonts w:hint="eastAsia" w:eastAsia="宋体" w:cs="Times New Roman"/>
                <w:color w:val="000000" w:themeColor="text1"/>
                <w:szCs w:val="21"/>
                <w:highlight w:val="none"/>
                <w:lang w:val="en-US" w:eastAsia="zh-CN"/>
                <w14:textFill>
                  <w14:solidFill>
                    <w14:schemeClr w14:val="tx1"/>
                  </w14:solidFill>
                </w14:textFill>
              </w:rPr>
              <w:t xml:space="preserve">45.1 </w:t>
            </w:r>
          </w:p>
        </w:tc>
        <w:tc>
          <w:tcPr>
            <w:tcW w:w="542" w:type="dxa"/>
            <w:shd w:val="clear" w:color="auto" w:fill="auto"/>
            <w:noWrap w:val="0"/>
            <w:vAlign w:val="center"/>
          </w:tcPr>
          <w:p w14:paraId="627EBADF">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 xml:space="preserve">44.8 </w:t>
            </w:r>
          </w:p>
        </w:tc>
        <w:tc>
          <w:tcPr>
            <w:tcW w:w="555" w:type="dxa"/>
            <w:shd w:val="clear" w:color="auto" w:fill="auto"/>
            <w:noWrap w:val="0"/>
            <w:vAlign w:val="center"/>
          </w:tcPr>
          <w:p w14:paraId="4499C4DF">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 xml:space="preserve">44.8 </w:t>
            </w:r>
          </w:p>
        </w:tc>
        <w:tc>
          <w:tcPr>
            <w:tcW w:w="542" w:type="dxa"/>
            <w:vMerge w:val="continue"/>
            <w:shd w:val="clear" w:color="auto" w:fill="auto"/>
            <w:noWrap w:val="0"/>
            <w:vAlign w:val="center"/>
          </w:tcPr>
          <w:p w14:paraId="27CA4497">
            <w:pPr>
              <w:spacing w:line="280" w:lineRule="exact"/>
              <w:jc w:val="center"/>
              <w:rPr>
                <w:rFonts w:hint="default" w:ascii="Times New Roman" w:hAnsi="Times New Roman" w:eastAsia="宋体"/>
                <w:color w:val="000000" w:themeColor="text1"/>
                <w:szCs w:val="21"/>
                <w:highlight w:val="none"/>
                <w:lang w:val="en-US" w:eastAsia="zh-CN"/>
                <w14:textFill>
                  <w14:solidFill>
                    <w14:schemeClr w14:val="tx1"/>
                  </w14:solidFill>
                </w14:textFill>
              </w:rPr>
            </w:pPr>
          </w:p>
        </w:tc>
        <w:tc>
          <w:tcPr>
            <w:tcW w:w="897" w:type="dxa"/>
            <w:shd w:val="clear" w:color="auto" w:fill="auto"/>
            <w:noWrap w:val="0"/>
            <w:vAlign w:val="center"/>
          </w:tcPr>
          <w:p w14:paraId="7C638C85">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24.3</w:t>
            </w:r>
          </w:p>
        </w:tc>
        <w:tc>
          <w:tcPr>
            <w:tcW w:w="746" w:type="dxa"/>
            <w:shd w:val="clear" w:color="auto" w:fill="auto"/>
            <w:noWrap w:val="0"/>
            <w:vAlign w:val="center"/>
          </w:tcPr>
          <w:p w14:paraId="329C3EBC">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20.5</w:t>
            </w:r>
          </w:p>
        </w:tc>
        <w:tc>
          <w:tcPr>
            <w:tcW w:w="689" w:type="dxa"/>
            <w:shd w:val="clear" w:color="auto" w:fill="auto"/>
            <w:noWrap w:val="0"/>
            <w:vAlign w:val="center"/>
          </w:tcPr>
          <w:p w14:paraId="7B50D0BB">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20.8</w:t>
            </w:r>
          </w:p>
        </w:tc>
        <w:tc>
          <w:tcPr>
            <w:tcW w:w="838" w:type="dxa"/>
            <w:shd w:val="clear" w:color="auto" w:fill="auto"/>
            <w:noWrap w:val="0"/>
            <w:vAlign w:val="center"/>
          </w:tcPr>
          <w:p w14:paraId="63E03F9E">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20.5</w:t>
            </w:r>
          </w:p>
        </w:tc>
        <w:tc>
          <w:tcPr>
            <w:tcW w:w="750" w:type="dxa"/>
            <w:shd w:val="clear" w:color="auto" w:fill="auto"/>
            <w:noWrap w:val="0"/>
            <w:vAlign w:val="center"/>
          </w:tcPr>
          <w:p w14:paraId="13B3550E">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20.5</w:t>
            </w:r>
          </w:p>
        </w:tc>
        <w:tc>
          <w:tcPr>
            <w:tcW w:w="1096" w:type="dxa"/>
            <w:shd w:val="clear" w:color="auto" w:fill="auto"/>
            <w:noWrap w:val="0"/>
            <w:vAlign w:val="center"/>
          </w:tcPr>
          <w:p w14:paraId="76FB18EC">
            <w:pPr>
              <w:spacing w:line="280" w:lineRule="exac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r>
      <w:tr w14:paraId="561D4B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shd w:val="clear" w:color="auto" w:fill="auto"/>
            <w:noWrap w:val="0"/>
            <w:vAlign w:val="center"/>
          </w:tcPr>
          <w:p w14:paraId="1DE1458D">
            <w:pPr>
              <w:spacing w:line="280" w:lineRule="exact"/>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75</w:t>
            </w:r>
          </w:p>
        </w:tc>
        <w:tc>
          <w:tcPr>
            <w:tcW w:w="714" w:type="dxa"/>
            <w:shd w:val="clear" w:color="auto" w:fill="auto"/>
            <w:noWrap w:val="0"/>
            <w:vAlign w:val="center"/>
          </w:tcPr>
          <w:p w14:paraId="7A28E11A">
            <w:pPr>
              <w:spacing w:line="280" w:lineRule="exact"/>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集成车间</w:t>
            </w:r>
          </w:p>
        </w:tc>
        <w:tc>
          <w:tcPr>
            <w:tcW w:w="714" w:type="dxa"/>
            <w:shd w:val="clear" w:color="auto" w:fill="auto"/>
            <w:noWrap w:val="0"/>
            <w:vAlign w:val="center"/>
          </w:tcPr>
          <w:p w14:paraId="5641E40F">
            <w:pPr>
              <w:spacing w:line="280" w:lineRule="exact"/>
              <w:jc w:val="center"/>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焊裁一体机</w:t>
            </w:r>
          </w:p>
        </w:tc>
        <w:tc>
          <w:tcPr>
            <w:tcW w:w="537" w:type="dxa"/>
            <w:shd w:val="clear" w:color="auto" w:fill="auto"/>
            <w:noWrap w:val="0"/>
            <w:vAlign w:val="center"/>
          </w:tcPr>
          <w:p w14:paraId="48ED1697">
            <w:pPr>
              <w:spacing w:line="280" w:lineRule="exact"/>
              <w:jc w:val="center"/>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75</w:t>
            </w:r>
          </w:p>
        </w:tc>
        <w:tc>
          <w:tcPr>
            <w:tcW w:w="537" w:type="dxa"/>
            <w:shd w:val="clear" w:color="auto" w:fill="auto"/>
            <w:noWrap w:val="0"/>
            <w:vAlign w:val="center"/>
          </w:tcPr>
          <w:p w14:paraId="170C9FAC">
            <w:pPr>
              <w:spacing w:line="280" w:lineRule="exac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-113.84</w:t>
            </w:r>
          </w:p>
        </w:tc>
        <w:tc>
          <w:tcPr>
            <w:tcW w:w="537" w:type="dxa"/>
            <w:shd w:val="clear" w:color="auto" w:fill="auto"/>
            <w:noWrap w:val="0"/>
            <w:vAlign w:val="center"/>
          </w:tcPr>
          <w:p w14:paraId="00D682D3">
            <w:pPr>
              <w:spacing w:line="280" w:lineRule="exac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86.72</w:t>
            </w:r>
          </w:p>
        </w:tc>
        <w:tc>
          <w:tcPr>
            <w:tcW w:w="558" w:type="dxa"/>
            <w:shd w:val="clear" w:color="auto" w:fill="auto"/>
            <w:noWrap w:val="0"/>
            <w:vAlign w:val="center"/>
          </w:tcPr>
          <w:p w14:paraId="5941E6B4">
            <w:pPr>
              <w:spacing w:line="28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1.2</w:t>
            </w:r>
          </w:p>
        </w:tc>
        <w:tc>
          <w:tcPr>
            <w:tcW w:w="537" w:type="dxa"/>
            <w:shd w:val="clear" w:color="auto" w:fill="auto"/>
            <w:noWrap w:val="0"/>
            <w:vAlign w:val="center"/>
          </w:tcPr>
          <w:p w14:paraId="11FF442B">
            <w:pPr>
              <w:spacing w:line="280" w:lineRule="exac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15</w:t>
            </w:r>
          </w:p>
        </w:tc>
        <w:tc>
          <w:tcPr>
            <w:tcW w:w="537" w:type="dxa"/>
            <w:shd w:val="clear" w:color="auto" w:fill="auto"/>
            <w:noWrap w:val="0"/>
            <w:vAlign w:val="center"/>
          </w:tcPr>
          <w:p w14:paraId="41028F5A">
            <w:pPr>
              <w:spacing w:line="280" w:lineRule="exac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17.4</w:t>
            </w:r>
          </w:p>
        </w:tc>
        <w:tc>
          <w:tcPr>
            <w:tcW w:w="542" w:type="dxa"/>
            <w:shd w:val="clear" w:color="auto" w:fill="auto"/>
            <w:noWrap w:val="0"/>
            <w:vAlign w:val="center"/>
          </w:tcPr>
          <w:p w14:paraId="15772EA7">
            <w:pPr>
              <w:spacing w:line="280" w:lineRule="exact"/>
              <w:jc w:val="center"/>
              <w:rPr>
                <w:rFonts w:hint="default" w:eastAsia="宋体" w:cs="Times New Roman"/>
                <w:color w:val="000000" w:themeColor="text1"/>
                <w:szCs w:val="21"/>
                <w:highlight w:val="none"/>
                <w:lang w:val="en-US" w:eastAsia="zh-CN"/>
                <w14:textFill>
                  <w14:solidFill>
                    <w14:schemeClr w14:val="tx1"/>
                  </w14:solidFill>
                </w14:textFill>
              </w:rPr>
            </w:pPr>
            <w:r>
              <w:rPr>
                <w:rFonts w:hint="eastAsia" w:eastAsia="宋体" w:cs="Times New Roman"/>
                <w:color w:val="000000" w:themeColor="text1"/>
                <w:szCs w:val="21"/>
                <w:highlight w:val="none"/>
                <w:lang w:val="en-US" w:eastAsia="zh-CN"/>
                <w14:textFill>
                  <w14:solidFill>
                    <w14:schemeClr w14:val="tx1"/>
                  </w14:solidFill>
                </w14:textFill>
              </w:rPr>
              <w:t>18.9</w:t>
            </w:r>
          </w:p>
        </w:tc>
        <w:tc>
          <w:tcPr>
            <w:tcW w:w="558" w:type="dxa"/>
            <w:shd w:val="clear" w:color="auto" w:fill="auto"/>
            <w:noWrap w:val="0"/>
            <w:vAlign w:val="center"/>
          </w:tcPr>
          <w:p w14:paraId="6B53353F">
            <w:pPr>
              <w:spacing w:line="280" w:lineRule="exact"/>
              <w:jc w:val="center"/>
              <w:rPr>
                <w:rFonts w:hint="default" w:eastAsia="宋体" w:cs="Times New Roman"/>
                <w:color w:val="000000" w:themeColor="text1"/>
                <w:szCs w:val="21"/>
                <w:highlight w:val="none"/>
                <w:lang w:val="en-US" w:eastAsia="zh-CN"/>
                <w14:textFill>
                  <w14:solidFill>
                    <w14:schemeClr w14:val="tx1"/>
                  </w14:solidFill>
                </w14:textFill>
              </w:rPr>
            </w:pPr>
            <w:r>
              <w:rPr>
                <w:rFonts w:hint="eastAsia" w:eastAsia="宋体" w:cs="Times New Roman"/>
                <w:color w:val="000000" w:themeColor="text1"/>
                <w:szCs w:val="21"/>
                <w:highlight w:val="none"/>
                <w:lang w:val="en-US" w:eastAsia="zh-CN"/>
                <w14:textFill>
                  <w14:solidFill>
                    <w14:schemeClr w14:val="tx1"/>
                  </w14:solidFill>
                </w14:textFill>
              </w:rPr>
              <w:t>56.9</w:t>
            </w:r>
          </w:p>
        </w:tc>
        <w:tc>
          <w:tcPr>
            <w:tcW w:w="542" w:type="dxa"/>
            <w:shd w:val="clear" w:color="auto" w:fill="auto"/>
            <w:noWrap w:val="0"/>
            <w:vAlign w:val="center"/>
          </w:tcPr>
          <w:p w14:paraId="68FE98D6">
            <w:pPr>
              <w:spacing w:line="280" w:lineRule="exact"/>
              <w:jc w:val="center"/>
              <w:rPr>
                <w:rFonts w:hint="eastAsia" w:eastAsia="宋体" w:cs="Times New Roman"/>
                <w:color w:val="000000" w:themeColor="text1"/>
                <w:szCs w:val="21"/>
                <w:highlight w:val="none"/>
                <w:lang w:val="en-US" w:eastAsia="zh-CN"/>
                <w14:textFill>
                  <w14:solidFill>
                    <w14:schemeClr w14:val="tx1"/>
                  </w14:solidFill>
                </w14:textFill>
              </w:rPr>
            </w:pPr>
            <w:r>
              <w:rPr>
                <w:rFonts w:hint="eastAsia" w:eastAsia="宋体" w:cs="Times New Roman"/>
                <w:color w:val="000000" w:themeColor="text1"/>
                <w:szCs w:val="21"/>
                <w:highlight w:val="none"/>
                <w:lang w:val="en-US" w:eastAsia="zh-CN"/>
                <w14:textFill>
                  <w14:solidFill>
                    <w14:schemeClr w14:val="tx1"/>
                  </w14:solidFill>
                </w14:textFill>
              </w:rPr>
              <w:t xml:space="preserve">54.1 </w:t>
            </w:r>
          </w:p>
        </w:tc>
        <w:tc>
          <w:tcPr>
            <w:tcW w:w="542" w:type="dxa"/>
            <w:shd w:val="clear" w:color="auto" w:fill="auto"/>
            <w:noWrap w:val="0"/>
            <w:vAlign w:val="center"/>
          </w:tcPr>
          <w:p w14:paraId="6BD91EDE">
            <w:pPr>
              <w:spacing w:line="280" w:lineRule="exact"/>
              <w:jc w:val="center"/>
              <w:rPr>
                <w:rFonts w:hint="eastAsia" w:eastAsia="宋体" w:cs="Times New Roman"/>
                <w:color w:val="000000" w:themeColor="text1"/>
                <w:szCs w:val="21"/>
                <w:highlight w:val="none"/>
                <w:lang w:val="en-US" w:eastAsia="zh-CN"/>
                <w14:textFill>
                  <w14:solidFill>
                    <w14:schemeClr w14:val="tx1"/>
                  </w14:solidFill>
                </w14:textFill>
              </w:rPr>
            </w:pPr>
            <w:r>
              <w:rPr>
                <w:rFonts w:hint="eastAsia" w:eastAsia="宋体" w:cs="Times New Roman"/>
                <w:color w:val="000000" w:themeColor="text1"/>
                <w:szCs w:val="21"/>
                <w:highlight w:val="none"/>
                <w:lang w:val="en-US" w:eastAsia="zh-CN"/>
                <w14:textFill>
                  <w14:solidFill>
                    <w14:schemeClr w14:val="tx1"/>
                  </w14:solidFill>
                </w14:textFill>
              </w:rPr>
              <w:t xml:space="preserve">54.1 </w:t>
            </w:r>
          </w:p>
        </w:tc>
        <w:tc>
          <w:tcPr>
            <w:tcW w:w="542" w:type="dxa"/>
            <w:shd w:val="clear" w:color="auto" w:fill="auto"/>
            <w:noWrap w:val="0"/>
            <w:vAlign w:val="center"/>
          </w:tcPr>
          <w:p w14:paraId="56D7E0BD">
            <w:pPr>
              <w:spacing w:line="280" w:lineRule="exact"/>
              <w:jc w:val="center"/>
              <w:rPr>
                <w:rFonts w:hint="eastAsia" w:eastAsia="宋体" w:cs="Times New Roman"/>
                <w:color w:val="000000" w:themeColor="text1"/>
                <w:szCs w:val="21"/>
                <w:highlight w:val="none"/>
                <w:lang w:val="en-US" w:eastAsia="zh-CN"/>
                <w14:textFill>
                  <w14:solidFill>
                    <w14:schemeClr w14:val="tx1"/>
                  </w14:solidFill>
                </w14:textFill>
              </w:rPr>
            </w:pPr>
            <w:r>
              <w:rPr>
                <w:rFonts w:hint="eastAsia" w:eastAsia="宋体" w:cs="Times New Roman"/>
                <w:color w:val="000000" w:themeColor="text1"/>
                <w:szCs w:val="21"/>
                <w:highlight w:val="none"/>
                <w:lang w:val="en-US" w:eastAsia="zh-CN"/>
                <w14:textFill>
                  <w14:solidFill>
                    <w14:schemeClr w14:val="tx1"/>
                  </w14:solidFill>
                </w14:textFill>
              </w:rPr>
              <w:t xml:space="preserve">54.1 </w:t>
            </w:r>
          </w:p>
        </w:tc>
        <w:tc>
          <w:tcPr>
            <w:tcW w:w="555" w:type="dxa"/>
            <w:shd w:val="clear" w:color="auto" w:fill="auto"/>
            <w:noWrap w:val="0"/>
            <w:vAlign w:val="center"/>
          </w:tcPr>
          <w:p w14:paraId="65D0E27F">
            <w:pPr>
              <w:spacing w:line="280" w:lineRule="exact"/>
              <w:jc w:val="center"/>
              <w:rPr>
                <w:rFonts w:hint="eastAsia" w:eastAsia="宋体" w:cs="Times New Roman"/>
                <w:color w:val="000000" w:themeColor="text1"/>
                <w:szCs w:val="21"/>
                <w:highlight w:val="none"/>
                <w:lang w:val="en-US" w:eastAsia="zh-CN"/>
                <w14:textFill>
                  <w14:solidFill>
                    <w14:schemeClr w14:val="tx1"/>
                  </w14:solidFill>
                </w14:textFill>
              </w:rPr>
            </w:pPr>
            <w:r>
              <w:rPr>
                <w:rFonts w:hint="eastAsia" w:eastAsia="宋体" w:cs="Times New Roman"/>
                <w:color w:val="000000" w:themeColor="text1"/>
                <w:szCs w:val="21"/>
                <w:highlight w:val="none"/>
                <w:lang w:val="en-US" w:eastAsia="zh-CN"/>
                <w14:textFill>
                  <w14:solidFill>
                    <w14:schemeClr w14:val="tx1"/>
                  </w14:solidFill>
                </w14:textFill>
              </w:rPr>
              <w:t xml:space="preserve">54.0 </w:t>
            </w:r>
          </w:p>
        </w:tc>
        <w:tc>
          <w:tcPr>
            <w:tcW w:w="542" w:type="dxa"/>
            <w:vMerge w:val="continue"/>
            <w:shd w:val="clear" w:color="auto" w:fill="auto"/>
            <w:noWrap w:val="0"/>
            <w:vAlign w:val="center"/>
          </w:tcPr>
          <w:p w14:paraId="7ACFEFCB">
            <w:pPr>
              <w:spacing w:line="280" w:lineRule="exact"/>
              <w:jc w:val="center"/>
              <w:rPr>
                <w:rFonts w:hint="default" w:eastAsia="宋体" w:cs="Times New Roman"/>
                <w:color w:val="000000" w:themeColor="text1"/>
                <w:szCs w:val="21"/>
                <w:highlight w:val="none"/>
                <w:lang w:val="en-US" w:eastAsia="zh-CN"/>
                <w14:textFill>
                  <w14:solidFill>
                    <w14:schemeClr w14:val="tx1"/>
                  </w14:solidFill>
                </w14:textFill>
              </w:rPr>
            </w:pPr>
          </w:p>
        </w:tc>
        <w:tc>
          <w:tcPr>
            <w:tcW w:w="897" w:type="dxa"/>
            <w:shd w:val="clear" w:color="auto" w:fill="auto"/>
            <w:noWrap w:val="0"/>
            <w:vAlign w:val="center"/>
          </w:tcPr>
          <w:p w14:paraId="7A45EC77">
            <w:pPr>
              <w:spacing w:line="280" w:lineRule="exact"/>
              <w:jc w:val="center"/>
              <w:rPr>
                <w:rFonts w:hint="eastAsia" w:eastAsia="宋体" w:cs="Times New Roman"/>
                <w:color w:val="000000" w:themeColor="text1"/>
                <w:szCs w:val="21"/>
                <w:highlight w:val="none"/>
                <w:lang w:val="en-US" w:eastAsia="zh-CN"/>
                <w14:textFill>
                  <w14:solidFill>
                    <w14:schemeClr w14:val="tx1"/>
                  </w14:solidFill>
                </w14:textFill>
              </w:rPr>
            </w:pPr>
            <w:r>
              <w:rPr>
                <w:rFonts w:hint="eastAsia" w:eastAsia="宋体" w:cs="Times New Roman"/>
                <w:color w:val="000000" w:themeColor="text1"/>
                <w:szCs w:val="21"/>
                <w:highlight w:val="none"/>
                <w:lang w:val="en-US" w:eastAsia="zh-CN"/>
                <w14:textFill>
                  <w14:solidFill>
                    <w14:schemeClr w14:val="tx1"/>
                  </w14:solidFill>
                </w14:textFill>
              </w:rPr>
              <w:t>24.3</w:t>
            </w:r>
          </w:p>
        </w:tc>
        <w:tc>
          <w:tcPr>
            <w:tcW w:w="746" w:type="dxa"/>
            <w:shd w:val="clear" w:color="auto" w:fill="auto"/>
            <w:noWrap w:val="0"/>
            <w:vAlign w:val="center"/>
          </w:tcPr>
          <w:p w14:paraId="1091E0ED">
            <w:pPr>
              <w:spacing w:line="280" w:lineRule="exact"/>
              <w:jc w:val="center"/>
              <w:rPr>
                <w:rFonts w:hint="eastAsia" w:eastAsia="宋体" w:cs="Times New Roman"/>
                <w:color w:val="000000" w:themeColor="text1"/>
                <w:szCs w:val="21"/>
                <w:highlight w:val="none"/>
                <w:lang w:val="en-US" w:eastAsia="zh-CN"/>
                <w14:textFill>
                  <w14:solidFill>
                    <w14:schemeClr w14:val="tx1"/>
                  </w14:solidFill>
                </w14:textFill>
              </w:rPr>
            </w:pPr>
            <w:r>
              <w:rPr>
                <w:rFonts w:hint="eastAsia" w:eastAsia="宋体" w:cs="Times New Roman"/>
                <w:color w:val="000000" w:themeColor="text1"/>
                <w:szCs w:val="21"/>
                <w:highlight w:val="none"/>
                <w:lang w:val="en-US" w:eastAsia="zh-CN"/>
                <w14:textFill>
                  <w14:solidFill>
                    <w14:schemeClr w14:val="tx1"/>
                  </w14:solidFill>
                </w14:textFill>
              </w:rPr>
              <w:t>29.8</w:t>
            </w:r>
          </w:p>
        </w:tc>
        <w:tc>
          <w:tcPr>
            <w:tcW w:w="689" w:type="dxa"/>
            <w:shd w:val="clear" w:color="auto" w:fill="auto"/>
            <w:noWrap w:val="0"/>
            <w:vAlign w:val="center"/>
          </w:tcPr>
          <w:p w14:paraId="4E454A77">
            <w:pPr>
              <w:spacing w:line="280" w:lineRule="exact"/>
              <w:jc w:val="center"/>
              <w:rPr>
                <w:rFonts w:hint="eastAsia" w:eastAsia="宋体" w:cs="Times New Roman"/>
                <w:color w:val="000000" w:themeColor="text1"/>
                <w:szCs w:val="21"/>
                <w:highlight w:val="none"/>
                <w:lang w:val="en-US" w:eastAsia="zh-CN"/>
                <w14:textFill>
                  <w14:solidFill>
                    <w14:schemeClr w14:val="tx1"/>
                  </w14:solidFill>
                </w14:textFill>
              </w:rPr>
            </w:pPr>
            <w:r>
              <w:rPr>
                <w:rFonts w:hint="eastAsia" w:eastAsia="宋体" w:cs="Times New Roman"/>
                <w:color w:val="000000" w:themeColor="text1"/>
                <w:szCs w:val="21"/>
                <w:highlight w:val="none"/>
                <w:lang w:val="en-US" w:eastAsia="zh-CN"/>
                <w14:textFill>
                  <w14:solidFill>
                    <w14:schemeClr w14:val="tx1"/>
                  </w14:solidFill>
                </w14:textFill>
              </w:rPr>
              <w:t>29.8</w:t>
            </w:r>
          </w:p>
        </w:tc>
        <w:tc>
          <w:tcPr>
            <w:tcW w:w="838" w:type="dxa"/>
            <w:shd w:val="clear" w:color="auto" w:fill="auto"/>
            <w:noWrap w:val="0"/>
            <w:vAlign w:val="center"/>
          </w:tcPr>
          <w:p w14:paraId="154AB009">
            <w:pPr>
              <w:spacing w:line="280" w:lineRule="exact"/>
              <w:jc w:val="center"/>
              <w:rPr>
                <w:rFonts w:hint="eastAsia" w:eastAsia="宋体" w:cs="Times New Roman"/>
                <w:color w:val="000000" w:themeColor="text1"/>
                <w:szCs w:val="21"/>
                <w:highlight w:val="none"/>
                <w:lang w:val="en-US" w:eastAsia="zh-CN"/>
                <w14:textFill>
                  <w14:solidFill>
                    <w14:schemeClr w14:val="tx1"/>
                  </w14:solidFill>
                </w14:textFill>
              </w:rPr>
            </w:pPr>
            <w:r>
              <w:rPr>
                <w:rFonts w:hint="eastAsia" w:eastAsia="宋体" w:cs="Times New Roman"/>
                <w:color w:val="000000" w:themeColor="text1"/>
                <w:szCs w:val="21"/>
                <w:highlight w:val="none"/>
                <w:lang w:val="en-US" w:eastAsia="zh-CN"/>
                <w14:textFill>
                  <w14:solidFill>
                    <w14:schemeClr w14:val="tx1"/>
                  </w14:solidFill>
                </w14:textFill>
              </w:rPr>
              <w:t>29.8</w:t>
            </w:r>
          </w:p>
        </w:tc>
        <w:tc>
          <w:tcPr>
            <w:tcW w:w="750" w:type="dxa"/>
            <w:shd w:val="clear" w:color="auto" w:fill="auto"/>
            <w:noWrap w:val="0"/>
            <w:vAlign w:val="center"/>
          </w:tcPr>
          <w:p w14:paraId="0252E333">
            <w:pPr>
              <w:spacing w:line="280" w:lineRule="exact"/>
              <w:jc w:val="center"/>
              <w:rPr>
                <w:rFonts w:hint="eastAsia" w:eastAsia="宋体" w:cs="Times New Roman"/>
                <w:color w:val="000000" w:themeColor="text1"/>
                <w:szCs w:val="21"/>
                <w:highlight w:val="none"/>
                <w:lang w:val="en-US" w:eastAsia="zh-CN"/>
                <w14:textFill>
                  <w14:solidFill>
                    <w14:schemeClr w14:val="tx1"/>
                  </w14:solidFill>
                </w14:textFill>
              </w:rPr>
            </w:pPr>
            <w:r>
              <w:rPr>
                <w:rFonts w:hint="eastAsia" w:eastAsia="宋体" w:cs="Times New Roman"/>
                <w:color w:val="000000" w:themeColor="text1"/>
                <w:szCs w:val="21"/>
                <w:highlight w:val="none"/>
                <w:lang w:val="en-US" w:eastAsia="zh-CN"/>
                <w14:textFill>
                  <w14:solidFill>
                    <w14:schemeClr w14:val="tx1"/>
                  </w14:solidFill>
                </w14:textFill>
              </w:rPr>
              <w:t>29.7</w:t>
            </w:r>
          </w:p>
        </w:tc>
        <w:tc>
          <w:tcPr>
            <w:tcW w:w="1096" w:type="dxa"/>
            <w:shd w:val="clear" w:color="auto" w:fill="auto"/>
            <w:noWrap w:val="0"/>
            <w:vAlign w:val="center"/>
          </w:tcPr>
          <w:p w14:paraId="3C001E25">
            <w:pPr>
              <w:spacing w:line="280" w:lineRule="exact"/>
              <w:jc w:val="center"/>
              <w:rPr>
                <w:rFonts w:hint="eastAsia" w:eastAsia="宋体" w:cs="Times New Roman"/>
                <w:color w:val="000000" w:themeColor="text1"/>
                <w:szCs w:val="21"/>
                <w:highlight w:val="none"/>
                <w:lang w:val="en-US" w:eastAsia="zh-CN"/>
                <w14:textFill>
                  <w14:solidFill>
                    <w14:schemeClr w14:val="tx1"/>
                  </w14:solidFill>
                </w14:textFill>
              </w:rPr>
            </w:pPr>
            <w:r>
              <w:rPr>
                <w:rFonts w:hint="eastAsia" w:eastAsia="宋体" w:cs="Times New Roman"/>
                <w:color w:val="000000" w:themeColor="text1"/>
                <w:szCs w:val="21"/>
                <w:highlight w:val="none"/>
                <w:lang w:val="en-US" w:eastAsia="zh-CN"/>
                <w14:textFill>
                  <w14:solidFill>
                    <w14:schemeClr w14:val="tx1"/>
                  </w14:solidFill>
                </w14:textFill>
              </w:rPr>
              <w:t>1</w:t>
            </w:r>
          </w:p>
        </w:tc>
      </w:tr>
      <w:tr w14:paraId="4B299E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937" w:type="dxa"/>
            <w:gridSpan w:val="22"/>
            <w:shd w:val="clear" w:color="auto" w:fill="auto"/>
            <w:noWrap w:val="0"/>
            <w:vAlign w:val="center"/>
          </w:tcPr>
          <w:p w14:paraId="20AF4C22">
            <w:pPr>
              <w:spacing w:line="280" w:lineRule="exact"/>
              <w:jc w:val="both"/>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color w:val="000000" w:themeColor="text1"/>
                <w:szCs w:val="21"/>
                <w:highlight w:val="none"/>
                <w:lang w:val="en-US" w:eastAsia="zh-CN"/>
                <w14:textFill>
                  <w14:solidFill>
                    <w14:schemeClr w14:val="tx1"/>
                  </w14:solidFill>
                </w14:textFill>
              </w:rPr>
              <w:t>注：本项目以</w:t>
            </w:r>
            <w:r>
              <w:rPr>
                <w:rFonts w:hint="eastAsia"/>
                <w:color w:val="000000" w:themeColor="text1"/>
                <w:szCs w:val="21"/>
                <w:highlight w:val="none"/>
                <w:lang w:val="en-US" w:eastAsia="zh-CN"/>
                <w14:textFill>
                  <w14:solidFill>
                    <w14:schemeClr w14:val="tx1"/>
                  </w14:solidFill>
                </w14:textFill>
              </w:rPr>
              <w:t>电芯车间</w:t>
            </w:r>
            <w:r>
              <w:rPr>
                <w:rFonts w:hint="eastAsia" w:ascii="Times New Roman" w:hAnsi="Times New Roman"/>
                <w:color w:val="000000" w:themeColor="text1"/>
                <w:szCs w:val="21"/>
                <w:highlight w:val="none"/>
                <w:lang w:val="en-US" w:eastAsia="zh-CN"/>
                <w14:textFill>
                  <w14:solidFill>
                    <w14:schemeClr w14:val="tx1"/>
                  </w14:solidFill>
                </w14:textFill>
              </w:rPr>
              <w:t>南边角为原点</w:t>
            </w:r>
          </w:p>
        </w:tc>
      </w:tr>
    </w:tbl>
    <w:p w14:paraId="38B9F220">
      <w:pPr>
        <w:pStyle w:val="208"/>
        <w:spacing w:line="276" w:lineRule="auto"/>
        <w:ind w:firstLine="0"/>
        <w:jc w:val="center"/>
        <w:rPr>
          <w:rFonts w:hint="default"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t>表</w:t>
      </w:r>
      <w:r>
        <w:rPr>
          <w:rFonts w:hint="eastAsia"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t>4-1</w:t>
      </w:r>
      <w:r>
        <w:rPr>
          <w:rFonts w:hint="eastAsia" w:ascii="Times New Roman" w:cs="Times New Roman"/>
          <w:b/>
          <w:bCs/>
          <w:color w:val="000000" w:themeColor="text1"/>
          <w:kern w:val="0"/>
          <w:sz w:val="21"/>
          <w:szCs w:val="21"/>
          <w:highlight w:val="none"/>
          <w:lang w:val="en-US" w:eastAsia="zh-CN"/>
          <w14:textFill>
            <w14:solidFill>
              <w14:schemeClr w14:val="tx1"/>
            </w14:solidFill>
          </w14:textFill>
        </w:rPr>
        <w:t>7</w:t>
      </w:r>
      <w:r>
        <w:rPr>
          <w:rFonts w:hint="eastAsia"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t xml:space="preserve"> 本项目室外噪声源强调查清单表（单位：dB（A））</w:t>
      </w:r>
    </w:p>
    <w:tbl>
      <w:tblPr>
        <w:tblStyle w:val="42"/>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023"/>
        <w:gridCol w:w="2203"/>
        <w:gridCol w:w="1039"/>
        <w:gridCol w:w="1416"/>
        <w:gridCol w:w="1417"/>
        <w:gridCol w:w="1416"/>
        <w:gridCol w:w="1269"/>
        <w:gridCol w:w="2033"/>
        <w:gridCol w:w="1395"/>
      </w:tblGrid>
      <w:tr w14:paraId="331A30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41" w:hRule="atLeast"/>
          <w:jc w:val="center"/>
        </w:trPr>
        <w:tc>
          <w:tcPr>
            <w:tcW w:w="1023" w:type="dxa"/>
            <w:vMerge w:val="restart"/>
            <w:tcBorders>
              <w:tl2br w:val="nil"/>
              <w:tr2bl w:val="nil"/>
            </w:tcBorders>
            <w:shd w:val="clear" w:color="auto" w:fill="auto"/>
            <w:noWrap w:val="0"/>
            <w:vAlign w:val="center"/>
          </w:tcPr>
          <w:p w14:paraId="772489C9">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序号</w:t>
            </w:r>
          </w:p>
        </w:tc>
        <w:tc>
          <w:tcPr>
            <w:tcW w:w="2203" w:type="dxa"/>
            <w:vMerge w:val="restart"/>
            <w:tcBorders>
              <w:tl2br w:val="nil"/>
              <w:tr2bl w:val="nil"/>
            </w:tcBorders>
            <w:shd w:val="clear" w:color="auto" w:fill="auto"/>
            <w:noWrap w:val="0"/>
            <w:vAlign w:val="center"/>
          </w:tcPr>
          <w:p w14:paraId="15CB4FA1">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声源名称</w:t>
            </w:r>
          </w:p>
        </w:tc>
        <w:tc>
          <w:tcPr>
            <w:tcW w:w="1039" w:type="dxa"/>
            <w:vMerge w:val="restart"/>
            <w:tcBorders>
              <w:tl2br w:val="nil"/>
              <w:tr2bl w:val="nil"/>
            </w:tcBorders>
            <w:shd w:val="clear" w:color="auto" w:fill="auto"/>
            <w:noWrap w:val="0"/>
            <w:vAlign w:val="center"/>
          </w:tcPr>
          <w:p w14:paraId="6E147468">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数量</w:t>
            </w:r>
          </w:p>
        </w:tc>
        <w:tc>
          <w:tcPr>
            <w:tcW w:w="4249" w:type="dxa"/>
            <w:gridSpan w:val="3"/>
            <w:tcBorders>
              <w:tl2br w:val="nil"/>
              <w:tr2bl w:val="nil"/>
            </w:tcBorders>
            <w:shd w:val="clear" w:color="auto" w:fill="auto"/>
            <w:noWrap w:val="0"/>
            <w:vAlign w:val="center"/>
          </w:tcPr>
          <w:p w14:paraId="3CE834B4">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空间相对位置/m</w:t>
            </w:r>
          </w:p>
        </w:tc>
        <w:tc>
          <w:tcPr>
            <w:tcW w:w="1269" w:type="dxa"/>
            <w:vMerge w:val="restart"/>
            <w:tcBorders>
              <w:tl2br w:val="nil"/>
              <w:tr2bl w:val="nil"/>
            </w:tcBorders>
            <w:shd w:val="clear" w:color="auto" w:fill="auto"/>
            <w:noWrap w:val="0"/>
            <w:vAlign w:val="center"/>
          </w:tcPr>
          <w:p w14:paraId="69BA950A">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声源强</w:t>
            </w:r>
          </w:p>
        </w:tc>
        <w:tc>
          <w:tcPr>
            <w:tcW w:w="2033" w:type="dxa"/>
            <w:vMerge w:val="restart"/>
            <w:tcBorders>
              <w:tl2br w:val="nil"/>
              <w:tr2bl w:val="nil"/>
            </w:tcBorders>
            <w:shd w:val="clear" w:color="auto" w:fill="auto"/>
            <w:noWrap w:val="0"/>
            <w:vAlign w:val="center"/>
          </w:tcPr>
          <w:p w14:paraId="2C8F4AC5">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声源控制措施</w:t>
            </w:r>
          </w:p>
        </w:tc>
        <w:tc>
          <w:tcPr>
            <w:tcW w:w="1395" w:type="dxa"/>
            <w:vMerge w:val="restart"/>
            <w:tcBorders>
              <w:tl2br w:val="nil"/>
              <w:tr2bl w:val="nil"/>
            </w:tcBorders>
            <w:shd w:val="clear" w:color="auto" w:fill="auto"/>
            <w:noWrap w:val="0"/>
            <w:vAlign w:val="center"/>
          </w:tcPr>
          <w:p w14:paraId="7B44206F">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运行时段</w:t>
            </w:r>
          </w:p>
        </w:tc>
      </w:tr>
      <w:tr w14:paraId="513AAF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4" w:hRule="atLeast"/>
          <w:jc w:val="center"/>
        </w:trPr>
        <w:tc>
          <w:tcPr>
            <w:tcW w:w="1023" w:type="dxa"/>
            <w:vMerge w:val="continue"/>
            <w:tcBorders>
              <w:tl2br w:val="nil"/>
              <w:tr2bl w:val="nil"/>
            </w:tcBorders>
            <w:shd w:val="clear" w:color="auto" w:fill="auto"/>
            <w:noWrap w:val="0"/>
            <w:vAlign w:val="center"/>
          </w:tcPr>
          <w:p w14:paraId="5E31142E">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p>
        </w:tc>
        <w:tc>
          <w:tcPr>
            <w:tcW w:w="2203" w:type="dxa"/>
            <w:vMerge w:val="continue"/>
            <w:tcBorders>
              <w:tl2br w:val="nil"/>
              <w:tr2bl w:val="nil"/>
            </w:tcBorders>
            <w:shd w:val="clear" w:color="auto" w:fill="auto"/>
            <w:noWrap w:val="0"/>
            <w:vAlign w:val="center"/>
          </w:tcPr>
          <w:p w14:paraId="494D60F9">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p>
        </w:tc>
        <w:tc>
          <w:tcPr>
            <w:tcW w:w="1039" w:type="dxa"/>
            <w:vMerge w:val="continue"/>
            <w:tcBorders>
              <w:tl2br w:val="nil"/>
              <w:tr2bl w:val="nil"/>
            </w:tcBorders>
            <w:shd w:val="clear" w:color="auto" w:fill="auto"/>
            <w:noWrap w:val="0"/>
            <w:vAlign w:val="center"/>
          </w:tcPr>
          <w:p w14:paraId="22879420">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p>
        </w:tc>
        <w:tc>
          <w:tcPr>
            <w:tcW w:w="1416" w:type="dxa"/>
            <w:tcBorders>
              <w:tl2br w:val="nil"/>
              <w:tr2bl w:val="nil"/>
            </w:tcBorders>
            <w:shd w:val="clear" w:color="auto" w:fill="auto"/>
            <w:noWrap w:val="0"/>
            <w:vAlign w:val="center"/>
          </w:tcPr>
          <w:p w14:paraId="28ECC8BF">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X</w:t>
            </w:r>
          </w:p>
        </w:tc>
        <w:tc>
          <w:tcPr>
            <w:tcW w:w="1417" w:type="dxa"/>
            <w:tcBorders>
              <w:tl2br w:val="nil"/>
              <w:tr2bl w:val="nil"/>
            </w:tcBorders>
            <w:shd w:val="clear" w:color="auto" w:fill="auto"/>
            <w:noWrap w:val="0"/>
            <w:vAlign w:val="center"/>
          </w:tcPr>
          <w:p w14:paraId="202C06B6">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Y</w:t>
            </w:r>
          </w:p>
        </w:tc>
        <w:tc>
          <w:tcPr>
            <w:tcW w:w="1416" w:type="dxa"/>
            <w:tcBorders>
              <w:tl2br w:val="nil"/>
              <w:tr2bl w:val="nil"/>
            </w:tcBorders>
            <w:shd w:val="clear" w:color="auto" w:fill="auto"/>
            <w:noWrap w:val="0"/>
            <w:vAlign w:val="center"/>
          </w:tcPr>
          <w:p w14:paraId="1E707133">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Z</w:t>
            </w:r>
          </w:p>
        </w:tc>
        <w:tc>
          <w:tcPr>
            <w:tcW w:w="1269" w:type="dxa"/>
            <w:vMerge w:val="continue"/>
            <w:tcBorders>
              <w:tl2br w:val="nil"/>
              <w:tr2bl w:val="nil"/>
            </w:tcBorders>
            <w:shd w:val="clear" w:color="auto" w:fill="auto"/>
            <w:noWrap w:val="0"/>
            <w:vAlign w:val="center"/>
          </w:tcPr>
          <w:p w14:paraId="12579FD1">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p>
        </w:tc>
        <w:tc>
          <w:tcPr>
            <w:tcW w:w="2033" w:type="dxa"/>
            <w:vMerge w:val="continue"/>
            <w:tcBorders>
              <w:tl2br w:val="nil"/>
              <w:tr2bl w:val="nil"/>
            </w:tcBorders>
            <w:shd w:val="clear" w:color="auto" w:fill="auto"/>
            <w:noWrap w:val="0"/>
            <w:vAlign w:val="center"/>
          </w:tcPr>
          <w:p w14:paraId="60667529">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p>
        </w:tc>
        <w:tc>
          <w:tcPr>
            <w:tcW w:w="1395" w:type="dxa"/>
            <w:vMerge w:val="continue"/>
            <w:tcBorders>
              <w:tl2br w:val="nil"/>
              <w:tr2bl w:val="nil"/>
            </w:tcBorders>
            <w:shd w:val="clear" w:color="auto" w:fill="auto"/>
            <w:noWrap w:val="0"/>
            <w:vAlign w:val="center"/>
          </w:tcPr>
          <w:p w14:paraId="1F5809F4">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p>
        </w:tc>
      </w:tr>
      <w:tr w14:paraId="676363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23" w:type="dxa"/>
            <w:tcBorders>
              <w:tl2br w:val="nil"/>
              <w:tr2bl w:val="nil"/>
            </w:tcBorders>
            <w:shd w:val="clear" w:color="auto" w:fill="auto"/>
            <w:noWrap w:val="0"/>
            <w:vAlign w:val="center"/>
          </w:tcPr>
          <w:p w14:paraId="788CC236">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1</w:t>
            </w:r>
          </w:p>
        </w:tc>
        <w:tc>
          <w:tcPr>
            <w:tcW w:w="2203" w:type="dxa"/>
            <w:tcBorders>
              <w:tl2br w:val="nil"/>
              <w:tr2bl w:val="nil"/>
            </w:tcBorders>
            <w:shd w:val="clear" w:color="auto" w:fill="auto"/>
            <w:noWrap w:val="0"/>
            <w:vAlign w:val="center"/>
          </w:tcPr>
          <w:p w14:paraId="7EA37308">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除湿机系统1#</w:t>
            </w:r>
          </w:p>
        </w:tc>
        <w:tc>
          <w:tcPr>
            <w:tcW w:w="1039" w:type="dxa"/>
            <w:tcBorders>
              <w:tl2br w:val="nil"/>
              <w:tr2bl w:val="nil"/>
            </w:tcBorders>
            <w:shd w:val="clear" w:color="auto" w:fill="auto"/>
            <w:noWrap w:val="0"/>
            <w:vAlign w:val="center"/>
          </w:tcPr>
          <w:p w14:paraId="39A1EF5E">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1</w:t>
            </w:r>
          </w:p>
        </w:tc>
        <w:tc>
          <w:tcPr>
            <w:tcW w:w="1416" w:type="dxa"/>
            <w:tcBorders>
              <w:tl2br w:val="nil"/>
              <w:tr2bl w:val="nil"/>
            </w:tcBorders>
            <w:shd w:val="clear" w:color="auto" w:fill="auto"/>
            <w:noWrap w:val="0"/>
            <w:vAlign w:val="center"/>
          </w:tcPr>
          <w:p w14:paraId="349A4385">
            <w:pPr>
              <w:widowControl/>
              <w:jc w:val="cente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27.03</w:t>
            </w:r>
          </w:p>
        </w:tc>
        <w:tc>
          <w:tcPr>
            <w:tcW w:w="1417" w:type="dxa"/>
            <w:tcBorders>
              <w:tl2br w:val="nil"/>
              <w:tr2bl w:val="nil"/>
            </w:tcBorders>
            <w:shd w:val="clear" w:color="auto" w:fill="auto"/>
            <w:noWrap w:val="0"/>
            <w:vAlign w:val="center"/>
          </w:tcPr>
          <w:p w14:paraId="619428A6">
            <w:pPr>
              <w:widowControl/>
              <w:jc w:val="cente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7.98</w:t>
            </w:r>
          </w:p>
        </w:tc>
        <w:tc>
          <w:tcPr>
            <w:tcW w:w="1416" w:type="dxa"/>
            <w:tcBorders>
              <w:tl2br w:val="nil"/>
              <w:tr2bl w:val="nil"/>
            </w:tcBorders>
            <w:shd w:val="clear" w:color="auto" w:fill="auto"/>
            <w:noWrap w:val="0"/>
            <w:vAlign w:val="center"/>
          </w:tcPr>
          <w:p w14:paraId="1D4F2940">
            <w:pPr>
              <w:spacing w:line="280" w:lineRule="exact"/>
              <w:jc w:val="cente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1.3</w:t>
            </w:r>
          </w:p>
        </w:tc>
        <w:tc>
          <w:tcPr>
            <w:tcW w:w="1269" w:type="dxa"/>
            <w:tcBorders>
              <w:tl2br w:val="nil"/>
              <w:tr2bl w:val="nil"/>
            </w:tcBorders>
            <w:shd w:val="clear" w:color="auto" w:fill="auto"/>
            <w:noWrap w:val="0"/>
            <w:vAlign w:val="center"/>
          </w:tcPr>
          <w:p w14:paraId="4E349692">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60</w:t>
            </w:r>
          </w:p>
        </w:tc>
        <w:tc>
          <w:tcPr>
            <w:tcW w:w="2033" w:type="dxa"/>
            <w:vMerge w:val="restart"/>
            <w:tcBorders>
              <w:tl2br w:val="nil"/>
              <w:tr2bl w:val="nil"/>
            </w:tcBorders>
            <w:shd w:val="clear" w:color="auto" w:fill="auto"/>
            <w:noWrap w:val="0"/>
            <w:vAlign w:val="center"/>
          </w:tcPr>
          <w:p w14:paraId="75B93DD9">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基础减振、设置隔声棉等</w:t>
            </w:r>
          </w:p>
        </w:tc>
        <w:tc>
          <w:tcPr>
            <w:tcW w:w="1395" w:type="dxa"/>
            <w:vMerge w:val="restart"/>
            <w:tcBorders>
              <w:tl2br w:val="nil"/>
              <w:tr2bl w:val="nil"/>
            </w:tcBorders>
            <w:shd w:val="clear" w:color="auto" w:fill="auto"/>
            <w:noWrap w:val="0"/>
            <w:vAlign w:val="center"/>
          </w:tcPr>
          <w:p w14:paraId="4DBAD2FD">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昼、夜间</w:t>
            </w:r>
          </w:p>
        </w:tc>
      </w:tr>
      <w:tr w14:paraId="01898A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8" w:hRule="atLeast"/>
          <w:jc w:val="center"/>
        </w:trPr>
        <w:tc>
          <w:tcPr>
            <w:tcW w:w="1023" w:type="dxa"/>
            <w:tcBorders>
              <w:tl2br w:val="nil"/>
              <w:tr2bl w:val="nil"/>
            </w:tcBorders>
            <w:shd w:val="clear" w:color="auto" w:fill="auto"/>
            <w:noWrap w:val="0"/>
            <w:vAlign w:val="center"/>
          </w:tcPr>
          <w:p w14:paraId="5D50639D">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2</w:t>
            </w:r>
          </w:p>
        </w:tc>
        <w:tc>
          <w:tcPr>
            <w:tcW w:w="2203" w:type="dxa"/>
            <w:tcBorders>
              <w:tl2br w:val="nil"/>
              <w:tr2bl w:val="nil"/>
            </w:tcBorders>
            <w:shd w:val="clear" w:color="auto" w:fill="auto"/>
            <w:noWrap w:val="0"/>
            <w:vAlign w:val="center"/>
          </w:tcPr>
          <w:p w14:paraId="4ACDA0E6">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除湿机系统2#</w:t>
            </w:r>
          </w:p>
        </w:tc>
        <w:tc>
          <w:tcPr>
            <w:tcW w:w="1039" w:type="dxa"/>
            <w:tcBorders>
              <w:tl2br w:val="nil"/>
              <w:tr2bl w:val="nil"/>
            </w:tcBorders>
            <w:shd w:val="clear" w:color="auto" w:fill="auto"/>
            <w:noWrap w:val="0"/>
            <w:vAlign w:val="center"/>
          </w:tcPr>
          <w:p w14:paraId="3E355DE8">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1</w:t>
            </w:r>
          </w:p>
        </w:tc>
        <w:tc>
          <w:tcPr>
            <w:tcW w:w="1416" w:type="dxa"/>
            <w:tcBorders>
              <w:tl2br w:val="nil"/>
              <w:tr2bl w:val="nil"/>
            </w:tcBorders>
            <w:shd w:val="clear" w:color="auto" w:fill="auto"/>
            <w:noWrap w:val="0"/>
            <w:vAlign w:val="center"/>
          </w:tcPr>
          <w:p w14:paraId="1C8BA844">
            <w:pPr>
              <w:widowControl/>
              <w:jc w:val="cente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28.11</w:t>
            </w:r>
          </w:p>
        </w:tc>
        <w:tc>
          <w:tcPr>
            <w:tcW w:w="1417" w:type="dxa"/>
            <w:tcBorders>
              <w:tl2br w:val="nil"/>
              <w:tr2bl w:val="nil"/>
            </w:tcBorders>
            <w:shd w:val="clear" w:color="auto" w:fill="auto"/>
            <w:noWrap w:val="0"/>
            <w:vAlign w:val="center"/>
          </w:tcPr>
          <w:p w14:paraId="14D11D72">
            <w:pPr>
              <w:widowControl/>
              <w:jc w:val="cente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8.37</w:t>
            </w:r>
          </w:p>
        </w:tc>
        <w:tc>
          <w:tcPr>
            <w:tcW w:w="1416" w:type="dxa"/>
            <w:tcBorders>
              <w:tl2br w:val="nil"/>
              <w:tr2bl w:val="nil"/>
            </w:tcBorders>
            <w:shd w:val="clear" w:color="auto" w:fill="auto"/>
            <w:noWrap w:val="0"/>
            <w:vAlign w:val="center"/>
          </w:tcPr>
          <w:p w14:paraId="19F7349A">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1.3</w:t>
            </w:r>
          </w:p>
        </w:tc>
        <w:tc>
          <w:tcPr>
            <w:tcW w:w="1269" w:type="dxa"/>
            <w:tcBorders>
              <w:tl2br w:val="nil"/>
              <w:tr2bl w:val="nil"/>
            </w:tcBorders>
            <w:shd w:val="clear" w:color="auto" w:fill="auto"/>
            <w:noWrap w:val="0"/>
            <w:vAlign w:val="center"/>
          </w:tcPr>
          <w:p w14:paraId="55ABEF58">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60</w:t>
            </w:r>
          </w:p>
        </w:tc>
        <w:tc>
          <w:tcPr>
            <w:tcW w:w="2033" w:type="dxa"/>
            <w:vMerge w:val="continue"/>
            <w:tcBorders>
              <w:tl2br w:val="nil"/>
              <w:tr2bl w:val="nil"/>
            </w:tcBorders>
            <w:shd w:val="clear" w:color="auto" w:fill="auto"/>
            <w:noWrap w:val="0"/>
            <w:vAlign w:val="center"/>
          </w:tcPr>
          <w:p w14:paraId="76330BEE">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p>
        </w:tc>
        <w:tc>
          <w:tcPr>
            <w:tcW w:w="1395" w:type="dxa"/>
            <w:vMerge w:val="continue"/>
            <w:tcBorders>
              <w:tl2br w:val="nil"/>
              <w:tr2bl w:val="nil"/>
            </w:tcBorders>
            <w:shd w:val="clear" w:color="auto" w:fill="auto"/>
            <w:noWrap w:val="0"/>
            <w:vAlign w:val="center"/>
          </w:tcPr>
          <w:p w14:paraId="2E470294">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p>
        </w:tc>
      </w:tr>
      <w:tr w14:paraId="06BECF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4" w:hRule="atLeast"/>
          <w:jc w:val="center"/>
        </w:trPr>
        <w:tc>
          <w:tcPr>
            <w:tcW w:w="1023" w:type="dxa"/>
            <w:tcBorders>
              <w:tl2br w:val="nil"/>
              <w:tr2bl w:val="nil"/>
            </w:tcBorders>
            <w:shd w:val="clear" w:color="auto" w:fill="auto"/>
            <w:noWrap w:val="0"/>
            <w:vAlign w:val="center"/>
          </w:tcPr>
          <w:p w14:paraId="23CC04CE">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3</w:t>
            </w:r>
          </w:p>
        </w:tc>
        <w:tc>
          <w:tcPr>
            <w:tcW w:w="2203" w:type="dxa"/>
            <w:tcBorders>
              <w:tl2br w:val="nil"/>
              <w:tr2bl w:val="nil"/>
            </w:tcBorders>
            <w:shd w:val="clear" w:color="auto" w:fill="auto"/>
            <w:noWrap w:val="0"/>
            <w:vAlign w:val="center"/>
          </w:tcPr>
          <w:p w14:paraId="11DBB662">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除湿机系统3#</w:t>
            </w:r>
          </w:p>
        </w:tc>
        <w:tc>
          <w:tcPr>
            <w:tcW w:w="1039" w:type="dxa"/>
            <w:tcBorders>
              <w:tl2br w:val="nil"/>
              <w:tr2bl w:val="nil"/>
            </w:tcBorders>
            <w:shd w:val="clear" w:color="auto" w:fill="auto"/>
            <w:noWrap w:val="0"/>
            <w:vAlign w:val="center"/>
          </w:tcPr>
          <w:p w14:paraId="403BC252">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1</w:t>
            </w:r>
          </w:p>
        </w:tc>
        <w:tc>
          <w:tcPr>
            <w:tcW w:w="1416" w:type="dxa"/>
            <w:tcBorders>
              <w:tl2br w:val="nil"/>
              <w:tr2bl w:val="nil"/>
            </w:tcBorders>
            <w:shd w:val="clear" w:color="auto" w:fill="auto"/>
            <w:noWrap w:val="0"/>
            <w:vAlign w:val="center"/>
          </w:tcPr>
          <w:p w14:paraId="0E3D375E">
            <w:pPr>
              <w:widowControl/>
              <w:jc w:val="cente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29.07</w:t>
            </w:r>
          </w:p>
        </w:tc>
        <w:tc>
          <w:tcPr>
            <w:tcW w:w="1417" w:type="dxa"/>
            <w:tcBorders>
              <w:tl2br w:val="nil"/>
              <w:tr2bl w:val="nil"/>
            </w:tcBorders>
            <w:shd w:val="clear" w:color="auto" w:fill="auto"/>
            <w:noWrap w:val="0"/>
            <w:vAlign w:val="center"/>
          </w:tcPr>
          <w:p w14:paraId="361D80C0">
            <w:pPr>
              <w:widowControl/>
              <w:jc w:val="cente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8.56</w:t>
            </w:r>
          </w:p>
        </w:tc>
        <w:tc>
          <w:tcPr>
            <w:tcW w:w="1416" w:type="dxa"/>
            <w:tcBorders>
              <w:tl2br w:val="nil"/>
              <w:tr2bl w:val="nil"/>
            </w:tcBorders>
            <w:shd w:val="clear" w:color="auto" w:fill="auto"/>
            <w:noWrap w:val="0"/>
            <w:vAlign w:val="center"/>
          </w:tcPr>
          <w:p w14:paraId="1E3A555A">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1.3</w:t>
            </w:r>
          </w:p>
        </w:tc>
        <w:tc>
          <w:tcPr>
            <w:tcW w:w="1269" w:type="dxa"/>
            <w:tcBorders>
              <w:tl2br w:val="nil"/>
              <w:tr2bl w:val="nil"/>
            </w:tcBorders>
            <w:shd w:val="clear" w:color="auto" w:fill="auto"/>
            <w:noWrap w:val="0"/>
            <w:vAlign w:val="center"/>
          </w:tcPr>
          <w:p w14:paraId="25BCA624">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60</w:t>
            </w:r>
          </w:p>
        </w:tc>
        <w:tc>
          <w:tcPr>
            <w:tcW w:w="2033" w:type="dxa"/>
            <w:vMerge w:val="continue"/>
            <w:tcBorders>
              <w:tl2br w:val="nil"/>
              <w:tr2bl w:val="nil"/>
            </w:tcBorders>
            <w:shd w:val="clear" w:color="auto" w:fill="auto"/>
            <w:noWrap w:val="0"/>
            <w:vAlign w:val="center"/>
          </w:tcPr>
          <w:p w14:paraId="7E7FB527">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p>
        </w:tc>
        <w:tc>
          <w:tcPr>
            <w:tcW w:w="1395" w:type="dxa"/>
            <w:vMerge w:val="continue"/>
            <w:tcBorders>
              <w:tl2br w:val="nil"/>
              <w:tr2bl w:val="nil"/>
            </w:tcBorders>
            <w:shd w:val="clear" w:color="auto" w:fill="auto"/>
            <w:noWrap w:val="0"/>
            <w:vAlign w:val="center"/>
          </w:tcPr>
          <w:p w14:paraId="131953D2">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p>
        </w:tc>
      </w:tr>
      <w:tr w14:paraId="5108DE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4" w:hRule="atLeast"/>
          <w:jc w:val="center"/>
        </w:trPr>
        <w:tc>
          <w:tcPr>
            <w:tcW w:w="1023" w:type="dxa"/>
            <w:tcBorders>
              <w:tl2br w:val="nil"/>
              <w:tr2bl w:val="nil"/>
            </w:tcBorders>
            <w:shd w:val="clear" w:color="auto" w:fill="auto"/>
            <w:noWrap w:val="0"/>
            <w:vAlign w:val="center"/>
          </w:tcPr>
          <w:p w14:paraId="2726C754">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4</w:t>
            </w:r>
          </w:p>
        </w:tc>
        <w:tc>
          <w:tcPr>
            <w:tcW w:w="2203" w:type="dxa"/>
            <w:tcBorders>
              <w:tl2br w:val="nil"/>
              <w:tr2bl w:val="nil"/>
            </w:tcBorders>
            <w:shd w:val="clear" w:color="auto" w:fill="auto"/>
            <w:noWrap w:val="0"/>
            <w:vAlign w:val="center"/>
          </w:tcPr>
          <w:p w14:paraId="55033298">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除湿机系统4#</w:t>
            </w:r>
          </w:p>
        </w:tc>
        <w:tc>
          <w:tcPr>
            <w:tcW w:w="1039" w:type="dxa"/>
            <w:tcBorders>
              <w:tl2br w:val="nil"/>
              <w:tr2bl w:val="nil"/>
            </w:tcBorders>
            <w:shd w:val="clear" w:color="auto" w:fill="auto"/>
            <w:noWrap w:val="0"/>
            <w:vAlign w:val="center"/>
          </w:tcPr>
          <w:p w14:paraId="3F54B44C">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1</w:t>
            </w:r>
          </w:p>
        </w:tc>
        <w:tc>
          <w:tcPr>
            <w:tcW w:w="1416" w:type="dxa"/>
            <w:tcBorders>
              <w:tl2br w:val="nil"/>
              <w:tr2bl w:val="nil"/>
            </w:tcBorders>
            <w:shd w:val="clear" w:color="auto" w:fill="auto"/>
            <w:noWrap w:val="0"/>
            <w:vAlign w:val="center"/>
          </w:tcPr>
          <w:p w14:paraId="319954BE">
            <w:pPr>
              <w:widowControl/>
              <w:jc w:val="cente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29.74</w:t>
            </w:r>
          </w:p>
        </w:tc>
        <w:tc>
          <w:tcPr>
            <w:tcW w:w="1417" w:type="dxa"/>
            <w:tcBorders>
              <w:tl2br w:val="nil"/>
              <w:tr2bl w:val="nil"/>
            </w:tcBorders>
            <w:shd w:val="clear" w:color="auto" w:fill="auto"/>
            <w:noWrap w:val="0"/>
            <w:vAlign w:val="center"/>
          </w:tcPr>
          <w:p w14:paraId="22ACA09F">
            <w:pPr>
              <w:widowControl/>
              <w:jc w:val="cente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8.75</w:t>
            </w:r>
          </w:p>
        </w:tc>
        <w:tc>
          <w:tcPr>
            <w:tcW w:w="1416" w:type="dxa"/>
            <w:tcBorders>
              <w:tl2br w:val="nil"/>
              <w:tr2bl w:val="nil"/>
            </w:tcBorders>
            <w:shd w:val="clear" w:color="auto" w:fill="auto"/>
            <w:noWrap w:val="0"/>
            <w:vAlign w:val="center"/>
          </w:tcPr>
          <w:p w14:paraId="5902735D">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1.3</w:t>
            </w:r>
          </w:p>
        </w:tc>
        <w:tc>
          <w:tcPr>
            <w:tcW w:w="1269" w:type="dxa"/>
            <w:tcBorders>
              <w:tl2br w:val="nil"/>
              <w:tr2bl w:val="nil"/>
            </w:tcBorders>
            <w:shd w:val="clear" w:color="auto" w:fill="auto"/>
            <w:noWrap w:val="0"/>
            <w:vAlign w:val="center"/>
          </w:tcPr>
          <w:p w14:paraId="5EB9297C">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60</w:t>
            </w:r>
          </w:p>
        </w:tc>
        <w:tc>
          <w:tcPr>
            <w:tcW w:w="2033" w:type="dxa"/>
            <w:vMerge w:val="continue"/>
            <w:tcBorders>
              <w:tl2br w:val="nil"/>
              <w:tr2bl w:val="nil"/>
            </w:tcBorders>
            <w:shd w:val="clear" w:color="auto" w:fill="auto"/>
            <w:noWrap w:val="0"/>
            <w:vAlign w:val="center"/>
          </w:tcPr>
          <w:p w14:paraId="5C895A93">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p>
        </w:tc>
        <w:tc>
          <w:tcPr>
            <w:tcW w:w="1395" w:type="dxa"/>
            <w:vMerge w:val="continue"/>
            <w:tcBorders>
              <w:tl2br w:val="nil"/>
              <w:tr2bl w:val="nil"/>
            </w:tcBorders>
            <w:shd w:val="clear" w:color="auto" w:fill="auto"/>
            <w:noWrap w:val="0"/>
            <w:vAlign w:val="center"/>
          </w:tcPr>
          <w:p w14:paraId="0376F456">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p>
        </w:tc>
      </w:tr>
      <w:tr w14:paraId="4DE40B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4" w:hRule="atLeast"/>
          <w:jc w:val="center"/>
        </w:trPr>
        <w:tc>
          <w:tcPr>
            <w:tcW w:w="1023" w:type="dxa"/>
            <w:tcBorders>
              <w:tl2br w:val="nil"/>
              <w:tr2bl w:val="nil"/>
            </w:tcBorders>
            <w:shd w:val="clear" w:color="auto" w:fill="auto"/>
            <w:noWrap w:val="0"/>
            <w:vAlign w:val="center"/>
          </w:tcPr>
          <w:p w14:paraId="6A0B56D4">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5</w:t>
            </w:r>
          </w:p>
        </w:tc>
        <w:tc>
          <w:tcPr>
            <w:tcW w:w="2203" w:type="dxa"/>
            <w:tcBorders>
              <w:tl2br w:val="nil"/>
              <w:tr2bl w:val="nil"/>
            </w:tcBorders>
            <w:shd w:val="clear" w:color="auto" w:fill="auto"/>
            <w:noWrap w:val="0"/>
            <w:vAlign w:val="center"/>
          </w:tcPr>
          <w:p w14:paraId="375EB202">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除湿机系统5#</w:t>
            </w:r>
          </w:p>
        </w:tc>
        <w:tc>
          <w:tcPr>
            <w:tcW w:w="1039" w:type="dxa"/>
            <w:tcBorders>
              <w:tl2br w:val="nil"/>
              <w:tr2bl w:val="nil"/>
            </w:tcBorders>
            <w:shd w:val="clear" w:color="auto" w:fill="auto"/>
            <w:noWrap w:val="0"/>
            <w:vAlign w:val="center"/>
          </w:tcPr>
          <w:p w14:paraId="29E7F319">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1</w:t>
            </w:r>
          </w:p>
        </w:tc>
        <w:tc>
          <w:tcPr>
            <w:tcW w:w="1416" w:type="dxa"/>
            <w:tcBorders>
              <w:tl2br w:val="nil"/>
              <w:tr2bl w:val="nil"/>
            </w:tcBorders>
            <w:shd w:val="clear" w:color="auto" w:fill="auto"/>
            <w:noWrap w:val="0"/>
            <w:vAlign w:val="center"/>
          </w:tcPr>
          <w:p w14:paraId="463745BB">
            <w:pPr>
              <w:widowControl/>
              <w:jc w:val="cente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30.71</w:t>
            </w:r>
          </w:p>
        </w:tc>
        <w:tc>
          <w:tcPr>
            <w:tcW w:w="1417" w:type="dxa"/>
            <w:tcBorders>
              <w:tl2br w:val="nil"/>
              <w:tr2bl w:val="nil"/>
            </w:tcBorders>
            <w:shd w:val="clear" w:color="auto" w:fill="auto"/>
            <w:noWrap w:val="0"/>
            <w:vAlign w:val="center"/>
          </w:tcPr>
          <w:p w14:paraId="08F80331">
            <w:pPr>
              <w:widowControl/>
              <w:jc w:val="cente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8.94</w:t>
            </w:r>
          </w:p>
        </w:tc>
        <w:tc>
          <w:tcPr>
            <w:tcW w:w="1416" w:type="dxa"/>
            <w:tcBorders>
              <w:tl2br w:val="nil"/>
              <w:tr2bl w:val="nil"/>
            </w:tcBorders>
            <w:shd w:val="clear" w:color="auto" w:fill="auto"/>
            <w:noWrap w:val="0"/>
            <w:vAlign w:val="center"/>
          </w:tcPr>
          <w:p w14:paraId="18532744">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1.3</w:t>
            </w:r>
          </w:p>
        </w:tc>
        <w:tc>
          <w:tcPr>
            <w:tcW w:w="1269" w:type="dxa"/>
            <w:tcBorders>
              <w:tl2br w:val="nil"/>
              <w:tr2bl w:val="nil"/>
            </w:tcBorders>
            <w:shd w:val="clear" w:color="auto" w:fill="auto"/>
            <w:noWrap w:val="0"/>
            <w:vAlign w:val="center"/>
          </w:tcPr>
          <w:p w14:paraId="342A1B59">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60</w:t>
            </w:r>
          </w:p>
        </w:tc>
        <w:tc>
          <w:tcPr>
            <w:tcW w:w="2033" w:type="dxa"/>
            <w:vMerge w:val="continue"/>
            <w:tcBorders>
              <w:tl2br w:val="nil"/>
              <w:tr2bl w:val="nil"/>
            </w:tcBorders>
            <w:shd w:val="clear" w:color="auto" w:fill="auto"/>
            <w:noWrap w:val="0"/>
            <w:vAlign w:val="center"/>
          </w:tcPr>
          <w:p w14:paraId="27485D4F">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p>
        </w:tc>
        <w:tc>
          <w:tcPr>
            <w:tcW w:w="1395" w:type="dxa"/>
            <w:vMerge w:val="continue"/>
            <w:tcBorders>
              <w:tl2br w:val="nil"/>
              <w:tr2bl w:val="nil"/>
            </w:tcBorders>
            <w:shd w:val="clear" w:color="auto" w:fill="auto"/>
            <w:noWrap w:val="0"/>
            <w:vAlign w:val="center"/>
          </w:tcPr>
          <w:p w14:paraId="28357CE7">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p>
        </w:tc>
      </w:tr>
      <w:tr w14:paraId="438034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4" w:hRule="atLeast"/>
          <w:jc w:val="center"/>
        </w:trPr>
        <w:tc>
          <w:tcPr>
            <w:tcW w:w="1023" w:type="dxa"/>
            <w:tcBorders>
              <w:tl2br w:val="nil"/>
              <w:tr2bl w:val="nil"/>
            </w:tcBorders>
            <w:shd w:val="clear" w:color="auto" w:fill="auto"/>
            <w:noWrap w:val="0"/>
            <w:vAlign w:val="center"/>
          </w:tcPr>
          <w:p w14:paraId="0D7F03B8">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6</w:t>
            </w:r>
          </w:p>
        </w:tc>
        <w:tc>
          <w:tcPr>
            <w:tcW w:w="2203" w:type="dxa"/>
            <w:tcBorders>
              <w:tl2br w:val="nil"/>
              <w:tr2bl w:val="nil"/>
            </w:tcBorders>
            <w:shd w:val="clear" w:color="auto" w:fill="auto"/>
            <w:noWrap w:val="0"/>
            <w:vAlign w:val="center"/>
          </w:tcPr>
          <w:p w14:paraId="33071CF4">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除湿机系统6#</w:t>
            </w:r>
          </w:p>
        </w:tc>
        <w:tc>
          <w:tcPr>
            <w:tcW w:w="1039" w:type="dxa"/>
            <w:tcBorders>
              <w:tl2br w:val="nil"/>
              <w:tr2bl w:val="nil"/>
            </w:tcBorders>
            <w:shd w:val="clear" w:color="auto" w:fill="auto"/>
            <w:noWrap w:val="0"/>
            <w:vAlign w:val="center"/>
          </w:tcPr>
          <w:p w14:paraId="6C813DB4">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1</w:t>
            </w:r>
          </w:p>
        </w:tc>
        <w:tc>
          <w:tcPr>
            <w:tcW w:w="1416" w:type="dxa"/>
            <w:tcBorders>
              <w:tl2br w:val="nil"/>
              <w:tr2bl w:val="nil"/>
            </w:tcBorders>
            <w:shd w:val="clear" w:color="auto" w:fill="auto"/>
            <w:noWrap w:val="0"/>
            <w:vAlign w:val="center"/>
          </w:tcPr>
          <w:p w14:paraId="3FFFDE3D">
            <w:pPr>
              <w:widowControl/>
              <w:jc w:val="cente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31.76</w:t>
            </w:r>
          </w:p>
        </w:tc>
        <w:tc>
          <w:tcPr>
            <w:tcW w:w="1417" w:type="dxa"/>
            <w:tcBorders>
              <w:tl2br w:val="nil"/>
              <w:tr2bl w:val="nil"/>
            </w:tcBorders>
            <w:shd w:val="clear" w:color="auto" w:fill="auto"/>
            <w:noWrap w:val="0"/>
            <w:vAlign w:val="center"/>
          </w:tcPr>
          <w:p w14:paraId="273A34C1">
            <w:pPr>
              <w:widowControl/>
              <w:jc w:val="cente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9.13</w:t>
            </w:r>
          </w:p>
        </w:tc>
        <w:tc>
          <w:tcPr>
            <w:tcW w:w="1416" w:type="dxa"/>
            <w:tcBorders>
              <w:tl2br w:val="nil"/>
              <w:tr2bl w:val="nil"/>
            </w:tcBorders>
            <w:shd w:val="clear" w:color="auto" w:fill="auto"/>
            <w:noWrap w:val="0"/>
            <w:vAlign w:val="center"/>
          </w:tcPr>
          <w:p w14:paraId="015C695E">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1.3</w:t>
            </w:r>
          </w:p>
        </w:tc>
        <w:tc>
          <w:tcPr>
            <w:tcW w:w="1269" w:type="dxa"/>
            <w:tcBorders>
              <w:tl2br w:val="nil"/>
              <w:tr2bl w:val="nil"/>
            </w:tcBorders>
            <w:shd w:val="clear" w:color="auto" w:fill="auto"/>
            <w:noWrap w:val="0"/>
            <w:vAlign w:val="center"/>
          </w:tcPr>
          <w:p w14:paraId="588A2353">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60</w:t>
            </w:r>
          </w:p>
        </w:tc>
        <w:tc>
          <w:tcPr>
            <w:tcW w:w="2033" w:type="dxa"/>
            <w:vMerge w:val="continue"/>
            <w:tcBorders>
              <w:tl2br w:val="nil"/>
              <w:tr2bl w:val="nil"/>
            </w:tcBorders>
            <w:shd w:val="clear" w:color="auto" w:fill="auto"/>
            <w:noWrap w:val="0"/>
            <w:vAlign w:val="center"/>
          </w:tcPr>
          <w:p w14:paraId="18310F9F">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p>
        </w:tc>
        <w:tc>
          <w:tcPr>
            <w:tcW w:w="1395" w:type="dxa"/>
            <w:vMerge w:val="continue"/>
            <w:tcBorders>
              <w:tl2br w:val="nil"/>
              <w:tr2bl w:val="nil"/>
            </w:tcBorders>
            <w:shd w:val="clear" w:color="auto" w:fill="auto"/>
            <w:noWrap w:val="0"/>
            <w:vAlign w:val="center"/>
          </w:tcPr>
          <w:p w14:paraId="6D57BD37">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p>
        </w:tc>
      </w:tr>
      <w:tr w14:paraId="6DD836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4" w:hRule="atLeast"/>
          <w:jc w:val="center"/>
        </w:trPr>
        <w:tc>
          <w:tcPr>
            <w:tcW w:w="1023" w:type="dxa"/>
            <w:tcBorders>
              <w:tl2br w:val="nil"/>
              <w:tr2bl w:val="nil"/>
            </w:tcBorders>
            <w:shd w:val="clear" w:color="auto" w:fill="auto"/>
            <w:noWrap w:val="0"/>
            <w:vAlign w:val="center"/>
          </w:tcPr>
          <w:p w14:paraId="0C47F408">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7</w:t>
            </w:r>
          </w:p>
        </w:tc>
        <w:tc>
          <w:tcPr>
            <w:tcW w:w="2203" w:type="dxa"/>
            <w:tcBorders>
              <w:tl2br w:val="nil"/>
              <w:tr2bl w:val="nil"/>
            </w:tcBorders>
            <w:shd w:val="clear" w:color="auto" w:fill="auto"/>
            <w:noWrap w:val="0"/>
            <w:vAlign w:val="center"/>
          </w:tcPr>
          <w:p w14:paraId="67064DCD">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除湿机系统7#</w:t>
            </w:r>
          </w:p>
        </w:tc>
        <w:tc>
          <w:tcPr>
            <w:tcW w:w="1039" w:type="dxa"/>
            <w:tcBorders>
              <w:tl2br w:val="nil"/>
              <w:tr2bl w:val="nil"/>
            </w:tcBorders>
            <w:shd w:val="clear" w:color="auto" w:fill="auto"/>
            <w:noWrap w:val="0"/>
            <w:vAlign w:val="center"/>
          </w:tcPr>
          <w:p w14:paraId="405FB6AB">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1</w:t>
            </w:r>
          </w:p>
        </w:tc>
        <w:tc>
          <w:tcPr>
            <w:tcW w:w="1416" w:type="dxa"/>
            <w:tcBorders>
              <w:tl2br w:val="nil"/>
              <w:tr2bl w:val="nil"/>
            </w:tcBorders>
            <w:shd w:val="clear" w:color="auto" w:fill="auto"/>
            <w:noWrap w:val="0"/>
            <w:vAlign w:val="center"/>
          </w:tcPr>
          <w:p w14:paraId="39A7E9B8">
            <w:pPr>
              <w:widowControl/>
              <w:jc w:val="cente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32.63</w:t>
            </w:r>
          </w:p>
        </w:tc>
        <w:tc>
          <w:tcPr>
            <w:tcW w:w="1417" w:type="dxa"/>
            <w:tcBorders>
              <w:tl2br w:val="nil"/>
              <w:tr2bl w:val="nil"/>
            </w:tcBorders>
            <w:shd w:val="clear" w:color="auto" w:fill="auto"/>
            <w:noWrap w:val="0"/>
            <w:vAlign w:val="center"/>
          </w:tcPr>
          <w:p w14:paraId="017F6654">
            <w:pPr>
              <w:widowControl/>
              <w:jc w:val="cente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9.42</w:t>
            </w:r>
          </w:p>
        </w:tc>
        <w:tc>
          <w:tcPr>
            <w:tcW w:w="1416" w:type="dxa"/>
            <w:tcBorders>
              <w:tl2br w:val="nil"/>
              <w:tr2bl w:val="nil"/>
            </w:tcBorders>
            <w:shd w:val="clear" w:color="auto" w:fill="auto"/>
            <w:noWrap w:val="0"/>
            <w:vAlign w:val="center"/>
          </w:tcPr>
          <w:p w14:paraId="254B1F4E">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1.3</w:t>
            </w:r>
          </w:p>
        </w:tc>
        <w:tc>
          <w:tcPr>
            <w:tcW w:w="1269" w:type="dxa"/>
            <w:tcBorders>
              <w:tl2br w:val="nil"/>
              <w:tr2bl w:val="nil"/>
            </w:tcBorders>
            <w:shd w:val="clear" w:color="auto" w:fill="auto"/>
            <w:noWrap w:val="0"/>
            <w:vAlign w:val="center"/>
          </w:tcPr>
          <w:p w14:paraId="6FBF009D">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60</w:t>
            </w:r>
          </w:p>
        </w:tc>
        <w:tc>
          <w:tcPr>
            <w:tcW w:w="2033" w:type="dxa"/>
            <w:vMerge w:val="continue"/>
            <w:tcBorders>
              <w:tl2br w:val="nil"/>
              <w:tr2bl w:val="nil"/>
            </w:tcBorders>
            <w:shd w:val="clear" w:color="auto" w:fill="auto"/>
            <w:noWrap w:val="0"/>
            <w:vAlign w:val="center"/>
          </w:tcPr>
          <w:p w14:paraId="250F1658">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p>
        </w:tc>
        <w:tc>
          <w:tcPr>
            <w:tcW w:w="1395" w:type="dxa"/>
            <w:vMerge w:val="continue"/>
            <w:tcBorders>
              <w:tl2br w:val="nil"/>
              <w:tr2bl w:val="nil"/>
            </w:tcBorders>
            <w:shd w:val="clear" w:color="auto" w:fill="auto"/>
            <w:noWrap w:val="0"/>
            <w:vAlign w:val="center"/>
          </w:tcPr>
          <w:p w14:paraId="72AA1232">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p>
        </w:tc>
      </w:tr>
      <w:tr w14:paraId="019AA3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4" w:hRule="atLeast"/>
          <w:jc w:val="center"/>
        </w:trPr>
        <w:tc>
          <w:tcPr>
            <w:tcW w:w="1023" w:type="dxa"/>
            <w:tcBorders>
              <w:tl2br w:val="nil"/>
              <w:tr2bl w:val="nil"/>
            </w:tcBorders>
            <w:shd w:val="clear" w:color="auto" w:fill="auto"/>
            <w:noWrap w:val="0"/>
            <w:vAlign w:val="center"/>
          </w:tcPr>
          <w:p w14:paraId="31896CCD">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8</w:t>
            </w:r>
          </w:p>
        </w:tc>
        <w:tc>
          <w:tcPr>
            <w:tcW w:w="2203" w:type="dxa"/>
            <w:tcBorders>
              <w:tl2br w:val="nil"/>
              <w:tr2bl w:val="nil"/>
            </w:tcBorders>
            <w:shd w:val="clear" w:color="auto" w:fill="auto"/>
            <w:noWrap w:val="0"/>
            <w:vAlign w:val="center"/>
          </w:tcPr>
          <w:p w14:paraId="2B94C5BF">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除湿机系统8#</w:t>
            </w:r>
          </w:p>
        </w:tc>
        <w:tc>
          <w:tcPr>
            <w:tcW w:w="1039" w:type="dxa"/>
            <w:tcBorders>
              <w:tl2br w:val="nil"/>
              <w:tr2bl w:val="nil"/>
            </w:tcBorders>
            <w:shd w:val="clear" w:color="auto" w:fill="auto"/>
            <w:noWrap w:val="0"/>
            <w:vAlign w:val="center"/>
          </w:tcPr>
          <w:p w14:paraId="484C3F62">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1</w:t>
            </w:r>
          </w:p>
        </w:tc>
        <w:tc>
          <w:tcPr>
            <w:tcW w:w="1416" w:type="dxa"/>
            <w:tcBorders>
              <w:tl2br w:val="nil"/>
              <w:tr2bl w:val="nil"/>
            </w:tcBorders>
            <w:shd w:val="clear" w:color="auto" w:fill="auto"/>
            <w:noWrap w:val="0"/>
            <w:vAlign w:val="center"/>
          </w:tcPr>
          <w:p w14:paraId="693F91F7">
            <w:pPr>
              <w:widowControl/>
              <w:jc w:val="cente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33.49</w:t>
            </w:r>
          </w:p>
        </w:tc>
        <w:tc>
          <w:tcPr>
            <w:tcW w:w="1417" w:type="dxa"/>
            <w:tcBorders>
              <w:tl2br w:val="nil"/>
              <w:tr2bl w:val="nil"/>
            </w:tcBorders>
            <w:shd w:val="clear" w:color="auto" w:fill="auto"/>
            <w:noWrap w:val="0"/>
            <w:vAlign w:val="center"/>
          </w:tcPr>
          <w:p w14:paraId="63C87581">
            <w:pPr>
              <w:widowControl/>
              <w:jc w:val="cente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9.71</w:t>
            </w:r>
          </w:p>
        </w:tc>
        <w:tc>
          <w:tcPr>
            <w:tcW w:w="1416" w:type="dxa"/>
            <w:tcBorders>
              <w:tl2br w:val="nil"/>
              <w:tr2bl w:val="nil"/>
            </w:tcBorders>
            <w:shd w:val="clear" w:color="auto" w:fill="auto"/>
            <w:noWrap w:val="0"/>
            <w:vAlign w:val="center"/>
          </w:tcPr>
          <w:p w14:paraId="224735B8">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1.3</w:t>
            </w:r>
          </w:p>
        </w:tc>
        <w:tc>
          <w:tcPr>
            <w:tcW w:w="1269" w:type="dxa"/>
            <w:tcBorders>
              <w:tl2br w:val="nil"/>
              <w:tr2bl w:val="nil"/>
            </w:tcBorders>
            <w:shd w:val="clear" w:color="auto" w:fill="auto"/>
            <w:noWrap w:val="0"/>
            <w:vAlign w:val="center"/>
          </w:tcPr>
          <w:p w14:paraId="777BFA41">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60</w:t>
            </w:r>
          </w:p>
        </w:tc>
        <w:tc>
          <w:tcPr>
            <w:tcW w:w="2033" w:type="dxa"/>
            <w:vMerge w:val="continue"/>
            <w:tcBorders>
              <w:tl2br w:val="nil"/>
              <w:tr2bl w:val="nil"/>
            </w:tcBorders>
            <w:shd w:val="clear" w:color="auto" w:fill="auto"/>
            <w:noWrap w:val="0"/>
            <w:vAlign w:val="center"/>
          </w:tcPr>
          <w:p w14:paraId="7D502FF1">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p>
        </w:tc>
        <w:tc>
          <w:tcPr>
            <w:tcW w:w="1395" w:type="dxa"/>
            <w:vMerge w:val="continue"/>
            <w:tcBorders>
              <w:tl2br w:val="nil"/>
              <w:tr2bl w:val="nil"/>
            </w:tcBorders>
            <w:shd w:val="clear" w:color="auto" w:fill="auto"/>
            <w:noWrap w:val="0"/>
            <w:vAlign w:val="center"/>
          </w:tcPr>
          <w:p w14:paraId="0A26B320">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p>
        </w:tc>
      </w:tr>
      <w:tr w14:paraId="205DA3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4" w:hRule="atLeast"/>
          <w:jc w:val="center"/>
        </w:trPr>
        <w:tc>
          <w:tcPr>
            <w:tcW w:w="1023" w:type="dxa"/>
            <w:tcBorders>
              <w:tl2br w:val="nil"/>
              <w:tr2bl w:val="nil"/>
            </w:tcBorders>
            <w:shd w:val="clear" w:color="auto" w:fill="auto"/>
            <w:noWrap w:val="0"/>
            <w:vAlign w:val="center"/>
          </w:tcPr>
          <w:p w14:paraId="6B1281AD">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9</w:t>
            </w:r>
          </w:p>
        </w:tc>
        <w:tc>
          <w:tcPr>
            <w:tcW w:w="2203" w:type="dxa"/>
            <w:tcBorders>
              <w:tl2br w:val="nil"/>
              <w:tr2bl w:val="nil"/>
            </w:tcBorders>
            <w:shd w:val="clear" w:color="auto" w:fill="auto"/>
            <w:noWrap w:val="0"/>
            <w:vAlign w:val="center"/>
          </w:tcPr>
          <w:p w14:paraId="0E71C53A">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除湿机系统9#</w:t>
            </w:r>
          </w:p>
        </w:tc>
        <w:tc>
          <w:tcPr>
            <w:tcW w:w="1039" w:type="dxa"/>
            <w:tcBorders>
              <w:tl2br w:val="nil"/>
              <w:tr2bl w:val="nil"/>
            </w:tcBorders>
            <w:shd w:val="clear" w:color="auto" w:fill="auto"/>
            <w:noWrap w:val="0"/>
            <w:vAlign w:val="center"/>
          </w:tcPr>
          <w:p w14:paraId="2D2229D1">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1</w:t>
            </w:r>
          </w:p>
        </w:tc>
        <w:tc>
          <w:tcPr>
            <w:tcW w:w="1416" w:type="dxa"/>
            <w:tcBorders>
              <w:tl2br w:val="nil"/>
              <w:tr2bl w:val="nil"/>
            </w:tcBorders>
            <w:shd w:val="clear" w:color="auto" w:fill="auto"/>
            <w:noWrap w:val="0"/>
            <w:vAlign w:val="center"/>
          </w:tcPr>
          <w:p w14:paraId="4E713C55">
            <w:pPr>
              <w:widowControl/>
              <w:jc w:val="cente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34.55</w:t>
            </w:r>
          </w:p>
        </w:tc>
        <w:tc>
          <w:tcPr>
            <w:tcW w:w="1417" w:type="dxa"/>
            <w:tcBorders>
              <w:tl2br w:val="nil"/>
              <w:tr2bl w:val="nil"/>
            </w:tcBorders>
            <w:shd w:val="clear" w:color="auto" w:fill="auto"/>
            <w:noWrap w:val="0"/>
            <w:vAlign w:val="center"/>
          </w:tcPr>
          <w:p w14:paraId="282DF00D">
            <w:pPr>
              <w:widowControl/>
              <w:jc w:val="cente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9.9</w:t>
            </w:r>
          </w:p>
        </w:tc>
        <w:tc>
          <w:tcPr>
            <w:tcW w:w="1416" w:type="dxa"/>
            <w:tcBorders>
              <w:tl2br w:val="nil"/>
              <w:tr2bl w:val="nil"/>
            </w:tcBorders>
            <w:shd w:val="clear" w:color="auto" w:fill="auto"/>
            <w:noWrap w:val="0"/>
            <w:vAlign w:val="center"/>
          </w:tcPr>
          <w:p w14:paraId="229AAE2A">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1.3</w:t>
            </w:r>
          </w:p>
        </w:tc>
        <w:tc>
          <w:tcPr>
            <w:tcW w:w="1269" w:type="dxa"/>
            <w:tcBorders>
              <w:tl2br w:val="nil"/>
              <w:tr2bl w:val="nil"/>
            </w:tcBorders>
            <w:shd w:val="clear" w:color="auto" w:fill="auto"/>
            <w:noWrap w:val="0"/>
            <w:vAlign w:val="center"/>
          </w:tcPr>
          <w:p w14:paraId="0F6BD080">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60</w:t>
            </w:r>
          </w:p>
        </w:tc>
        <w:tc>
          <w:tcPr>
            <w:tcW w:w="2033" w:type="dxa"/>
            <w:vMerge w:val="continue"/>
            <w:tcBorders>
              <w:tl2br w:val="nil"/>
              <w:tr2bl w:val="nil"/>
            </w:tcBorders>
            <w:shd w:val="clear" w:color="auto" w:fill="auto"/>
            <w:noWrap w:val="0"/>
            <w:vAlign w:val="center"/>
          </w:tcPr>
          <w:p w14:paraId="0BA4CF8D">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p>
        </w:tc>
        <w:tc>
          <w:tcPr>
            <w:tcW w:w="1395" w:type="dxa"/>
            <w:vMerge w:val="continue"/>
            <w:tcBorders>
              <w:tl2br w:val="nil"/>
              <w:tr2bl w:val="nil"/>
            </w:tcBorders>
            <w:shd w:val="clear" w:color="auto" w:fill="auto"/>
            <w:noWrap w:val="0"/>
            <w:vAlign w:val="center"/>
          </w:tcPr>
          <w:p w14:paraId="56B84DBD">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p>
        </w:tc>
      </w:tr>
      <w:tr w14:paraId="7EF2ED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4" w:hRule="atLeast"/>
          <w:jc w:val="center"/>
        </w:trPr>
        <w:tc>
          <w:tcPr>
            <w:tcW w:w="1023" w:type="dxa"/>
            <w:tcBorders>
              <w:tl2br w:val="nil"/>
              <w:tr2bl w:val="nil"/>
            </w:tcBorders>
            <w:shd w:val="clear" w:color="auto" w:fill="auto"/>
            <w:noWrap w:val="0"/>
            <w:vAlign w:val="center"/>
          </w:tcPr>
          <w:p w14:paraId="00369F4C">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10</w:t>
            </w:r>
          </w:p>
        </w:tc>
        <w:tc>
          <w:tcPr>
            <w:tcW w:w="2203" w:type="dxa"/>
            <w:tcBorders>
              <w:tl2br w:val="nil"/>
              <w:tr2bl w:val="nil"/>
            </w:tcBorders>
            <w:shd w:val="clear" w:color="auto" w:fill="auto"/>
            <w:noWrap w:val="0"/>
            <w:vAlign w:val="center"/>
          </w:tcPr>
          <w:p w14:paraId="60EE75C2">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除湿机系统10#</w:t>
            </w:r>
          </w:p>
        </w:tc>
        <w:tc>
          <w:tcPr>
            <w:tcW w:w="1039" w:type="dxa"/>
            <w:tcBorders>
              <w:tl2br w:val="nil"/>
              <w:tr2bl w:val="nil"/>
            </w:tcBorders>
            <w:shd w:val="clear" w:color="auto" w:fill="auto"/>
            <w:noWrap w:val="0"/>
            <w:vAlign w:val="center"/>
          </w:tcPr>
          <w:p w14:paraId="6EFB1B76">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1</w:t>
            </w:r>
          </w:p>
        </w:tc>
        <w:tc>
          <w:tcPr>
            <w:tcW w:w="1416" w:type="dxa"/>
            <w:tcBorders>
              <w:tl2br w:val="nil"/>
              <w:tr2bl w:val="nil"/>
            </w:tcBorders>
            <w:shd w:val="clear" w:color="auto" w:fill="auto"/>
            <w:noWrap w:val="0"/>
            <w:vAlign w:val="center"/>
          </w:tcPr>
          <w:p w14:paraId="358A5D67">
            <w:pPr>
              <w:widowControl/>
              <w:jc w:val="center"/>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35.89</w:t>
            </w:r>
          </w:p>
        </w:tc>
        <w:tc>
          <w:tcPr>
            <w:tcW w:w="1417" w:type="dxa"/>
            <w:tcBorders>
              <w:tl2br w:val="nil"/>
              <w:tr2bl w:val="nil"/>
            </w:tcBorders>
            <w:shd w:val="clear" w:color="auto" w:fill="auto"/>
            <w:noWrap w:val="0"/>
            <w:vAlign w:val="center"/>
          </w:tcPr>
          <w:p w14:paraId="7C0E6122">
            <w:pPr>
              <w:widowControl/>
              <w:jc w:val="center"/>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10.29</w:t>
            </w:r>
          </w:p>
        </w:tc>
        <w:tc>
          <w:tcPr>
            <w:tcW w:w="1416" w:type="dxa"/>
            <w:tcBorders>
              <w:tl2br w:val="nil"/>
              <w:tr2bl w:val="nil"/>
            </w:tcBorders>
            <w:shd w:val="clear" w:color="auto" w:fill="auto"/>
            <w:noWrap w:val="0"/>
            <w:vAlign w:val="center"/>
          </w:tcPr>
          <w:p w14:paraId="3B362478">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b w:val="0"/>
                <w:bCs w:val="0"/>
                <w:color w:val="auto"/>
                <w:sz w:val="21"/>
                <w:szCs w:val="21"/>
                <w:highlight w:val="none"/>
                <w:vertAlign w:val="baseline"/>
                <w:lang w:val="en-US" w:eastAsia="zh-CN"/>
              </w:rPr>
              <w:t>1.3</w:t>
            </w:r>
          </w:p>
        </w:tc>
        <w:tc>
          <w:tcPr>
            <w:tcW w:w="1269" w:type="dxa"/>
            <w:tcBorders>
              <w:tl2br w:val="nil"/>
              <w:tr2bl w:val="nil"/>
            </w:tcBorders>
            <w:shd w:val="clear" w:color="auto" w:fill="auto"/>
            <w:noWrap w:val="0"/>
            <w:vAlign w:val="center"/>
          </w:tcPr>
          <w:p w14:paraId="348C3F16">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60</w:t>
            </w:r>
          </w:p>
        </w:tc>
        <w:tc>
          <w:tcPr>
            <w:tcW w:w="2033" w:type="dxa"/>
            <w:vMerge w:val="continue"/>
            <w:tcBorders>
              <w:tl2br w:val="nil"/>
              <w:tr2bl w:val="nil"/>
            </w:tcBorders>
            <w:shd w:val="clear" w:color="auto" w:fill="auto"/>
            <w:noWrap w:val="0"/>
            <w:vAlign w:val="center"/>
          </w:tcPr>
          <w:p w14:paraId="0486AA06">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eastAsia="宋体" w:cs="Times New Roman"/>
                <w:b w:val="0"/>
                <w:bCs w:val="0"/>
                <w:color w:val="auto"/>
                <w:sz w:val="21"/>
                <w:szCs w:val="21"/>
                <w:highlight w:val="none"/>
                <w:vertAlign w:val="baseline"/>
                <w:lang w:val="en-US" w:eastAsia="zh-CN"/>
              </w:rPr>
            </w:pPr>
          </w:p>
        </w:tc>
        <w:tc>
          <w:tcPr>
            <w:tcW w:w="1395" w:type="dxa"/>
            <w:vMerge w:val="continue"/>
            <w:tcBorders>
              <w:tl2br w:val="nil"/>
              <w:tr2bl w:val="nil"/>
            </w:tcBorders>
            <w:shd w:val="clear" w:color="auto" w:fill="auto"/>
            <w:noWrap w:val="0"/>
            <w:vAlign w:val="center"/>
          </w:tcPr>
          <w:p w14:paraId="57014CEB">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cs="Times New Roman"/>
                <w:b w:val="0"/>
                <w:bCs w:val="0"/>
                <w:color w:val="auto"/>
                <w:sz w:val="21"/>
                <w:szCs w:val="21"/>
                <w:highlight w:val="none"/>
                <w:vertAlign w:val="baseline"/>
                <w:lang w:val="en-US" w:eastAsia="zh-CN"/>
              </w:rPr>
            </w:pPr>
          </w:p>
        </w:tc>
      </w:tr>
      <w:tr w14:paraId="3E7C99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4" w:hRule="atLeast"/>
          <w:jc w:val="center"/>
        </w:trPr>
        <w:tc>
          <w:tcPr>
            <w:tcW w:w="1023" w:type="dxa"/>
            <w:tcBorders>
              <w:tl2br w:val="nil"/>
              <w:tr2bl w:val="nil"/>
            </w:tcBorders>
            <w:shd w:val="clear" w:color="auto" w:fill="auto"/>
            <w:noWrap w:val="0"/>
            <w:vAlign w:val="center"/>
          </w:tcPr>
          <w:p w14:paraId="32FFB0E3">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11</w:t>
            </w:r>
          </w:p>
        </w:tc>
        <w:tc>
          <w:tcPr>
            <w:tcW w:w="2203" w:type="dxa"/>
            <w:tcBorders>
              <w:tl2br w:val="nil"/>
              <w:tr2bl w:val="nil"/>
            </w:tcBorders>
            <w:shd w:val="clear" w:color="auto" w:fill="auto"/>
            <w:noWrap w:val="0"/>
            <w:vAlign w:val="center"/>
          </w:tcPr>
          <w:p w14:paraId="14ABE0DB">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除湿机系统11#</w:t>
            </w:r>
          </w:p>
        </w:tc>
        <w:tc>
          <w:tcPr>
            <w:tcW w:w="1039" w:type="dxa"/>
            <w:tcBorders>
              <w:tl2br w:val="nil"/>
              <w:tr2bl w:val="nil"/>
            </w:tcBorders>
            <w:shd w:val="clear" w:color="auto" w:fill="auto"/>
            <w:noWrap w:val="0"/>
            <w:vAlign w:val="center"/>
          </w:tcPr>
          <w:p w14:paraId="5C01C20D">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1</w:t>
            </w:r>
          </w:p>
        </w:tc>
        <w:tc>
          <w:tcPr>
            <w:tcW w:w="1416" w:type="dxa"/>
            <w:tcBorders>
              <w:tl2br w:val="nil"/>
              <w:tr2bl w:val="nil"/>
            </w:tcBorders>
            <w:shd w:val="clear" w:color="auto" w:fill="auto"/>
            <w:noWrap w:val="0"/>
            <w:vAlign w:val="center"/>
          </w:tcPr>
          <w:p w14:paraId="36745C66">
            <w:pPr>
              <w:widowControl/>
              <w:jc w:val="center"/>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36.85</w:t>
            </w:r>
          </w:p>
        </w:tc>
        <w:tc>
          <w:tcPr>
            <w:tcW w:w="1417" w:type="dxa"/>
            <w:tcBorders>
              <w:tl2br w:val="nil"/>
              <w:tr2bl w:val="nil"/>
            </w:tcBorders>
            <w:shd w:val="clear" w:color="auto" w:fill="auto"/>
            <w:noWrap w:val="0"/>
            <w:vAlign w:val="center"/>
          </w:tcPr>
          <w:p w14:paraId="0EE5C831">
            <w:pPr>
              <w:widowControl/>
              <w:jc w:val="center"/>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10.77</w:t>
            </w:r>
          </w:p>
        </w:tc>
        <w:tc>
          <w:tcPr>
            <w:tcW w:w="1416" w:type="dxa"/>
            <w:tcBorders>
              <w:tl2br w:val="nil"/>
              <w:tr2bl w:val="nil"/>
            </w:tcBorders>
            <w:shd w:val="clear" w:color="auto" w:fill="auto"/>
            <w:noWrap w:val="0"/>
            <w:vAlign w:val="center"/>
          </w:tcPr>
          <w:p w14:paraId="49613753">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b w:val="0"/>
                <w:bCs w:val="0"/>
                <w:color w:val="auto"/>
                <w:sz w:val="21"/>
                <w:szCs w:val="21"/>
                <w:highlight w:val="none"/>
                <w:vertAlign w:val="baseline"/>
                <w:lang w:val="en-US" w:eastAsia="zh-CN"/>
              </w:rPr>
              <w:t>1.3</w:t>
            </w:r>
          </w:p>
        </w:tc>
        <w:tc>
          <w:tcPr>
            <w:tcW w:w="1269" w:type="dxa"/>
            <w:tcBorders>
              <w:tl2br w:val="nil"/>
              <w:tr2bl w:val="nil"/>
            </w:tcBorders>
            <w:shd w:val="clear" w:color="auto" w:fill="auto"/>
            <w:noWrap w:val="0"/>
            <w:vAlign w:val="center"/>
          </w:tcPr>
          <w:p w14:paraId="7588C01F">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60</w:t>
            </w:r>
          </w:p>
        </w:tc>
        <w:tc>
          <w:tcPr>
            <w:tcW w:w="2033" w:type="dxa"/>
            <w:vMerge w:val="continue"/>
            <w:tcBorders>
              <w:tl2br w:val="nil"/>
              <w:tr2bl w:val="nil"/>
            </w:tcBorders>
            <w:shd w:val="clear" w:color="auto" w:fill="auto"/>
            <w:noWrap w:val="0"/>
            <w:vAlign w:val="center"/>
          </w:tcPr>
          <w:p w14:paraId="20D832F9">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eastAsia="宋体" w:cs="Times New Roman"/>
                <w:b w:val="0"/>
                <w:bCs w:val="0"/>
                <w:color w:val="auto"/>
                <w:sz w:val="21"/>
                <w:szCs w:val="21"/>
                <w:highlight w:val="none"/>
                <w:vertAlign w:val="baseline"/>
                <w:lang w:val="en-US" w:eastAsia="zh-CN"/>
              </w:rPr>
            </w:pPr>
          </w:p>
        </w:tc>
        <w:tc>
          <w:tcPr>
            <w:tcW w:w="1395" w:type="dxa"/>
            <w:vMerge w:val="continue"/>
            <w:tcBorders>
              <w:tl2br w:val="nil"/>
              <w:tr2bl w:val="nil"/>
            </w:tcBorders>
            <w:shd w:val="clear" w:color="auto" w:fill="auto"/>
            <w:noWrap w:val="0"/>
            <w:vAlign w:val="center"/>
          </w:tcPr>
          <w:p w14:paraId="3870F811">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cs="Times New Roman"/>
                <w:b w:val="0"/>
                <w:bCs w:val="0"/>
                <w:color w:val="auto"/>
                <w:sz w:val="21"/>
                <w:szCs w:val="21"/>
                <w:highlight w:val="none"/>
                <w:vertAlign w:val="baseline"/>
                <w:lang w:val="en-US" w:eastAsia="zh-CN"/>
              </w:rPr>
            </w:pPr>
          </w:p>
        </w:tc>
      </w:tr>
      <w:tr w14:paraId="7D348E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023" w:type="dxa"/>
            <w:tcBorders>
              <w:tl2br w:val="nil"/>
              <w:tr2bl w:val="nil"/>
            </w:tcBorders>
            <w:shd w:val="clear" w:color="auto" w:fill="auto"/>
            <w:noWrap w:val="0"/>
            <w:vAlign w:val="center"/>
          </w:tcPr>
          <w:p w14:paraId="146ECEBE">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12</w:t>
            </w:r>
          </w:p>
        </w:tc>
        <w:tc>
          <w:tcPr>
            <w:tcW w:w="2203" w:type="dxa"/>
            <w:tcBorders>
              <w:tl2br w:val="nil"/>
              <w:tr2bl w:val="nil"/>
            </w:tcBorders>
            <w:shd w:val="clear" w:color="auto" w:fill="auto"/>
            <w:noWrap w:val="0"/>
            <w:vAlign w:val="center"/>
          </w:tcPr>
          <w:p w14:paraId="3B77336A">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除湿机系统12#</w:t>
            </w:r>
          </w:p>
        </w:tc>
        <w:tc>
          <w:tcPr>
            <w:tcW w:w="1039" w:type="dxa"/>
            <w:tcBorders>
              <w:tl2br w:val="nil"/>
              <w:tr2bl w:val="nil"/>
            </w:tcBorders>
            <w:shd w:val="clear" w:color="auto" w:fill="auto"/>
            <w:noWrap w:val="0"/>
            <w:vAlign w:val="center"/>
          </w:tcPr>
          <w:p w14:paraId="3CBCA0FB">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1</w:t>
            </w:r>
          </w:p>
        </w:tc>
        <w:tc>
          <w:tcPr>
            <w:tcW w:w="1416" w:type="dxa"/>
            <w:tcBorders>
              <w:tl2br w:val="nil"/>
              <w:tr2bl w:val="nil"/>
            </w:tcBorders>
            <w:shd w:val="clear" w:color="auto" w:fill="auto"/>
            <w:noWrap w:val="0"/>
            <w:vAlign w:val="center"/>
          </w:tcPr>
          <w:p w14:paraId="026FBE19">
            <w:pPr>
              <w:widowControl/>
              <w:jc w:val="center"/>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37.72</w:t>
            </w:r>
          </w:p>
        </w:tc>
        <w:tc>
          <w:tcPr>
            <w:tcW w:w="1417" w:type="dxa"/>
            <w:tcBorders>
              <w:tl2br w:val="nil"/>
              <w:tr2bl w:val="nil"/>
            </w:tcBorders>
            <w:shd w:val="clear" w:color="auto" w:fill="auto"/>
            <w:noWrap w:val="0"/>
            <w:vAlign w:val="center"/>
          </w:tcPr>
          <w:p w14:paraId="4CB56695">
            <w:pPr>
              <w:widowControl/>
              <w:jc w:val="center"/>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10.96</w:t>
            </w:r>
          </w:p>
        </w:tc>
        <w:tc>
          <w:tcPr>
            <w:tcW w:w="1416" w:type="dxa"/>
            <w:tcBorders>
              <w:tl2br w:val="nil"/>
              <w:tr2bl w:val="nil"/>
            </w:tcBorders>
            <w:shd w:val="clear" w:color="auto" w:fill="auto"/>
            <w:noWrap w:val="0"/>
            <w:vAlign w:val="center"/>
          </w:tcPr>
          <w:p w14:paraId="718D4E1C">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b w:val="0"/>
                <w:bCs w:val="0"/>
                <w:color w:val="auto"/>
                <w:sz w:val="21"/>
                <w:szCs w:val="21"/>
                <w:highlight w:val="none"/>
                <w:vertAlign w:val="baseline"/>
                <w:lang w:val="en-US" w:eastAsia="zh-CN"/>
              </w:rPr>
              <w:t>1.3</w:t>
            </w:r>
          </w:p>
        </w:tc>
        <w:tc>
          <w:tcPr>
            <w:tcW w:w="1269" w:type="dxa"/>
            <w:tcBorders>
              <w:tl2br w:val="nil"/>
              <w:tr2bl w:val="nil"/>
            </w:tcBorders>
            <w:shd w:val="clear" w:color="auto" w:fill="auto"/>
            <w:noWrap w:val="0"/>
            <w:vAlign w:val="center"/>
          </w:tcPr>
          <w:p w14:paraId="547D52FF">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60</w:t>
            </w:r>
          </w:p>
        </w:tc>
        <w:tc>
          <w:tcPr>
            <w:tcW w:w="2033" w:type="dxa"/>
            <w:vMerge w:val="continue"/>
            <w:tcBorders>
              <w:tl2br w:val="nil"/>
              <w:tr2bl w:val="nil"/>
            </w:tcBorders>
            <w:shd w:val="clear" w:color="auto" w:fill="auto"/>
            <w:noWrap w:val="0"/>
            <w:vAlign w:val="center"/>
          </w:tcPr>
          <w:p w14:paraId="6C0273BE">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eastAsia="宋体" w:cs="Times New Roman"/>
                <w:b w:val="0"/>
                <w:bCs w:val="0"/>
                <w:color w:val="auto"/>
                <w:sz w:val="21"/>
                <w:szCs w:val="21"/>
                <w:highlight w:val="none"/>
                <w:vertAlign w:val="baseline"/>
                <w:lang w:val="en-US" w:eastAsia="zh-CN"/>
              </w:rPr>
            </w:pPr>
          </w:p>
        </w:tc>
        <w:tc>
          <w:tcPr>
            <w:tcW w:w="1395" w:type="dxa"/>
            <w:vMerge w:val="continue"/>
            <w:tcBorders>
              <w:tl2br w:val="nil"/>
              <w:tr2bl w:val="nil"/>
            </w:tcBorders>
            <w:shd w:val="clear" w:color="auto" w:fill="auto"/>
            <w:noWrap w:val="0"/>
            <w:vAlign w:val="center"/>
          </w:tcPr>
          <w:p w14:paraId="5349E41E">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cs="Times New Roman"/>
                <w:b w:val="0"/>
                <w:bCs w:val="0"/>
                <w:color w:val="auto"/>
                <w:sz w:val="21"/>
                <w:szCs w:val="21"/>
                <w:highlight w:val="none"/>
                <w:vertAlign w:val="baseline"/>
                <w:lang w:val="en-US" w:eastAsia="zh-CN"/>
              </w:rPr>
            </w:pPr>
          </w:p>
        </w:tc>
      </w:tr>
      <w:tr w14:paraId="16D6C1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4" w:hRule="atLeast"/>
          <w:jc w:val="center"/>
        </w:trPr>
        <w:tc>
          <w:tcPr>
            <w:tcW w:w="1023" w:type="dxa"/>
            <w:tcBorders>
              <w:tl2br w:val="nil"/>
              <w:tr2bl w:val="nil"/>
            </w:tcBorders>
            <w:shd w:val="clear" w:color="auto" w:fill="auto"/>
            <w:noWrap w:val="0"/>
            <w:vAlign w:val="center"/>
          </w:tcPr>
          <w:p w14:paraId="0EF78854">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13</w:t>
            </w:r>
          </w:p>
        </w:tc>
        <w:tc>
          <w:tcPr>
            <w:tcW w:w="2203" w:type="dxa"/>
            <w:tcBorders>
              <w:tl2br w:val="nil"/>
              <w:tr2bl w:val="nil"/>
            </w:tcBorders>
            <w:shd w:val="clear" w:color="auto" w:fill="auto"/>
            <w:noWrap w:val="0"/>
            <w:vAlign w:val="center"/>
          </w:tcPr>
          <w:p w14:paraId="65AA646F">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废气处理系统风机1#</w:t>
            </w:r>
          </w:p>
        </w:tc>
        <w:tc>
          <w:tcPr>
            <w:tcW w:w="1039" w:type="dxa"/>
            <w:tcBorders>
              <w:tl2br w:val="nil"/>
              <w:tr2bl w:val="nil"/>
            </w:tcBorders>
            <w:shd w:val="clear" w:color="auto" w:fill="auto"/>
            <w:noWrap w:val="0"/>
            <w:vAlign w:val="center"/>
          </w:tcPr>
          <w:p w14:paraId="1FE1BB5E">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1</w:t>
            </w:r>
          </w:p>
        </w:tc>
        <w:tc>
          <w:tcPr>
            <w:tcW w:w="1416" w:type="dxa"/>
            <w:tcBorders>
              <w:tl2br w:val="nil"/>
              <w:tr2bl w:val="nil"/>
            </w:tcBorders>
            <w:shd w:val="clear" w:color="auto" w:fill="auto"/>
            <w:noWrap w:val="0"/>
            <w:vAlign w:val="center"/>
          </w:tcPr>
          <w:p w14:paraId="08FAF2A5">
            <w:pPr>
              <w:widowControl/>
              <w:jc w:val="center"/>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-41.36</w:t>
            </w:r>
          </w:p>
        </w:tc>
        <w:tc>
          <w:tcPr>
            <w:tcW w:w="1417" w:type="dxa"/>
            <w:tcBorders>
              <w:tl2br w:val="nil"/>
              <w:tr2bl w:val="nil"/>
            </w:tcBorders>
            <w:shd w:val="clear" w:color="auto" w:fill="auto"/>
            <w:noWrap w:val="0"/>
            <w:vAlign w:val="center"/>
          </w:tcPr>
          <w:p w14:paraId="2526AB2B">
            <w:pPr>
              <w:widowControl/>
              <w:jc w:val="center"/>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87.62</w:t>
            </w:r>
          </w:p>
        </w:tc>
        <w:tc>
          <w:tcPr>
            <w:tcW w:w="1416" w:type="dxa"/>
            <w:tcBorders>
              <w:tl2br w:val="nil"/>
              <w:tr2bl w:val="nil"/>
            </w:tcBorders>
            <w:shd w:val="clear" w:color="auto" w:fill="auto"/>
            <w:noWrap w:val="0"/>
            <w:vAlign w:val="center"/>
          </w:tcPr>
          <w:p w14:paraId="2B062457">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b w:val="0"/>
                <w:bCs w:val="0"/>
                <w:color w:val="auto"/>
                <w:sz w:val="21"/>
                <w:szCs w:val="21"/>
                <w:highlight w:val="none"/>
                <w:vertAlign w:val="baseline"/>
                <w:lang w:val="en-US" w:eastAsia="zh-CN"/>
              </w:rPr>
              <w:t>1.5</w:t>
            </w:r>
          </w:p>
        </w:tc>
        <w:tc>
          <w:tcPr>
            <w:tcW w:w="1269" w:type="dxa"/>
            <w:tcBorders>
              <w:tl2br w:val="nil"/>
              <w:tr2bl w:val="nil"/>
            </w:tcBorders>
            <w:shd w:val="clear" w:color="auto" w:fill="auto"/>
            <w:noWrap w:val="0"/>
            <w:vAlign w:val="center"/>
          </w:tcPr>
          <w:p w14:paraId="3BB96D9C">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color w:val="auto"/>
                <w:szCs w:val="21"/>
                <w:highlight w:val="none"/>
                <w:lang w:val="en-US" w:eastAsia="zh-CN"/>
              </w:rPr>
              <w:t>90</w:t>
            </w:r>
          </w:p>
        </w:tc>
        <w:tc>
          <w:tcPr>
            <w:tcW w:w="2033" w:type="dxa"/>
            <w:vMerge w:val="continue"/>
            <w:tcBorders>
              <w:tl2br w:val="nil"/>
              <w:tr2bl w:val="nil"/>
            </w:tcBorders>
            <w:shd w:val="clear" w:color="auto" w:fill="auto"/>
            <w:noWrap w:val="0"/>
            <w:vAlign w:val="center"/>
          </w:tcPr>
          <w:p w14:paraId="1A34D424">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eastAsia="宋体" w:cs="Times New Roman"/>
                <w:b w:val="0"/>
                <w:bCs w:val="0"/>
                <w:color w:val="auto"/>
                <w:sz w:val="21"/>
                <w:szCs w:val="21"/>
                <w:highlight w:val="none"/>
                <w:vertAlign w:val="baseline"/>
                <w:lang w:val="en-US" w:eastAsia="zh-CN"/>
              </w:rPr>
            </w:pPr>
          </w:p>
        </w:tc>
        <w:tc>
          <w:tcPr>
            <w:tcW w:w="1395" w:type="dxa"/>
            <w:vMerge w:val="continue"/>
            <w:tcBorders>
              <w:tl2br w:val="nil"/>
              <w:tr2bl w:val="nil"/>
            </w:tcBorders>
            <w:shd w:val="clear" w:color="auto" w:fill="auto"/>
            <w:noWrap w:val="0"/>
            <w:vAlign w:val="center"/>
          </w:tcPr>
          <w:p w14:paraId="641CBD8B">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cs="Times New Roman"/>
                <w:b w:val="0"/>
                <w:bCs w:val="0"/>
                <w:color w:val="auto"/>
                <w:sz w:val="21"/>
                <w:szCs w:val="21"/>
                <w:highlight w:val="none"/>
                <w:vertAlign w:val="baseline"/>
                <w:lang w:val="en-US" w:eastAsia="zh-CN"/>
              </w:rPr>
            </w:pPr>
          </w:p>
        </w:tc>
      </w:tr>
      <w:tr w14:paraId="0EEF61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4" w:hRule="atLeast"/>
          <w:jc w:val="center"/>
        </w:trPr>
        <w:tc>
          <w:tcPr>
            <w:tcW w:w="1023" w:type="dxa"/>
            <w:tcBorders>
              <w:tl2br w:val="nil"/>
              <w:tr2bl w:val="nil"/>
            </w:tcBorders>
            <w:shd w:val="clear" w:color="auto" w:fill="auto"/>
            <w:noWrap w:val="0"/>
            <w:vAlign w:val="center"/>
          </w:tcPr>
          <w:p w14:paraId="54B2FA11">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14</w:t>
            </w:r>
          </w:p>
        </w:tc>
        <w:tc>
          <w:tcPr>
            <w:tcW w:w="2203" w:type="dxa"/>
            <w:tcBorders>
              <w:tl2br w:val="nil"/>
              <w:tr2bl w:val="nil"/>
            </w:tcBorders>
            <w:shd w:val="clear" w:color="auto" w:fill="auto"/>
            <w:noWrap w:val="0"/>
            <w:vAlign w:val="center"/>
          </w:tcPr>
          <w:p w14:paraId="79A32AB9">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废气处理系统风机2#</w:t>
            </w:r>
          </w:p>
        </w:tc>
        <w:tc>
          <w:tcPr>
            <w:tcW w:w="1039" w:type="dxa"/>
            <w:tcBorders>
              <w:tl2br w:val="nil"/>
              <w:tr2bl w:val="nil"/>
            </w:tcBorders>
            <w:shd w:val="clear" w:color="auto" w:fill="auto"/>
            <w:noWrap w:val="0"/>
            <w:vAlign w:val="center"/>
          </w:tcPr>
          <w:p w14:paraId="487A76A5">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1</w:t>
            </w:r>
          </w:p>
        </w:tc>
        <w:tc>
          <w:tcPr>
            <w:tcW w:w="1416" w:type="dxa"/>
            <w:tcBorders>
              <w:tl2br w:val="nil"/>
              <w:tr2bl w:val="nil"/>
            </w:tcBorders>
            <w:shd w:val="clear" w:color="auto" w:fill="auto"/>
            <w:noWrap w:val="0"/>
            <w:vAlign w:val="center"/>
          </w:tcPr>
          <w:p w14:paraId="055F9FC0">
            <w:pPr>
              <w:widowControl/>
              <w:jc w:val="center"/>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61.21</w:t>
            </w:r>
          </w:p>
        </w:tc>
        <w:tc>
          <w:tcPr>
            <w:tcW w:w="1417" w:type="dxa"/>
            <w:tcBorders>
              <w:tl2br w:val="nil"/>
              <w:tr2bl w:val="nil"/>
            </w:tcBorders>
            <w:shd w:val="clear" w:color="auto" w:fill="auto"/>
            <w:noWrap w:val="0"/>
            <w:vAlign w:val="center"/>
          </w:tcPr>
          <w:p w14:paraId="4A7FC738">
            <w:pPr>
              <w:widowControl/>
              <w:jc w:val="center"/>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103.11</w:t>
            </w:r>
          </w:p>
        </w:tc>
        <w:tc>
          <w:tcPr>
            <w:tcW w:w="1416" w:type="dxa"/>
            <w:tcBorders>
              <w:tl2br w:val="nil"/>
              <w:tr2bl w:val="nil"/>
            </w:tcBorders>
            <w:shd w:val="clear" w:color="auto" w:fill="auto"/>
            <w:noWrap w:val="0"/>
            <w:vAlign w:val="center"/>
          </w:tcPr>
          <w:p w14:paraId="3DDA2272">
            <w:pPr>
              <w:spacing w:line="280" w:lineRule="exact"/>
              <w:jc w:val="center"/>
              <w:rPr>
                <w:rFonts w:hint="eastAsia" w:ascii="Times New Roman" w:hAnsi="Times New Roman" w:eastAsia="宋体" w:cs="Times New Roman"/>
                <w:color w:val="auto"/>
                <w:szCs w:val="21"/>
                <w:highlight w:val="none"/>
                <w:lang w:val="en-US" w:eastAsia="zh-CN"/>
              </w:rPr>
            </w:pPr>
            <w:r>
              <w:rPr>
                <w:rFonts w:hint="eastAsia" w:cs="Times New Roman"/>
                <w:b w:val="0"/>
                <w:bCs w:val="0"/>
                <w:color w:val="auto"/>
                <w:sz w:val="21"/>
                <w:szCs w:val="21"/>
                <w:highlight w:val="none"/>
                <w:vertAlign w:val="baseline"/>
                <w:lang w:val="en-US" w:eastAsia="zh-CN"/>
              </w:rPr>
              <w:t>1.5</w:t>
            </w:r>
          </w:p>
        </w:tc>
        <w:tc>
          <w:tcPr>
            <w:tcW w:w="1269" w:type="dxa"/>
            <w:tcBorders>
              <w:tl2br w:val="nil"/>
              <w:tr2bl w:val="nil"/>
            </w:tcBorders>
            <w:shd w:val="clear" w:color="auto" w:fill="auto"/>
            <w:noWrap w:val="0"/>
            <w:vAlign w:val="center"/>
          </w:tcPr>
          <w:p w14:paraId="0FAE76C3">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color w:val="auto"/>
                <w:szCs w:val="21"/>
                <w:highlight w:val="none"/>
                <w:lang w:val="en-US" w:eastAsia="zh-CN"/>
              </w:rPr>
              <w:t>90</w:t>
            </w:r>
          </w:p>
        </w:tc>
        <w:tc>
          <w:tcPr>
            <w:tcW w:w="2033" w:type="dxa"/>
            <w:vMerge w:val="continue"/>
            <w:tcBorders>
              <w:tl2br w:val="nil"/>
              <w:tr2bl w:val="nil"/>
            </w:tcBorders>
            <w:shd w:val="clear" w:color="auto" w:fill="auto"/>
            <w:noWrap w:val="0"/>
            <w:vAlign w:val="center"/>
          </w:tcPr>
          <w:p w14:paraId="3EDC6026">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eastAsia="宋体" w:cs="Times New Roman"/>
                <w:b w:val="0"/>
                <w:bCs w:val="0"/>
                <w:color w:val="auto"/>
                <w:sz w:val="21"/>
                <w:szCs w:val="21"/>
                <w:highlight w:val="none"/>
                <w:vertAlign w:val="baseline"/>
                <w:lang w:val="en-US" w:eastAsia="zh-CN"/>
              </w:rPr>
            </w:pPr>
          </w:p>
        </w:tc>
        <w:tc>
          <w:tcPr>
            <w:tcW w:w="1395" w:type="dxa"/>
            <w:vMerge w:val="continue"/>
            <w:tcBorders>
              <w:tl2br w:val="nil"/>
              <w:tr2bl w:val="nil"/>
            </w:tcBorders>
            <w:shd w:val="clear" w:color="auto" w:fill="auto"/>
            <w:noWrap w:val="0"/>
            <w:vAlign w:val="center"/>
          </w:tcPr>
          <w:p w14:paraId="6AB1373A">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cs="Times New Roman"/>
                <w:b w:val="0"/>
                <w:bCs w:val="0"/>
                <w:color w:val="auto"/>
                <w:sz w:val="21"/>
                <w:szCs w:val="21"/>
                <w:highlight w:val="none"/>
                <w:vertAlign w:val="baseline"/>
                <w:lang w:val="en-US" w:eastAsia="zh-CN"/>
              </w:rPr>
            </w:pPr>
          </w:p>
        </w:tc>
      </w:tr>
      <w:tr w14:paraId="5B0C68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1023" w:type="dxa"/>
            <w:tcBorders>
              <w:tl2br w:val="nil"/>
              <w:tr2bl w:val="nil"/>
            </w:tcBorders>
            <w:shd w:val="clear" w:color="auto" w:fill="auto"/>
            <w:noWrap w:val="0"/>
            <w:vAlign w:val="center"/>
          </w:tcPr>
          <w:p w14:paraId="677247F0">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15</w:t>
            </w:r>
          </w:p>
        </w:tc>
        <w:tc>
          <w:tcPr>
            <w:tcW w:w="2203" w:type="dxa"/>
            <w:tcBorders>
              <w:tl2br w:val="nil"/>
              <w:tr2bl w:val="nil"/>
            </w:tcBorders>
            <w:shd w:val="clear" w:color="auto" w:fill="auto"/>
            <w:noWrap w:val="0"/>
            <w:vAlign w:val="center"/>
          </w:tcPr>
          <w:p w14:paraId="42CF35C7">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废气处理系统风机3#</w:t>
            </w:r>
          </w:p>
        </w:tc>
        <w:tc>
          <w:tcPr>
            <w:tcW w:w="1039" w:type="dxa"/>
            <w:tcBorders>
              <w:tl2br w:val="nil"/>
              <w:tr2bl w:val="nil"/>
            </w:tcBorders>
            <w:shd w:val="clear" w:color="auto" w:fill="auto"/>
            <w:noWrap w:val="0"/>
            <w:vAlign w:val="center"/>
          </w:tcPr>
          <w:p w14:paraId="2C98CE77">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1</w:t>
            </w:r>
          </w:p>
        </w:tc>
        <w:tc>
          <w:tcPr>
            <w:tcW w:w="1416" w:type="dxa"/>
            <w:tcBorders>
              <w:tl2br w:val="nil"/>
              <w:tr2bl w:val="nil"/>
            </w:tcBorders>
            <w:shd w:val="clear" w:color="auto" w:fill="auto"/>
            <w:noWrap w:val="0"/>
            <w:vAlign w:val="center"/>
          </w:tcPr>
          <w:p w14:paraId="0C7B9C8B">
            <w:pPr>
              <w:widowControl/>
              <w:jc w:val="center"/>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100.41</w:t>
            </w:r>
          </w:p>
        </w:tc>
        <w:tc>
          <w:tcPr>
            <w:tcW w:w="1417" w:type="dxa"/>
            <w:tcBorders>
              <w:tl2br w:val="nil"/>
              <w:tr2bl w:val="nil"/>
            </w:tcBorders>
            <w:shd w:val="clear" w:color="auto" w:fill="auto"/>
            <w:noWrap w:val="0"/>
            <w:vAlign w:val="center"/>
          </w:tcPr>
          <w:p w14:paraId="052C5EF0">
            <w:pPr>
              <w:widowControl/>
              <w:jc w:val="center"/>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67.21</w:t>
            </w:r>
          </w:p>
        </w:tc>
        <w:tc>
          <w:tcPr>
            <w:tcW w:w="1416" w:type="dxa"/>
            <w:tcBorders>
              <w:tl2br w:val="nil"/>
              <w:tr2bl w:val="nil"/>
            </w:tcBorders>
            <w:shd w:val="clear" w:color="auto" w:fill="auto"/>
            <w:noWrap w:val="0"/>
            <w:vAlign w:val="center"/>
          </w:tcPr>
          <w:p w14:paraId="574FBE3C">
            <w:pPr>
              <w:spacing w:line="280" w:lineRule="exact"/>
              <w:jc w:val="center"/>
              <w:rPr>
                <w:rFonts w:hint="default" w:ascii="Times New Roman" w:hAnsi="Times New Roman" w:eastAsia="宋体" w:cs="Times New Roman"/>
                <w:color w:val="auto"/>
                <w:szCs w:val="21"/>
                <w:highlight w:val="none"/>
                <w:lang w:val="en-US" w:eastAsia="zh-CN"/>
              </w:rPr>
            </w:pPr>
            <w:r>
              <w:rPr>
                <w:rFonts w:hint="eastAsia" w:cs="Times New Roman"/>
                <w:b w:val="0"/>
                <w:bCs w:val="0"/>
                <w:color w:val="auto"/>
                <w:sz w:val="21"/>
                <w:szCs w:val="21"/>
                <w:highlight w:val="none"/>
                <w:vertAlign w:val="baseline"/>
                <w:lang w:val="en-US" w:eastAsia="zh-CN"/>
              </w:rPr>
              <w:t>1.5</w:t>
            </w:r>
          </w:p>
        </w:tc>
        <w:tc>
          <w:tcPr>
            <w:tcW w:w="1269" w:type="dxa"/>
            <w:tcBorders>
              <w:tl2br w:val="nil"/>
              <w:tr2bl w:val="nil"/>
            </w:tcBorders>
            <w:shd w:val="clear" w:color="auto" w:fill="auto"/>
            <w:noWrap w:val="0"/>
            <w:vAlign w:val="center"/>
          </w:tcPr>
          <w:p w14:paraId="34D49916">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color w:val="auto"/>
                <w:szCs w:val="21"/>
                <w:highlight w:val="none"/>
                <w:lang w:val="en-US" w:eastAsia="zh-CN"/>
              </w:rPr>
            </w:pPr>
            <w:r>
              <w:rPr>
                <w:rFonts w:hint="eastAsia"/>
                <w:color w:val="auto"/>
                <w:szCs w:val="21"/>
                <w:highlight w:val="none"/>
                <w:lang w:val="en-US" w:eastAsia="zh-CN"/>
              </w:rPr>
              <w:t>90</w:t>
            </w:r>
          </w:p>
        </w:tc>
        <w:tc>
          <w:tcPr>
            <w:tcW w:w="2033" w:type="dxa"/>
            <w:vMerge w:val="continue"/>
            <w:tcBorders>
              <w:tl2br w:val="nil"/>
              <w:tr2bl w:val="nil"/>
            </w:tcBorders>
            <w:shd w:val="clear" w:color="auto" w:fill="auto"/>
            <w:noWrap w:val="0"/>
            <w:vAlign w:val="center"/>
          </w:tcPr>
          <w:p w14:paraId="668557DB">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eastAsia="宋体" w:cs="Times New Roman"/>
                <w:b w:val="0"/>
                <w:bCs w:val="0"/>
                <w:color w:val="auto"/>
                <w:sz w:val="21"/>
                <w:szCs w:val="21"/>
                <w:highlight w:val="none"/>
                <w:vertAlign w:val="baseline"/>
                <w:lang w:val="en-US" w:eastAsia="zh-CN"/>
              </w:rPr>
            </w:pPr>
          </w:p>
        </w:tc>
        <w:tc>
          <w:tcPr>
            <w:tcW w:w="1395" w:type="dxa"/>
            <w:vMerge w:val="continue"/>
            <w:tcBorders>
              <w:tl2br w:val="nil"/>
              <w:tr2bl w:val="nil"/>
            </w:tcBorders>
            <w:shd w:val="clear" w:color="auto" w:fill="auto"/>
            <w:noWrap w:val="0"/>
            <w:vAlign w:val="center"/>
          </w:tcPr>
          <w:p w14:paraId="16C8E133">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cs="Times New Roman"/>
                <w:b w:val="0"/>
                <w:bCs w:val="0"/>
                <w:color w:val="auto"/>
                <w:sz w:val="21"/>
                <w:szCs w:val="21"/>
                <w:highlight w:val="none"/>
                <w:vertAlign w:val="baseline"/>
                <w:lang w:val="en-US" w:eastAsia="zh-CN"/>
              </w:rPr>
            </w:pPr>
          </w:p>
        </w:tc>
      </w:tr>
      <w:tr w14:paraId="4C2F26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4" w:hRule="atLeast"/>
          <w:jc w:val="center"/>
        </w:trPr>
        <w:tc>
          <w:tcPr>
            <w:tcW w:w="1023" w:type="dxa"/>
            <w:tcBorders>
              <w:tl2br w:val="nil"/>
              <w:tr2bl w:val="nil"/>
            </w:tcBorders>
            <w:shd w:val="clear" w:color="auto" w:fill="auto"/>
            <w:noWrap w:val="0"/>
            <w:vAlign w:val="center"/>
          </w:tcPr>
          <w:p w14:paraId="4A377FCA">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16</w:t>
            </w:r>
          </w:p>
        </w:tc>
        <w:tc>
          <w:tcPr>
            <w:tcW w:w="2203" w:type="dxa"/>
            <w:tcBorders>
              <w:tl2br w:val="nil"/>
              <w:tr2bl w:val="nil"/>
            </w:tcBorders>
            <w:shd w:val="clear" w:color="auto" w:fill="auto"/>
            <w:noWrap w:val="0"/>
            <w:vAlign w:val="center"/>
          </w:tcPr>
          <w:p w14:paraId="2C4F1E24">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NMP系统</w:t>
            </w:r>
          </w:p>
        </w:tc>
        <w:tc>
          <w:tcPr>
            <w:tcW w:w="1039" w:type="dxa"/>
            <w:tcBorders>
              <w:tl2br w:val="nil"/>
              <w:tr2bl w:val="nil"/>
            </w:tcBorders>
            <w:shd w:val="clear" w:color="auto" w:fill="auto"/>
            <w:noWrap w:val="0"/>
            <w:vAlign w:val="center"/>
          </w:tcPr>
          <w:p w14:paraId="0CEBD99D">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1</w:t>
            </w:r>
          </w:p>
        </w:tc>
        <w:tc>
          <w:tcPr>
            <w:tcW w:w="1416" w:type="dxa"/>
            <w:tcBorders>
              <w:tl2br w:val="nil"/>
              <w:tr2bl w:val="nil"/>
            </w:tcBorders>
            <w:shd w:val="clear" w:color="auto" w:fill="auto"/>
            <w:noWrap w:val="0"/>
            <w:vAlign w:val="center"/>
          </w:tcPr>
          <w:p w14:paraId="0BEAF9E2">
            <w:pPr>
              <w:widowControl/>
              <w:jc w:val="center"/>
              <w:rPr>
                <w:rFonts w:hint="default"/>
                <w:color w:val="auto"/>
                <w:kern w:val="0"/>
                <w:szCs w:val="21"/>
                <w:highlight w:val="none"/>
                <w:lang w:val="en-US" w:eastAsia="zh-CN"/>
              </w:rPr>
            </w:pPr>
            <w:r>
              <w:rPr>
                <w:rFonts w:hint="default"/>
                <w:color w:val="auto"/>
                <w:kern w:val="0"/>
                <w:szCs w:val="21"/>
                <w:highlight w:val="none"/>
                <w:lang w:val="en-US" w:eastAsia="zh-CN"/>
              </w:rPr>
              <w:t>65.61</w:t>
            </w:r>
          </w:p>
        </w:tc>
        <w:tc>
          <w:tcPr>
            <w:tcW w:w="1417" w:type="dxa"/>
            <w:tcBorders>
              <w:tl2br w:val="nil"/>
              <w:tr2bl w:val="nil"/>
            </w:tcBorders>
            <w:shd w:val="clear" w:color="auto" w:fill="auto"/>
            <w:noWrap w:val="0"/>
            <w:vAlign w:val="center"/>
          </w:tcPr>
          <w:p w14:paraId="47156A80">
            <w:pPr>
              <w:widowControl/>
              <w:jc w:val="center"/>
              <w:rPr>
                <w:rFonts w:hint="default"/>
                <w:color w:val="auto"/>
                <w:kern w:val="0"/>
                <w:szCs w:val="21"/>
                <w:highlight w:val="none"/>
                <w:lang w:val="en-US" w:eastAsia="zh-CN"/>
              </w:rPr>
            </w:pPr>
            <w:r>
              <w:rPr>
                <w:rFonts w:hint="default"/>
                <w:color w:val="auto"/>
                <w:kern w:val="0"/>
                <w:szCs w:val="21"/>
                <w:highlight w:val="none"/>
                <w:lang w:val="en-US" w:eastAsia="zh-CN"/>
              </w:rPr>
              <w:t>88.83</w:t>
            </w:r>
          </w:p>
        </w:tc>
        <w:tc>
          <w:tcPr>
            <w:tcW w:w="1416" w:type="dxa"/>
            <w:tcBorders>
              <w:tl2br w:val="nil"/>
              <w:tr2bl w:val="nil"/>
            </w:tcBorders>
            <w:shd w:val="clear" w:color="auto" w:fill="auto"/>
            <w:noWrap w:val="0"/>
            <w:vAlign w:val="center"/>
          </w:tcPr>
          <w:p w14:paraId="52785D38">
            <w:pPr>
              <w:spacing w:line="280" w:lineRule="exact"/>
              <w:jc w:val="center"/>
              <w:rPr>
                <w:rFonts w:hint="default"/>
                <w:color w:val="auto"/>
                <w:kern w:val="0"/>
                <w:szCs w:val="21"/>
                <w:highlight w:val="none"/>
                <w:lang w:val="en-US" w:eastAsia="zh-CN"/>
              </w:rPr>
            </w:pPr>
            <w:r>
              <w:rPr>
                <w:rFonts w:hint="eastAsia" w:cs="Times New Roman"/>
                <w:b w:val="0"/>
                <w:bCs w:val="0"/>
                <w:color w:val="auto"/>
                <w:sz w:val="21"/>
                <w:szCs w:val="21"/>
                <w:highlight w:val="none"/>
                <w:vertAlign w:val="baseline"/>
                <w:lang w:val="en-US" w:eastAsia="zh-CN"/>
              </w:rPr>
              <w:t>1.4</w:t>
            </w:r>
          </w:p>
        </w:tc>
        <w:tc>
          <w:tcPr>
            <w:tcW w:w="1269" w:type="dxa"/>
            <w:tcBorders>
              <w:tl2br w:val="nil"/>
              <w:tr2bl w:val="nil"/>
            </w:tcBorders>
            <w:shd w:val="clear" w:color="auto" w:fill="auto"/>
            <w:noWrap w:val="0"/>
            <w:vAlign w:val="center"/>
          </w:tcPr>
          <w:p w14:paraId="009872AB">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80</w:t>
            </w:r>
          </w:p>
        </w:tc>
        <w:tc>
          <w:tcPr>
            <w:tcW w:w="2033" w:type="dxa"/>
            <w:vMerge w:val="continue"/>
            <w:tcBorders>
              <w:tl2br w:val="nil"/>
              <w:tr2bl w:val="nil"/>
            </w:tcBorders>
            <w:shd w:val="clear" w:color="auto" w:fill="auto"/>
            <w:noWrap w:val="0"/>
            <w:vAlign w:val="center"/>
          </w:tcPr>
          <w:p w14:paraId="17BE75FF">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p>
        </w:tc>
        <w:tc>
          <w:tcPr>
            <w:tcW w:w="1395" w:type="dxa"/>
            <w:vMerge w:val="continue"/>
            <w:tcBorders>
              <w:tl2br w:val="nil"/>
              <w:tr2bl w:val="nil"/>
            </w:tcBorders>
            <w:shd w:val="clear" w:color="auto" w:fill="auto"/>
            <w:noWrap w:val="0"/>
            <w:vAlign w:val="center"/>
          </w:tcPr>
          <w:p w14:paraId="17F8A6BA">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cs="Times New Roman"/>
                <w:b w:val="0"/>
                <w:bCs w:val="0"/>
                <w:color w:val="auto"/>
                <w:sz w:val="21"/>
                <w:szCs w:val="21"/>
                <w:highlight w:val="none"/>
                <w:vertAlign w:val="baseline"/>
                <w:lang w:val="en-US" w:eastAsia="zh-CN"/>
              </w:rPr>
            </w:pPr>
          </w:p>
        </w:tc>
      </w:tr>
    </w:tbl>
    <w:p w14:paraId="42995DFD">
      <w:pPr>
        <w:pStyle w:val="66"/>
        <w:ind w:left="0" w:leftChars="0" w:firstLine="0" w:firstLineChars="0"/>
        <w:rPr>
          <w:b/>
          <w:bCs/>
          <w:color w:val="auto"/>
        </w:rPr>
      </w:pPr>
    </w:p>
    <w:p w14:paraId="55A4AF50">
      <w:pPr>
        <w:pStyle w:val="70"/>
        <w:rPr>
          <w:snapToGrid w:val="0"/>
          <w:color w:val="auto"/>
        </w:rPr>
        <w:sectPr>
          <w:pgSz w:w="16838" w:h="11906" w:orient="landscape"/>
          <w:pgMar w:top="1531" w:right="1701" w:bottom="1531" w:left="1701" w:header="851" w:footer="1021" w:gutter="0"/>
          <w:cols w:space="720" w:num="1"/>
          <w:docGrid w:linePitch="312" w:charSpace="0"/>
        </w:sectPr>
      </w:pPr>
    </w:p>
    <w:tbl>
      <w:tblPr>
        <w:tblStyle w:val="42"/>
        <w:tblW w:w="88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8"/>
        <w:gridCol w:w="8130"/>
      </w:tblGrid>
      <w:tr w14:paraId="394CC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7" w:hRule="atLeast"/>
        </w:trPr>
        <w:tc>
          <w:tcPr>
            <w:tcW w:w="748" w:type="dxa"/>
            <w:vAlign w:val="center"/>
          </w:tcPr>
          <w:p w14:paraId="5D893002">
            <w:pPr>
              <w:adjustRightInd w:val="0"/>
              <w:snapToGrid w:val="0"/>
              <w:jc w:val="center"/>
              <w:rPr>
                <w:snapToGrid w:val="0"/>
                <w:color w:val="auto"/>
              </w:rPr>
            </w:pPr>
            <w:r>
              <w:rPr>
                <w:rFonts w:hint="eastAsia" w:cs="宋体"/>
                <w:b/>
                <w:bCs w:val="0"/>
                <w:color w:val="auto"/>
                <w:sz w:val="24"/>
                <w:szCs w:val="24"/>
              </w:rPr>
              <w:t>运营期环境影响和保护措施</w:t>
            </w:r>
          </w:p>
        </w:tc>
        <w:tc>
          <w:tcPr>
            <w:tcW w:w="8130" w:type="dxa"/>
          </w:tcPr>
          <w:p w14:paraId="3D230DF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 w:val="0"/>
                <w:bCs w:val="0"/>
                <w:color w:val="auto"/>
                <w:kern w:val="0"/>
                <w:sz w:val="24"/>
                <w:szCs w:val="24"/>
                <w:highlight w:val="none"/>
                <w:lang w:val="en-US" w:eastAsia="zh-CN" w:bidi="ar-SA"/>
              </w:rPr>
            </w:pPr>
            <w:r>
              <w:rPr>
                <w:rFonts w:hint="eastAsia" w:cs="Times New Roman"/>
                <w:b w:val="0"/>
                <w:bCs w:val="0"/>
                <w:color w:val="auto"/>
                <w:sz w:val="24"/>
                <w:lang w:val="en-US" w:eastAsia="zh-CN"/>
              </w:rPr>
              <w:t>（4）</w:t>
            </w:r>
            <w:r>
              <w:rPr>
                <w:rFonts w:hint="eastAsia" w:ascii="Times New Roman" w:hAnsi="Times New Roman" w:eastAsia="宋体" w:cs="Times New Roman"/>
                <w:b w:val="0"/>
                <w:bCs w:val="0"/>
                <w:color w:val="auto"/>
                <w:sz w:val="24"/>
                <w:lang w:val="en-US" w:eastAsia="zh-CN"/>
              </w:rPr>
              <w:t>噪声治理措施</w:t>
            </w:r>
          </w:p>
          <w:p w14:paraId="68F29ED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除上表中给出的措施外，本项目还可采取以下措施来降低噪声对声环境的影响。</w:t>
            </w:r>
          </w:p>
          <w:p w14:paraId="1C9E3878">
            <w:pPr>
              <w:adjustRightInd w:val="0"/>
              <w:snapToGrid w:val="0"/>
              <w:spacing w:line="360" w:lineRule="auto"/>
              <w:ind w:firstLine="480" w:firstLineChars="200"/>
              <w:rPr>
                <w:rFonts w:hint="eastAsia" w:ascii="Times New Roman" w:hAnsi="Times New Roman" w:eastAsia="宋体"/>
                <w:color w:val="auto"/>
                <w:sz w:val="24"/>
                <w:highlight w:val="none"/>
                <w:lang w:eastAsia="zh-CN"/>
              </w:rPr>
            </w:pPr>
            <w:r>
              <w:rPr>
                <w:rFonts w:hint="eastAsia" w:ascii="Times New Roman" w:hAnsi="Times New Roman"/>
                <w:color w:val="auto"/>
                <w:sz w:val="24"/>
                <w:highlight w:val="none"/>
              </w:rPr>
              <w:t>①合理布置总平面，利用墙体、距离衰减降低噪声对厂外环境的影响</w:t>
            </w:r>
            <w:r>
              <w:rPr>
                <w:rFonts w:hint="eastAsia" w:ascii="Times New Roman" w:hAnsi="Times New Roman"/>
                <w:color w:val="auto"/>
                <w:sz w:val="24"/>
                <w:highlight w:val="none"/>
                <w:lang w:eastAsia="zh-CN"/>
              </w:rPr>
              <w:t>；</w:t>
            </w:r>
          </w:p>
          <w:p w14:paraId="21A3AEAA">
            <w:pPr>
              <w:adjustRightInd w:val="0"/>
              <w:snapToGrid w:val="0"/>
              <w:spacing w:line="360" w:lineRule="auto"/>
              <w:ind w:firstLine="480" w:firstLineChars="200"/>
              <w:rPr>
                <w:rFonts w:hint="eastAsia" w:ascii="Times New Roman" w:hAnsi="Times New Roman" w:eastAsia="宋体"/>
                <w:color w:val="auto"/>
                <w:sz w:val="24"/>
                <w:highlight w:val="none"/>
                <w:lang w:eastAsia="zh-CN"/>
              </w:rPr>
            </w:pPr>
            <w:r>
              <w:rPr>
                <w:rFonts w:hint="eastAsia" w:ascii="Times New Roman" w:hAnsi="Times New Roman"/>
                <w:color w:val="auto"/>
                <w:sz w:val="24"/>
                <w:highlight w:val="none"/>
              </w:rPr>
              <w:t>②选用低噪声设备</w:t>
            </w:r>
            <w:r>
              <w:rPr>
                <w:rFonts w:hint="eastAsia" w:ascii="Times New Roman" w:hAnsi="Times New Roman"/>
                <w:color w:val="auto"/>
                <w:sz w:val="24"/>
                <w:highlight w:val="none"/>
                <w:lang w:eastAsia="zh-CN"/>
              </w:rPr>
              <w:t>，</w:t>
            </w:r>
            <w:r>
              <w:rPr>
                <w:rFonts w:hint="eastAsia" w:ascii="Times New Roman" w:hAnsi="Times New Roman"/>
                <w:color w:val="auto"/>
                <w:sz w:val="24"/>
                <w:highlight w:val="none"/>
                <w:lang w:val="en-US" w:eastAsia="zh-CN"/>
              </w:rPr>
              <w:t>空压机单独密闭</w:t>
            </w:r>
            <w:r>
              <w:rPr>
                <w:rFonts w:hint="eastAsia" w:ascii="Times New Roman" w:hAnsi="Times New Roman"/>
                <w:color w:val="auto"/>
                <w:sz w:val="24"/>
                <w:highlight w:val="none"/>
                <w:lang w:eastAsia="zh-CN"/>
              </w:rPr>
              <w:t>；</w:t>
            </w:r>
          </w:p>
          <w:p w14:paraId="2222AE54">
            <w:pPr>
              <w:adjustRightInd w:val="0"/>
              <w:snapToGrid w:val="0"/>
              <w:spacing w:line="360" w:lineRule="auto"/>
              <w:ind w:firstLine="480" w:firstLineChars="200"/>
              <w:rPr>
                <w:rFonts w:hint="eastAsia" w:ascii="Times New Roman" w:hAnsi="Times New Roman"/>
                <w:color w:val="auto"/>
                <w:sz w:val="24"/>
                <w:highlight w:val="none"/>
              </w:rPr>
            </w:pPr>
            <w:r>
              <w:rPr>
                <w:rFonts w:hint="eastAsia" w:ascii="Times New Roman" w:hAnsi="Times New Roman"/>
                <w:color w:val="auto"/>
                <w:sz w:val="24"/>
                <w:highlight w:val="none"/>
              </w:rPr>
              <w:t>③风机</w:t>
            </w:r>
            <w:r>
              <w:rPr>
                <w:rFonts w:hint="eastAsia" w:ascii="Times New Roman" w:hAnsi="Times New Roman"/>
                <w:color w:val="auto"/>
                <w:sz w:val="24"/>
                <w:highlight w:val="none"/>
                <w:lang w:val="en-US" w:eastAsia="zh-CN"/>
              </w:rPr>
              <w:t>采取隔振、消声等措施，如安装减振垫、隔声棉等</w:t>
            </w:r>
            <w:r>
              <w:rPr>
                <w:rFonts w:hint="eastAsia" w:ascii="Times New Roman" w:hAnsi="Times New Roman"/>
                <w:color w:val="auto"/>
                <w:sz w:val="24"/>
                <w:highlight w:val="none"/>
              </w:rPr>
              <w:t>。</w:t>
            </w:r>
            <w:r>
              <w:rPr>
                <w:rFonts w:hint="eastAsia" w:ascii="Times New Roman" w:hAnsi="Times New Roman"/>
                <w:color w:val="auto"/>
                <w:sz w:val="24"/>
                <w:highlight w:val="none"/>
                <w:lang w:val="en-US" w:eastAsia="zh-CN"/>
              </w:rPr>
              <w:t>同时</w:t>
            </w:r>
            <w:r>
              <w:rPr>
                <w:rFonts w:hint="eastAsia" w:ascii="Times New Roman" w:hAnsi="Times New Roman"/>
                <w:color w:val="auto"/>
                <w:sz w:val="24"/>
                <w:highlight w:val="none"/>
              </w:rPr>
              <w:t>加强对风机的维护</w:t>
            </w:r>
            <w:r>
              <w:rPr>
                <w:rFonts w:hint="eastAsia"/>
                <w:color w:val="auto"/>
                <w:sz w:val="24"/>
                <w:highlight w:val="none"/>
                <w:lang w:eastAsia="zh-CN"/>
              </w:rPr>
              <w:t>，</w:t>
            </w:r>
            <w:r>
              <w:rPr>
                <w:rFonts w:hint="eastAsia" w:ascii="Times New Roman" w:hAnsi="Times New Roman"/>
                <w:color w:val="auto"/>
                <w:sz w:val="24"/>
                <w:highlight w:val="none"/>
              </w:rPr>
              <w:t>定期检查维护，及时更换破损零部件，排除异常，减少噪声排放；</w:t>
            </w:r>
          </w:p>
          <w:p w14:paraId="69B6250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color w:val="auto"/>
                <w:sz w:val="24"/>
                <w:highlight w:val="none"/>
                <w:lang w:eastAsia="zh-CN"/>
              </w:rPr>
            </w:pPr>
            <w:r>
              <w:rPr>
                <w:rFonts w:hint="eastAsia" w:ascii="Times New Roman" w:hAnsi="Times New Roman"/>
                <w:color w:val="auto"/>
                <w:sz w:val="24"/>
                <w:highlight w:val="none"/>
              </w:rPr>
              <w:t>④合理安排工作时间，加强职工环保意识教育，提倡文明生产，防止人为噪声；在原辅材料及产品运输、装卸时做到文明操作</w:t>
            </w:r>
            <w:r>
              <w:rPr>
                <w:rFonts w:hint="eastAsia" w:ascii="Times New Roman" w:hAnsi="Times New Roman"/>
                <w:color w:val="auto"/>
                <w:sz w:val="24"/>
                <w:highlight w:val="none"/>
                <w:lang w:eastAsia="zh-CN"/>
              </w:rPr>
              <w:t>；</w:t>
            </w:r>
          </w:p>
          <w:p w14:paraId="40548409">
            <w:pPr>
              <w:widowControl w:val="0"/>
              <w:spacing w:line="360" w:lineRule="auto"/>
              <w:ind w:firstLine="480" w:firstLineChars="200"/>
              <w:jc w:val="both"/>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⑤对各设备基础进行减振处理，并加强设备的日常运行维护，确保设备正常运转，避免故障引起高噪声。</w:t>
            </w:r>
          </w:p>
          <w:p w14:paraId="6D5B1120">
            <w:pPr>
              <w:widowControl w:val="0"/>
              <w:spacing w:line="360" w:lineRule="auto"/>
              <w:ind w:firstLine="480" w:firstLineChars="200"/>
              <w:jc w:val="both"/>
              <w:rPr>
                <w:rFonts w:hint="eastAsia" w:ascii="Times New Roman" w:hAnsi="Times New Roman" w:eastAsia="宋体" w:cs="Times New Roman"/>
                <w:b w:val="0"/>
                <w:bCs/>
                <w:color w:val="auto"/>
                <w:sz w:val="24"/>
                <w:szCs w:val="24"/>
                <w:highlight w:val="none"/>
                <w:lang w:val="en-US" w:eastAsia="zh-CN"/>
              </w:rPr>
            </w:pPr>
            <w:r>
              <w:rPr>
                <w:rFonts w:hint="eastAsia" w:cs="Times New Roman"/>
                <w:b w:val="0"/>
                <w:bCs/>
                <w:color w:val="auto"/>
                <w:sz w:val="24"/>
                <w:szCs w:val="22"/>
                <w:highlight w:val="none"/>
                <w:lang w:val="en-US" w:eastAsia="zh-CN"/>
              </w:rPr>
              <w:t>（5）</w:t>
            </w:r>
            <w:r>
              <w:rPr>
                <w:rFonts w:hint="eastAsia" w:ascii="Times New Roman" w:hAnsi="Times New Roman" w:eastAsia="宋体" w:cs="Times New Roman"/>
                <w:b w:val="0"/>
                <w:bCs/>
                <w:color w:val="auto"/>
                <w:sz w:val="24"/>
                <w:highlight w:val="none"/>
                <w:lang w:val="en-US" w:eastAsia="zh-CN"/>
              </w:rPr>
              <w:t>噪声影响估算</w:t>
            </w:r>
          </w:p>
          <w:p w14:paraId="23D6F78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根据《环境影响评价技术导则－声环境》（HJ2.4-2021）中关于噪声源简化处理原则，以独立房间视为一个点声源，将房间内的主要噪声源分别进行声级叠加，一个叠加声源经房间墙体的隔声衰减，传至室外的声级值作为一个等效室外声源。所有室内声源在围护结构处产生的i倍频带叠加声级：</w:t>
            </w:r>
          </w:p>
          <w:p w14:paraId="4E33A5C7">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center"/>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color w:val="auto"/>
                <w:sz w:val="21"/>
                <w:szCs w:val="21"/>
                <w:highlight w:val="none"/>
              </w:rPr>
              <w:drawing>
                <wp:inline distT="0" distB="0" distL="114300" distR="114300">
                  <wp:extent cx="1905635" cy="565150"/>
                  <wp:effectExtent l="0" t="0" r="18415" b="6350"/>
                  <wp:docPr id="22"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5"/>
                          <pic:cNvPicPr>
                            <a:picLocks noChangeAspect="1"/>
                          </pic:cNvPicPr>
                        </pic:nvPicPr>
                        <pic:blipFill>
                          <a:blip r:embed="rId38"/>
                          <a:stretch>
                            <a:fillRect/>
                          </a:stretch>
                        </pic:blipFill>
                        <pic:spPr>
                          <a:xfrm>
                            <a:off x="0" y="0"/>
                            <a:ext cx="1905635" cy="565150"/>
                          </a:xfrm>
                          <a:prstGeom prst="rect">
                            <a:avLst/>
                          </a:prstGeom>
                          <a:noFill/>
                          <a:ln>
                            <a:noFill/>
                          </a:ln>
                        </pic:spPr>
                      </pic:pic>
                    </a:graphicData>
                  </a:graphic>
                </wp:inline>
              </w:drawing>
            </w:r>
          </w:p>
          <w:p w14:paraId="5C6B468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式中：L</w:t>
            </w:r>
            <w:r>
              <w:rPr>
                <w:rFonts w:hint="eastAsia" w:ascii="Times New Roman" w:hAnsi="Times New Roman" w:eastAsia="宋体" w:cs="Times New Roman"/>
                <w:b w:val="0"/>
                <w:bCs w:val="0"/>
                <w:color w:val="auto"/>
                <w:kern w:val="0"/>
                <w:sz w:val="24"/>
                <w:szCs w:val="24"/>
                <w:highlight w:val="none"/>
                <w:vertAlign w:val="subscript"/>
                <w:lang w:val="en-US" w:eastAsia="zh-CN" w:bidi="ar-SA"/>
              </w:rPr>
              <w:t>pil</w:t>
            </w:r>
            <w:r>
              <w:rPr>
                <w:rFonts w:hint="eastAsia" w:ascii="Times New Roman" w:hAnsi="Times New Roman" w:eastAsia="宋体" w:cs="Times New Roman"/>
                <w:b w:val="0"/>
                <w:bCs w:val="0"/>
                <w:color w:val="auto"/>
                <w:kern w:val="0"/>
                <w:sz w:val="24"/>
                <w:szCs w:val="24"/>
                <w:highlight w:val="none"/>
                <w:lang w:val="en-US" w:eastAsia="zh-CN" w:bidi="ar-SA"/>
              </w:rPr>
              <w:t>（T）—靠近围护结构处室内N个声源i倍频带的叠加声压级dB（A）；</w:t>
            </w:r>
          </w:p>
          <w:p w14:paraId="686A9F94">
            <w:pPr>
              <w:keepNext w:val="0"/>
              <w:keepLines w:val="0"/>
              <w:pageBreakBefore w:val="0"/>
              <w:widowControl w:val="0"/>
              <w:kinsoku/>
              <w:wordWrap/>
              <w:overflowPunct/>
              <w:topLinePunct w:val="0"/>
              <w:autoSpaceDE/>
              <w:autoSpaceDN/>
              <w:bidi w:val="0"/>
              <w:adjustRightInd w:val="0"/>
              <w:snapToGrid w:val="0"/>
              <w:spacing w:line="360" w:lineRule="auto"/>
              <w:ind w:firstLine="1200" w:firstLineChars="500"/>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L</w:t>
            </w:r>
            <w:r>
              <w:rPr>
                <w:rFonts w:hint="eastAsia" w:ascii="Times New Roman" w:hAnsi="Times New Roman" w:eastAsia="宋体" w:cs="Times New Roman"/>
                <w:b w:val="0"/>
                <w:bCs w:val="0"/>
                <w:color w:val="auto"/>
                <w:kern w:val="0"/>
                <w:sz w:val="24"/>
                <w:szCs w:val="24"/>
                <w:highlight w:val="none"/>
                <w:vertAlign w:val="subscript"/>
                <w:lang w:val="en-US" w:eastAsia="zh-CN" w:bidi="ar-SA"/>
              </w:rPr>
              <w:t>plij</w:t>
            </w:r>
            <w:r>
              <w:rPr>
                <w:rFonts w:hint="eastAsia" w:ascii="Times New Roman" w:hAnsi="Times New Roman" w:eastAsia="宋体" w:cs="Times New Roman"/>
                <w:b w:val="0"/>
                <w:bCs w:val="0"/>
                <w:color w:val="auto"/>
                <w:kern w:val="0"/>
                <w:sz w:val="24"/>
                <w:szCs w:val="24"/>
                <w:highlight w:val="none"/>
                <w:lang w:val="en-US" w:eastAsia="zh-CN" w:bidi="ar-SA"/>
              </w:rPr>
              <w:t>—室内j声源i倍频带的声压级，dB（A）；</w:t>
            </w:r>
          </w:p>
          <w:p w14:paraId="7516456F">
            <w:pPr>
              <w:keepNext w:val="0"/>
              <w:keepLines w:val="0"/>
              <w:pageBreakBefore w:val="0"/>
              <w:widowControl w:val="0"/>
              <w:kinsoku/>
              <w:wordWrap/>
              <w:overflowPunct/>
              <w:topLinePunct w:val="0"/>
              <w:autoSpaceDE/>
              <w:autoSpaceDN/>
              <w:bidi w:val="0"/>
              <w:adjustRightInd w:val="0"/>
              <w:snapToGrid w:val="0"/>
              <w:spacing w:line="360" w:lineRule="auto"/>
              <w:ind w:firstLine="1200" w:firstLineChars="500"/>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N—室内声源总数。</w:t>
            </w:r>
          </w:p>
          <w:p w14:paraId="3602B45D">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将建设项目主要噪声源进行能量叠加后的合成总声级值视为一个混合点噪声源，并以半球形向外辐射传播，在只考虑声源的距离衰减时，采用以下公式预测工程噪声对厂界的噪声影响。</w:t>
            </w:r>
          </w:p>
          <w:p w14:paraId="23B90E95">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textAlignment w:val="auto"/>
              <w:rPr>
                <w:rFonts w:hint="default"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根据《环境影响评价技术导则－声环境》（HJ2.4-2021）中B.4计算室外围护结构处的声压级，公式如下：</w:t>
            </w:r>
          </w:p>
          <w:p w14:paraId="188CA0A7">
            <w:pPr>
              <w:keepNext w:val="0"/>
              <w:keepLines w:val="0"/>
              <w:pageBreakBefore w:val="0"/>
              <w:widowControl w:val="0"/>
              <w:kinsoku/>
              <w:wordWrap/>
              <w:overflowPunct/>
              <w:topLinePunct w:val="0"/>
              <w:autoSpaceDE/>
              <w:autoSpaceDN/>
              <w:bidi w:val="0"/>
              <w:adjustRightInd w:val="0"/>
              <w:snapToGrid w:val="0"/>
              <w:spacing w:line="360" w:lineRule="auto"/>
              <w:ind w:left="0" w:right="0" w:firstLine="0"/>
              <w:jc w:val="center"/>
              <w:textAlignment w:val="auto"/>
              <w:rPr>
                <w:rFonts w:hint="eastAsia" w:ascii="Times New Roman" w:hAnsi="Times New Roman" w:eastAsia="宋体"/>
                <w:color w:val="auto"/>
                <w:sz w:val="24"/>
                <w:szCs w:val="24"/>
                <w:highlight w:val="none"/>
                <w:lang w:eastAsia="zh-CN"/>
              </w:rPr>
            </w:pPr>
            <w:r>
              <w:rPr>
                <w:rFonts w:ascii="Times New Roman" w:hAnsi="Times New Roman"/>
                <w:i/>
                <w:color w:val="auto"/>
                <w:sz w:val="24"/>
                <w:szCs w:val="24"/>
                <w:highlight w:val="none"/>
              </w:rPr>
              <w:t>L</w:t>
            </w:r>
            <w:r>
              <w:rPr>
                <w:rFonts w:ascii="Times New Roman" w:hAnsi="Times New Roman"/>
                <w:i/>
                <w:color w:val="auto"/>
                <w:position w:val="-5"/>
                <w:sz w:val="24"/>
                <w:szCs w:val="24"/>
                <w:highlight w:val="none"/>
              </w:rPr>
              <w:t xml:space="preserve">p </w:t>
            </w:r>
            <w:r>
              <w:rPr>
                <w:rFonts w:ascii="Times New Roman" w:hAnsi="Times New Roman"/>
                <w:color w:val="auto"/>
                <w:position w:val="-5"/>
                <w:sz w:val="24"/>
                <w:szCs w:val="24"/>
                <w:highlight w:val="none"/>
              </w:rPr>
              <w:t>2</w:t>
            </w:r>
            <w:r>
              <w:rPr>
                <w:rFonts w:ascii="Times New Roman" w:hAnsi="Times New Roman"/>
                <w:i/>
                <w:color w:val="auto"/>
                <w:position w:val="-5"/>
                <w:sz w:val="24"/>
                <w:szCs w:val="24"/>
                <w:highlight w:val="none"/>
              </w:rPr>
              <w:t>i</w:t>
            </w:r>
            <w:r>
              <w:rPr>
                <w:rFonts w:hint="eastAsia"/>
                <w:color w:val="auto"/>
                <w:sz w:val="24"/>
                <w:szCs w:val="24"/>
                <w:highlight w:val="none"/>
                <w:lang w:eastAsia="zh-CN"/>
              </w:rPr>
              <w:t>（</w:t>
            </w:r>
            <w:r>
              <w:rPr>
                <w:rFonts w:ascii="Times New Roman" w:hAnsi="Times New Roman"/>
                <w:i/>
                <w:color w:val="auto"/>
                <w:sz w:val="24"/>
                <w:szCs w:val="24"/>
                <w:highlight w:val="none"/>
              </w:rPr>
              <w:t>T</w:t>
            </w:r>
            <w:r>
              <w:rPr>
                <w:rFonts w:hint="eastAsia"/>
                <w:color w:val="auto"/>
                <w:sz w:val="24"/>
                <w:szCs w:val="24"/>
                <w:highlight w:val="none"/>
                <w:lang w:eastAsia="zh-CN"/>
              </w:rPr>
              <w:t>）</w:t>
            </w:r>
            <w:r>
              <w:rPr>
                <w:rFonts w:ascii="Symbol" w:hAnsi="Symbol"/>
                <w:color w:val="auto"/>
                <w:sz w:val="24"/>
                <w:szCs w:val="24"/>
                <w:highlight w:val="none"/>
              </w:rPr>
              <w:t></w:t>
            </w:r>
            <w:r>
              <w:rPr>
                <w:rFonts w:ascii="Times New Roman" w:hAnsi="Times New Roman"/>
                <w:i/>
                <w:color w:val="auto"/>
                <w:sz w:val="24"/>
                <w:szCs w:val="24"/>
                <w:highlight w:val="none"/>
              </w:rPr>
              <w:t>L</w:t>
            </w:r>
            <w:r>
              <w:rPr>
                <w:rFonts w:ascii="Times New Roman" w:hAnsi="Times New Roman"/>
                <w:i/>
                <w:color w:val="auto"/>
                <w:position w:val="-5"/>
                <w:sz w:val="24"/>
                <w:szCs w:val="24"/>
                <w:highlight w:val="none"/>
              </w:rPr>
              <w:t>p</w:t>
            </w:r>
            <w:r>
              <w:rPr>
                <w:rFonts w:ascii="Times New Roman" w:hAnsi="Times New Roman"/>
                <w:color w:val="auto"/>
                <w:position w:val="-5"/>
                <w:sz w:val="24"/>
                <w:szCs w:val="24"/>
                <w:highlight w:val="none"/>
              </w:rPr>
              <w:t>1</w:t>
            </w:r>
            <w:r>
              <w:rPr>
                <w:rFonts w:ascii="Times New Roman" w:hAnsi="Times New Roman"/>
                <w:i/>
                <w:color w:val="auto"/>
                <w:position w:val="-5"/>
                <w:sz w:val="24"/>
                <w:szCs w:val="24"/>
                <w:highlight w:val="none"/>
              </w:rPr>
              <w:t>i</w:t>
            </w:r>
            <w:r>
              <w:rPr>
                <w:rFonts w:hint="eastAsia"/>
                <w:color w:val="auto"/>
                <w:sz w:val="24"/>
                <w:szCs w:val="24"/>
                <w:highlight w:val="none"/>
                <w:lang w:eastAsia="zh-CN"/>
              </w:rPr>
              <w:t>（</w:t>
            </w:r>
            <w:r>
              <w:rPr>
                <w:rFonts w:ascii="Times New Roman" w:hAnsi="Times New Roman"/>
                <w:i/>
                <w:color w:val="auto"/>
                <w:sz w:val="24"/>
                <w:szCs w:val="24"/>
                <w:highlight w:val="none"/>
              </w:rPr>
              <w:t>T</w:t>
            </w:r>
            <w:r>
              <w:rPr>
                <w:rFonts w:hint="eastAsia"/>
                <w:color w:val="auto"/>
                <w:sz w:val="24"/>
                <w:szCs w:val="24"/>
                <w:highlight w:val="none"/>
                <w:lang w:eastAsia="zh-CN"/>
              </w:rPr>
              <w:t>）</w:t>
            </w:r>
            <w:r>
              <w:rPr>
                <w:rFonts w:ascii="Symbol" w:hAnsi="Symbol"/>
                <w:color w:val="auto"/>
                <w:sz w:val="24"/>
                <w:szCs w:val="24"/>
                <w:highlight w:val="none"/>
              </w:rPr>
              <w:t></w:t>
            </w:r>
            <w:r>
              <w:rPr>
                <w:rFonts w:hint="eastAsia"/>
                <w:color w:val="auto"/>
                <w:sz w:val="24"/>
                <w:szCs w:val="24"/>
                <w:highlight w:val="none"/>
                <w:lang w:eastAsia="zh-CN"/>
              </w:rPr>
              <w:t>（</w:t>
            </w:r>
            <w:r>
              <w:rPr>
                <w:rFonts w:ascii="Times New Roman" w:hAnsi="Times New Roman"/>
                <w:i/>
                <w:color w:val="auto"/>
                <w:sz w:val="24"/>
                <w:szCs w:val="24"/>
                <w:highlight w:val="none"/>
              </w:rPr>
              <w:t>TL</w:t>
            </w:r>
            <w:r>
              <w:rPr>
                <w:rFonts w:ascii="Times New Roman" w:hAnsi="Times New Roman"/>
                <w:i/>
                <w:color w:val="auto"/>
                <w:position w:val="-5"/>
                <w:sz w:val="24"/>
                <w:szCs w:val="24"/>
                <w:highlight w:val="none"/>
              </w:rPr>
              <w:t>i</w:t>
            </w:r>
            <w:r>
              <w:rPr>
                <w:rFonts w:ascii="Symbol" w:hAnsi="Symbol"/>
                <w:color w:val="auto"/>
                <w:sz w:val="24"/>
                <w:szCs w:val="24"/>
                <w:highlight w:val="none"/>
              </w:rPr>
              <w:t></w:t>
            </w:r>
            <w:r>
              <w:rPr>
                <w:rFonts w:ascii="Times New Roman" w:hAnsi="Times New Roman"/>
                <w:color w:val="auto"/>
                <w:sz w:val="24"/>
                <w:szCs w:val="24"/>
                <w:highlight w:val="none"/>
              </w:rPr>
              <w:t>6</w:t>
            </w:r>
            <w:r>
              <w:rPr>
                <w:rFonts w:hint="eastAsia"/>
                <w:color w:val="auto"/>
                <w:sz w:val="24"/>
                <w:szCs w:val="24"/>
                <w:highlight w:val="none"/>
                <w:lang w:eastAsia="zh-CN"/>
              </w:rPr>
              <w:t>）</w:t>
            </w:r>
          </w:p>
          <w:p w14:paraId="7D82993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式中：Lp2i（T）—靠近围护结构处室外N个声源i倍频带的叠加声压级，dB；</w:t>
            </w:r>
          </w:p>
          <w:p w14:paraId="16F8BD76">
            <w:pPr>
              <w:autoSpaceDE w:val="0"/>
              <w:autoSpaceDN w:val="0"/>
              <w:adjustRightInd w:val="0"/>
              <w:spacing w:line="360" w:lineRule="auto"/>
              <w:ind w:firstLine="1200" w:firstLineChars="500"/>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L</w:t>
            </w:r>
            <w:r>
              <w:rPr>
                <w:rFonts w:hint="eastAsia" w:ascii="Times New Roman" w:hAnsi="Times New Roman" w:eastAsia="宋体" w:cs="Times New Roman"/>
                <w:color w:val="auto"/>
                <w:sz w:val="24"/>
                <w:szCs w:val="24"/>
                <w:vertAlign w:val="subscript"/>
                <w:lang w:val="en-US" w:eastAsia="zh-CN"/>
              </w:rPr>
              <w:t>p1i</w:t>
            </w:r>
            <w:r>
              <w:rPr>
                <w:rFonts w:hint="eastAsia" w:ascii="Times New Roman" w:hAnsi="Times New Roman" w:eastAsia="宋体" w:cs="Times New Roman"/>
                <w:color w:val="auto"/>
                <w:sz w:val="24"/>
                <w:szCs w:val="24"/>
                <w:lang w:val="en-US" w:eastAsia="zh-CN"/>
              </w:rPr>
              <w:t>（T）—靠近围护结构处室内N个声源i倍频带的叠加声压级，dB；</w:t>
            </w:r>
          </w:p>
          <w:p w14:paraId="3293D655">
            <w:pPr>
              <w:autoSpaceDE w:val="0"/>
              <w:autoSpaceDN w:val="0"/>
              <w:adjustRightInd w:val="0"/>
              <w:spacing w:line="360" w:lineRule="auto"/>
              <w:ind w:firstLine="1200" w:firstLineChars="500"/>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TLi—围护结构i倍频带的隔声量，dB；本项目门隔声量为20dB；</w:t>
            </w:r>
          </w:p>
          <w:p w14:paraId="07D3A0D7">
            <w:pPr>
              <w:autoSpaceDE w:val="0"/>
              <w:autoSpaceDN w:val="0"/>
              <w:adjustRightInd w:val="0"/>
              <w:spacing w:line="360" w:lineRule="auto"/>
              <w:ind w:firstLine="480" w:firstLineChars="200"/>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然后按式（B.5）将室外声源的声压级和透过面积换算成等效的室外声源，计算出中心位置位于透声面积（S）处的等效声源的倍频带声功率级。</w:t>
            </w:r>
          </w:p>
          <w:p w14:paraId="56F11ECC">
            <w:pPr>
              <w:autoSpaceDE w:val="0"/>
              <w:autoSpaceDN w:val="0"/>
              <w:adjustRightInd w:val="0"/>
              <w:spacing w:line="360" w:lineRule="auto"/>
              <w:ind w:firstLine="480" w:firstLineChars="200"/>
              <w:jc w:val="center"/>
              <w:rPr>
                <w:rFonts w:hint="eastAsia" w:ascii="Times New Roman" w:hAnsi="Times New Roman" w:eastAsia="宋体" w:cs="Times New Roman"/>
                <w:color w:val="auto"/>
                <w:sz w:val="24"/>
                <w:szCs w:val="24"/>
                <w:lang w:val="en-US" w:eastAsia="zh-CN"/>
              </w:rPr>
            </w:pPr>
            <w:r>
              <w:rPr>
                <w:color w:val="auto"/>
                <w:sz w:val="24"/>
                <w:szCs w:val="24"/>
              </w:rPr>
              <w:drawing>
                <wp:inline distT="0" distB="0" distL="114300" distR="114300">
                  <wp:extent cx="1504950" cy="371475"/>
                  <wp:effectExtent l="0" t="0" r="0" b="9525"/>
                  <wp:docPr id="1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6"/>
                          <pic:cNvPicPr>
                            <a:picLocks noChangeAspect="1"/>
                          </pic:cNvPicPr>
                        </pic:nvPicPr>
                        <pic:blipFill>
                          <a:blip r:embed="rId39"/>
                          <a:stretch>
                            <a:fillRect/>
                          </a:stretch>
                        </pic:blipFill>
                        <pic:spPr>
                          <a:xfrm>
                            <a:off x="0" y="0"/>
                            <a:ext cx="1504950" cy="371475"/>
                          </a:xfrm>
                          <a:prstGeom prst="rect">
                            <a:avLst/>
                          </a:prstGeom>
                          <a:noFill/>
                          <a:ln>
                            <a:noFill/>
                          </a:ln>
                        </pic:spPr>
                      </pic:pic>
                    </a:graphicData>
                  </a:graphic>
                </wp:inline>
              </w:drawing>
            </w:r>
          </w:p>
          <w:p w14:paraId="61507EA5">
            <w:pPr>
              <w:autoSpaceDE w:val="0"/>
              <w:autoSpaceDN w:val="0"/>
              <w:adjustRightInd w:val="0"/>
              <w:spacing w:line="360" w:lineRule="auto"/>
              <w:ind w:firstLine="480" w:firstLineChars="200"/>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式中：L</w:t>
            </w:r>
            <w:r>
              <w:rPr>
                <w:rFonts w:hint="eastAsia" w:ascii="Times New Roman" w:hAnsi="Times New Roman" w:eastAsia="宋体" w:cs="Times New Roman"/>
                <w:color w:val="auto"/>
                <w:sz w:val="24"/>
                <w:szCs w:val="24"/>
                <w:vertAlign w:val="subscript"/>
                <w:lang w:val="en-US" w:eastAsia="zh-CN"/>
              </w:rPr>
              <w:t>W</w:t>
            </w:r>
            <w:r>
              <w:rPr>
                <w:rFonts w:hint="eastAsia" w:ascii="Times New Roman" w:hAnsi="Times New Roman" w:eastAsia="宋体" w:cs="Times New Roman"/>
                <w:color w:val="auto"/>
                <w:sz w:val="24"/>
                <w:szCs w:val="24"/>
                <w:lang w:val="en-US" w:eastAsia="zh-CN"/>
              </w:rPr>
              <w:t>—中心位置位于透声面积（S）处的等效声源的倍频带声功率级，dB；</w:t>
            </w:r>
          </w:p>
          <w:p w14:paraId="68B425B1">
            <w:pPr>
              <w:autoSpaceDE w:val="0"/>
              <w:autoSpaceDN w:val="0"/>
              <w:adjustRightInd w:val="0"/>
              <w:spacing w:line="360" w:lineRule="auto"/>
              <w:ind w:firstLine="1200" w:firstLineChars="500"/>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L</w:t>
            </w:r>
            <w:r>
              <w:rPr>
                <w:rFonts w:hint="eastAsia" w:ascii="Times New Roman" w:hAnsi="Times New Roman" w:eastAsia="宋体" w:cs="Times New Roman"/>
                <w:color w:val="auto"/>
                <w:sz w:val="24"/>
                <w:szCs w:val="24"/>
                <w:vertAlign w:val="subscript"/>
                <w:lang w:val="en-US" w:eastAsia="zh-CN"/>
              </w:rPr>
              <w:t>p2</w:t>
            </w:r>
            <w:r>
              <w:rPr>
                <w:rFonts w:hint="eastAsia" w:ascii="Times New Roman" w:hAnsi="Times New Roman" w:eastAsia="宋体" w:cs="Times New Roman"/>
                <w:color w:val="auto"/>
                <w:sz w:val="24"/>
                <w:szCs w:val="24"/>
                <w:lang w:val="en-US" w:eastAsia="zh-CN"/>
              </w:rPr>
              <w:t>（T）—靠近围护结构处室外声源的声压级，dB；</w:t>
            </w:r>
          </w:p>
          <w:p w14:paraId="7FD6314E">
            <w:pPr>
              <w:autoSpaceDE w:val="0"/>
              <w:autoSpaceDN w:val="0"/>
              <w:adjustRightInd w:val="0"/>
              <w:spacing w:line="360" w:lineRule="auto"/>
              <w:ind w:firstLine="1200" w:firstLineChars="500"/>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S—透声面积，m</w:t>
            </w:r>
            <w:r>
              <w:rPr>
                <w:rFonts w:hint="eastAsia" w:ascii="Times New Roman" w:hAnsi="Times New Roman" w:eastAsia="宋体" w:cs="Times New Roman"/>
                <w:color w:val="auto"/>
                <w:sz w:val="24"/>
                <w:szCs w:val="24"/>
                <w:vertAlign w:val="superscript"/>
                <w:lang w:val="en-US" w:eastAsia="zh-CN"/>
              </w:rPr>
              <w:t>2</w:t>
            </w:r>
            <w:r>
              <w:rPr>
                <w:rFonts w:hint="eastAsia" w:ascii="Times New Roman" w:hAnsi="Times New Roman" w:eastAsia="宋体" w:cs="Times New Roman"/>
                <w:color w:val="auto"/>
                <w:sz w:val="24"/>
                <w:szCs w:val="24"/>
                <w:lang w:val="en-US" w:eastAsia="zh-CN"/>
              </w:rPr>
              <w:t>；</w:t>
            </w:r>
          </w:p>
          <w:p w14:paraId="7E327E0B">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lang w:val="en-US" w:eastAsia="zh-CN"/>
              </w:rPr>
              <w:t>本项目生产车间厂房共设置</w:t>
            </w:r>
            <w:r>
              <w:rPr>
                <w:rFonts w:hint="eastAsia" w:ascii="Times New Roman" w:hAnsi="Times New Roman" w:cs="Times New Roman"/>
                <w:color w:val="auto"/>
                <w:sz w:val="24"/>
                <w:lang w:val="en-US" w:eastAsia="zh-CN"/>
              </w:rPr>
              <w:t>27</w:t>
            </w:r>
            <w:r>
              <w:rPr>
                <w:rFonts w:hint="eastAsia" w:ascii="Times New Roman" w:hAnsi="Times New Roman" w:eastAsia="宋体" w:cs="Times New Roman"/>
                <w:color w:val="auto"/>
                <w:sz w:val="24"/>
                <w:lang w:val="en-US" w:eastAsia="zh-CN"/>
              </w:rPr>
              <w:t>个大门，</w:t>
            </w:r>
            <w:r>
              <w:rPr>
                <w:rFonts w:hint="eastAsia" w:ascii="Times New Roman" w:hAnsi="Times New Roman" w:cs="Times New Roman"/>
                <w:color w:val="auto"/>
                <w:sz w:val="24"/>
                <w:lang w:val="en-US" w:eastAsia="zh-CN"/>
              </w:rPr>
              <w:t>总</w:t>
            </w:r>
            <w:r>
              <w:rPr>
                <w:rFonts w:hint="eastAsia" w:ascii="Times New Roman" w:hAnsi="Times New Roman" w:eastAsia="宋体" w:cs="Times New Roman"/>
                <w:color w:val="auto"/>
                <w:sz w:val="24"/>
                <w:lang w:val="en-US" w:eastAsia="zh-CN"/>
              </w:rPr>
              <w:t>面积</w:t>
            </w:r>
            <w:r>
              <w:rPr>
                <w:rFonts w:hint="eastAsia" w:ascii="Times New Roman" w:hAnsi="Times New Roman" w:cs="Times New Roman"/>
                <w:color w:val="auto"/>
                <w:sz w:val="24"/>
                <w:lang w:val="en-US" w:eastAsia="zh-CN"/>
              </w:rPr>
              <w:t>146.63</w:t>
            </w:r>
            <w:r>
              <w:rPr>
                <w:rFonts w:hint="eastAsia" w:ascii="Times New Roman" w:hAnsi="Times New Roman" w:eastAsia="宋体" w:cs="Times New Roman"/>
                <w:color w:val="auto"/>
                <w:sz w:val="24"/>
                <w:lang w:val="en-US" w:eastAsia="zh-CN"/>
              </w:rPr>
              <w:t>m</w:t>
            </w:r>
            <w:r>
              <w:rPr>
                <w:rFonts w:hint="eastAsia" w:ascii="Times New Roman" w:hAnsi="Times New Roman" w:eastAsia="宋体" w:cs="Times New Roman"/>
                <w:color w:val="auto"/>
                <w:sz w:val="24"/>
                <w:vertAlign w:val="superscript"/>
                <w:lang w:val="en-US" w:eastAsia="zh-CN"/>
              </w:rPr>
              <w:t>2</w:t>
            </w:r>
            <w:r>
              <w:rPr>
                <w:rFonts w:hint="eastAsia" w:ascii="Times New Roman" w:hAnsi="Times New Roman" w:cs="Times New Roman"/>
                <w:color w:val="auto"/>
                <w:sz w:val="24"/>
                <w:lang w:val="en-US" w:eastAsia="zh-CN"/>
              </w:rPr>
              <w:t>。</w:t>
            </w:r>
          </w:p>
          <w:p w14:paraId="69E27A91">
            <w:pPr>
              <w:autoSpaceDE w:val="0"/>
              <w:autoSpaceDN w:val="0"/>
              <w:adjustRightInd w:val="0"/>
              <w:spacing w:line="360" w:lineRule="auto"/>
              <w:ind w:firstLine="480" w:firstLineChars="200"/>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本项目主要噪声源对预测点贡献值的计算（作为保险系数）不考虑大气吸收引起的衰减，地面效应引起的衰减，以及其他多方面效应引起的衰减；在只考虑几何发散衰减的情况下，按照《环境影响评价技术导则－声环境》（HJ2.4-2021）中附录A，式（A.4）计算。</w:t>
            </w:r>
          </w:p>
          <w:p w14:paraId="168704A2">
            <w:pPr>
              <w:autoSpaceDE w:val="0"/>
              <w:autoSpaceDN w:val="0"/>
              <w:adjustRightInd w:val="0"/>
              <w:spacing w:line="360" w:lineRule="auto"/>
              <w:ind w:firstLine="480" w:firstLineChars="200"/>
              <w:jc w:val="center"/>
              <w:rPr>
                <w:rFonts w:hint="eastAsia" w:ascii="Times New Roman" w:hAnsi="Times New Roman" w:eastAsia="宋体" w:cs="Times New Roman"/>
                <w:color w:val="auto"/>
                <w:sz w:val="24"/>
                <w:szCs w:val="24"/>
                <w:lang w:val="en-US" w:eastAsia="zh-CN"/>
              </w:rPr>
            </w:pPr>
            <w:r>
              <w:rPr>
                <w:color w:val="auto"/>
                <w:sz w:val="24"/>
                <w:szCs w:val="24"/>
              </w:rPr>
              <w:drawing>
                <wp:inline distT="0" distB="0" distL="114300" distR="114300">
                  <wp:extent cx="1247775" cy="361950"/>
                  <wp:effectExtent l="0" t="0" r="9525" b="0"/>
                  <wp:docPr id="23"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7"/>
                          <pic:cNvPicPr>
                            <a:picLocks noChangeAspect="1"/>
                          </pic:cNvPicPr>
                        </pic:nvPicPr>
                        <pic:blipFill>
                          <a:blip r:embed="rId40"/>
                          <a:stretch>
                            <a:fillRect/>
                          </a:stretch>
                        </pic:blipFill>
                        <pic:spPr>
                          <a:xfrm>
                            <a:off x="0" y="0"/>
                            <a:ext cx="1247775" cy="361950"/>
                          </a:xfrm>
                          <a:prstGeom prst="rect">
                            <a:avLst/>
                          </a:prstGeom>
                          <a:noFill/>
                          <a:ln>
                            <a:noFill/>
                          </a:ln>
                        </pic:spPr>
                      </pic:pic>
                    </a:graphicData>
                  </a:graphic>
                </wp:inline>
              </w:drawing>
            </w:r>
          </w:p>
          <w:p w14:paraId="166A8B62">
            <w:pPr>
              <w:autoSpaceDE w:val="0"/>
              <w:autoSpaceDN w:val="0"/>
              <w:adjustRightInd w:val="0"/>
              <w:spacing w:line="360" w:lineRule="auto"/>
              <w:ind w:firstLine="480" w:firstLineChars="200"/>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式中：L</w:t>
            </w:r>
            <w:r>
              <w:rPr>
                <w:rFonts w:hint="eastAsia" w:ascii="Times New Roman" w:hAnsi="Times New Roman" w:eastAsia="宋体" w:cs="Times New Roman"/>
                <w:color w:val="auto"/>
                <w:sz w:val="24"/>
                <w:szCs w:val="24"/>
                <w:vertAlign w:val="subscript"/>
                <w:lang w:val="en-US" w:eastAsia="zh-CN"/>
              </w:rPr>
              <w:t>A</w:t>
            </w:r>
            <w:r>
              <w:rPr>
                <w:rFonts w:hint="eastAsia" w:ascii="Times New Roman" w:hAnsi="Times New Roman" w:eastAsia="宋体" w:cs="Times New Roman"/>
                <w:color w:val="auto"/>
                <w:sz w:val="24"/>
                <w:szCs w:val="24"/>
                <w:lang w:val="en-US" w:eastAsia="zh-CN"/>
              </w:rPr>
              <w:t>（R）—距声源r处的A声级，dB（A）；</w:t>
            </w:r>
          </w:p>
          <w:p w14:paraId="6AE9AE85">
            <w:pPr>
              <w:autoSpaceDE w:val="0"/>
              <w:autoSpaceDN w:val="0"/>
              <w:adjustRightInd w:val="0"/>
              <w:spacing w:line="360" w:lineRule="auto"/>
              <w:ind w:firstLine="1200" w:firstLineChars="500"/>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L</w:t>
            </w:r>
            <w:r>
              <w:rPr>
                <w:rFonts w:hint="eastAsia" w:ascii="Times New Roman" w:hAnsi="Times New Roman" w:eastAsia="宋体" w:cs="Times New Roman"/>
                <w:color w:val="auto"/>
                <w:sz w:val="24"/>
                <w:szCs w:val="24"/>
                <w:vertAlign w:val="subscript"/>
                <w:lang w:val="en-US" w:eastAsia="zh-CN"/>
              </w:rPr>
              <w:t>A</w:t>
            </w:r>
            <w:r>
              <w:rPr>
                <w:rFonts w:hint="eastAsia" w:ascii="Times New Roman" w:hAnsi="Times New Roman" w:eastAsia="宋体" w:cs="Times New Roman"/>
                <w:color w:val="auto"/>
                <w:sz w:val="24"/>
                <w:szCs w:val="24"/>
                <w:lang w:val="en-US" w:eastAsia="zh-CN"/>
              </w:rPr>
              <w:t>（r0）—参考位置r0处的A声级，dB（A）；</w:t>
            </w:r>
          </w:p>
          <w:p w14:paraId="3D68365E">
            <w:pPr>
              <w:autoSpaceDE w:val="0"/>
              <w:autoSpaceDN w:val="0"/>
              <w:adjustRightInd w:val="0"/>
              <w:spacing w:line="360" w:lineRule="auto"/>
              <w:ind w:firstLine="1200" w:firstLineChars="500"/>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A</w:t>
            </w:r>
            <w:r>
              <w:rPr>
                <w:rFonts w:hint="eastAsia" w:ascii="Times New Roman" w:hAnsi="Times New Roman" w:eastAsia="宋体" w:cs="Times New Roman"/>
                <w:color w:val="auto"/>
                <w:sz w:val="24"/>
                <w:szCs w:val="24"/>
                <w:vertAlign w:val="subscript"/>
                <w:lang w:val="en-US" w:eastAsia="zh-CN"/>
              </w:rPr>
              <w:t>div</w:t>
            </w:r>
            <w:r>
              <w:rPr>
                <w:rFonts w:hint="eastAsia" w:ascii="Times New Roman" w:hAnsi="Times New Roman" w:eastAsia="宋体" w:cs="Times New Roman"/>
                <w:color w:val="auto"/>
                <w:sz w:val="24"/>
                <w:szCs w:val="24"/>
                <w:lang w:val="en-US" w:eastAsia="zh-CN"/>
              </w:rPr>
              <w:t>—几何发散引起的衰减，dB。</w:t>
            </w:r>
          </w:p>
          <w:p w14:paraId="7999C5FC">
            <w:pPr>
              <w:autoSpaceDE w:val="0"/>
              <w:autoSpaceDN w:val="0"/>
              <w:adjustRightInd w:val="0"/>
              <w:spacing w:line="360" w:lineRule="auto"/>
              <w:ind w:firstLine="480" w:firstLineChars="200"/>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几何发散引起的衰减按照无指向性点声源几何发散衰减计算，</w:t>
            </w:r>
            <w:r>
              <w:rPr>
                <w:rFonts w:hint="eastAsia" w:cs="Times New Roman"/>
                <w:color w:val="auto"/>
                <w:sz w:val="24"/>
                <w:szCs w:val="24"/>
                <w:lang w:val="en-US" w:eastAsia="zh-CN"/>
              </w:rPr>
              <w:t>公式</w:t>
            </w:r>
            <w:r>
              <w:rPr>
                <w:rFonts w:hint="eastAsia" w:ascii="Times New Roman" w:hAnsi="Times New Roman" w:eastAsia="宋体" w:cs="Times New Roman"/>
                <w:color w:val="auto"/>
                <w:sz w:val="24"/>
                <w:szCs w:val="24"/>
                <w:lang w:val="en-US" w:eastAsia="zh-CN"/>
              </w:rPr>
              <w:t>为（A.5）。</w:t>
            </w:r>
          </w:p>
          <w:p w14:paraId="00759600">
            <w:pPr>
              <w:autoSpaceDE w:val="0"/>
              <w:autoSpaceDN w:val="0"/>
              <w:adjustRightInd w:val="0"/>
              <w:spacing w:line="360" w:lineRule="auto"/>
              <w:ind w:firstLine="480" w:firstLineChars="200"/>
              <w:jc w:val="center"/>
              <w:rPr>
                <w:rFonts w:hint="eastAsia" w:ascii="Times New Roman" w:hAnsi="Times New Roman" w:eastAsia="宋体" w:cs="Times New Roman"/>
                <w:color w:val="auto"/>
                <w:sz w:val="24"/>
                <w:szCs w:val="24"/>
                <w:lang w:val="en-US" w:eastAsia="zh-CN"/>
              </w:rPr>
            </w:pPr>
            <w:r>
              <w:rPr>
                <w:color w:val="auto"/>
                <w:sz w:val="24"/>
                <w:szCs w:val="24"/>
                <w:highlight w:val="none"/>
              </w:rPr>
              <w:drawing>
                <wp:inline distT="0" distB="0" distL="114300" distR="114300">
                  <wp:extent cx="1882775" cy="323850"/>
                  <wp:effectExtent l="0" t="0" r="3175" b="0"/>
                  <wp:docPr id="20"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8"/>
                          <pic:cNvPicPr>
                            <a:picLocks noChangeAspect="1"/>
                          </pic:cNvPicPr>
                        </pic:nvPicPr>
                        <pic:blipFill>
                          <a:blip r:embed="rId41"/>
                          <a:stretch>
                            <a:fillRect/>
                          </a:stretch>
                        </pic:blipFill>
                        <pic:spPr>
                          <a:xfrm>
                            <a:off x="0" y="0"/>
                            <a:ext cx="1882775" cy="323850"/>
                          </a:xfrm>
                          <a:prstGeom prst="rect">
                            <a:avLst/>
                          </a:prstGeom>
                          <a:noFill/>
                          <a:ln>
                            <a:noFill/>
                          </a:ln>
                        </pic:spPr>
                      </pic:pic>
                    </a:graphicData>
                  </a:graphic>
                </wp:inline>
              </w:drawing>
            </w:r>
          </w:p>
          <w:p w14:paraId="306D03CE">
            <w:pPr>
              <w:autoSpaceDE w:val="0"/>
              <w:autoSpaceDN w:val="0"/>
              <w:adjustRightInd w:val="0"/>
              <w:spacing w:line="360" w:lineRule="auto"/>
              <w:ind w:firstLine="480" w:firstLineChars="200"/>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式中：LP（r）—预测点处声压级，dB；</w:t>
            </w:r>
          </w:p>
          <w:p w14:paraId="523C0991">
            <w:pPr>
              <w:autoSpaceDE w:val="0"/>
              <w:autoSpaceDN w:val="0"/>
              <w:adjustRightInd w:val="0"/>
              <w:spacing w:line="360" w:lineRule="auto"/>
              <w:ind w:firstLine="1200" w:firstLineChars="500"/>
              <w:rPr>
                <w:rFonts w:hint="eastAsia"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rPr>
              <w:t>LP（r0）—参考位置r0处的声压级，dB；</w:t>
            </w:r>
          </w:p>
          <w:p w14:paraId="5F24ED93">
            <w:pPr>
              <w:autoSpaceDE w:val="0"/>
              <w:autoSpaceDN w:val="0"/>
              <w:adjustRightInd w:val="0"/>
              <w:spacing w:line="360" w:lineRule="auto"/>
              <w:ind w:firstLine="1200" w:firstLineChars="500"/>
              <w:rPr>
                <w:rFonts w:hint="eastAsia"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rPr>
              <w:t>r—预测点距声源距离，m；</w:t>
            </w:r>
          </w:p>
          <w:p w14:paraId="2966C292">
            <w:pPr>
              <w:keepNext w:val="0"/>
              <w:keepLines w:val="0"/>
              <w:pageBreakBefore w:val="0"/>
              <w:widowControl w:val="0"/>
              <w:kinsoku/>
              <w:wordWrap/>
              <w:overflowPunct/>
              <w:topLinePunct w:val="0"/>
              <w:autoSpaceDE w:val="0"/>
              <w:autoSpaceDN w:val="0"/>
              <w:bidi w:val="0"/>
              <w:adjustRightInd w:val="0"/>
              <w:snapToGrid/>
              <w:spacing w:line="360" w:lineRule="auto"/>
              <w:ind w:firstLine="1200" w:firstLineChars="500"/>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rPr>
              <w:t>r0—参考位置距声源的距离。</w:t>
            </w:r>
          </w:p>
          <w:p w14:paraId="4BB37415">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Times New Roman" w:hAnsi="Times New Roman" w:eastAsia="宋体" w:cs="Times New Roman"/>
                <w:color w:val="000000" w:themeColor="text1"/>
                <w:sz w:val="24"/>
                <w:lang w:val="en-US" w:eastAsia="zh-CN"/>
                <w14:textFill>
                  <w14:solidFill>
                    <w14:schemeClr w14:val="tx1"/>
                  </w14:solidFill>
                </w14:textFill>
              </w:rPr>
            </w:pPr>
            <w:r>
              <w:rPr>
                <w:rFonts w:hint="eastAsia" w:ascii="Times New Roman" w:hAnsi="Times New Roman" w:eastAsia="宋体" w:cs="Times New Roman"/>
                <w:color w:val="000000" w:themeColor="text1"/>
                <w:sz w:val="24"/>
                <w:lang w:val="en-US" w:eastAsia="zh-CN"/>
                <w14:textFill>
                  <w14:solidFill>
                    <w14:schemeClr w14:val="tx1"/>
                  </w14:solidFill>
                </w14:textFill>
              </w:rPr>
              <w:t>①厂界噪声预测结果与达标分析</w:t>
            </w:r>
          </w:p>
          <w:p w14:paraId="41BD04CE">
            <w:pPr>
              <w:widowControl w:val="0"/>
              <w:spacing w:line="360" w:lineRule="auto"/>
              <w:ind w:firstLine="480" w:firstLineChars="200"/>
              <w:jc w:val="both"/>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通过预测模型计算，项目厂界噪声预测结果</w:t>
            </w:r>
            <w:r>
              <w:rPr>
                <w:rFonts w:hint="eastAsia" w:ascii="宋体" w:hAnsi="宋体" w:eastAsia="宋体" w:cs="宋体"/>
                <w:color w:val="000000" w:themeColor="text1"/>
                <w:sz w:val="24"/>
                <w:szCs w:val="24"/>
                <w:lang w:val="en-US" w:eastAsia="zh-CN"/>
                <w14:textFill>
                  <w14:solidFill>
                    <w14:schemeClr w14:val="tx1"/>
                  </w14:solidFill>
                </w14:textFill>
              </w:rPr>
              <w:t>详</w:t>
            </w:r>
            <w:r>
              <w:rPr>
                <w:rFonts w:ascii="宋体" w:hAnsi="宋体" w:eastAsia="宋体" w:cs="宋体"/>
                <w:color w:val="000000" w:themeColor="text1"/>
                <w:sz w:val="24"/>
                <w:szCs w:val="24"/>
                <w14:textFill>
                  <w14:solidFill>
                    <w14:schemeClr w14:val="tx1"/>
                  </w14:solidFill>
                </w14:textFill>
              </w:rPr>
              <w:t>见下表</w:t>
            </w:r>
            <w:r>
              <w:rPr>
                <w:rFonts w:hint="eastAsia" w:ascii="宋体" w:hAnsi="宋体" w:eastAsia="宋体" w:cs="宋体"/>
                <w:color w:val="000000" w:themeColor="text1"/>
                <w:sz w:val="24"/>
                <w:szCs w:val="24"/>
                <w:lang w:eastAsia="zh-CN"/>
                <w14:textFill>
                  <w14:solidFill>
                    <w14:schemeClr w14:val="tx1"/>
                  </w14:solidFill>
                </w14:textFill>
              </w:rPr>
              <w:t>。</w:t>
            </w:r>
          </w:p>
          <w:p w14:paraId="557D5DB4">
            <w:pPr>
              <w:shd w:val="clear"/>
              <w:spacing w:line="240" w:lineRule="auto"/>
              <w:jc w:val="center"/>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b/>
                <w:bCs/>
                <w:color w:val="000000" w:themeColor="text1"/>
                <w:kern w:val="0"/>
                <w:sz w:val="21"/>
                <w:szCs w:val="21"/>
                <w:highlight w:val="none"/>
                <w14:textFill>
                  <w14:solidFill>
                    <w14:schemeClr w14:val="tx1"/>
                  </w14:solidFill>
                </w14:textFill>
              </w:rPr>
              <w:t>表</w:t>
            </w:r>
            <w:r>
              <w:rPr>
                <w:rFonts w:hint="eastAsia" w:ascii="Times New Roman" w:hAnsi="Times New Roman"/>
                <w:b/>
                <w:bCs/>
                <w:color w:val="000000" w:themeColor="text1"/>
                <w:kern w:val="0"/>
                <w:sz w:val="21"/>
                <w:szCs w:val="21"/>
                <w:highlight w:val="none"/>
                <w14:textFill>
                  <w14:solidFill>
                    <w14:schemeClr w14:val="tx1"/>
                  </w14:solidFill>
                </w14:textFill>
              </w:rPr>
              <w:t>4-</w:t>
            </w:r>
            <w:r>
              <w:rPr>
                <w:rFonts w:hint="eastAsia" w:ascii="Times New Roman" w:hAnsi="Times New Roman"/>
                <w:b/>
                <w:bCs/>
                <w:color w:val="000000" w:themeColor="text1"/>
                <w:kern w:val="0"/>
                <w:sz w:val="21"/>
                <w:szCs w:val="21"/>
                <w:highlight w:val="none"/>
                <w:lang w:val="en-US" w:eastAsia="zh-CN"/>
                <w14:textFill>
                  <w14:solidFill>
                    <w14:schemeClr w14:val="tx1"/>
                  </w14:solidFill>
                </w14:textFill>
              </w:rPr>
              <w:t>1</w:t>
            </w:r>
            <w:r>
              <w:rPr>
                <w:rFonts w:hint="eastAsia"/>
                <w:b/>
                <w:bCs/>
                <w:color w:val="000000" w:themeColor="text1"/>
                <w:kern w:val="0"/>
                <w:sz w:val="21"/>
                <w:szCs w:val="21"/>
                <w:highlight w:val="none"/>
                <w:lang w:val="en-US" w:eastAsia="zh-CN"/>
                <w14:textFill>
                  <w14:solidFill>
                    <w14:schemeClr w14:val="tx1"/>
                  </w14:solidFill>
                </w14:textFill>
              </w:rPr>
              <w:t>8</w:t>
            </w:r>
            <w:r>
              <w:rPr>
                <w:rFonts w:hint="eastAsia" w:ascii="Times New Roman" w:hAnsi="Times New Roman"/>
                <w:b/>
                <w:bCs/>
                <w:color w:val="000000" w:themeColor="text1"/>
                <w:kern w:val="0"/>
                <w:sz w:val="21"/>
                <w:szCs w:val="21"/>
                <w:highlight w:val="none"/>
                <w14:textFill>
                  <w14:solidFill>
                    <w14:schemeClr w14:val="tx1"/>
                  </w14:solidFill>
                </w14:textFill>
              </w:rPr>
              <w:t xml:space="preserve"> </w:t>
            </w:r>
            <w:r>
              <w:rPr>
                <w:rFonts w:hint="eastAsia" w:ascii="Times New Roman" w:hAnsi="Times New Roman"/>
                <w:b/>
                <w:bCs/>
                <w:color w:val="000000" w:themeColor="text1"/>
                <w:kern w:val="0"/>
                <w:sz w:val="21"/>
                <w:szCs w:val="21"/>
                <w:highlight w:val="none"/>
                <w:lang w:val="en-US" w:eastAsia="zh-CN"/>
                <w14:textFill>
                  <w14:solidFill>
                    <w14:schemeClr w14:val="tx1"/>
                  </w14:solidFill>
                </w14:textFill>
              </w:rPr>
              <w:t>厂界噪声预测结果一览表</w:t>
            </w:r>
            <w:r>
              <w:rPr>
                <w:rFonts w:hint="eastAsia" w:ascii="Times New Roman" w:hAnsi="Times New Roman"/>
                <w:b/>
                <w:bCs/>
                <w:color w:val="000000" w:themeColor="text1"/>
                <w:kern w:val="0"/>
                <w:sz w:val="21"/>
                <w:szCs w:val="21"/>
                <w:highlight w:val="none"/>
                <w14:textFill>
                  <w14:solidFill>
                    <w14:schemeClr w14:val="tx1"/>
                  </w14:solidFill>
                </w14:textFill>
              </w:rPr>
              <w:t>（单位：dB（A））</w:t>
            </w:r>
          </w:p>
          <w:tbl>
            <w:tblPr>
              <w:tblStyle w:val="41"/>
              <w:tblW w:w="4995"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56"/>
              <w:gridCol w:w="1940"/>
              <w:gridCol w:w="1974"/>
              <w:gridCol w:w="1662"/>
              <w:gridCol w:w="1575"/>
            </w:tblGrid>
            <w:tr w14:paraId="02C18A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78" w:type="pct"/>
                  <w:shd w:val="clear" w:color="auto" w:fill="DCE6F2"/>
                  <w:noWrap w:val="0"/>
                  <w:vAlign w:val="center"/>
                </w:tcPr>
                <w:p w14:paraId="7C805001">
                  <w:pPr>
                    <w:shd w:val="clear"/>
                    <w:adjustRightInd w:val="0"/>
                    <w:snapToGrid w:val="0"/>
                    <w:spacing w:line="280" w:lineRule="exact"/>
                    <w:jc w:val="center"/>
                    <w:rPr>
                      <w:rFonts w:hint="eastAsia" w:ascii="Times New Roman" w:hAnsi="Times New Roman" w:eastAsia="宋体" w:cs="Times New Roman"/>
                      <w:b/>
                      <w:bCs/>
                      <w:color w:val="000000" w:themeColor="text1"/>
                      <w:kern w:val="0"/>
                      <w:szCs w:val="2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kern w:val="0"/>
                      <w:szCs w:val="21"/>
                      <w:highlight w:val="none"/>
                      <w:lang w:val="en-US" w:eastAsia="zh-CN"/>
                      <w14:textFill>
                        <w14:solidFill>
                          <w14:schemeClr w14:val="tx1"/>
                        </w14:solidFill>
                      </w14:textFill>
                    </w:rPr>
                    <w:t>序号</w:t>
                  </w:r>
                </w:p>
              </w:tc>
              <w:tc>
                <w:tcPr>
                  <w:tcW w:w="1226" w:type="pct"/>
                  <w:shd w:val="clear" w:color="auto" w:fill="DCE6F2"/>
                  <w:noWrap w:val="0"/>
                  <w:vAlign w:val="center"/>
                </w:tcPr>
                <w:p w14:paraId="60EEDB52">
                  <w:pPr>
                    <w:shd w:val="clear"/>
                    <w:adjustRightInd w:val="0"/>
                    <w:snapToGrid w:val="0"/>
                    <w:spacing w:line="280" w:lineRule="exact"/>
                    <w:jc w:val="center"/>
                    <w:rPr>
                      <w:rFonts w:ascii="Times New Roman" w:hAnsi="Times New Roman"/>
                      <w:b/>
                      <w:bCs/>
                      <w:color w:val="000000" w:themeColor="text1"/>
                      <w:kern w:val="0"/>
                      <w:szCs w:val="21"/>
                      <w:highlight w:val="none"/>
                      <w14:textFill>
                        <w14:solidFill>
                          <w14:schemeClr w14:val="tx1"/>
                        </w14:solidFill>
                      </w14:textFill>
                    </w:rPr>
                  </w:pPr>
                  <w:r>
                    <w:rPr>
                      <w:rFonts w:hint="eastAsia" w:ascii="Times New Roman" w:hAnsi="Times New Roman"/>
                      <w:b/>
                      <w:bCs/>
                      <w:color w:val="000000" w:themeColor="text1"/>
                      <w:kern w:val="0"/>
                      <w:szCs w:val="21"/>
                      <w:highlight w:val="none"/>
                      <w14:textFill>
                        <w14:solidFill>
                          <w14:schemeClr w14:val="tx1"/>
                        </w14:solidFill>
                      </w14:textFill>
                    </w:rPr>
                    <w:t>预测点位置</w:t>
                  </w:r>
                </w:p>
              </w:tc>
              <w:tc>
                <w:tcPr>
                  <w:tcW w:w="1248" w:type="pct"/>
                  <w:shd w:val="clear" w:color="auto" w:fill="DCE6F2"/>
                  <w:noWrap w:val="0"/>
                  <w:vAlign w:val="center"/>
                </w:tcPr>
                <w:p w14:paraId="10EBEE99">
                  <w:pPr>
                    <w:shd w:val="clear"/>
                    <w:adjustRightInd w:val="0"/>
                    <w:snapToGrid w:val="0"/>
                    <w:spacing w:line="280" w:lineRule="exact"/>
                    <w:jc w:val="center"/>
                    <w:rPr>
                      <w:rFonts w:hint="default" w:ascii="Times New Roman" w:hAnsi="Times New Roman" w:eastAsia="宋体"/>
                      <w:b/>
                      <w:bCs/>
                      <w:color w:val="000000" w:themeColor="text1"/>
                      <w:kern w:val="0"/>
                      <w:szCs w:val="21"/>
                      <w:highlight w:val="none"/>
                      <w:lang w:val="en-US" w:eastAsia="zh-CN"/>
                      <w14:textFill>
                        <w14:solidFill>
                          <w14:schemeClr w14:val="tx1"/>
                        </w14:solidFill>
                      </w14:textFill>
                    </w:rPr>
                  </w:pPr>
                  <w:r>
                    <w:rPr>
                      <w:rFonts w:hint="eastAsia" w:ascii="Times New Roman" w:hAnsi="Times New Roman"/>
                      <w:b/>
                      <w:bCs/>
                      <w:color w:val="000000" w:themeColor="text1"/>
                      <w:kern w:val="0"/>
                      <w:szCs w:val="21"/>
                      <w:highlight w:val="none"/>
                      <w:lang w:val="en-US" w:eastAsia="zh-CN"/>
                      <w14:textFill>
                        <w14:solidFill>
                          <w14:schemeClr w14:val="tx1"/>
                        </w14:solidFill>
                      </w14:textFill>
                    </w:rPr>
                    <w:t>贡献值</w:t>
                  </w:r>
                </w:p>
              </w:tc>
              <w:tc>
                <w:tcPr>
                  <w:tcW w:w="1050" w:type="pct"/>
                  <w:shd w:val="clear" w:color="auto" w:fill="DCE6F2"/>
                  <w:noWrap w:val="0"/>
                  <w:vAlign w:val="center"/>
                </w:tcPr>
                <w:p w14:paraId="36C7B10E">
                  <w:pPr>
                    <w:shd w:val="clear"/>
                    <w:adjustRightInd w:val="0"/>
                    <w:snapToGrid w:val="0"/>
                    <w:spacing w:line="280" w:lineRule="exact"/>
                    <w:jc w:val="center"/>
                    <w:rPr>
                      <w:rFonts w:ascii="Times New Roman" w:hAnsi="Times New Roman"/>
                      <w:b/>
                      <w:bCs/>
                      <w:color w:val="000000" w:themeColor="text1"/>
                      <w:kern w:val="0"/>
                      <w:szCs w:val="21"/>
                      <w:highlight w:val="none"/>
                      <w14:textFill>
                        <w14:solidFill>
                          <w14:schemeClr w14:val="tx1"/>
                        </w14:solidFill>
                      </w14:textFill>
                    </w:rPr>
                  </w:pPr>
                  <w:r>
                    <w:rPr>
                      <w:rFonts w:hint="eastAsia" w:ascii="Times New Roman" w:hAnsi="Times New Roman"/>
                      <w:b/>
                      <w:bCs/>
                      <w:color w:val="000000" w:themeColor="text1"/>
                      <w:kern w:val="0"/>
                      <w:szCs w:val="21"/>
                      <w:highlight w:val="none"/>
                      <w14:textFill>
                        <w14:solidFill>
                          <w14:schemeClr w14:val="tx1"/>
                        </w14:solidFill>
                      </w14:textFill>
                    </w:rPr>
                    <w:t>标准值</w:t>
                  </w:r>
                </w:p>
              </w:tc>
              <w:tc>
                <w:tcPr>
                  <w:tcW w:w="995" w:type="pct"/>
                  <w:shd w:val="clear" w:color="auto" w:fill="DCE6F2"/>
                  <w:noWrap w:val="0"/>
                  <w:vAlign w:val="center"/>
                </w:tcPr>
                <w:p w14:paraId="39EB7B5E">
                  <w:pPr>
                    <w:shd w:val="clear"/>
                    <w:adjustRightInd w:val="0"/>
                    <w:snapToGrid w:val="0"/>
                    <w:spacing w:line="280" w:lineRule="exact"/>
                    <w:jc w:val="center"/>
                    <w:rPr>
                      <w:rFonts w:ascii="Times New Roman" w:hAnsi="Times New Roman"/>
                      <w:b/>
                      <w:bCs/>
                      <w:color w:val="000000" w:themeColor="text1"/>
                      <w:kern w:val="0"/>
                      <w:szCs w:val="21"/>
                      <w:highlight w:val="none"/>
                      <w14:textFill>
                        <w14:solidFill>
                          <w14:schemeClr w14:val="tx1"/>
                        </w14:solidFill>
                      </w14:textFill>
                    </w:rPr>
                  </w:pPr>
                  <w:r>
                    <w:rPr>
                      <w:rFonts w:hint="eastAsia" w:ascii="Times New Roman" w:hAnsi="Times New Roman"/>
                      <w:b/>
                      <w:bCs/>
                      <w:color w:val="000000" w:themeColor="text1"/>
                      <w:kern w:val="0"/>
                      <w:szCs w:val="21"/>
                      <w:highlight w:val="none"/>
                      <w14:textFill>
                        <w14:solidFill>
                          <w14:schemeClr w14:val="tx1"/>
                        </w14:solidFill>
                      </w14:textFill>
                    </w:rPr>
                    <w:t>是否达标</w:t>
                  </w:r>
                </w:p>
              </w:tc>
            </w:tr>
            <w:tr w14:paraId="12AA08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78" w:type="pct"/>
                  <w:vMerge w:val="restart"/>
                  <w:noWrap w:val="0"/>
                  <w:vAlign w:val="center"/>
                </w:tcPr>
                <w:p w14:paraId="0356C2B5">
                  <w:pPr>
                    <w:shd w:val="clear"/>
                    <w:adjustRightInd w:val="0"/>
                    <w:snapToGrid w:val="0"/>
                    <w:spacing w:line="280" w:lineRule="exact"/>
                    <w:jc w:val="center"/>
                    <w:rPr>
                      <w:rFonts w:hint="eastAsia" w:ascii="Times New Roman" w:hAnsi="Times New Roman" w:eastAsia="宋体"/>
                      <w:color w:val="000000" w:themeColor="text1"/>
                      <w:kern w:val="0"/>
                      <w:szCs w:val="21"/>
                      <w:highlight w:val="none"/>
                      <w:lang w:eastAsia="zh-CN"/>
                      <w14:textFill>
                        <w14:solidFill>
                          <w14:schemeClr w14:val="tx1"/>
                        </w14:solidFill>
                      </w14:textFill>
                    </w:rPr>
                  </w:pPr>
                  <w:r>
                    <w:rPr>
                      <w:rFonts w:hint="eastAsia" w:ascii="Times New Roman" w:hAnsi="Times New Roman"/>
                      <w:color w:val="000000" w:themeColor="text1"/>
                      <w:kern w:val="0"/>
                      <w:szCs w:val="21"/>
                      <w:highlight w:val="none"/>
                      <w:lang w:eastAsia="zh-CN"/>
                      <w14:textFill>
                        <w14:solidFill>
                          <w14:schemeClr w14:val="tx1"/>
                        </w14:solidFill>
                      </w14:textFill>
                    </w:rPr>
                    <w:t>1</w:t>
                  </w:r>
                </w:p>
              </w:tc>
              <w:tc>
                <w:tcPr>
                  <w:tcW w:w="1226" w:type="pct"/>
                  <w:vMerge w:val="restart"/>
                  <w:noWrap w:val="0"/>
                  <w:vAlign w:val="center"/>
                </w:tcPr>
                <w:p w14:paraId="08154B9E">
                  <w:pPr>
                    <w:shd w:val="clear"/>
                    <w:adjustRightInd w:val="0"/>
                    <w:snapToGrid w:val="0"/>
                    <w:spacing w:line="280" w:lineRule="exact"/>
                    <w:jc w:val="center"/>
                    <w:rPr>
                      <w:rFonts w:hint="default" w:ascii="Times New Roman" w:hAnsi="Times New Roman"/>
                      <w:color w:val="000000" w:themeColor="text1"/>
                      <w:kern w:val="0"/>
                      <w:szCs w:val="21"/>
                      <w:highlight w:val="none"/>
                      <w:lang w:val="en-US"/>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东厂界</w:t>
                  </w:r>
                </w:p>
              </w:tc>
              <w:tc>
                <w:tcPr>
                  <w:tcW w:w="1248" w:type="pct"/>
                  <w:vMerge w:val="restart"/>
                  <w:noWrap w:val="0"/>
                  <w:vAlign w:val="center"/>
                </w:tcPr>
                <w:p w14:paraId="224F1264">
                  <w:pPr>
                    <w:shd w:val="clear"/>
                    <w:adjustRightInd w:val="0"/>
                    <w:snapToGrid w:val="0"/>
                    <w:spacing w:line="280" w:lineRule="exact"/>
                    <w:jc w:val="center"/>
                    <w:rPr>
                      <w:rFonts w:hint="default" w:ascii="Times New Roman" w:hAnsi="Times New Roman"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47</w:t>
                  </w:r>
                </w:p>
              </w:tc>
              <w:tc>
                <w:tcPr>
                  <w:tcW w:w="1050" w:type="pct"/>
                  <w:noWrap w:val="0"/>
                  <w:vAlign w:val="center"/>
                </w:tcPr>
                <w:p w14:paraId="06EAD001">
                  <w:pPr>
                    <w:shd w:val="clear"/>
                    <w:adjustRightInd w:val="0"/>
                    <w:snapToGrid w:val="0"/>
                    <w:spacing w:line="280" w:lineRule="exact"/>
                    <w:jc w:val="center"/>
                    <w:rPr>
                      <w:rFonts w:ascii="Times New Roman" w:hAnsi="Times New Roman"/>
                      <w:color w:val="000000" w:themeColor="text1"/>
                      <w:kern w:val="0"/>
                      <w:szCs w:val="21"/>
                      <w:highlight w:val="none"/>
                      <w14:textFill>
                        <w14:solidFill>
                          <w14:schemeClr w14:val="tx1"/>
                        </w14:solidFill>
                      </w14:textFill>
                    </w:rPr>
                  </w:pPr>
                  <w:r>
                    <w:rPr>
                      <w:rFonts w:hint="eastAsia" w:ascii="Times New Roman" w:hAnsi="Times New Roman"/>
                      <w:color w:val="000000" w:themeColor="text1"/>
                      <w:kern w:val="0"/>
                      <w:szCs w:val="21"/>
                      <w:highlight w:val="none"/>
                      <w14:textFill>
                        <w14:solidFill>
                          <w14:schemeClr w14:val="tx1"/>
                        </w14:solidFill>
                      </w14:textFill>
                    </w:rPr>
                    <w:t>昼间65</w:t>
                  </w:r>
                </w:p>
              </w:tc>
              <w:tc>
                <w:tcPr>
                  <w:tcW w:w="995" w:type="pct"/>
                  <w:noWrap w:val="0"/>
                  <w:vAlign w:val="center"/>
                </w:tcPr>
                <w:p w14:paraId="70E67747">
                  <w:pPr>
                    <w:shd w:val="clear"/>
                    <w:adjustRightInd w:val="0"/>
                    <w:snapToGrid w:val="0"/>
                    <w:spacing w:line="280" w:lineRule="exact"/>
                    <w:jc w:val="center"/>
                    <w:rPr>
                      <w:rFonts w:ascii="Times New Roman" w:hAnsi="Times New Roman"/>
                      <w:color w:val="000000" w:themeColor="text1"/>
                      <w:kern w:val="0"/>
                      <w:szCs w:val="21"/>
                      <w:highlight w:val="none"/>
                      <w14:textFill>
                        <w14:solidFill>
                          <w14:schemeClr w14:val="tx1"/>
                        </w14:solidFill>
                      </w14:textFill>
                    </w:rPr>
                  </w:pPr>
                  <w:r>
                    <w:rPr>
                      <w:rFonts w:hint="eastAsia" w:ascii="Times New Roman" w:hAnsi="Times New Roman"/>
                      <w:color w:val="000000" w:themeColor="text1"/>
                      <w:kern w:val="0"/>
                      <w:szCs w:val="21"/>
                      <w:highlight w:val="none"/>
                      <w14:textFill>
                        <w14:solidFill>
                          <w14:schemeClr w14:val="tx1"/>
                        </w14:solidFill>
                      </w14:textFill>
                    </w:rPr>
                    <w:t>达标</w:t>
                  </w:r>
                </w:p>
              </w:tc>
            </w:tr>
            <w:tr w14:paraId="5DA4F2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78" w:type="pct"/>
                  <w:vMerge w:val="continue"/>
                  <w:noWrap w:val="0"/>
                  <w:vAlign w:val="center"/>
                </w:tcPr>
                <w:p w14:paraId="11D6CFB2">
                  <w:pPr>
                    <w:shd w:val="clear"/>
                    <w:adjustRightInd w:val="0"/>
                    <w:snapToGrid w:val="0"/>
                    <w:spacing w:line="280" w:lineRule="exact"/>
                    <w:jc w:val="center"/>
                    <w:rPr>
                      <w:rFonts w:hint="eastAsia" w:ascii="Times New Roman" w:hAnsi="Times New Roman"/>
                      <w:color w:val="000000" w:themeColor="text1"/>
                      <w:kern w:val="0"/>
                      <w:szCs w:val="21"/>
                      <w:highlight w:val="none"/>
                      <w14:textFill>
                        <w14:solidFill>
                          <w14:schemeClr w14:val="tx1"/>
                        </w14:solidFill>
                      </w14:textFill>
                    </w:rPr>
                  </w:pPr>
                </w:p>
              </w:tc>
              <w:tc>
                <w:tcPr>
                  <w:tcW w:w="1226" w:type="pct"/>
                  <w:vMerge w:val="continue"/>
                  <w:noWrap w:val="0"/>
                  <w:vAlign w:val="center"/>
                </w:tcPr>
                <w:p w14:paraId="586C1D36">
                  <w:pPr>
                    <w:shd w:val="clear"/>
                    <w:adjustRightInd w:val="0"/>
                    <w:snapToGrid w:val="0"/>
                    <w:spacing w:line="280" w:lineRule="exact"/>
                    <w:jc w:val="center"/>
                    <w:rPr>
                      <w:rFonts w:hint="eastAsia" w:ascii="Times New Roman" w:hAnsi="Times New Roman"/>
                      <w:color w:val="000000" w:themeColor="text1"/>
                      <w:kern w:val="0"/>
                      <w:szCs w:val="21"/>
                      <w:highlight w:val="none"/>
                      <w14:textFill>
                        <w14:solidFill>
                          <w14:schemeClr w14:val="tx1"/>
                        </w14:solidFill>
                      </w14:textFill>
                    </w:rPr>
                  </w:pPr>
                </w:p>
              </w:tc>
              <w:tc>
                <w:tcPr>
                  <w:tcW w:w="1248" w:type="pct"/>
                  <w:vMerge w:val="continue"/>
                  <w:noWrap w:val="0"/>
                  <w:vAlign w:val="center"/>
                </w:tcPr>
                <w:p w14:paraId="7D5E2A1D">
                  <w:pPr>
                    <w:shd w:val="clear"/>
                    <w:adjustRightInd w:val="0"/>
                    <w:snapToGrid w:val="0"/>
                    <w:spacing w:line="280" w:lineRule="exact"/>
                    <w:jc w:val="center"/>
                    <w:rPr>
                      <w:rFonts w:hint="eastAsia" w:ascii="Times New Roman" w:hAnsi="Times New Roman"/>
                      <w:color w:val="000000" w:themeColor="text1"/>
                      <w:szCs w:val="21"/>
                      <w:highlight w:val="none"/>
                      <w:lang w:val="en-US" w:eastAsia="zh-CN"/>
                      <w14:textFill>
                        <w14:solidFill>
                          <w14:schemeClr w14:val="tx1"/>
                        </w14:solidFill>
                      </w14:textFill>
                    </w:rPr>
                  </w:pPr>
                </w:p>
              </w:tc>
              <w:tc>
                <w:tcPr>
                  <w:tcW w:w="1050" w:type="pct"/>
                  <w:noWrap w:val="0"/>
                  <w:vAlign w:val="center"/>
                </w:tcPr>
                <w:p w14:paraId="30D4A8AA">
                  <w:pPr>
                    <w:shd w:val="clear"/>
                    <w:adjustRightInd w:val="0"/>
                    <w:snapToGrid w:val="0"/>
                    <w:spacing w:line="280" w:lineRule="exact"/>
                    <w:jc w:val="center"/>
                    <w:rPr>
                      <w:rFonts w:ascii="Times New Roman" w:hAnsi="Times New Roman"/>
                      <w:color w:val="000000" w:themeColor="text1"/>
                      <w:kern w:val="0"/>
                      <w:szCs w:val="21"/>
                      <w:highlight w:val="none"/>
                      <w14:textFill>
                        <w14:solidFill>
                          <w14:schemeClr w14:val="tx1"/>
                        </w14:solidFill>
                      </w14:textFill>
                    </w:rPr>
                  </w:pPr>
                  <w:r>
                    <w:rPr>
                      <w:rFonts w:hint="eastAsia" w:ascii="Times New Roman" w:hAnsi="Times New Roman"/>
                      <w:color w:val="000000" w:themeColor="text1"/>
                      <w:kern w:val="0"/>
                      <w:szCs w:val="21"/>
                      <w:highlight w:val="none"/>
                      <w:lang w:val="en-US" w:eastAsia="zh-CN"/>
                      <w14:textFill>
                        <w14:solidFill>
                          <w14:schemeClr w14:val="tx1"/>
                        </w14:solidFill>
                      </w14:textFill>
                    </w:rPr>
                    <w:t>夜间5</w:t>
                  </w:r>
                  <w:r>
                    <w:rPr>
                      <w:rFonts w:hint="eastAsia" w:ascii="Times New Roman" w:hAnsi="Times New Roman"/>
                      <w:color w:val="000000" w:themeColor="text1"/>
                      <w:kern w:val="0"/>
                      <w:szCs w:val="21"/>
                      <w:highlight w:val="none"/>
                      <w14:textFill>
                        <w14:solidFill>
                          <w14:schemeClr w14:val="tx1"/>
                        </w14:solidFill>
                      </w14:textFill>
                    </w:rPr>
                    <w:t>5</w:t>
                  </w:r>
                </w:p>
              </w:tc>
              <w:tc>
                <w:tcPr>
                  <w:tcW w:w="995" w:type="pct"/>
                  <w:noWrap w:val="0"/>
                  <w:vAlign w:val="center"/>
                </w:tcPr>
                <w:p w14:paraId="6273B0F7">
                  <w:pPr>
                    <w:shd w:val="clear"/>
                    <w:adjustRightInd w:val="0"/>
                    <w:snapToGrid w:val="0"/>
                    <w:spacing w:line="280" w:lineRule="exact"/>
                    <w:jc w:val="center"/>
                    <w:rPr>
                      <w:rFonts w:hint="eastAsia" w:ascii="Times New Roman" w:hAnsi="Times New Roman"/>
                      <w:color w:val="000000" w:themeColor="text1"/>
                      <w:kern w:val="0"/>
                      <w:szCs w:val="21"/>
                      <w:highlight w:val="none"/>
                      <w14:textFill>
                        <w14:solidFill>
                          <w14:schemeClr w14:val="tx1"/>
                        </w14:solidFill>
                      </w14:textFill>
                    </w:rPr>
                  </w:pPr>
                  <w:r>
                    <w:rPr>
                      <w:rFonts w:hint="eastAsia" w:ascii="Times New Roman" w:hAnsi="Times New Roman"/>
                      <w:color w:val="000000" w:themeColor="text1"/>
                      <w:kern w:val="0"/>
                      <w:szCs w:val="21"/>
                      <w:highlight w:val="none"/>
                      <w14:textFill>
                        <w14:solidFill>
                          <w14:schemeClr w14:val="tx1"/>
                        </w14:solidFill>
                      </w14:textFill>
                    </w:rPr>
                    <w:t>达标</w:t>
                  </w:r>
                </w:p>
              </w:tc>
            </w:tr>
            <w:tr w14:paraId="35845A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78" w:type="pct"/>
                  <w:vMerge w:val="restart"/>
                  <w:noWrap w:val="0"/>
                  <w:vAlign w:val="center"/>
                </w:tcPr>
                <w:p w14:paraId="50517F70">
                  <w:pPr>
                    <w:shd w:val="clear"/>
                    <w:adjustRightInd w:val="0"/>
                    <w:snapToGrid w:val="0"/>
                    <w:spacing w:line="280" w:lineRule="exact"/>
                    <w:jc w:val="center"/>
                    <w:rPr>
                      <w:rFonts w:hint="eastAsia" w:ascii="Times New Roman" w:hAnsi="Times New Roman"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2</w:t>
                  </w:r>
                </w:p>
              </w:tc>
              <w:tc>
                <w:tcPr>
                  <w:tcW w:w="1226" w:type="pct"/>
                  <w:vMerge w:val="restart"/>
                  <w:noWrap w:val="0"/>
                  <w:vAlign w:val="center"/>
                </w:tcPr>
                <w:p w14:paraId="3FCB0B75">
                  <w:pPr>
                    <w:shd w:val="clear"/>
                    <w:adjustRightInd w:val="0"/>
                    <w:snapToGrid w:val="0"/>
                    <w:spacing w:line="280" w:lineRule="exact"/>
                    <w:jc w:val="center"/>
                    <w:rPr>
                      <w:rFonts w:hint="default" w:ascii="Times New Roman" w:hAnsi="Times New Roman"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南厂界</w:t>
                  </w:r>
                </w:p>
              </w:tc>
              <w:tc>
                <w:tcPr>
                  <w:tcW w:w="1248" w:type="pct"/>
                  <w:vMerge w:val="restart"/>
                  <w:noWrap w:val="0"/>
                  <w:vAlign w:val="center"/>
                </w:tcPr>
                <w:p w14:paraId="4C0861A4">
                  <w:pPr>
                    <w:shd w:val="clear"/>
                    <w:adjustRightInd w:val="0"/>
                    <w:snapToGrid w:val="0"/>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51.7</w:t>
                  </w:r>
                </w:p>
              </w:tc>
              <w:tc>
                <w:tcPr>
                  <w:tcW w:w="1662" w:type="dxa"/>
                  <w:noWrap w:val="0"/>
                  <w:vAlign w:val="center"/>
                </w:tcPr>
                <w:p w14:paraId="7A60D9D9">
                  <w:pPr>
                    <w:shd w:val="clear"/>
                    <w:adjustRightInd w:val="0"/>
                    <w:snapToGrid w:val="0"/>
                    <w:spacing w:line="280" w:lineRule="exact"/>
                    <w:jc w:val="center"/>
                    <w:rPr>
                      <w:rFonts w:hint="eastAsia" w:ascii="Times New Roman" w:hAnsi="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color w:val="000000" w:themeColor="text1"/>
                      <w:kern w:val="0"/>
                      <w:szCs w:val="21"/>
                      <w:highlight w:val="none"/>
                      <w14:textFill>
                        <w14:solidFill>
                          <w14:schemeClr w14:val="tx1"/>
                        </w14:solidFill>
                      </w14:textFill>
                    </w:rPr>
                    <w:t>昼间65</w:t>
                  </w:r>
                </w:p>
              </w:tc>
              <w:tc>
                <w:tcPr>
                  <w:tcW w:w="1575" w:type="dxa"/>
                  <w:noWrap w:val="0"/>
                  <w:vAlign w:val="center"/>
                </w:tcPr>
                <w:p w14:paraId="3574832F">
                  <w:pPr>
                    <w:shd w:val="clear"/>
                    <w:adjustRightInd w:val="0"/>
                    <w:snapToGrid w:val="0"/>
                    <w:spacing w:line="280" w:lineRule="exact"/>
                    <w:jc w:val="center"/>
                    <w:rPr>
                      <w:rFonts w:hint="eastAsia" w:ascii="Times New Roman" w:hAnsi="Times New Roman"/>
                      <w:color w:val="000000" w:themeColor="text1"/>
                      <w:kern w:val="0"/>
                      <w:szCs w:val="21"/>
                      <w:highlight w:val="none"/>
                      <w14:textFill>
                        <w14:solidFill>
                          <w14:schemeClr w14:val="tx1"/>
                        </w14:solidFill>
                      </w14:textFill>
                    </w:rPr>
                  </w:pPr>
                  <w:r>
                    <w:rPr>
                      <w:rFonts w:hint="eastAsia" w:ascii="Times New Roman" w:hAnsi="Times New Roman"/>
                      <w:color w:val="000000" w:themeColor="text1"/>
                      <w:kern w:val="0"/>
                      <w:szCs w:val="21"/>
                      <w:highlight w:val="none"/>
                      <w14:textFill>
                        <w14:solidFill>
                          <w14:schemeClr w14:val="tx1"/>
                        </w14:solidFill>
                      </w14:textFill>
                    </w:rPr>
                    <w:t>达标</w:t>
                  </w:r>
                </w:p>
              </w:tc>
            </w:tr>
            <w:tr w14:paraId="61FCF5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78" w:type="pct"/>
                  <w:vMerge w:val="continue"/>
                  <w:noWrap w:val="0"/>
                  <w:vAlign w:val="center"/>
                </w:tcPr>
                <w:p w14:paraId="59533717">
                  <w:pPr>
                    <w:shd w:val="clear"/>
                    <w:adjustRightInd w:val="0"/>
                    <w:snapToGrid w:val="0"/>
                    <w:spacing w:line="280" w:lineRule="exact"/>
                    <w:jc w:val="center"/>
                    <w:rPr>
                      <w:rFonts w:hint="eastAsia" w:ascii="Times New Roman" w:hAnsi="Times New Roman"/>
                      <w:color w:val="000000" w:themeColor="text1"/>
                      <w:kern w:val="0"/>
                      <w:szCs w:val="21"/>
                      <w:highlight w:val="none"/>
                      <w14:textFill>
                        <w14:solidFill>
                          <w14:schemeClr w14:val="tx1"/>
                        </w14:solidFill>
                      </w14:textFill>
                    </w:rPr>
                  </w:pPr>
                </w:p>
              </w:tc>
              <w:tc>
                <w:tcPr>
                  <w:tcW w:w="1226" w:type="pct"/>
                  <w:vMerge w:val="continue"/>
                  <w:noWrap w:val="0"/>
                  <w:vAlign w:val="center"/>
                </w:tcPr>
                <w:p w14:paraId="035D2666">
                  <w:pPr>
                    <w:shd w:val="clear"/>
                    <w:adjustRightInd w:val="0"/>
                    <w:snapToGrid w:val="0"/>
                    <w:spacing w:line="280" w:lineRule="exact"/>
                    <w:jc w:val="center"/>
                    <w:rPr>
                      <w:rFonts w:hint="eastAsia" w:ascii="Times New Roman" w:hAnsi="Times New Roman"/>
                      <w:color w:val="000000" w:themeColor="text1"/>
                      <w:kern w:val="0"/>
                      <w:szCs w:val="21"/>
                      <w:highlight w:val="none"/>
                      <w14:textFill>
                        <w14:solidFill>
                          <w14:schemeClr w14:val="tx1"/>
                        </w14:solidFill>
                      </w14:textFill>
                    </w:rPr>
                  </w:pPr>
                </w:p>
              </w:tc>
              <w:tc>
                <w:tcPr>
                  <w:tcW w:w="1248" w:type="pct"/>
                  <w:vMerge w:val="continue"/>
                  <w:noWrap w:val="0"/>
                  <w:vAlign w:val="center"/>
                </w:tcPr>
                <w:p w14:paraId="07C71684">
                  <w:pPr>
                    <w:shd w:val="clear"/>
                    <w:adjustRightInd w:val="0"/>
                    <w:snapToGrid w:val="0"/>
                    <w:spacing w:line="280" w:lineRule="exact"/>
                    <w:jc w:val="center"/>
                    <w:rPr>
                      <w:rFonts w:hint="eastAsia" w:ascii="Times New Roman" w:hAnsi="Times New Roman"/>
                      <w:color w:val="000000" w:themeColor="text1"/>
                      <w:szCs w:val="21"/>
                      <w:highlight w:val="none"/>
                      <w:lang w:val="en-US" w:eastAsia="zh-CN"/>
                      <w14:textFill>
                        <w14:solidFill>
                          <w14:schemeClr w14:val="tx1"/>
                        </w14:solidFill>
                      </w14:textFill>
                    </w:rPr>
                  </w:pPr>
                </w:p>
              </w:tc>
              <w:tc>
                <w:tcPr>
                  <w:tcW w:w="1662" w:type="dxa"/>
                  <w:noWrap w:val="0"/>
                  <w:vAlign w:val="center"/>
                </w:tcPr>
                <w:p w14:paraId="550B398C">
                  <w:pPr>
                    <w:shd w:val="clear"/>
                    <w:adjustRightInd w:val="0"/>
                    <w:snapToGrid w:val="0"/>
                    <w:spacing w:line="280" w:lineRule="exact"/>
                    <w:jc w:val="center"/>
                    <w:rPr>
                      <w:rFonts w:hint="eastAsia" w:ascii="Times New Roman" w:hAnsi="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color w:val="000000" w:themeColor="text1"/>
                      <w:kern w:val="0"/>
                      <w:szCs w:val="21"/>
                      <w:highlight w:val="none"/>
                      <w:lang w:val="en-US" w:eastAsia="zh-CN"/>
                      <w14:textFill>
                        <w14:solidFill>
                          <w14:schemeClr w14:val="tx1"/>
                        </w14:solidFill>
                      </w14:textFill>
                    </w:rPr>
                    <w:t>夜间5</w:t>
                  </w:r>
                  <w:r>
                    <w:rPr>
                      <w:rFonts w:hint="eastAsia" w:ascii="Times New Roman" w:hAnsi="Times New Roman"/>
                      <w:color w:val="000000" w:themeColor="text1"/>
                      <w:kern w:val="0"/>
                      <w:szCs w:val="21"/>
                      <w:highlight w:val="none"/>
                      <w14:textFill>
                        <w14:solidFill>
                          <w14:schemeClr w14:val="tx1"/>
                        </w14:solidFill>
                      </w14:textFill>
                    </w:rPr>
                    <w:t>5</w:t>
                  </w:r>
                </w:p>
              </w:tc>
              <w:tc>
                <w:tcPr>
                  <w:tcW w:w="1575" w:type="dxa"/>
                  <w:noWrap w:val="0"/>
                  <w:vAlign w:val="center"/>
                </w:tcPr>
                <w:p w14:paraId="012B37AD">
                  <w:pPr>
                    <w:shd w:val="clear"/>
                    <w:adjustRightInd w:val="0"/>
                    <w:snapToGrid w:val="0"/>
                    <w:spacing w:line="280" w:lineRule="exact"/>
                    <w:jc w:val="center"/>
                    <w:rPr>
                      <w:rFonts w:hint="eastAsia" w:ascii="Times New Roman" w:hAnsi="Times New Roman"/>
                      <w:color w:val="000000" w:themeColor="text1"/>
                      <w:kern w:val="0"/>
                      <w:szCs w:val="21"/>
                      <w:highlight w:val="none"/>
                      <w14:textFill>
                        <w14:solidFill>
                          <w14:schemeClr w14:val="tx1"/>
                        </w14:solidFill>
                      </w14:textFill>
                    </w:rPr>
                  </w:pPr>
                  <w:r>
                    <w:rPr>
                      <w:rFonts w:hint="eastAsia" w:ascii="Times New Roman" w:hAnsi="Times New Roman"/>
                      <w:color w:val="000000" w:themeColor="text1"/>
                      <w:kern w:val="0"/>
                      <w:szCs w:val="21"/>
                      <w:highlight w:val="none"/>
                      <w14:textFill>
                        <w14:solidFill>
                          <w14:schemeClr w14:val="tx1"/>
                        </w14:solidFill>
                      </w14:textFill>
                    </w:rPr>
                    <w:t>达标</w:t>
                  </w:r>
                </w:p>
              </w:tc>
            </w:tr>
            <w:tr w14:paraId="744D54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78" w:type="pct"/>
                  <w:vMerge w:val="restart"/>
                  <w:noWrap w:val="0"/>
                  <w:vAlign w:val="center"/>
                </w:tcPr>
                <w:p w14:paraId="6C47D5EA">
                  <w:pPr>
                    <w:shd w:val="clear"/>
                    <w:adjustRightInd w:val="0"/>
                    <w:snapToGrid w:val="0"/>
                    <w:spacing w:line="280" w:lineRule="exact"/>
                    <w:jc w:val="center"/>
                    <w:rPr>
                      <w:rFonts w:hint="eastAsia" w:ascii="Times New Roman" w:hAnsi="Times New Roman"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3</w:t>
                  </w:r>
                </w:p>
              </w:tc>
              <w:tc>
                <w:tcPr>
                  <w:tcW w:w="1226" w:type="pct"/>
                  <w:vMerge w:val="restart"/>
                  <w:noWrap w:val="0"/>
                  <w:vAlign w:val="center"/>
                </w:tcPr>
                <w:p w14:paraId="3CD86173">
                  <w:pPr>
                    <w:shd w:val="clear"/>
                    <w:adjustRightInd w:val="0"/>
                    <w:snapToGrid w:val="0"/>
                    <w:spacing w:line="280" w:lineRule="exact"/>
                    <w:jc w:val="center"/>
                    <w:rPr>
                      <w:rFonts w:hint="eastAsia" w:ascii="Times New Roman" w:hAnsi="Times New Roman"/>
                      <w:color w:val="000000" w:themeColor="text1"/>
                      <w:kern w:val="0"/>
                      <w:szCs w:val="21"/>
                      <w:highlight w:val="none"/>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西厂界</w:t>
                  </w:r>
                </w:p>
              </w:tc>
              <w:tc>
                <w:tcPr>
                  <w:tcW w:w="1248" w:type="pct"/>
                  <w:vMerge w:val="restart"/>
                  <w:noWrap w:val="0"/>
                  <w:vAlign w:val="center"/>
                </w:tcPr>
                <w:p w14:paraId="7534F2B0">
                  <w:pPr>
                    <w:shd w:val="clear"/>
                    <w:adjustRightInd w:val="0"/>
                    <w:snapToGrid w:val="0"/>
                    <w:spacing w:line="280" w:lineRule="exact"/>
                    <w:jc w:val="center"/>
                    <w:rPr>
                      <w:rFonts w:hint="default" w:ascii="Times New Roman" w:hAnsi="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30.6</w:t>
                  </w:r>
                </w:p>
              </w:tc>
              <w:tc>
                <w:tcPr>
                  <w:tcW w:w="1662" w:type="dxa"/>
                  <w:noWrap w:val="0"/>
                  <w:vAlign w:val="center"/>
                </w:tcPr>
                <w:p w14:paraId="3CE3711A">
                  <w:pPr>
                    <w:shd w:val="clear"/>
                    <w:adjustRightInd w:val="0"/>
                    <w:snapToGrid w:val="0"/>
                    <w:spacing w:line="280" w:lineRule="exact"/>
                    <w:jc w:val="center"/>
                    <w:rPr>
                      <w:rFonts w:hint="eastAsia" w:ascii="Times New Roman" w:hAnsi="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color w:val="000000" w:themeColor="text1"/>
                      <w:kern w:val="0"/>
                      <w:szCs w:val="21"/>
                      <w:highlight w:val="none"/>
                      <w14:textFill>
                        <w14:solidFill>
                          <w14:schemeClr w14:val="tx1"/>
                        </w14:solidFill>
                      </w14:textFill>
                    </w:rPr>
                    <w:t>昼间65</w:t>
                  </w:r>
                </w:p>
              </w:tc>
              <w:tc>
                <w:tcPr>
                  <w:tcW w:w="1575" w:type="dxa"/>
                  <w:noWrap w:val="0"/>
                  <w:vAlign w:val="center"/>
                </w:tcPr>
                <w:p w14:paraId="0CE09D7D">
                  <w:pPr>
                    <w:shd w:val="clear"/>
                    <w:adjustRightInd w:val="0"/>
                    <w:snapToGrid w:val="0"/>
                    <w:spacing w:line="280" w:lineRule="exact"/>
                    <w:jc w:val="center"/>
                    <w:rPr>
                      <w:rFonts w:hint="eastAsia" w:ascii="Times New Roman" w:hAnsi="Times New Roman"/>
                      <w:color w:val="000000" w:themeColor="text1"/>
                      <w:kern w:val="0"/>
                      <w:szCs w:val="21"/>
                      <w:highlight w:val="none"/>
                      <w14:textFill>
                        <w14:solidFill>
                          <w14:schemeClr w14:val="tx1"/>
                        </w14:solidFill>
                      </w14:textFill>
                    </w:rPr>
                  </w:pPr>
                  <w:r>
                    <w:rPr>
                      <w:rFonts w:hint="eastAsia" w:ascii="Times New Roman" w:hAnsi="Times New Roman"/>
                      <w:color w:val="000000" w:themeColor="text1"/>
                      <w:kern w:val="0"/>
                      <w:szCs w:val="21"/>
                      <w:highlight w:val="none"/>
                      <w14:textFill>
                        <w14:solidFill>
                          <w14:schemeClr w14:val="tx1"/>
                        </w14:solidFill>
                      </w14:textFill>
                    </w:rPr>
                    <w:t>达标</w:t>
                  </w:r>
                </w:p>
              </w:tc>
            </w:tr>
            <w:tr w14:paraId="773013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78" w:type="pct"/>
                  <w:vMerge w:val="continue"/>
                  <w:noWrap w:val="0"/>
                  <w:vAlign w:val="center"/>
                </w:tcPr>
                <w:p w14:paraId="41B515A3">
                  <w:pPr>
                    <w:shd w:val="clear"/>
                    <w:adjustRightInd w:val="0"/>
                    <w:snapToGrid w:val="0"/>
                    <w:spacing w:line="280" w:lineRule="exact"/>
                    <w:jc w:val="center"/>
                    <w:rPr>
                      <w:rFonts w:hint="eastAsia" w:ascii="Times New Roman" w:hAnsi="Times New Roman"/>
                      <w:color w:val="000000" w:themeColor="text1"/>
                      <w:kern w:val="0"/>
                      <w:szCs w:val="21"/>
                      <w:highlight w:val="none"/>
                      <w14:textFill>
                        <w14:solidFill>
                          <w14:schemeClr w14:val="tx1"/>
                        </w14:solidFill>
                      </w14:textFill>
                    </w:rPr>
                  </w:pPr>
                </w:p>
              </w:tc>
              <w:tc>
                <w:tcPr>
                  <w:tcW w:w="1226" w:type="pct"/>
                  <w:vMerge w:val="continue"/>
                  <w:noWrap w:val="0"/>
                  <w:vAlign w:val="center"/>
                </w:tcPr>
                <w:p w14:paraId="5545C9AD">
                  <w:pPr>
                    <w:shd w:val="clear"/>
                    <w:adjustRightInd w:val="0"/>
                    <w:snapToGrid w:val="0"/>
                    <w:spacing w:line="280" w:lineRule="exact"/>
                    <w:jc w:val="center"/>
                    <w:rPr>
                      <w:rFonts w:hint="eastAsia" w:ascii="Times New Roman" w:hAnsi="Times New Roman"/>
                      <w:color w:val="000000" w:themeColor="text1"/>
                      <w:kern w:val="0"/>
                      <w:szCs w:val="21"/>
                      <w:highlight w:val="none"/>
                      <w14:textFill>
                        <w14:solidFill>
                          <w14:schemeClr w14:val="tx1"/>
                        </w14:solidFill>
                      </w14:textFill>
                    </w:rPr>
                  </w:pPr>
                </w:p>
              </w:tc>
              <w:tc>
                <w:tcPr>
                  <w:tcW w:w="1248" w:type="pct"/>
                  <w:vMerge w:val="continue"/>
                  <w:noWrap w:val="0"/>
                  <w:vAlign w:val="center"/>
                </w:tcPr>
                <w:p w14:paraId="7FB2F4B2">
                  <w:pPr>
                    <w:shd w:val="clear"/>
                    <w:adjustRightInd w:val="0"/>
                    <w:snapToGrid w:val="0"/>
                    <w:spacing w:line="280" w:lineRule="exact"/>
                    <w:jc w:val="center"/>
                    <w:rPr>
                      <w:rFonts w:hint="eastAsia" w:ascii="Times New Roman" w:hAnsi="Times New Roman"/>
                      <w:color w:val="000000" w:themeColor="text1"/>
                      <w:szCs w:val="21"/>
                      <w:highlight w:val="none"/>
                      <w:lang w:val="en-US" w:eastAsia="zh-CN"/>
                      <w14:textFill>
                        <w14:solidFill>
                          <w14:schemeClr w14:val="tx1"/>
                        </w14:solidFill>
                      </w14:textFill>
                    </w:rPr>
                  </w:pPr>
                </w:p>
              </w:tc>
              <w:tc>
                <w:tcPr>
                  <w:tcW w:w="1662" w:type="dxa"/>
                  <w:noWrap w:val="0"/>
                  <w:vAlign w:val="center"/>
                </w:tcPr>
                <w:p w14:paraId="7964E998">
                  <w:pPr>
                    <w:shd w:val="clear"/>
                    <w:adjustRightInd w:val="0"/>
                    <w:snapToGrid w:val="0"/>
                    <w:spacing w:line="280" w:lineRule="exact"/>
                    <w:jc w:val="center"/>
                    <w:rPr>
                      <w:rFonts w:hint="eastAsia" w:ascii="Times New Roman" w:hAnsi="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color w:val="000000" w:themeColor="text1"/>
                      <w:kern w:val="0"/>
                      <w:szCs w:val="21"/>
                      <w:highlight w:val="none"/>
                      <w:lang w:val="en-US" w:eastAsia="zh-CN"/>
                      <w14:textFill>
                        <w14:solidFill>
                          <w14:schemeClr w14:val="tx1"/>
                        </w14:solidFill>
                      </w14:textFill>
                    </w:rPr>
                    <w:t>夜间5</w:t>
                  </w:r>
                  <w:r>
                    <w:rPr>
                      <w:rFonts w:hint="eastAsia" w:ascii="Times New Roman" w:hAnsi="Times New Roman"/>
                      <w:color w:val="000000" w:themeColor="text1"/>
                      <w:kern w:val="0"/>
                      <w:szCs w:val="21"/>
                      <w:highlight w:val="none"/>
                      <w14:textFill>
                        <w14:solidFill>
                          <w14:schemeClr w14:val="tx1"/>
                        </w14:solidFill>
                      </w14:textFill>
                    </w:rPr>
                    <w:t>5</w:t>
                  </w:r>
                </w:p>
              </w:tc>
              <w:tc>
                <w:tcPr>
                  <w:tcW w:w="1575" w:type="dxa"/>
                  <w:noWrap w:val="0"/>
                  <w:vAlign w:val="center"/>
                </w:tcPr>
                <w:p w14:paraId="40F2A029">
                  <w:pPr>
                    <w:shd w:val="clear"/>
                    <w:adjustRightInd w:val="0"/>
                    <w:snapToGrid w:val="0"/>
                    <w:spacing w:line="280" w:lineRule="exact"/>
                    <w:jc w:val="center"/>
                    <w:rPr>
                      <w:rFonts w:hint="eastAsia" w:ascii="Times New Roman" w:hAnsi="Times New Roman"/>
                      <w:color w:val="000000" w:themeColor="text1"/>
                      <w:kern w:val="0"/>
                      <w:szCs w:val="21"/>
                      <w:highlight w:val="none"/>
                      <w14:textFill>
                        <w14:solidFill>
                          <w14:schemeClr w14:val="tx1"/>
                        </w14:solidFill>
                      </w14:textFill>
                    </w:rPr>
                  </w:pPr>
                  <w:r>
                    <w:rPr>
                      <w:rFonts w:hint="eastAsia" w:ascii="Times New Roman" w:hAnsi="Times New Roman"/>
                      <w:color w:val="000000" w:themeColor="text1"/>
                      <w:kern w:val="0"/>
                      <w:szCs w:val="21"/>
                      <w:highlight w:val="none"/>
                      <w14:textFill>
                        <w14:solidFill>
                          <w14:schemeClr w14:val="tx1"/>
                        </w14:solidFill>
                      </w14:textFill>
                    </w:rPr>
                    <w:t>达标</w:t>
                  </w:r>
                </w:p>
              </w:tc>
            </w:tr>
            <w:tr w14:paraId="57F8BC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478" w:type="pct"/>
                  <w:vMerge w:val="restart"/>
                  <w:noWrap w:val="0"/>
                  <w:vAlign w:val="center"/>
                </w:tcPr>
                <w:p w14:paraId="25DDA779">
                  <w:pPr>
                    <w:shd w:val="clear"/>
                    <w:adjustRightInd w:val="0"/>
                    <w:snapToGrid w:val="0"/>
                    <w:spacing w:line="280" w:lineRule="exact"/>
                    <w:jc w:val="center"/>
                    <w:rPr>
                      <w:rFonts w:hint="eastAsia" w:ascii="Times New Roman" w:hAnsi="Times New Roman" w:eastAsia="宋体"/>
                      <w:color w:val="000000" w:themeColor="text1"/>
                      <w:kern w:val="0"/>
                      <w:szCs w:val="21"/>
                      <w:highlight w:val="none"/>
                      <w:lang w:val="en-US" w:eastAsia="zh-CN"/>
                      <w14:textFill>
                        <w14:solidFill>
                          <w14:schemeClr w14:val="tx1"/>
                        </w14:solidFill>
                      </w14:textFill>
                    </w:rPr>
                  </w:pPr>
                  <w:r>
                    <w:rPr>
                      <w:rFonts w:hint="eastAsia" w:ascii="Times New Roman" w:hAnsi="Times New Roman"/>
                      <w:color w:val="000000" w:themeColor="text1"/>
                      <w:kern w:val="0"/>
                      <w:szCs w:val="21"/>
                      <w:highlight w:val="none"/>
                      <w:lang w:val="en-US" w:eastAsia="zh-CN"/>
                      <w14:textFill>
                        <w14:solidFill>
                          <w14:schemeClr w14:val="tx1"/>
                        </w14:solidFill>
                      </w14:textFill>
                    </w:rPr>
                    <w:t>2</w:t>
                  </w:r>
                </w:p>
              </w:tc>
              <w:tc>
                <w:tcPr>
                  <w:tcW w:w="1226" w:type="pct"/>
                  <w:vMerge w:val="restart"/>
                  <w:noWrap w:val="0"/>
                  <w:vAlign w:val="center"/>
                </w:tcPr>
                <w:p w14:paraId="34C8894B">
                  <w:pPr>
                    <w:shd w:val="clear"/>
                    <w:adjustRightInd w:val="0"/>
                    <w:snapToGrid w:val="0"/>
                    <w:spacing w:line="280" w:lineRule="exact"/>
                    <w:jc w:val="center"/>
                    <w:rPr>
                      <w:rFonts w:ascii="Times New Roman" w:hAnsi="Times New Roman"/>
                      <w:color w:val="000000" w:themeColor="text1"/>
                      <w:kern w:val="0"/>
                      <w:szCs w:val="21"/>
                      <w:highlight w:val="none"/>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北</w:t>
                  </w:r>
                  <w:r>
                    <w:rPr>
                      <w:rFonts w:hint="eastAsia" w:ascii="Times New Roman" w:hAnsi="Times New Roman"/>
                      <w:color w:val="000000" w:themeColor="text1"/>
                      <w:kern w:val="0"/>
                      <w:szCs w:val="21"/>
                      <w:highlight w:val="none"/>
                      <w14:textFill>
                        <w14:solidFill>
                          <w14:schemeClr w14:val="tx1"/>
                        </w14:solidFill>
                      </w14:textFill>
                    </w:rPr>
                    <w:t>厂界</w:t>
                  </w:r>
                </w:p>
              </w:tc>
              <w:tc>
                <w:tcPr>
                  <w:tcW w:w="1248" w:type="pct"/>
                  <w:vMerge w:val="restart"/>
                  <w:noWrap w:val="0"/>
                  <w:vAlign w:val="center"/>
                </w:tcPr>
                <w:p w14:paraId="4F082AD1">
                  <w:pPr>
                    <w:shd w:val="clear"/>
                    <w:adjustRightInd w:val="0"/>
                    <w:snapToGrid w:val="0"/>
                    <w:spacing w:line="280" w:lineRule="exact"/>
                    <w:jc w:val="center"/>
                    <w:rPr>
                      <w:rFonts w:hint="default" w:ascii="Times New Roman" w:hAnsi="Times New Roman"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52.8</w:t>
                  </w:r>
                </w:p>
              </w:tc>
              <w:tc>
                <w:tcPr>
                  <w:tcW w:w="1050" w:type="pct"/>
                  <w:noWrap w:val="0"/>
                  <w:vAlign w:val="center"/>
                </w:tcPr>
                <w:p w14:paraId="127FBA2A">
                  <w:pPr>
                    <w:shd w:val="clear"/>
                    <w:adjustRightInd w:val="0"/>
                    <w:snapToGrid w:val="0"/>
                    <w:spacing w:line="280" w:lineRule="exact"/>
                    <w:jc w:val="center"/>
                    <w:rPr>
                      <w:rFonts w:ascii="Times New Roman" w:hAnsi="Times New Roman"/>
                      <w:color w:val="000000" w:themeColor="text1"/>
                      <w:kern w:val="0"/>
                      <w:szCs w:val="21"/>
                      <w:highlight w:val="none"/>
                      <w14:textFill>
                        <w14:solidFill>
                          <w14:schemeClr w14:val="tx1"/>
                        </w14:solidFill>
                      </w14:textFill>
                    </w:rPr>
                  </w:pPr>
                  <w:r>
                    <w:rPr>
                      <w:rFonts w:hint="eastAsia" w:ascii="Times New Roman" w:hAnsi="Times New Roman"/>
                      <w:color w:val="000000" w:themeColor="text1"/>
                      <w:kern w:val="0"/>
                      <w:szCs w:val="21"/>
                      <w:highlight w:val="none"/>
                      <w14:textFill>
                        <w14:solidFill>
                          <w14:schemeClr w14:val="tx1"/>
                        </w14:solidFill>
                      </w14:textFill>
                    </w:rPr>
                    <w:t>昼间65</w:t>
                  </w:r>
                </w:p>
              </w:tc>
              <w:tc>
                <w:tcPr>
                  <w:tcW w:w="995" w:type="pct"/>
                  <w:noWrap w:val="0"/>
                  <w:vAlign w:val="center"/>
                </w:tcPr>
                <w:p w14:paraId="45973441">
                  <w:pPr>
                    <w:shd w:val="clear"/>
                    <w:adjustRightInd w:val="0"/>
                    <w:snapToGrid w:val="0"/>
                    <w:spacing w:line="280" w:lineRule="exact"/>
                    <w:jc w:val="center"/>
                    <w:rPr>
                      <w:rFonts w:ascii="Times New Roman" w:hAnsi="Times New Roman"/>
                      <w:color w:val="000000" w:themeColor="text1"/>
                      <w:kern w:val="0"/>
                      <w:szCs w:val="21"/>
                      <w:highlight w:val="none"/>
                      <w14:textFill>
                        <w14:solidFill>
                          <w14:schemeClr w14:val="tx1"/>
                        </w14:solidFill>
                      </w14:textFill>
                    </w:rPr>
                  </w:pPr>
                  <w:r>
                    <w:rPr>
                      <w:rFonts w:hint="eastAsia" w:ascii="Times New Roman" w:hAnsi="Times New Roman"/>
                      <w:color w:val="000000" w:themeColor="text1"/>
                      <w:kern w:val="0"/>
                      <w:szCs w:val="21"/>
                      <w:highlight w:val="none"/>
                      <w14:textFill>
                        <w14:solidFill>
                          <w14:schemeClr w14:val="tx1"/>
                        </w14:solidFill>
                      </w14:textFill>
                    </w:rPr>
                    <w:t>达标</w:t>
                  </w:r>
                </w:p>
              </w:tc>
            </w:tr>
            <w:tr w14:paraId="0AE914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478" w:type="pct"/>
                  <w:vMerge w:val="continue"/>
                  <w:noWrap w:val="0"/>
                  <w:vAlign w:val="center"/>
                </w:tcPr>
                <w:p w14:paraId="127C2501">
                  <w:pPr>
                    <w:shd w:val="clear"/>
                    <w:adjustRightInd w:val="0"/>
                    <w:snapToGrid w:val="0"/>
                    <w:spacing w:line="280" w:lineRule="exact"/>
                    <w:jc w:val="center"/>
                    <w:rPr>
                      <w:rFonts w:hint="eastAsia" w:ascii="Times New Roman" w:hAnsi="Times New Roman"/>
                      <w:color w:val="000000" w:themeColor="text1"/>
                      <w:kern w:val="0"/>
                      <w:szCs w:val="21"/>
                      <w:highlight w:val="none"/>
                      <w14:textFill>
                        <w14:solidFill>
                          <w14:schemeClr w14:val="tx1"/>
                        </w14:solidFill>
                      </w14:textFill>
                    </w:rPr>
                  </w:pPr>
                </w:p>
              </w:tc>
              <w:tc>
                <w:tcPr>
                  <w:tcW w:w="1226" w:type="pct"/>
                  <w:vMerge w:val="continue"/>
                  <w:noWrap w:val="0"/>
                  <w:vAlign w:val="center"/>
                </w:tcPr>
                <w:p w14:paraId="18F44B28">
                  <w:pPr>
                    <w:shd w:val="clear"/>
                    <w:adjustRightInd w:val="0"/>
                    <w:snapToGrid w:val="0"/>
                    <w:spacing w:line="280" w:lineRule="exact"/>
                    <w:jc w:val="center"/>
                    <w:rPr>
                      <w:rFonts w:hint="eastAsia" w:ascii="Times New Roman" w:hAnsi="Times New Roman"/>
                      <w:color w:val="000000" w:themeColor="text1"/>
                      <w:kern w:val="0"/>
                      <w:szCs w:val="21"/>
                      <w:highlight w:val="none"/>
                      <w14:textFill>
                        <w14:solidFill>
                          <w14:schemeClr w14:val="tx1"/>
                        </w14:solidFill>
                      </w14:textFill>
                    </w:rPr>
                  </w:pPr>
                </w:p>
              </w:tc>
              <w:tc>
                <w:tcPr>
                  <w:tcW w:w="1248" w:type="pct"/>
                  <w:vMerge w:val="continue"/>
                  <w:noWrap w:val="0"/>
                  <w:vAlign w:val="center"/>
                </w:tcPr>
                <w:p w14:paraId="0965EE6D">
                  <w:pPr>
                    <w:shd w:val="clear"/>
                    <w:adjustRightInd w:val="0"/>
                    <w:snapToGrid w:val="0"/>
                    <w:spacing w:line="280" w:lineRule="exact"/>
                    <w:jc w:val="center"/>
                    <w:rPr>
                      <w:rFonts w:hint="eastAsia" w:ascii="Times New Roman" w:hAnsi="Times New Roman"/>
                      <w:color w:val="000000" w:themeColor="text1"/>
                      <w:szCs w:val="21"/>
                      <w:highlight w:val="none"/>
                      <w:lang w:val="en-US" w:eastAsia="zh-CN"/>
                      <w14:textFill>
                        <w14:solidFill>
                          <w14:schemeClr w14:val="tx1"/>
                        </w14:solidFill>
                      </w14:textFill>
                    </w:rPr>
                  </w:pPr>
                </w:p>
              </w:tc>
              <w:tc>
                <w:tcPr>
                  <w:tcW w:w="1050" w:type="pct"/>
                  <w:noWrap w:val="0"/>
                  <w:vAlign w:val="center"/>
                </w:tcPr>
                <w:p w14:paraId="7737100A">
                  <w:pPr>
                    <w:shd w:val="clear"/>
                    <w:adjustRightInd w:val="0"/>
                    <w:snapToGrid w:val="0"/>
                    <w:spacing w:line="280" w:lineRule="exact"/>
                    <w:jc w:val="center"/>
                    <w:rPr>
                      <w:rFonts w:ascii="Times New Roman" w:hAnsi="Times New Roman"/>
                      <w:color w:val="000000" w:themeColor="text1"/>
                      <w:kern w:val="0"/>
                      <w:szCs w:val="21"/>
                      <w:highlight w:val="none"/>
                      <w14:textFill>
                        <w14:solidFill>
                          <w14:schemeClr w14:val="tx1"/>
                        </w14:solidFill>
                      </w14:textFill>
                    </w:rPr>
                  </w:pPr>
                  <w:r>
                    <w:rPr>
                      <w:rFonts w:hint="eastAsia" w:ascii="Times New Roman" w:hAnsi="Times New Roman"/>
                      <w:color w:val="000000" w:themeColor="text1"/>
                      <w:kern w:val="0"/>
                      <w:szCs w:val="21"/>
                      <w:highlight w:val="none"/>
                      <w:lang w:val="en-US" w:eastAsia="zh-CN"/>
                      <w14:textFill>
                        <w14:solidFill>
                          <w14:schemeClr w14:val="tx1"/>
                        </w14:solidFill>
                      </w14:textFill>
                    </w:rPr>
                    <w:t>夜间5</w:t>
                  </w:r>
                  <w:r>
                    <w:rPr>
                      <w:rFonts w:hint="eastAsia" w:ascii="Times New Roman" w:hAnsi="Times New Roman"/>
                      <w:color w:val="000000" w:themeColor="text1"/>
                      <w:kern w:val="0"/>
                      <w:szCs w:val="21"/>
                      <w:highlight w:val="none"/>
                      <w14:textFill>
                        <w14:solidFill>
                          <w14:schemeClr w14:val="tx1"/>
                        </w14:solidFill>
                      </w14:textFill>
                    </w:rPr>
                    <w:t>5</w:t>
                  </w:r>
                </w:p>
              </w:tc>
              <w:tc>
                <w:tcPr>
                  <w:tcW w:w="995" w:type="pct"/>
                  <w:noWrap w:val="0"/>
                  <w:vAlign w:val="center"/>
                </w:tcPr>
                <w:p w14:paraId="07BBD407">
                  <w:pPr>
                    <w:shd w:val="clear"/>
                    <w:adjustRightInd w:val="0"/>
                    <w:snapToGrid w:val="0"/>
                    <w:spacing w:line="280" w:lineRule="exact"/>
                    <w:jc w:val="center"/>
                    <w:rPr>
                      <w:rFonts w:hint="eastAsia" w:ascii="Times New Roman" w:hAnsi="Times New Roman"/>
                      <w:color w:val="000000" w:themeColor="text1"/>
                      <w:kern w:val="0"/>
                      <w:szCs w:val="21"/>
                      <w:highlight w:val="none"/>
                      <w14:textFill>
                        <w14:solidFill>
                          <w14:schemeClr w14:val="tx1"/>
                        </w14:solidFill>
                      </w14:textFill>
                    </w:rPr>
                  </w:pPr>
                  <w:r>
                    <w:rPr>
                      <w:rFonts w:hint="eastAsia" w:ascii="Times New Roman" w:hAnsi="Times New Roman"/>
                      <w:color w:val="000000" w:themeColor="text1"/>
                      <w:kern w:val="0"/>
                      <w:szCs w:val="21"/>
                      <w:highlight w:val="none"/>
                      <w14:textFill>
                        <w14:solidFill>
                          <w14:schemeClr w14:val="tx1"/>
                        </w14:solidFill>
                      </w14:textFill>
                    </w:rPr>
                    <w:t>达标</w:t>
                  </w:r>
                </w:p>
              </w:tc>
            </w:tr>
          </w:tbl>
          <w:p w14:paraId="7B183B9E">
            <w:pPr>
              <w:spacing w:line="360" w:lineRule="auto"/>
              <w:ind w:firstLine="480" w:firstLineChars="200"/>
              <w:jc w:val="both"/>
              <w:rPr>
                <w:rFonts w:hint="default"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根据预测结果，厂区设备经建筑隔声、减振等措施、距离衰减处理后，厂界噪声满足《工业企业厂界环境噪声排放标准》（GB12348-2008）中3类标准要求</w:t>
            </w:r>
            <w:r>
              <w:rPr>
                <w:rFonts w:hint="default" w:ascii="Times New Roman" w:hAnsi="Times New Roman" w:cs="Times New Roman"/>
                <w:color w:val="000000" w:themeColor="text1"/>
                <w:sz w:val="24"/>
                <w14:textFill>
                  <w14:solidFill>
                    <w14:schemeClr w14:val="tx1"/>
                  </w14:solidFill>
                </w14:textFill>
              </w:rPr>
              <w:t>，对周围声环境影响较小。</w:t>
            </w:r>
          </w:p>
          <w:p w14:paraId="4EDBA79C">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Times New Roman" w:hAnsi="Times New Roman" w:eastAsia="宋体" w:cs="Times New Roman"/>
                <w:color w:val="000000" w:themeColor="text1"/>
                <w:sz w:val="24"/>
                <w:lang w:val="en-US" w:eastAsia="zh-CN"/>
                <w14:textFill>
                  <w14:solidFill>
                    <w14:schemeClr w14:val="tx1"/>
                  </w14:solidFill>
                </w14:textFill>
              </w:rPr>
            </w:pPr>
            <w:r>
              <w:rPr>
                <w:rFonts w:hint="eastAsia" w:ascii="Times New Roman" w:hAnsi="Times New Roman" w:eastAsia="宋体" w:cs="Times New Roman"/>
                <w:color w:val="000000" w:themeColor="text1"/>
                <w:sz w:val="24"/>
                <w:lang w:val="en-US" w:eastAsia="zh-CN"/>
                <w14:textFill>
                  <w14:solidFill>
                    <w14:schemeClr w14:val="tx1"/>
                  </w14:solidFill>
                </w14:textFill>
              </w:rPr>
              <w:t>②噪声敏感点预测结果与达标分析</w:t>
            </w:r>
          </w:p>
          <w:p w14:paraId="7815AECB">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项目厂界周边敏感点噪声预测结果详见下表。</w:t>
            </w:r>
          </w:p>
          <w:p w14:paraId="5CD58EFD">
            <w:pPr>
              <w:spacing w:line="240" w:lineRule="auto"/>
              <w:jc w:val="center"/>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b/>
                <w:bCs/>
                <w:color w:val="000000" w:themeColor="text1"/>
                <w:kern w:val="0"/>
                <w:sz w:val="21"/>
                <w:szCs w:val="21"/>
                <w:highlight w:val="none"/>
                <w14:textFill>
                  <w14:solidFill>
                    <w14:schemeClr w14:val="tx1"/>
                  </w14:solidFill>
                </w14:textFill>
              </w:rPr>
              <w:t>表</w:t>
            </w:r>
            <w:r>
              <w:rPr>
                <w:rFonts w:hint="eastAsia" w:ascii="Times New Roman" w:hAnsi="Times New Roman"/>
                <w:b/>
                <w:bCs/>
                <w:color w:val="000000" w:themeColor="text1"/>
                <w:kern w:val="0"/>
                <w:sz w:val="21"/>
                <w:szCs w:val="21"/>
                <w:highlight w:val="none"/>
                <w14:textFill>
                  <w14:solidFill>
                    <w14:schemeClr w14:val="tx1"/>
                  </w14:solidFill>
                </w14:textFill>
              </w:rPr>
              <w:t>4-</w:t>
            </w:r>
            <w:r>
              <w:rPr>
                <w:rFonts w:hint="eastAsia" w:ascii="Times New Roman" w:hAnsi="Times New Roman"/>
                <w:b/>
                <w:bCs/>
                <w:color w:val="000000" w:themeColor="text1"/>
                <w:kern w:val="0"/>
                <w:sz w:val="21"/>
                <w:szCs w:val="21"/>
                <w:highlight w:val="none"/>
                <w:lang w:val="en-US" w:eastAsia="zh-CN"/>
                <w14:textFill>
                  <w14:solidFill>
                    <w14:schemeClr w14:val="tx1"/>
                  </w14:solidFill>
                </w14:textFill>
              </w:rPr>
              <w:t>1</w:t>
            </w:r>
            <w:r>
              <w:rPr>
                <w:rFonts w:hint="eastAsia"/>
                <w:b/>
                <w:bCs/>
                <w:color w:val="000000" w:themeColor="text1"/>
                <w:kern w:val="0"/>
                <w:sz w:val="21"/>
                <w:szCs w:val="21"/>
                <w:highlight w:val="none"/>
                <w:lang w:val="en-US" w:eastAsia="zh-CN"/>
                <w14:textFill>
                  <w14:solidFill>
                    <w14:schemeClr w14:val="tx1"/>
                  </w14:solidFill>
                </w14:textFill>
              </w:rPr>
              <w:t>9</w:t>
            </w:r>
            <w:r>
              <w:rPr>
                <w:rFonts w:hint="eastAsia" w:ascii="Times New Roman" w:hAnsi="Times New Roman"/>
                <w:b/>
                <w:bCs/>
                <w:color w:val="000000" w:themeColor="text1"/>
                <w:kern w:val="0"/>
                <w:sz w:val="21"/>
                <w:szCs w:val="21"/>
                <w:highlight w:val="none"/>
                <w14:textFill>
                  <w14:solidFill>
                    <w14:schemeClr w14:val="tx1"/>
                  </w14:solidFill>
                </w14:textFill>
              </w:rPr>
              <w:t xml:space="preserve"> </w:t>
            </w:r>
            <w:r>
              <w:rPr>
                <w:rFonts w:hint="eastAsia" w:ascii="Times New Roman" w:hAnsi="Times New Roman"/>
                <w:b/>
                <w:bCs/>
                <w:color w:val="000000" w:themeColor="text1"/>
                <w:kern w:val="0"/>
                <w:sz w:val="21"/>
                <w:szCs w:val="21"/>
                <w:highlight w:val="none"/>
                <w:lang w:val="en-US" w:eastAsia="zh-CN"/>
                <w14:textFill>
                  <w14:solidFill>
                    <w14:schemeClr w14:val="tx1"/>
                  </w14:solidFill>
                </w14:textFill>
              </w:rPr>
              <w:t>厂界周边敏感点噪声预测结果一览表</w:t>
            </w:r>
            <w:r>
              <w:rPr>
                <w:rFonts w:hint="eastAsia" w:ascii="Times New Roman" w:hAnsi="Times New Roman"/>
                <w:b/>
                <w:bCs/>
                <w:color w:val="000000" w:themeColor="text1"/>
                <w:kern w:val="0"/>
                <w:sz w:val="21"/>
                <w:szCs w:val="21"/>
                <w:highlight w:val="none"/>
                <w14:textFill>
                  <w14:solidFill>
                    <w14:schemeClr w14:val="tx1"/>
                  </w14:solidFill>
                </w14:textFill>
              </w:rPr>
              <w:t>（单位：dB（A））</w:t>
            </w:r>
          </w:p>
          <w:tbl>
            <w:tblPr>
              <w:tblStyle w:val="41"/>
              <w:tblW w:w="4996"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80"/>
              <w:gridCol w:w="928"/>
              <w:gridCol w:w="653"/>
              <w:gridCol w:w="1038"/>
              <w:gridCol w:w="876"/>
              <w:gridCol w:w="957"/>
              <w:gridCol w:w="1401"/>
              <w:gridCol w:w="1575"/>
            </w:tblGrid>
            <w:tr w14:paraId="4701FF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03" w:type="pct"/>
                  <w:shd w:val="clear" w:color="auto" w:fill="auto"/>
                  <w:noWrap w:val="0"/>
                  <w:vAlign w:val="center"/>
                </w:tcPr>
                <w:p w14:paraId="7815F95E">
                  <w:pPr>
                    <w:adjustRightInd w:val="0"/>
                    <w:snapToGrid w:val="0"/>
                    <w:spacing w:line="280" w:lineRule="exact"/>
                    <w:jc w:val="center"/>
                    <w:rPr>
                      <w:rFonts w:hint="eastAsia" w:ascii="Times New Roman" w:hAnsi="Times New Roman" w:eastAsia="宋体" w:cs="Times New Roman"/>
                      <w:b/>
                      <w:bCs/>
                      <w:color w:val="000000" w:themeColor="text1"/>
                      <w:kern w:val="0"/>
                      <w:szCs w:val="2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kern w:val="0"/>
                      <w:szCs w:val="21"/>
                      <w:highlight w:val="none"/>
                      <w:lang w:val="en-US" w:eastAsia="zh-CN"/>
                      <w14:textFill>
                        <w14:solidFill>
                          <w14:schemeClr w14:val="tx1"/>
                        </w14:solidFill>
                      </w14:textFill>
                    </w:rPr>
                    <w:t>序号</w:t>
                  </w:r>
                </w:p>
              </w:tc>
              <w:tc>
                <w:tcPr>
                  <w:tcW w:w="999" w:type="pct"/>
                  <w:gridSpan w:val="2"/>
                  <w:shd w:val="clear" w:color="auto" w:fill="auto"/>
                  <w:noWrap w:val="0"/>
                  <w:vAlign w:val="center"/>
                </w:tcPr>
                <w:p w14:paraId="3FB6856D">
                  <w:pPr>
                    <w:adjustRightInd w:val="0"/>
                    <w:snapToGrid w:val="0"/>
                    <w:spacing w:line="280" w:lineRule="exact"/>
                    <w:jc w:val="center"/>
                    <w:rPr>
                      <w:rFonts w:ascii="Times New Roman" w:hAnsi="Times New Roman"/>
                      <w:b/>
                      <w:bCs/>
                      <w:color w:val="000000" w:themeColor="text1"/>
                      <w:kern w:val="0"/>
                      <w:szCs w:val="21"/>
                      <w:highlight w:val="none"/>
                      <w14:textFill>
                        <w14:solidFill>
                          <w14:schemeClr w14:val="tx1"/>
                        </w14:solidFill>
                      </w14:textFill>
                    </w:rPr>
                  </w:pPr>
                  <w:r>
                    <w:rPr>
                      <w:rFonts w:hint="eastAsia" w:ascii="Times New Roman" w:hAnsi="Times New Roman"/>
                      <w:b/>
                      <w:bCs/>
                      <w:color w:val="000000" w:themeColor="text1"/>
                      <w:kern w:val="0"/>
                      <w:szCs w:val="21"/>
                      <w:highlight w:val="none"/>
                      <w14:textFill>
                        <w14:solidFill>
                          <w14:schemeClr w14:val="tx1"/>
                        </w14:solidFill>
                      </w14:textFill>
                    </w:rPr>
                    <w:t>预测点位置</w:t>
                  </w:r>
                </w:p>
              </w:tc>
              <w:tc>
                <w:tcPr>
                  <w:tcW w:w="656" w:type="pct"/>
                  <w:shd w:val="clear" w:color="auto" w:fill="auto"/>
                  <w:noWrap w:val="0"/>
                  <w:vAlign w:val="center"/>
                </w:tcPr>
                <w:p w14:paraId="45419767">
                  <w:pPr>
                    <w:adjustRightInd w:val="0"/>
                    <w:snapToGrid w:val="0"/>
                    <w:spacing w:line="280" w:lineRule="exact"/>
                    <w:jc w:val="center"/>
                    <w:rPr>
                      <w:rFonts w:hint="default" w:ascii="Times New Roman" w:hAnsi="Times New Roman" w:eastAsia="宋体"/>
                      <w:b/>
                      <w:bCs/>
                      <w:color w:val="000000" w:themeColor="text1"/>
                      <w:kern w:val="0"/>
                      <w:szCs w:val="21"/>
                      <w:highlight w:val="none"/>
                      <w:lang w:val="en-US" w:eastAsia="zh-CN"/>
                      <w14:textFill>
                        <w14:solidFill>
                          <w14:schemeClr w14:val="tx1"/>
                        </w14:solidFill>
                      </w14:textFill>
                    </w:rPr>
                  </w:pPr>
                  <w:r>
                    <w:rPr>
                      <w:rFonts w:hint="eastAsia" w:ascii="Times New Roman" w:hAnsi="Times New Roman"/>
                      <w:b/>
                      <w:bCs/>
                      <w:color w:val="000000" w:themeColor="text1"/>
                      <w:kern w:val="0"/>
                      <w:szCs w:val="21"/>
                      <w:highlight w:val="none"/>
                      <w:lang w:val="en-US" w:eastAsia="zh-CN"/>
                      <w14:textFill>
                        <w14:solidFill>
                          <w14:schemeClr w14:val="tx1"/>
                        </w14:solidFill>
                      </w14:textFill>
                    </w:rPr>
                    <w:t>背景值</w:t>
                  </w:r>
                </w:p>
              </w:tc>
              <w:tc>
                <w:tcPr>
                  <w:tcW w:w="553" w:type="pct"/>
                  <w:shd w:val="clear" w:color="auto" w:fill="auto"/>
                  <w:noWrap w:val="0"/>
                  <w:vAlign w:val="center"/>
                </w:tcPr>
                <w:p w14:paraId="3964D7A6">
                  <w:pPr>
                    <w:adjustRightInd w:val="0"/>
                    <w:snapToGrid w:val="0"/>
                    <w:spacing w:line="280" w:lineRule="exact"/>
                    <w:jc w:val="center"/>
                    <w:rPr>
                      <w:rFonts w:hint="default" w:ascii="Times New Roman" w:hAnsi="Times New Roman" w:eastAsia="宋体"/>
                      <w:b/>
                      <w:bCs/>
                      <w:color w:val="000000" w:themeColor="text1"/>
                      <w:kern w:val="0"/>
                      <w:szCs w:val="21"/>
                      <w:highlight w:val="none"/>
                      <w:lang w:val="en-US" w:eastAsia="zh-CN"/>
                      <w14:textFill>
                        <w14:solidFill>
                          <w14:schemeClr w14:val="tx1"/>
                        </w14:solidFill>
                      </w14:textFill>
                    </w:rPr>
                  </w:pPr>
                  <w:r>
                    <w:rPr>
                      <w:rFonts w:hint="eastAsia" w:ascii="Times New Roman" w:hAnsi="Times New Roman"/>
                      <w:b/>
                      <w:bCs/>
                      <w:color w:val="000000" w:themeColor="text1"/>
                      <w:kern w:val="0"/>
                      <w:szCs w:val="21"/>
                      <w:highlight w:val="none"/>
                      <w:lang w:val="en-US" w:eastAsia="zh-CN"/>
                      <w14:textFill>
                        <w14:solidFill>
                          <w14:schemeClr w14:val="tx1"/>
                        </w14:solidFill>
                      </w14:textFill>
                    </w:rPr>
                    <w:t>贡献值</w:t>
                  </w:r>
                </w:p>
              </w:tc>
              <w:tc>
                <w:tcPr>
                  <w:tcW w:w="605" w:type="pct"/>
                  <w:shd w:val="clear" w:color="auto" w:fill="auto"/>
                  <w:noWrap w:val="0"/>
                  <w:vAlign w:val="center"/>
                </w:tcPr>
                <w:p w14:paraId="3102F588">
                  <w:pPr>
                    <w:adjustRightInd w:val="0"/>
                    <w:snapToGrid w:val="0"/>
                    <w:spacing w:line="280" w:lineRule="exact"/>
                    <w:jc w:val="center"/>
                    <w:rPr>
                      <w:rFonts w:hint="eastAsia" w:ascii="Times New Roman" w:hAnsi="Times New Roman"/>
                      <w:b/>
                      <w:bCs/>
                      <w:color w:val="000000" w:themeColor="text1"/>
                      <w:kern w:val="0"/>
                      <w:szCs w:val="21"/>
                      <w:highlight w:val="none"/>
                      <w14:textFill>
                        <w14:solidFill>
                          <w14:schemeClr w14:val="tx1"/>
                        </w14:solidFill>
                      </w14:textFill>
                    </w:rPr>
                  </w:pPr>
                  <w:r>
                    <w:rPr>
                      <w:rFonts w:hint="eastAsia" w:ascii="Times New Roman" w:hAnsi="Times New Roman"/>
                      <w:b/>
                      <w:bCs/>
                      <w:color w:val="000000" w:themeColor="text1"/>
                      <w:kern w:val="0"/>
                      <w:szCs w:val="21"/>
                      <w:highlight w:val="none"/>
                      <w14:textFill>
                        <w14:solidFill>
                          <w14:schemeClr w14:val="tx1"/>
                        </w14:solidFill>
                      </w14:textFill>
                    </w:rPr>
                    <w:t>预测值</w:t>
                  </w:r>
                </w:p>
              </w:tc>
              <w:tc>
                <w:tcPr>
                  <w:tcW w:w="885" w:type="pct"/>
                  <w:shd w:val="clear" w:color="auto" w:fill="auto"/>
                  <w:noWrap w:val="0"/>
                  <w:vAlign w:val="center"/>
                </w:tcPr>
                <w:p w14:paraId="6D300A18">
                  <w:pPr>
                    <w:adjustRightInd w:val="0"/>
                    <w:snapToGrid w:val="0"/>
                    <w:spacing w:line="280" w:lineRule="exact"/>
                    <w:jc w:val="center"/>
                    <w:rPr>
                      <w:rFonts w:ascii="Times New Roman" w:hAnsi="Times New Roman"/>
                      <w:b/>
                      <w:bCs/>
                      <w:color w:val="000000" w:themeColor="text1"/>
                      <w:kern w:val="0"/>
                      <w:szCs w:val="21"/>
                      <w:highlight w:val="none"/>
                      <w14:textFill>
                        <w14:solidFill>
                          <w14:schemeClr w14:val="tx1"/>
                        </w14:solidFill>
                      </w14:textFill>
                    </w:rPr>
                  </w:pPr>
                  <w:r>
                    <w:rPr>
                      <w:rFonts w:hint="eastAsia" w:ascii="Times New Roman" w:hAnsi="Times New Roman"/>
                      <w:b/>
                      <w:bCs/>
                      <w:color w:val="000000" w:themeColor="text1"/>
                      <w:kern w:val="0"/>
                      <w:szCs w:val="21"/>
                      <w:highlight w:val="none"/>
                      <w14:textFill>
                        <w14:solidFill>
                          <w14:schemeClr w14:val="tx1"/>
                        </w14:solidFill>
                      </w14:textFill>
                    </w:rPr>
                    <w:t>标准值</w:t>
                  </w:r>
                </w:p>
              </w:tc>
              <w:tc>
                <w:tcPr>
                  <w:tcW w:w="995" w:type="pct"/>
                  <w:shd w:val="clear" w:color="auto" w:fill="auto"/>
                  <w:noWrap w:val="0"/>
                  <w:vAlign w:val="center"/>
                </w:tcPr>
                <w:p w14:paraId="5CBDE452">
                  <w:pPr>
                    <w:adjustRightInd w:val="0"/>
                    <w:snapToGrid w:val="0"/>
                    <w:spacing w:line="280" w:lineRule="exact"/>
                    <w:jc w:val="center"/>
                    <w:rPr>
                      <w:rFonts w:ascii="Times New Roman" w:hAnsi="Times New Roman"/>
                      <w:b/>
                      <w:bCs/>
                      <w:color w:val="000000" w:themeColor="text1"/>
                      <w:kern w:val="0"/>
                      <w:szCs w:val="21"/>
                      <w:highlight w:val="none"/>
                      <w14:textFill>
                        <w14:solidFill>
                          <w14:schemeClr w14:val="tx1"/>
                        </w14:solidFill>
                      </w14:textFill>
                    </w:rPr>
                  </w:pPr>
                  <w:r>
                    <w:rPr>
                      <w:rFonts w:hint="eastAsia" w:ascii="Times New Roman" w:hAnsi="Times New Roman"/>
                      <w:b/>
                      <w:bCs/>
                      <w:color w:val="000000" w:themeColor="text1"/>
                      <w:kern w:val="0"/>
                      <w:szCs w:val="21"/>
                      <w:highlight w:val="none"/>
                      <w14:textFill>
                        <w14:solidFill>
                          <w14:schemeClr w14:val="tx1"/>
                        </w14:solidFill>
                      </w14:textFill>
                    </w:rPr>
                    <w:t>是否达标</w:t>
                  </w:r>
                </w:p>
              </w:tc>
            </w:tr>
            <w:tr w14:paraId="021EDA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03" w:type="pct"/>
                  <w:vMerge w:val="restart"/>
                  <w:noWrap w:val="0"/>
                  <w:vAlign w:val="center"/>
                </w:tcPr>
                <w:p w14:paraId="179A5DBA">
                  <w:pPr>
                    <w:adjustRightInd w:val="0"/>
                    <w:snapToGrid w:val="0"/>
                    <w:spacing w:line="280" w:lineRule="exact"/>
                    <w:jc w:val="center"/>
                    <w:rPr>
                      <w:rFonts w:hint="eastAsia" w:ascii="Times New Roman" w:hAnsi="Times New Roman" w:eastAsia="宋体" w:cs="Times New Roman"/>
                      <w:b/>
                      <w:bCs/>
                      <w:color w:val="000000" w:themeColor="text1"/>
                      <w:kern w:val="0"/>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Cs w:val="21"/>
                      <w:highlight w:val="none"/>
                      <w:lang w:val="en-US" w:eastAsia="zh-CN"/>
                      <w14:textFill>
                        <w14:solidFill>
                          <w14:schemeClr w14:val="tx1"/>
                        </w14:solidFill>
                      </w14:textFill>
                    </w:rPr>
                    <w:t>1</w:t>
                  </w:r>
                </w:p>
              </w:tc>
              <w:tc>
                <w:tcPr>
                  <w:tcW w:w="586" w:type="pct"/>
                  <w:vMerge w:val="restart"/>
                  <w:noWrap w:val="0"/>
                  <w:vAlign w:val="center"/>
                </w:tcPr>
                <w:p w14:paraId="44AF9F33">
                  <w:pPr>
                    <w:jc w:val="center"/>
                    <w:rPr>
                      <w:rFonts w:hint="eastAsia" w:ascii="Times New Roman" w:hAnsi="Times New Roman"/>
                      <w:color w:val="000000" w:themeColor="text1"/>
                      <w:kern w:val="0"/>
                      <w:szCs w:val="2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N5</w:t>
                  </w:r>
                  <w:r>
                    <w:rPr>
                      <w:rFonts w:hint="eastAsia" w:ascii="Times New Roman" w:hAnsi="Times New Roman" w:eastAsia="宋体"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highlight w:val="none"/>
                      <w:lang w:val="en-US" w:eastAsia="zh-CN"/>
                      <w14:textFill>
                        <w14:solidFill>
                          <w14:schemeClr w14:val="tx1"/>
                        </w14:solidFill>
                      </w14:textFill>
                    </w:rPr>
                    <w:t>敏感点1F</w:t>
                  </w:r>
                </w:p>
              </w:tc>
              <w:tc>
                <w:tcPr>
                  <w:tcW w:w="412" w:type="pct"/>
                  <w:noWrap w:val="0"/>
                  <w:vAlign w:val="center"/>
                </w:tcPr>
                <w:p w14:paraId="0F4577CA">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eastAsia="宋体" w:cs="Times New Roman"/>
                      <w:color w:val="000000" w:themeColor="text1"/>
                      <w:highlight w:val="none"/>
                      <w:lang w:val="en-US" w:eastAsia="zh-CN"/>
                      <w14:textFill>
                        <w14:solidFill>
                          <w14:schemeClr w14:val="tx1"/>
                        </w14:solidFill>
                      </w14:textFill>
                    </w:rPr>
                    <w:t>昼间</w:t>
                  </w:r>
                </w:p>
              </w:tc>
              <w:tc>
                <w:tcPr>
                  <w:tcW w:w="656" w:type="pct"/>
                  <w:noWrap w:val="0"/>
                  <w:vAlign w:val="center"/>
                </w:tcPr>
                <w:p w14:paraId="7BCECAFF">
                  <w:pPr>
                    <w:jc w:val="center"/>
                    <w:rPr>
                      <w:rFonts w:hint="eastAsia" w:ascii="Times New Roman" w:hAnsi="Times New Roman" w:eastAsia="宋体"/>
                      <w:color w:val="000000" w:themeColor="text1"/>
                      <w:kern w:val="0"/>
                      <w:szCs w:val="2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57</w:t>
                  </w:r>
                </w:p>
              </w:tc>
              <w:tc>
                <w:tcPr>
                  <w:tcW w:w="553" w:type="pct"/>
                  <w:vMerge w:val="restart"/>
                  <w:noWrap w:val="0"/>
                  <w:vAlign w:val="center"/>
                </w:tcPr>
                <w:p w14:paraId="468F0584">
                  <w:pPr>
                    <w:adjustRightInd w:val="0"/>
                    <w:snapToGrid w:val="0"/>
                    <w:spacing w:line="280" w:lineRule="exact"/>
                    <w:jc w:val="center"/>
                    <w:rPr>
                      <w:rFonts w:hint="default" w:ascii="Times New Roman" w:hAnsi="Times New Roman"/>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39</w:t>
                  </w:r>
                </w:p>
              </w:tc>
              <w:tc>
                <w:tcPr>
                  <w:tcW w:w="605" w:type="pct"/>
                  <w:noWrap w:val="0"/>
                  <w:vAlign w:val="center"/>
                </w:tcPr>
                <w:p w14:paraId="6190C34F">
                  <w:pPr>
                    <w:adjustRightInd w:val="0"/>
                    <w:snapToGrid w:val="0"/>
                    <w:spacing w:line="280" w:lineRule="exact"/>
                    <w:jc w:val="center"/>
                    <w:rPr>
                      <w:rFonts w:hint="default" w:ascii="Times New Roman" w:hAnsi="Times New Roman"/>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57.1</w:t>
                  </w:r>
                </w:p>
              </w:tc>
              <w:tc>
                <w:tcPr>
                  <w:tcW w:w="885" w:type="pct"/>
                  <w:vMerge w:val="restart"/>
                  <w:noWrap w:val="0"/>
                  <w:vAlign w:val="center"/>
                </w:tcPr>
                <w:p w14:paraId="7B28F458">
                  <w:pPr>
                    <w:adjustRightInd w:val="0"/>
                    <w:snapToGrid w:val="0"/>
                    <w:spacing w:line="280" w:lineRule="exact"/>
                    <w:jc w:val="center"/>
                    <w:rPr>
                      <w:rFonts w:hint="eastAsia"/>
                      <w:color w:val="000000" w:themeColor="text1"/>
                      <w:kern w:val="0"/>
                      <w:szCs w:val="21"/>
                      <w:highlight w:val="none"/>
                      <w:lang w:val="en-US" w:eastAsia="zh-CN"/>
                      <w14:textFill>
                        <w14:solidFill>
                          <w14:schemeClr w14:val="tx1"/>
                        </w14:solidFill>
                      </w14:textFill>
                    </w:rPr>
                  </w:pPr>
                  <w:r>
                    <w:rPr>
                      <w:rFonts w:hint="eastAsia" w:ascii="Times New Roman" w:hAnsi="Times New Roman"/>
                      <w:color w:val="000000" w:themeColor="text1"/>
                      <w:kern w:val="0"/>
                      <w:szCs w:val="21"/>
                      <w:highlight w:val="none"/>
                      <w:lang w:val="en-US" w:eastAsia="zh-CN"/>
                      <w14:textFill>
                        <w14:solidFill>
                          <w14:schemeClr w14:val="tx1"/>
                        </w14:solidFill>
                      </w14:textFill>
                    </w:rPr>
                    <w:t>昼间6</w:t>
                  </w:r>
                  <w:r>
                    <w:rPr>
                      <w:rFonts w:hint="eastAsia"/>
                      <w:color w:val="000000" w:themeColor="text1"/>
                      <w:kern w:val="0"/>
                      <w:szCs w:val="21"/>
                      <w:highlight w:val="none"/>
                      <w:lang w:val="en-US" w:eastAsia="zh-CN"/>
                      <w14:textFill>
                        <w14:solidFill>
                          <w14:schemeClr w14:val="tx1"/>
                        </w14:solidFill>
                      </w14:textFill>
                    </w:rPr>
                    <w:t>0</w:t>
                  </w:r>
                </w:p>
                <w:p w14:paraId="4139B0AF">
                  <w:pPr>
                    <w:adjustRightInd w:val="0"/>
                    <w:snapToGrid w:val="0"/>
                    <w:spacing w:line="280" w:lineRule="exact"/>
                    <w:jc w:val="center"/>
                    <w:rPr>
                      <w:rFonts w:hint="default"/>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夜间50</w:t>
                  </w:r>
                </w:p>
              </w:tc>
              <w:tc>
                <w:tcPr>
                  <w:tcW w:w="995" w:type="pct"/>
                  <w:noWrap w:val="0"/>
                  <w:vAlign w:val="center"/>
                </w:tcPr>
                <w:p w14:paraId="463F92B9">
                  <w:pPr>
                    <w:adjustRightInd w:val="0"/>
                    <w:snapToGrid w:val="0"/>
                    <w:spacing w:line="280" w:lineRule="exact"/>
                    <w:jc w:val="center"/>
                    <w:rPr>
                      <w:rFonts w:hint="eastAsia" w:ascii="Times New Roman" w:hAnsi="Times New Roman"/>
                      <w:color w:val="000000" w:themeColor="text1"/>
                      <w:kern w:val="0"/>
                      <w:szCs w:val="21"/>
                      <w:highlight w:val="none"/>
                      <w14:textFill>
                        <w14:solidFill>
                          <w14:schemeClr w14:val="tx1"/>
                        </w14:solidFill>
                      </w14:textFill>
                    </w:rPr>
                  </w:pPr>
                  <w:r>
                    <w:rPr>
                      <w:rFonts w:hint="eastAsia" w:ascii="Times New Roman" w:hAnsi="Times New Roman"/>
                      <w:color w:val="000000" w:themeColor="text1"/>
                      <w:kern w:val="0"/>
                      <w:szCs w:val="21"/>
                      <w:highlight w:val="none"/>
                      <w14:textFill>
                        <w14:solidFill>
                          <w14:schemeClr w14:val="tx1"/>
                        </w14:solidFill>
                      </w14:textFill>
                    </w:rPr>
                    <w:t>达标</w:t>
                  </w:r>
                </w:p>
              </w:tc>
            </w:tr>
            <w:tr w14:paraId="59C32C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03" w:type="pct"/>
                  <w:vMerge w:val="continue"/>
                  <w:noWrap w:val="0"/>
                  <w:vAlign w:val="center"/>
                </w:tcPr>
                <w:p w14:paraId="377CB9EC">
                  <w:pPr>
                    <w:adjustRightInd w:val="0"/>
                    <w:snapToGrid w:val="0"/>
                    <w:spacing w:line="280" w:lineRule="exact"/>
                    <w:jc w:val="center"/>
                    <w:rPr>
                      <w:rFonts w:hint="eastAsia" w:ascii="Times New Roman" w:hAnsi="Times New Roman" w:eastAsia="宋体" w:cs="Times New Roman"/>
                      <w:b w:val="0"/>
                      <w:bCs w:val="0"/>
                      <w:color w:val="000000" w:themeColor="text1"/>
                      <w:kern w:val="0"/>
                      <w:szCs w:val="21"/>
                      <w:highlight w:val="none"/>
                      <w:lang w:val="en-US" w:eastAsia="zh-CN"/>
                      <w14:textFill>
                        <w14:solidFill>
                          <w14:schemeClr w14:val="tx1"/>
                        </w14:solidFill>
                      </w14:textFill>
                    </w:rPr>
                  </w:pPr>
                </w:p>
              </w:tc>
              <w:tc>
                <w:tcPr>
                  <w:tcW w:w="586" w:type="pct"/>
                  <w:vMerge w:val="continue"/>
                  <w:noWrap w:val="0"/>
                  <w:vAlign w:val="center"/>
                </w:tcPr>
                <w:p w14:paraId="3E5B332F">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c>
                <w:tcPr>
                  <w:tcW w:w="412" w:type="pct"/>
                  <w:noWrap w:val="0"/>
                  <w:vAlign w:val="center"/>
                </w:tcPr>
                <w:p w14:paraId="71C77CF1">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eastAsia="宋体" w:cs="Times New Roman"/>
                      <w:color w:val="000000" w:themeColor="text1"/>
                      <w:highlight w:val="none"/>
                      <w:lang w:val="en-US" w:eastAsia="zh-CN"/>
                      <w14:textFill>
                        <w14:solidFill>
                          <w14:schemeClr w14:val="tx1"/>
                        </w14:solidFill>
                      </w14:textFill>
                    </w:rPr>
                    <w:t>夜间</w:t>
                  </w:r>
                </w:p>
              </w:tc>
              <w:tc>
                <w:tcPr>
                  <w:tcW w:w="656" w:type="pct"/>
                  <w:noWrap w:val="0"/>
                  <w:vAlign w:val="center"/>
                </w:tcPr>
                <w:p w14:paraId="67D762DF">
                  <w:pPr>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48</w:t>
                  </w:r>
                </w:p>
              </w:tc>
              <w:tc>
                <w:tcPr>
                  <w:tcW w:w="553" w:type="pct"/>
                  <w:vMerge w:val="continue"/>
                  <w:noWrap w:val="0"/>
                  <w:vAlign w:val="center"/>
                </w:tcPr>
                <w:p w14:paraId="571C9A7A">
                  <w:pPr>
                    <w:adjustRightInd w:val="0"/>
                    <w:snapToGrid w:val="0"/>
                    <w:spacing w:line="280" w:lineRule="exact"/>
                    <w:jc w:val="center"/>
                    <w:rPr>
                      <w:rFonts w:hint="eastAsia" w:ascii="Times New Roman" w:hAnsi="Times New Roman"/>
                      <w:color w:val="000000" w:themeColor="text1"/>
                      <w:kern w:val="0"/>
                      <w:szCs w:val="21"/>
                      <w:highlight w:val="none"/>
                      <w:lang w:val="en-US" w:eastAsia="zh-CN"/>
                      <w14:textFill>
                        <w14:solidFill>
                          <w14:schemeClr w14:val="tx1"/>
                        </w14:solidFill>
                      </w14:textFill>
                    </w:rPr>
                  </w:pPr>
                </w:p>
              </w:tc>
              <w:tc>
                <w:tcPr>
                  <w:tcW w:w="605" w:type="pct"/>
                  <w:noWrap w:val="0"/>
                  <w:vAlign w:val="center"/>
                </w:tcPr>
                <w:p w14:paraId="45976A63">
                  <w:pPr>
                    <w:adjustRightInd w:val="0"/>
                    <w:snapToGrid w:val="0"/>
                    <w:spacing w:line="280" w:lineRule="exact"/>
                    <w:jc w:val="center"/>
                    <w:rPr>
                      <w:rFonts w:hint="default" w:ascii="Times New Roman" w:hAnsi="Times New Roman"/>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48.5</w:t>
                  </w:r>
                </w:p>
              </w:tc>
              <w:tc>
                <w:tcPr>
                  <w:tcW w:w="885" w:type="pct"/>
                  <w:vMerge w:val="continue"/>
                  <w:noWrap w:val="0"/>
                  <w:vAlign w:val="center"/>
                </w:tcPr>
                <w:p w14:paraId="58D43803">
                  <w:pPr>
                    <w:adjustRightInd w:val="0"/>
                    <w:snapToGrid w:val="0"/>
                    <w:spacing w:line="280" w:lineRule="exact"/>
                    <w:jc w:val="center"/>
                    <w:rPr>
                      <w:rFonts w:hint="eastAsia"/>
                      <w:color w:val="000000" w:themeColor="text1"/>
                      <w:kern w:val="0"/>
                      <w:szCs w:val="21"/>
                      <w:highlight w:val="none"/>
                      <w:lang w:val="en-US" w:eastAsia="zh-CN"/>
                      <w14:textFill>
                        <w14:solidFill>
                          <w14:schemeClr w14:val="tx1"/>
                        </w14:solidFill>
                      </w14:textFill>
                    </w:rPr>
                  </w:pPr>
                </w:p>
              </w:tc>
              <w:tc>
                <w:tcPr>
                  <w:tcW w:w="995" w:type="pct"/>
                  <w:noWrap w:val="0"/>
                  <w:vAlign w:val="center"/>
                </w:tcPr>
                <w:p w14:paraId="5D24F3C6">
                  <w:pPr>
                    <w:adjustRightInd w:val="0"/>
                    <w:snapToGrid w:val="0"/>
                    <w:spacing w:line="280" w:lineRule="exact"/>
                    <w:jc w:val="center"/>
                    <w:rPr>
                      <w:rFonts w:hint="eastAsia" w:ascii="Times New Roman" w:hAnsi="Times New Roman"/>
                      <w:color w:val="000000" w:themeColor="text1"/>
                      <w:kern w:val="0"/>
                      <w:szCs w:val="21"/>
                      <w:highlight w:val="none"/>
                      <w14:textFill>
                        <w14:solidFill>
                          <w14:schemeClr w14:val="tx1"/>
                        </w14:solidFill>
                      </w14:textFill>
                    </w:rPr>
                  </w:pPr>
                  <w:r>
                    <w:rPr>
                      <w:rFonts w:hint="eastAsia" w:ascii="Times New Roman" w:hAnsi="Times New Roman"/>
                      <w:color w:val="000000" w:themeColor="text1"/>
                      <w:kern w:val="0"/>
                      <w:szCs w:val="21"/>
                      <w:highlight w:val="none"/>
                      <w14:textFill>
                        <w14:solidFill>
                          <w14:schemeClr w14:val="tx1"/>
                        </w14:solidFill>
                      </w14:textFill>
                    </w:rPr>
                    <w:t>达标</w:t>
                  </w:r>
                </w:p>
              </w:tc>
            </w:tr>
            <w:tr w14:paraId="71D5C5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03" w:type="pct"/>
                  <w:vMerge w:val="restart"/>
                  <w:noWrap w:val="0"/>
                  <w:vAlign w:val="center"/>
                </w:tcPr>
                <w:p w14:paraId="2AD7ECEA">
                  <w:pPr>
                    <w:adjustRightInd w:val="0"/>
                    <w:snapToGrid w:val="0"/>
                    <w:spacing w:line="280" w:lineRule="exact"/>
                    <w:jc w:val="center"/>
                    <w:rPr>
                      <w:rFonts w:hint="eastAsia" w:ascii="Times New Roman" w:hAnsi="Times New Roman" w:eastAsia="宋体"/>
                      <w:color w:val="000000" w:themeColor="text1"/>
                      <w:kern w:val="0"/>
                      <w:szCs w:val="21"/>
                      <w:highlight w:val="none"/>
                      <w:lang w:val="en-US" w:eastAsia="zh-CN"/>
                      <w14:textFill>
                        <w14:solidFill>
                          <w14:schemeClr w14:val="tx1"/>
                        </w14:solidFill>
                      </w14:textFill>
                    </w:rPr>
                  </w:pPr>
                  <w:r>
                    <w:rPr>
                      <w:rFonts w:hint="eastAsia" w:ascii="Times New Roman" w:hAnsi="Times New Roman"/>
                      <w:color w:val="000000" w:themeColor="text1"/>
                      <w:kern w:val="0"/>
                      <w:szCs w:val="21"/>
                      <w:highlight w:val="none"/>
                      <w:lang w:val="en-US" w:eastAsia="zh-CN"/>
                      <w14:textFill>
                        <w14:solidFill>
                          <w14:schemeClr w14:val="tx1"/>
                        </w14:solidFill>
                      </w14:textFill>
                    </w:rPr>
                    <w:t>2</w:t>
                  </w:r>
                </w:p>
              </w:tc>
              <w:tc>
                <w:tcPr>
                  <w:tcW w:w="586" w:type="pct"/>
                  <w:vMerge w:val="restart"/>
                  <w:noWrap w:val="0"/>
                  <w:vAlign w:val="center"/>
                </w:tcPr>
                <w:p w14:paraId="47932F95">
                  <w:pPr>
                    <w:jc w:val="center"/>
                    <w:rPr>
                      <w:rFonts w:hint="eastAsia" w:ascii="Times New Roman" w:hAnsi="Times New Roman"/>
                      <w:color w:val="000000" w:themeColor="text1"/>
                      <w:kern w:val="0"/>
                      <w:szCs w:val="2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N6 敏感点3F</w:t>
                  </w:r>
                </w:p>
              </w:tc>
              <w:tc>
                <w:tcPr>
                  <w:tcW w:w="412" w:type="pct"/>
                  <w:noWrap w:val="0"/>
                  <w:vAlign w:val="center"/>
                </w:tcPr>
                <w:p w14:paraId="2E7FB27F">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eastAsia="宋体" w:cs="Times New Roman"/>
                      <w:color w:val="000000" w:themeColor="text1"/>
                      <w:highlight w:val="none"/>
                      <w:lang w:val="en-US" w:eastAsia="zh-CN"/>
                      <w14:textFill>
                        <w14:solidFill>
                          <w14:schemeClr w14:val="tx1"/>
                        </w14:solidFill>
                      </w14:textFill>
                    </w:rPr>
                    <w:t>昼间</w:t>
                  </w:r>
                </w:p>
              </w:tc>
              <w:tc>
                <w:tcPr>
                  <w:tcW w:w="656" w:type="pct"/>
                  <w:noWrap w:val="0"/>
                  <w:vAlign w:val="center"/>
                </w:tcPr>
                <w:p w14:paraId="583130A8">
                  <w:pPr>
                    <w:jc w:val="center"/>
                    <w:rPr>
                      <w:rFonts w:hint="eastAsia" w:ascii="Times New Roman" w:hAnsi="Times New Roman" w:eastAsia="宋体"/>
                      <w:color w:val="000000" w:themeColor="text1"/>
                      <w:kern w:val="0"/>
                      <w:szCs w:val="2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46</w:t>
                  </w:r>
                </w:p>
              </w:tc>
              <w:tc>
                <w:tcPr>
                  <w:tcW w:w="553" w:type="pct"/>
                  <w:vMerge w:val="restart"/>
                  <w:noWrap w:val="0"/>
                  <w:vAlign w:val="center"/>
                </w:tcPr>
                <w:p w14:paraId="12EFCD01">
                  <w:pPr>
                    <w:adjustRightInd w:val="0"/>
                    <w:snapToGrid w:val="0"/>
                    <w:spacing w:line="280" w:lineRule="exact"/>
                    <w:jc w:val="center"/>
                    <w:rPr>
                      <w:rFonts w:hint="default" w:ascii="Times New Roman" w:hAnsi="Times New Roman"/>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40</w:t>
                  </w:r>
                </w:p>
              </w:tc>
              <w:tc>
                <w:tcPr>
                  <w:tcW w:w="605" w:type="pct"/>
                  <w:noWrap w:val="0"/>
                  <w:vAlign w:val="center"/>
                </w:tcPr>
                <w:p w14:paraId="1D09AC7C">
                  <w:pPr>
                    <w:adjustRightInd w:val="0"/>
                    <w:snapToGrid w:val="0"/>
                    <w:spacing w:line="280" w:lineRule="exact"/>
                    <w:jc w:val="center"/>
                    <w:rPr>
                      <w:rFonts w:hint="default" w:ascii="Times New Roman" w:hAnsi="Times New Roman"/>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47</w:t>
                  </w:r>
                </w:p>
              </w:tc>
              <w:tc>
                <w:tcPr>
                  <w:tcW w:w="885" w:type="pct"/>
                  <w:vMerge w:val="continue"/>
                  <w:noWrap w:val="0"/>
                  <w:vAlign w:val="center"/>
                </w:tcPr>
                <w:p w14:paraId="3F42287A">
                  <w:pPr>
                    <w:adjustRightInd w:val="0"/>
                    <w:snapToGrid w:val="0"/>
                    <w:spacing w:line="280" w:lineRule="exact"/>
                    <w:jc w:val="center"/>
                    <w:rPr>
                      <w:rFonts w:ascii="Times New Roman" w:hAnsi="Times New Roman"/>
                      <w:color w:val="000000" w:themeColor="text1"/>
                      <w:kern w:val="0"/>
                      <w:szCs w:val="21"/>
                      <w:highlight w:val="none"/>
                      <w14:textFill>
                        <w14:solidFill>
                          <w14:schemeClr w14:val="tx1"/>
                        </w14:solidFill>
                      </w14:textFill>
                    </w:rPr>
                  </w:pPr>
                </w:p>
              </w:tc>
              <w:tc>
                <w:tcPr>
                  <w:tcW w:w="995" w:type="pct"/>
                  <w:noWrap w:val="0"/>
                  <w:vAlign w:val="center"/>
                </w:tcPr>
                <w:p w14:paraId="0C2A0770">
                  <w:pPr>
                    <w:adjustRightInd w:val="0"/>
                    <w:snapToGrid w:val="0"/>
                    <w:spacing w:line="280" w:lineRule="exact"/>
                    <w:jc w:val="center"/>
                    <w:rPr>
                      <w:rFonts w:hint="eastAsia" w:ascii="Times New Roman" w:hAnsi="Times New Roman"/>
                      <w:color w:val="000000" w:themeColor="text1"/>
                      <w:kern w:val="0"/>
                      <w:szCs w:val="21"/>
                      <w:highlight w:val="none"/>
                      <w14:textFill>
                        <w14:solidFill>
                          <w14:schemeClr w14:val="tx1"/>
                        </w14:solidFill>
                      </w14:textFill>
                    </w:rPr>
                  </w:pPr>
                  <w:r>
                    <w:rPr>
                      <w:rFonts w:hint="eastAsia" w:ascii="Times New Roman" w:hAnsi="Times New Roman"/>
                      <w:color w:val="000000" w:themeColor="text1"/>
                      <w:kern w:val="0"/>
                      <w:szCs w:val="21"/>
                      <w:highlight w:val="none"/>
                      <w14:textFill>
                        <w14:solidFill>
                          <w14:schemeClr w14:val="tx1"/>
                        </w14:solidFill>
                      </w14:textFill>
                    </w:rPr>
                    <w:t>达标</w:t>
                  </w:r>
                </w:p>
              </w:tc>
            </w:tr>
            <w:tr w14:paraId="061224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03" w:type="pct"/>
                  <w:vMerge w:val="continue"/>
                  <w:noWrap w:val="0"/>
                  <w:vAlign w:val="center"/>
                </w:tcPr>
                <w:p w14:paraId="6FD238DA">
                  <w:pPr>
                    <w:adjustRightInd w:val="0"/>
                    <w:snapToGrid w:val="0"/>
                    <w:spacing w:line="280" w:lineRule="exact"/>
                    <w:jc w:val="center"/>
                    <w:rPr>
                      <w:rFonts w:hint="eastAsia" w:ascii="Times New Roman" w:hAnsi="Times New Roman"/>
                      <w:color w:val="000000" w:themeColor="text1"/>
                      <w:kern w:val="0"/>
                      <w:szCs w:val="21"/>
                      <w:highlight w:val="none"/>
                      <w:lang w:val="en-US" w:eastAsia="zh-CN"/>
                      <w14:textFill>
                        <w14:solidFill>
                          <w14:schemeClr w14:val="tx1"/>
                        </w14:solidFill>
                      </w14:textFill>
                    </w:rPr>
                  </w:pPr>
                </w:p>
              </w:tc>
              <w:tc>
                <w:tcPr>
                  <w:tcW w:w="586" w:type="pct"/>
                  <w:vMerge w:val="continue"/>
                  <w:noWrap w:val="0"/>
                  <w:vAlign w:val="center"/>
                </w:tcPr>
                <w:p w14:paraId="2BDA9817">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c>
                <w:tcPr>
                  <w:tcW w:w="412" w:type="pct"/>
                  <w:noWrap w:val="0"/>
                  <w:vAlign w:val="center"/>
                </w:tcPr>
                <w:p w14:paraId="131228D4">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eastAsia="宋体" w:cs="Times New Roman"/>
                      <w:color w:val="000000" w:themeColor="text1"/>
                      <w:highlight w:val="none"/>
                      <w:lang w:val="en-US" w:eastAsia="zh-CN"/>
                      <w14:textFill>
                        <w14:solidFill>
                          <w14:schemeClr w14:val="tx1"/>
                        </w14:solidFill>
                      </w14:textFill>
                    </w:rPr>
                    <w:t>夜间</w:t>
                  </w:r>
                </w:p>
              </w:tc>
              <w:tc>
                <w:tcPr>
                  <w:tcW w:w="656" w:type="pct"/>
                  <w:noWrap w:val="0"/>
                  <w:vAlign w:val="center"/>
                </w:tcPr>
                <w:p w14:paraId="5B05817C">
                  <w:pPr>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46</w:t>
                  </w:r>
                </w:p>
              </w:tc>
              <w:tc>
                <w:tcPr>
                  <w:tcW w:w="553" w:type="pct"/>
                  <w:vMerge w:val="continue"/>
                  <w:noWrap w:val="0"/>
                  <w:vAlign w:val="center"/>
                </w:tcPr>
                <w:p w14:paraId="254641F6">
                  <w:pPr>
                    <w:adjustRightInd w:val="0"/>
                    <w:snapToGrid w:val="0"/>
                    <w:spacing w:line="280" w:lineRule="exact"/>
                    <w:jc w:val="center"/>
                    <w:rPr>
                      <w:rFonts w:hint="eastAsia" w:ascii="Times New Roman" w:hAnsi="Times New Roman"/>
                      <w:color w:val="000000" w:themeColor="text1"/>
                      <w:kern w:val="0"/>
                      <w:szCs w:val="21"/>
                      <w:highlight w:val="none"/>
                      <w:lang w:val="en-US" w:eastAsia="zh-CN"/>
                      <w14:textFill>
                        <w14:solidFill>
                          <w14:schemeClr w14:val="tx1"/>
                        </w14:solidFill>
                      </w14:textFill>
                    </w:rPr>
                  </w:pPr>
                </w:p>
              </w:tc>
              <w:tc>
                <w:tcPr>
                  <w:tcW w:w="605" w:type="pct"/>
                  <w:noWrap w:val="0"/>
                  <w:vAlign w:val="center"/>
                </w:tcPr>
                <w:p w14:paraId="2B35A308">
                  <w:pPr>
                    <w:adjustRightInd w:val="0"/>
                    <w:snapToGrid w:val="0"/>
                    <w:spacing w:line="280" w:lineRule="exact"/>
                    <w:jc w:val="center"/>
                    <w:rPr>
                      <w:rFonts w:hint="default" w:ascii="Times New Roman" w:hAnsi="Times New Roman"/>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47</w:t>
                  </w:r>
                </w:p>
              </w:tc>
              <w:tc>
                <w:tcPr>
                  <w:tcW w:w="885" w:type="pct"/>
                  <w:vMerge w:val="continue"/>
                  <w:noWrap w:val="0"/>
                  <w:vAlign w:val="center"/>
                </w:tcPr>
                <w:p w14:paraId="559BE64A">
                  <w:pPr>
                    <w:adjustRightInd w:val="0"/>
                    <w:snapToGrid w:val="0"/>
                    <w:spacing w:line="280" w:lineRule="exact"/>
                    <w:jc w:val="center"/>
                    <w:rPr>
                      <w:rFonts w:ascii="Times New Roman" w:hAnsi="Times New Roman"/>
                      <w:color w:val="000000" w:themeColor="text1"/>
                      <w:kern w:val="0"/>
                      <w:szCs w:val="21"/>
                      <w:highlight w:val="none"/>
                      <w14:textFill>
                        <w14:solidFill>
                          <w14:schemeClr w14:val="tx1"/>
                        </w14:solidFill>
                      </w14:textFill>
                    </w:rPr>
                  </w:pPr>
                </w:p>
              </w:tc>
              <w:tc>
                <w:tcPr>
                  <w:tcW w:w="995" w:type="pct"/>
                  <w:noWrap w:val="0"/>
                  <w:vAlign w:val="center"/>
                </w:tcPr>
                <w:p w14:paraId="772C7F89">
                  <w:pPr>
                    <w:adjustRightInd w:val="0"/>
                    <w:snapToGrid w:val="0"/>
                    <w:spacing w:line="280" w:lineRule="exact"/>
                    <w:jc w:val="center"/>
                    <w:rPr>
                      <w:rFonts w:hint="eastAsia" w:ascii="Times New Roman" w:hAnsi="Times New Roman"/>
                      <w:color w:val="000000" w:themeColor="text1"/>
                      <w:kern w:val="0"/>
                      <w:szCs w:val="21"/>
                      <w:highlight w:val="none"/>
                      <w14:textFill>
                        <w14:solidFill>
                          <w14:schemeClr w14:val="tx1"/>
                        </w14:solidFill>
                      </w14:textFill>
                    </w:rPr>
                  </w:pPr>
                  <w:r>
                    <w:rPr>
                      <w:rFonts w:hint="eastAsia" w:ascii="Times New Roman" w:hAnsi="Times New Roman"/>
                      <w:color w:val="000000" w:themeColor="text1"/>
                      <w:kern w:val="0"/>
                      <w:szCs w:val="21"/>
                      <w:highlight w:val="none"/>
                      <w14:textFill>
                        <w14:solidFill>
                          <w14:schemeClr w14:val="tx1"/>
                        </w14:solidFill>
                      </w14:textFill>
                    </w:rPr>
                    <w:t>达标</w:t>
                  </w:r>
                </w:p>
              </w:tc>
            </w:tr>
            <w:tr w14:paraId="55F7F1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303" w:type="pct"/>
                  <w:vMerge w:val="restart"/>
                  <w:noWrap w:val="0"/>
                  <w:vAlign w:val="center"/>
                </w:tcPr>
                <w:p w14:paraId="7F61E3D0">
                  <w:pPr>
                    <w:adjustRightInd w:val="0"/>
                    <w:snapToGrid w:val="0"/>
                    <w:spacing w:line="280" w:lineRule="exact"/>
                    <w:jc w:val="center"/>
                    <w:rPr>
                      <w:rFonts w:hint="default" w:ascii="Times New Roman" w:hAnsi="Times New Roman" w:eastAsia="宋体"/>
                      <w:color w:val="000000" w:themeColor="text1"/>
                      <w:kern w:val="0"/>
                      <w:szCs w:val="21"/>
                      <w:highlight w:val="none"/>
                      <w:lang w:val="en-US" w:eastAsia="zh-CN"/>
                      <w14:textFill>
                        <w14:solidFill>
                          <w14:schemeClr w14:val="tx1"/>
                        </w14:solidFill>
                      </w14:textFill>
                    </w:rPr>
                  </w:pPr>
                  <w:r>
                    <w:rPr>
                      <w:rFonts w:hint="eastAsia" w:ascii="Times New Roman" w:hAnsi="Times New Roman" w:eastAsia="宋体"/>
                      <w:color w:val="000000" w:themeColor="text1"/>
                      <w:kern w:val="0"/>
                      <w:szCs w:val="21"/>
                      <w:highlight w:val="none"/>
                      <w:lang w:val="en-US" w:eastAsia="zh-CN"/>
                      <w14:textFill>
                        <w14:solidFill>
                          <w14:schemeClr w14:val="tx1"/>
                        </w14:solidFill>
                      </w14:textFill>
                    </w:rPr>
                    <w:t>3</w:t>
                  </w:r>
                </w:p>
              </w:tc>
              <w:tc>
                <w:tcPr>
                  <w:tcW w:w="586" w:type="pct"/>
                  <w:vMerge w:val="restart"/>
                  <w:noWrap w:val="0"/>
                  <w:vAlign w:val="center"/>
                </w:tcPr>
                <w:p w14:paraId="578EEA61">
                  <w:pPr>
                    <w:jc w:val="center"/>
                    <w:rPr>
                      <w:rFonts w:hint="eastAsia" w:ascii="Times New Roman" w:hAnsi="Times New Roman"/>
                      <w:color w:val="000000" w:themeColor="text1"/>
                      <w:kern w:val="0"/>
                      <w:szCs w:val="2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N7</w:t>
                  </w:r>
                  <w:r>
                    <w:rPr>
                      <w:rFonts w:hint="eastAsia" w:ascii="Times New Roman" w:hAnsi="Times New Roman" w:eastAsia="宋体"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highlight w:val="none"/>
                      <w:lang w:val="en-US" w:eastAsia="zh-CN"/>
                      <w14:textFill>
                        <w14:solidFill>
                          <w14:schemeClr w14:val="tx1"/>
                        </w14:solidFill>
                      </w14:textFill>
                    </w:rPr>
                    <w:t>敏感点5F</w:t>
                  </w:r>
                </w:p>
              </w:tc>
              <w:tc>
                <w:tcPr>
                  <w:tcW w:w="412" w:type="pct"/>
                  <w:noWrap w:val="0"/>
                  <w:vAlign w:val="center"/>
                </w:tcPr>
                <w:p w14:paraId="71DD52D5">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eastAsia="宋体" w:cs="Times New Roman"/>
                      <w:color w:val="000000" w:themeColor="text1"/>
                      <w:highlight w:val="none"/>
                      <w:lang w:val="en-US" w:eastAsia="zh-CN"/>
                      <w14:textFill>
                        <w14:solidFill>
                          <w14:schemeClr w14:val="tx1"/>
                        </w14:solidFill>
                      </w14:textFill>
                    </w:rPr>
                    <w:t>昼间</w:t>
                  </w:r>
                </w:p>
              </w:tc>
              <w:tc>
                <w:tcPr>
                  <w:tcW w:w="656" w:type="pct"/>
                  <w:noWrap w:val="0"/>
                  <w:vAlign w:val="center"/>
                </w:tcPr>
                <w:p w14:paraId="149C2D07">
                  <w:pPr>
                    <w:jc w:val="center"/>
                    <w:rPr>
                      <w:rFonts w:hint="eastAsia" w:ascii="Times New Roman" w:hAnsi="Times New Roman" w:eastAsia="宋体"/>
                      <w:color w:val="000000" w:themeColor="text1"/>
                      <w:kern w:val="0"/>
                      <w:szCs w:val="2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51</w:t>
                  </w:r>
                </w:p>
              </w:tc>
              <w:tc>
                <w:tcPr>
                  <w:tcW w:w="553" w:type="pct"/>
                  <w:vMerge w:val="restart"/>
                  <w:noWrap w:val="0"/>
                  <w:vAlign w:val="center"/>
                </w:tcPr>
                <w:p w14:paraId="3DDF3A49">
                  <w:pPr>
                    <w:adjustRightInd w:val="0"/>
                    <w:snapToGrid w:val="0"/>
                    <w:spacing w:line="280" w:lineRule="exact"/>
                    <w:jc w:val="center"/>
                    <w:rPr>
                      <w:rFonts w:hint="default" w:ascii="Times New Roman" w:hAnsi="Times New Roman"/>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40.8</w:t>
                  </w:r>
                </w:p>
              </w:tc>
              <w:tc>
                <w:tcPr>
                  <w:tcW w:w="605" w:type="pct"/>
                  <w:noWrap w:val="0"/>
                  <w:vAlign w:val="center"/>
                </w:tcPr>
                <w:p w14:paraId="6F23CDF2">
                  <w:pPr>
                    <w:adjustRightInd w:val="0"/>
                    <w:snapToGrid w:val="0"/>
                    <w:spacing w:line="280" w:lineRule="exact"/>
                    <w:jc w:val="center"/>
                    <w:rPr>
                      <w:rFonts w:hint="default" w:ascii="Times New Roman" w:hAnsi="Times New Roman"/>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51.4</w:t>
                  </w:r>
                </w:p>
              </w:tc>
              <w:tc>
                <w:tcPr>
                  <w:tcW w:w="885" w:type="pct"/>
                  <w:vMerge w:val="continue"/>
                  <w:noWrap w:val="0"/>
                  <w:vAlign w:val="center"/>
                </w:tcPr>
                <w:p w14:paraId="52CC9A0F">
                  <w:pPr>
                    <w:adjustRightInd w:val="0"/>
                    <w:snapToGrid w:val="0"/>
                    <w:spacing w:line="280" w:lineRule="exact"/>
                    <w:jc w:val="center"/>
                    <w:rPr>
                      <w:rFonts w:ascii="Times New Roman" w:hAnsi="Times New Roman"/>
                      <w:color w:val="000000" w:themeColor="text1"/>
                      <w:kern w:val="0"/>
                      <w:szCs w:val="21"/>
                      <w:highlight w:val="none"/>
                      <w14:textFill>
                        <w14:solidFill>
                          <w14:schemeClr w14:val="tx1"/>
                        </w14:solidFill>
                      </w14:textFill>
                    </w:rPr>
                  </w:pPr>
                </w:p>
              </w:tc>
              <w:tc>
                <w:tcPr>
                  <w:tcW w:w="995" w:type="pct"/>
                  <w:noWrap w:val="0"/>
                  <w:vAlign w:val="center"/>
                </w:tcPr>
                <w:p w14:paraId="64382393">
                  <w:pPr>
                    <w:adjustRightInd w:val="0"/>
                    <w:snapToGrid w:val="0"/>
                    <w:spacing w:line="280" w:lineRule="exact"/>
                    <w:jc w:val="center"/>
                    <w:rPr>
                      <w:rFonts w:hint="eastAsia" w:ascii="Times New Roman" w:hAnsi="Times New Roman"/>
                      <w:color w:val="000000" w:themeColor="text1"/>
                      <w:kern w:val="0"/>
                      <w:szCs w:val="21"/>
                      <w:highlight w:val="none"/>
                      <w14:textFill>
                        <w14:solidFill>
                          <w14:schemeClr w14:val="tx1"/>
                        </w14:solidFill>
                      </w14:textFill>
                    </w:rPr>
                  </w:pPr>
                  <w:r>
                    <w:rPr>
                      <w:rFonts w:hint="eastAsia" w:ascii="Times New Roman" w:hAnsi="Times New Roman"/>
                      <w:color w:val="000000" w:themeColor="text1"/>
                      <w:kern w:val="0"/>
                      <w:szCs w:val="21"/>
                      <w:highlight w:val="none"/>
                      <w14:textFill>
                        <w14:solidFill>
                          <w14:schemeClr w14:val="tx1"/>
                        </w14:solidFill>
                      </w14:textFill>
                    </w:rPr>
                    <w:t>达标</w:t>
                  </w:r>
                </w:p>
              </w:tc>
            </w:tr>
            <w:tr w14:paraId="5729CD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03" w:type="pct"/>
                  <w:vMerge w:val="continue"/>
                  <w:noWrap w:val="0"/>
                  <w:vAlign w:val="center"/>
                </w:tcPr>
                <w:p w14:paraId="4F2DE19E">
                  <w:pPr>
                    <w:adjustRightInd w:val="0"/>
                    <w:snapToGrid w:val="0"/>
                    <w:spacing w:line="280" w:lineRule="exact"/>
                    <w:jc w:val="center"/>
                    <w:rPr>
                      <w:rFonts w:hint="eastAsia" w:ascii="Times New Roman" w:hAnsi="Times New Roman" w:eastAsia="宋体"/>
                      <w:color w:val="000000" w:themeColor="text1"/>
                      <w:kern w:val="0"/>
                      <w:szCs w:val="21"/>
                      <w:highlight w:val="none"/>
                      <w:lang w:val="en-US" w:eastAsia="zh-CN"/>
                      <w14:textFill>
                        <w14:solidFill>
                          <w14:schemeClr w14:val="tx1"/>
                        </w14:solidFill>
                      </w14:textFill>
                    </w:rPr>
                  </w:pPr>
                </w:p>
              </w:tc>
              <w:tc>
                <w:tcPr>
                  <w:tcW w:w="586" w:type="pct"/>
                  <w:vMerge w:val="continue"/>
                  <w:noWrap w:val="0"/>
                  <w:vAlign w:val="center"/>
                </w:tcPr>
                <w:p w14:paraId="58AC9C20">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c>
                <w:tcPr>
                  <w:tcW w:w="412" w:type="pct"/>
                  <w:noWrap w:val="0"/>
                  <w:vAlign w:val="center"/>
                </w:tcPr>
                <w:p w14:paraId="42C72DFD">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eastAsia="宋体" w:cs="Times New Roman"/>
                      <w:color w:val="000000" w:themeColor="text1"/>
                      <w:highlight w:val="none"/>
                      <w:lang w:val="en-US" w:eastAsia="zh-CN"/>
                      <w14:textFill>
                        <w14:solidFill>
                          <w14:schemeClr w14:val="tx1"/>
                        </w14:solidFill>
                      </w14:textFill>
                    </w:rPr>
                    <w:t>夜间</w:t>
                  </w:r>
                </w:p>
              </w:tc>
              <w:tc>
                <w:tcPr>
                  <w:tcW w:w="656" w:type="pct"/>
                  <w:noWrap w:val="0"/>
                  <w:vAlign w:val="center"/>
                </w:tcPr>
                <w:p w14:paraId="273D5BA8">
                  <w:pPr>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40</w:t>
                  </w:r>
                </w:p>
              </w:tc>
              <w:tc>
                <w:tcPr>
                  <w:tcW w:w="553" w:type="pct"/>
                  <w:vMerge w:val="continue"/>
                  <w:noWrap w:val="0"/>
                  <w:vAlign w:val="center"/>
                </w:tcPr>
                <w:p w14:paraId="43AE5189">
                  <w:pPr>
                    <w:adjustRightInd w:val="0"/>
                    <w:snapToGrid w:val="0"/>
                    <w:spacing w:line="280" w:lineRule="exact"/>
                    <w:jc w:val="center"/>
                    <w:rPr>
                      <w:rFonts w:hint="eastAsia" w:ascii="Times New Roman" w:hAnsi="Times New Roman"/>
                      <w:color w:val="000000" w:themeColor="text1"/>
                      <w:kern w:val="0"/>
                      <w:szCs w:val="21"/>
                      <w:highlight w:val="none"/>
                      <w:lang w:val="en-US" w:eastAsia="zh-CN"/>
                      <w14:textFill>
                        <w14:solidFill>
                          <w14:schemeClr w14:val="tx1"/>
                        </w14:solidFill>
                      </w14:textFill>
                    </w:rPr>
                  </w:pPr>
                </w:p>
              </w:tc>
              <w:tc>
                <w:tcPr>
                  <w:tcW w:w="605" w:type="pct"/>
                  <w:noWrap w:val="0"/>
                  <w:vAlign w:val="center"/>
                </w:tcPr>
                <w:p w14:paraId="1A018CE1">
                  <w:pPr>
                    <w:adjustRightInd w:val="0"/>
                    <w:snapToGrid w:val="0"/>
                    <w:spacing w:line="280" w:lineRule="exact"/>
                    <w:jc w:val="center"/>
                    <w:rPr>
                      <w:rFonts w:hint="default" w:ascii="Times New Roman" w:hAnsi="Times New Roman"/>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43.4</w:t>
                  </w:r>
                </w:p>
              </w:tc>
              <w:tc>
                <w:tcPr>
                  <w:tcW w:w="885" w:type="pct"/>
                  <w:vMerge w:val="continue"/>
                  <w:noWrap w:val="0"/>
                  <w:vAlign w:val="center"/>
                </w:tcPr>
                <w:p w14:paraId="1C34995A">
                  <w:pPr>
                    <w:adjustRightInd w:val="0"/>
                    <w:snapToGrid w:val="0"/>
                    <w:spacing w:line="280" w:lineRule="exact"/>
                    <w:jc w:val="center"/>
                    <w:rPr>
                      <w:rFonts w:ascii="Times New Roman" w:hAnsi="Times New Roman"/>
                      <w:color w:val="000000" w:themeColor="text1"/>
                      <w:kern w:val="0"/>
                      <w:szCs w:val="21"/>
                      <w:highlight w:val="none"/>
                      <w14:textFill>
                        <w14:solidFill>
                          <w14:schemeClr w14:val="tx1"/>
                        </w14:solidFill>
                      </w14:textFill>
                    </w:rPr>
                  </w:pPr>
                </w:p>
              </w:tc>
              <w:tc>
                <w:tcPr>
                  <w:tcW w:w="995" w:type="pct"/>
                  <w:noWrap w:val="0"/>
                  <w:vAlign w:val="center"/>
                </w:tcPr>
                <w:p w14:paraId="397AD599">
                  <w:pPr>
                    <w:adjustRightInd w:val="0"/>
                    <w:snapToGrid w:val="0"/>
                    <w:spacing w:line="280" w:lineRule="exact"/>
                    <w:jc w:val="center"/>
                    <w:rPr>
                      <w:rFonts w:hint="eastAsia" w:ascii="Times New Roman" w:hAnsi="Times New Roman"/>
                      <w:color w:val="000000" w:themeColor="text1"/>
                      <w:kern w:val="0"/>
                      <w:szCs w:val="21"/>
                      <w:highlight w:val="none"/>
                      <w14:textFill>
                        <w14:solidFill>
                          <w14:schemeClr w14:val="tx1"/>
                        </w14:solidFill>
                      </w14:textFill>
                    </w:rPr>
                  </w:pPr>
                  <w:r>
                    <w:rPr>
                      <w:rFonts w:hint="eastAsia" w:ascii="Times New Roman" w:hAnsi="Times New Roman"/>
                      <w:color w:val="000000" w:themeColor="text1"/>
                      <w:kern w:val="0"/>
                      <w:szCs w:val="21"/>
                      <w:highlight w:val="none"/>
                      <w14:textFill>
                        <w14:solidFill>
                          <w14:schemeClr w14:val="tx1"/>
                        </w14:solidFill>
                      </w14:textFill>
                    </w:rPr>
                    <w:t>达标</w:t>
                  </w:r>
                </w:p>
              </w:tc>
            </w:tr>
          </w:tbl>
          <w:p w14:paraId="5865E4BC">
            <w:pPr>
              <w:spacing w:line="360" w:lineRule="auto"/>
              <w:ind w:firstLine="480" w:firstLineChars="200"/>
              <w:jc w:val="both"/>
              <w:rPr>
                <w:rFonts w:hint="default" w:ascii="Times New Roman" w:hAnsi="Times New Roman" w:cs="Times New Roman"/>
                <w:color w:val="000000" w:themeColor="text1"/>
                <w:sz w:val="24"/>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公租房距离项目厂界约51m</w:t>
            </w:r>
            <w:r>
              <w:rPr>
                <w:rFonts w:hint="eastAsia" w:ascii="Times New Roman" w:hAnsi="Times New Roman"/>
                <w:color w:val="000000" w:themeColor="text1"/>
                <w:sz w:val="24"/>
                <w:highlight w:val="none"/>
                <w:lang w:eastAsia="zh-CN"/>
                <w14:textFill>
                  <w14:solidFill>
                    <w14:schemeClr w14:val="tx1"/>
                  </w14:solidFill>
                </w14:textFill>
              </w:rPr>
              <w:t>，</w:t>
            </w:r>
            <w:r>
              <w:rPr>
                <w:rFonts w:hint="eastAsia" w:ascii="Times New Roman" w:hAnsi="Times New Roman"/>
                <w:color w:val="000000" w:themeColor="text1"/>
                <w:sz w:val="24"/>
                <w:highlight w:val="none"/>
                <w:lang w:val="en-US" w:eastAsia="zh-CN"/>
                <w14:textFill>
                  <w14:solidFill>
                    <w14:schemeClr w14:val="tx1"/>
                  </w14:solidFill>
                </w14:textFill>
              </w:rPr>
              <w:t>由预测结果可知，</w:t>
            </w:r>
            <w:r>
              <w:rPr>
                <w:rFonts w:hint="eastAsia"/>
                <w:color w:val="000000" w:themeColor="text1"/>
                <w:sz w:val="24"/>
                <w:highlight w:val="none"/>
                <w:lang w:val="en-US" w:eastAsia="zh-CN"/>
                <w14:textFill>
                  <w14:solidFill>
                    <w14:schemeClr w14:val="tx1"/>
                  </w14:solidFill>
                </w14:textFill>
              </w:rPr>
              <w:t>该</w:t>
            </w:r>
            <w:r>
              <w:rPr>
                <w:rFonts w:hint="eastAsia" w:ascii="Times New Roman" w:hAnsi="Times New Roman"/>
                <w:color w:val="000000" w:themeColor="text1"/>
                <w:sz w:val="24"/>
                <w:highlight w:val="none"/>
                <w:lang w:val="en-US" w:eastAsia="zh-CN"/>
                <w14:textFill>
                  <w14:solidFill>
                    <w14:schemeClr w14:val="tx1"/>
                  </w14:solidFill>
                </w14:textFill>
              </w:rPr>
              <w:t>敏感点噪声满足《声环境质量标准》（GB3096-2008）</w:t>
            </w:r>
            <w:r>
              <w:rPr>
                <w:rFonts w:hint="eastAsia"/>
                <w:color w:val="000000" w:themeColor="text1"/>
                <w:sz w:val="24"/>
                <w:highlight w:val="none"/>
                <w:lang w:val="en-US" w:eastAsia="zh-CN"/>
                <w14:textFill>
                  <w14:solidFill>
                    <w14:schemeClr w14:val="tx1"/>
                  </w14:solidFill>
                </w14:textFill>
              </w:rPr>
              <w:t>2</w:t>
            </w:r>
            <w:r>
              <w:rPr>
                <w:rFonts w:hint="eastAsia" w:ascii="Times New Roman" w:hAnsi="Times New Roman"/>
                <w:color w:val="000000" w:themeColor="text1"/>
                <w:sz w:val="24"/>
                <w:highlight w:val="none"/>
                <w:lang w:val="en-US" w:eastAsia="zh-CN"/>
                <w14:textFill>
                  <w14:solidFill>
                    <w14:schemeClr w14:val="tx1"/>
                  </w14:solidFill>
                </w14:textFill>
              </w:rPr>
              <w:t>类标准</w:t>
            </w:r>
            <w:r>
              <w:rPr>
                <w:rFonts w:hint="eastAsia"/>
                <w:color w:val="000000" w:themeColor="text1"/>
                <w:sz w:val="24"/>
                <w:highlight w:val="none"/>
                <w:lang w:val="en-US" w:eastAsia="zh-CN"/>
                <w14:textFill>
                  <w14:solidFill>
                    <w14:schemeClr w14:val="tx1"/>
                  </w14:solidFill>
                </w14:textFill>
              </w:rPr>
              <w:t>。</w:t>
            </w:r>
          </w:p>
          <w:p w14:paraId="131AA55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6</w:t>
            </w:r>
            <w:r>
              <w:rPr>
                <w:rFonts w:hint="default" w:ascii="Times New Roman" w:hAnsi="Times New Roman" w:eastAsia="宋体" w:cs="Times New Roman"/>
                <w:color w:val="000000" w:themeColor="text1"/>
                <w:sz w:val="24"/>
                <w:szCs w:val="24"/>
                <w14:textFill>
                  <w14:solidFill>
                    <w14:schemeClr w14:val="tx1"/>
                  </w14:solidFill>
                </w14:textFill>
              </w:rPr>
              <w:t>）环境监测计划</w:t>
            </w:r>
          </w:p>
          <w:p w14:paraId="6B2F06F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sz w:val="24"/>
                <w:szCs w:val="24"/>
                <w:lang w:eastAsia="zh-CN"/>
              </w:rPr>
            </w:pPr>
            <w:r>
              <w:rPr>
                <w:rFonts w:hint="default" w:ascii="Times New Roman" w:hAnsi="Times New Roman" w:eastAsia="宋体" w:cs="Times New Roman"/>
                <w:color w:val="000000" w:themeColor="text1"/>
                <w:sz w:val="24"/>
                <w:szCs w:val="24"/>
                <w14:textFill>
                  <w14:solidFill>
                    <w14:schemeClr w14:val="tx1"/>
                  </w14:solidFill>
                </w14:textFill>
              </w:rPr>
              <w:t>根据《排污单位自行监测技术指南</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14:textFill>
                  <w14:solidFill>
                    <w14:schemeClr w14:val="tx1"/>
                  </w14:solidFill>
                </w14:textFill>
              </w:rPr>
              <w:t>电池工业</w:t>
            </w:r>
            <w:r>
              <w:rPr>
                <w:rFonts w:hint="default" w:ascii="Times New Roman" w:hAnsi="Times New Roman" w:eastAsia="宋体" w:cs="Times New Roman"/>
                <w:color w:val="auto"/>
                <w:sz w:val="24"/>
                <w:szCs w:val="24"/>
              </w:rPr>
              <w:t>》（HJ1204-2021）</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本项目</w:t>
            </w:r>
            <w:r>
              <w:rPr>
                <w:rFonts w:hint="default" w:ascii="Times New Roman" w:hAnsi="Times New Roman" w:eastAsia="宋体" w:cs="Times New Roman"/>
                <w:color w:val="auto"/>
                <w:sz w:val="24"/>
                <w:szCs w:val="24"/>
              </w:rPr>
              <w:t>噪声监测方案见下表</w:t>
            </w:r>
            <w:r>
              <w:rPr>
                <w:rFonts w:hint="eastAsia" w:ascii="Times New Roman" w:hAnsi="Times New Roman" w:eastAsia="宋体" w:cs="Times New Roman"/>
                <w:color w:val="auto"/>
                <w:sz w:val="24"/>
                <w:szCs w:val="24"/>
                <w:lang w:eastAsia="zh-CN"/>
              </w:rPr>
              <w:t>。</w:t>
            </w:r>
          </w:p>
          <w:p w14:paraId="3288A44B">
            <w:pPr>
              <w:pStyle w:val="12"/>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表4-</w:t>
            </w:r>
            <w:r>
              <w:rPr>
                <w:rFonts w:hint="eastAsia" w:eastAsia="宋体" w:cs="Times New Roman"/>
                <w:b/>
                <w:bCs/>
                <w:color w:val="auto"/>
                <w:sz w:val="21"/>
                <w:szCs w:val="21"/>
                <w:lang w:val="en-US" w:eastAsia="zh-CN"/>
              </w:rPr>
              <w:t>20</w:t>
            </w:r>
            <w:r>
              <w:rPr>
                <w:rFonts w:hint="default" w:ascii="Times New Roman" w:hAnsi="Times New Roman" w:eastAsia="宋体" w:cs="Times New Roman"/>
                <w:b/>
                <w:bCs/>
                <w:color w:val="auto"/>
                <w:sz w:val="21"/>
                <w:szCs w:val="21"/>
                <w:lang w:val="en-US" w:eastAsia="zh-CN"/>
              </w:rPr>
              <w:t xml:space="preserve"> </w:t>
            </w:r>
            <w:r>
              <w:rPr>
                <w:rFonts w:hint="default" w:ascii="Times New Roman" w:hAnsi="Times New Roman" w:eastAsia="宋体" w:cs="Times New Roman"/>
                <w:b/>
                <w:bCs/>
                <w:color w:val="auto"/>
                <w:sz w:val="21"/>
                <w:szCs w:val="21"/>
              </w:rPr>
              <w:t>项目噪声监测方案</w:t>
            </w:r>
          </w:p>
          <w:tbl>
            <w:tblPr>
              <w:tblStyle w:val="41"/>
              <w:tblW w:w="783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77"/>
              <w:gridCol w:w="1785"/>
              <w:gridCol w:w="1648"/>
              <w:gridCol w:w="995"/>
              <w:gridCol w:w="2433"/>
            </w:tblGrid>
            <w:tr w14:paraId="22ABF9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977" w:type="dxa"/>
                  <w:noWrap w:val="0"/>
                  <w:tcMar>
                    <w:left w:w="0" w:type="dxa"/>
                    <w:right w:w="0" w:type="dxa"/>
                  </w:tcMar>
                  <w:vAlign w:val="center"/>
                </w:tcPr>
                <w:p w14:paraId="26E67247">
                  <w:pPr>
                    <w:pStyle w:val="208"/>
                    <w:spacing w:line="240" w:lineRule="auto"/>
                    <w:ind w:firstLine="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类别</w:t>
                  </w:r>
                </w:p>
              </w:tc>
              <w:tc>
                <w:tcPr>
                  <w:tcW w:w="1785" w:type="dxa"/>
                  <w:noWrap w:val="0"/>
                  <w:tcMar>
                    <w:left w:w="0" w:type="dxa"/>
                    <w:right w:w="0" w:type="dxa"/>
                  </w:tcMar>
                  <w:vAlign w:val="center"/>
                </w:tcPr>
                <w:p w14:paraId="7AB12DD0">
                  <w:pPr>
                    <w:pStyle w:val="208"/>
                    <w:spacing w:line="240" w:lineRule="auto"/>
                    <w:ind w:firstLine="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监测点位</w:t>
                  </w:r>
                </w:p>
              </w:tc>
              <w:tc>
                <w:tcPr>
                  <w:tcW w:w="1648" w:type="dxa"/>
                  <w:noWrap w:val="0"/>
                  <w:tcMar>
                    <w:left w:w="0" w:type="dxa"/>
                    <w:right w:w="0" w:type="dxa"/>
                  </w:tcMar>
                  <w:vAlign w:val="center"/>
                </w:tcPr>
                <w:p w14:paraId="67C622A9">
                  <w:pPr>
                    <w:pStyle w:val="208"/>
                    <w:spacing w:line="240" w:lineRule="auto"/>
                    <w:ind w:firstLine="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监测指标</w:t>
                  </w:r>
                </w:p>
              </w:tc>
              <w:tc>
                <w:tcPr>
                  <w:tcW w:w="995" w:type="dxa"/>
                  <w:noWrap w:val="0"/>
                  <w:tcMar>
                    <w:left w:w="0" w:type="dxa"/>
                    <w:right w:w="0" w:type="dxa"/>
                  </w:tcMar>
                  <w:vAlign w:val="center"/>
                </w:tcPr>
                <w:p w14:paraId="76D54F30">
                  <w:pPr>
                    <w:pStyle w:val="208"/>
                    <w:spacing w:line="240" w:lineRule="auto"/>
                    <w:ind w:firstLine="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监测频次</w:t>
                  </w:r>
                </w:p>
              </w:tc>
              <w:tc>
                <w:tcPr>
                  <w:tcW w:w="2433" w:type="dxa"/>
                  <w:noWrap w:val="0"/>
                  <w:tcMar>
                    <w:left w:w="0" w:type="dxa"/>
                    <w:right w:w="0" w:type="dxa"/>
                  </w:tcMar>
                  <w:vAlign w:val="center"/>
                </w:tcPr>
                <w:p w14:paraId="718DF8EC">
                  <w:pPr>
                    <w:pStyle w:val="208"/>
                    <w:spacing w:line="240" w:lineRule="auto"/>
                    <w:ind w:firstLine="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执行排放标准</w:t>
                  </w:r>
                </w:p>
              </w:tc>
            </w:tr>
            <w:tr w14:paraId="1C0B60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10" w:hRule="atLeast"/>
                <w:jc w:val="center"/>
              </w:trPr>
              <w:tc>
                <w:tcPr>
                  <w:tcW w:w="977" w:type="dxa"/>
                  <w:noWrap w:val="0"/>
                  <w:tcMar>
                    <w:left w:w="0" w:type="dxa"/>
                    <w:right w:w="0" w:type="dxa"/>
                  </w:tcMar>
                  <w:vAlign w:val="center"/>
                </w:tcPr>
                <w:p w14:paraId="25088DDD">
                  <w:pPr>
                    <w:pStyle w:val="7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噪声</w:t>
                  </w:r>
                </w:p>
              </w:tc>
              <w:tc>
                <w:tcPr>
                  <w:tcW w:w="1785" w:type="dxa"/>
                  <w:noWrap w:val="0"/>
                  <w:tcMar>
                    <w:left w:w="0" w:type="dxa"/>
                    <w:right w:w="0" w:type="dxa"/>
                  </w:tcMar>
                  <w:vAlign w:val="center"/>
                </w:tcPr>
                <w:p w14:paraId="4905D49D">
                  <w:pPr>
                    <w:pStyle w:val="70"/>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厂界四周</w:t>
                  </w:r>
                </w:p>
              </w:tc>
              <w:tc>
                <w:tcPr>
                  <w:tcW w:w="1648" w:type="dxa"/>
                  <w:noWrap w:val="0"/>
                  <w:tcMar>
                    <w:left w:w="0" w:type="dxa"/>
                    <w:right w:w="0" w:type="dxa"/>
                  </w:tcMar>
                  <w:vAlign w:val="center"/>
                </w:tcPr>
                <w:p w14:paraId="7CCC7F34">
                  <w:pPr>
                    <w:pStyle w:val="7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昼间、夜间</w:t>
                  </w:r>
                  <w:r>
                    <w:rPr>
                      <w:rFonts w:hint="default" w:ascii="Times New Roman" w:hAnsi="Times New Roman" w:eastAsia="宋体" w:cs="Times New Roman"/>
                      <w:color w:val="auto"/>
                      <w:sz w:val="21"/>
                      <w:szCs w:val="21"/>
                    </w:rPr>
                    <w:t>等效</w:t>
                  </w:r>
                  <w:r>
                    <w:rPr>
                      <w:rFonts w:hint="default" w:ascii="Times New Roman" w:hAnsi="Times New Roman" w:eastAsia="宋体" w:cs="Times New Roman"/>
                      <w:color w:val="auto"/>
                      <w:sz w:val="21"/>
                      <w:szCs w:val="21"/>
                      <w:lang w:val="en-US" w:eastAsia="zh-CN"/>
                    </w:rPr>
                    <w:t>连续</w:t>
                  </w:r>
                  <w:r>
                    <w:rPr>
                      <w:rFonts w:hint="default" w:ascii="Times New Roman" w:hAnsi="Times New Roman" w:eastAsia="宋体" w:cs="Times New Roman"/>
                      <w:color w:val="auto"/>
                      <w:sz w:val="21"/>
                      <w:szCs w:val="21"/>
                    </w:rPr>
                    <w:t>A声级</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lang w:val="en-US" w:eastAsia="zh-CN"/>
                    </w:rPr>
                    <w:t>夜间偶发最大声级</w:t>
                  </w:r>
                </w:p>
              </w:tc>
              <w:tc>
                <w:tcPr>
                  <w:tcW w:w="995" w:type="dxa"/>
                  <w:noWrap w:val="0"/>
                  <w:tcMar>
                    <w:left w:w="0" w:type="dxa"/>
                    <w:right w:w="0" w:type="dxa"/>
                  </w:tcMar>
                  <w:vAlign w:val="center"/>
                </w:tcPr>
                <w:p w14:paraId="28CF0B83">
                  <w:pPr>
                    <w:pStyle w:val="7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1次/季度</w:t>
                  </w:r>
                </w:p>
              </w:tc>
              <w:tc>
                <w:tcPr>
                  <w:tcW w:w="2433" w:type="dxa"/>
                  <w:noWrap w:val="0"/>
                  <w:tcMar>
                    <w:left w:w="0" w:type="dxa"/>
                    <w:right w:w="0" w:type="dxa"/>
                  </w:tcMar>
                  <w:vAlign w:val="center"/>
                </w:tcPr>
                <w:p w14:paraId="1CD1147A">
                  <w:pPr>
                    <w:pStyle w:val="7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《工业企业厂界环境噪声排放标准》（GB 12348-2008）3类标准</w:t>
                  </w:r>
                </w:p>
              </w:tc>
            </w:tr>
          </w:tbl>
          <w:p w14:paraId="58D580F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4、固体废物</w:t>
            </w:r>
          </w:p>
          <w:p w14:paraId="06D96A3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（1）固废产生源强及治理措施</w:t>
            </w:r>
          </w:p>
          <w:p w14:paraId="6E8353F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eastAsia" w:cs="Times New Roman"/>
                <w:color w:val="auto"/>
                <w:sz w:val="24"/>
                <w:szCs w:val="24"/>
                <w:lang w:val="en-US" w:eastAsia="zh-CN"/>
              </w:rPr>
              <w:t>本项目采用无油螺杆空压机</w:t>
            </w:r>
            <w:r>
              <w:rPr>
                <w:rFonts w:ascii="宋体" w:hAnsi="宋体" w:eastAsia="宋体" w:cs="宋体"/>
                <w:color w:val="auto"/>
                <w:sz w:val="24"/>
                <w:szCs w:val="24"/>
              </w:rPr>
              <w:t>，设备不使用矿物润滑油</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因此不产生含油废水，营运期</w:t>
            </w:r>
            <w:r>
              <w:rPr>
                <w:rFonts w:hint="eastAsia" w:ascii="宋体" w:hAnsi="宋体" w:cs="宋体"/>
                <w:color w:val="auto"/>
                <w:sz w:val="24"/>
                <w:szCs w:val="24"/>
                <w:lang w:val="en-US" w:eastAsia="zh-CN"/>
              </w:rPr>
              <w:t>固体废物</w:t>
            </w:r>
            <w:r>
              <w:rPr>
                <w:rFonts w:hint="eastAsia" w:ascii="宋体" w:hAnsi="宋体" w:eastAsia="宋体" w:cs="宋体"/>
                <w:color w:val="auto"/>
                <w:sz w:val="24"/>
                <w:szCs w:val="24"/>
                <w:lang w:val="en-US" w:eastAsia="zh-CN"/>
              </w:rPr>
              <w:t>主要</w:t>
            </w:r>
            <w:r>
              <w:rPr>
                <w:rFonts w:hint="default" w:ascii="Times New Roman" w:hAnsi="Times New Roman" w:eastAsia="宋体" w:cs="Times New Roman"/>
                <w:color w:val="auto"/>
                <w:sz w:val="24"/>
                <w:szCs w:val="24"/>
              </w:rPr>
              <w:t>分为生活垃圾、一般固废和危险废物</w:t>
            </w:r>
            <w:r>
              <w:rPr>
                <w:rFonts w:hint="eastAsia" w:cs="Times New Roman"/>
                <w:color w:val="auto"/>
                <w:sz w:val="24"/>
                <w:szCs w:val="24"/>
                <w:lang w:val="en-US" w:eastAsia="zh-CN"/>
              </w:rPr>
              <w:t>等</w:t>
            </w:r>
            <w:r>
              <w:rPr>
                <w:rFonts w:hint="default" w:ascii="Times New Roman" w:hAnsi="Times New Roman" w:eastAsia="宋体" w:cs="Times New Roman"/>
                <w:color w:val="auto"/>
                <w:sz w:val="24"/>
                <w:szCs w:val="24"/>
              </w:rPr>
              <w:t>。</w:t>
            </w:r>
          </w:p>
          <w:p w14:paraId="0D94273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auto"/>
                <w:sz w:val="24"/>
                <w:szCs w:val="24"/>
              </w:rPr>
            </w:pPr>
            <w:r>
              <w:rPr>
                <w:rFonts w:hint="eastAsia" w:ascii="Times New Roman" w:hAnsi="Times New Roman" w:eastAsia="宋体" w:cs="Times New Roman"/>
                <w:b/>
                <w:bCs/>
                <w:color w:val="auto"/>
                <w:sz w:val="24"/>
                <w:szCs w:val="24"/>
                <w:lang w:val="en-US" w:eastAsia="zh-CN"/>
              </w:rPr>
              <w:t>1）</w:t>
            </w:r>
            <w:r>
              <w:rPr>
                <w:rFonts w:hint="default" w:ascii="Times New Roman" w:hAnsi="Times New Roman" w:eastAsia="宋体" w:cs="Times New Roman"/>
                <w:b/>
                <w:bCs/>
                <w:color w:val="auto"/>
                <w:sz w:val="24"/>
                <w:szCs w:val="24"/>
              </w:rPr>
              <w:t>生活垃圾</w:t>
            </w:r>
          </w:p>
          <w:p w14:paraId="0894581F">
            <w:pPr>
              <w:pStyle w:val="217"/>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color w:val="auto"/>
                <w:sz w:val="24"/>
                <w:szCs w:val="24"/>
              </w:rPr>
            </w:pPr>
            <w:r>
              <w:rPr>
                <w:rFonts w:hint="eastAsia" w:ascii="Times New Roman" w:hAnsi="Times New Roman" w:cs="Times New Roman"/>
                <w:b/>
                <w:bCs/>
                <w:color w:val="auto"/>
                <w:sz w:val="24"/>
                <w:szCs w:val="24"/>
                <w:lang w:val="en-US" w:eastAsia="zh-CN"/>
              </w:rPr>
              <w:t>①员工生活垃圾：</w:t>
            </w:r>
            <w:r>
              <w:rPr>
                <w:rFonts w:hint="default" w:ascii="Times New Roman" w:hAnsi="Times New Roman" w:eastAsia="宋体" w:cs="Times New Roman"/>
                <w:color w:val="auto"/>
                <w:sz w:val="24"/>
                <w:szCs w:val="24"/>
              </w:rPr>
              <w:t>本项目劳动定员</w:t>
            </w:r>
            <w:r>
              <w:rPr>
                <w:rFonts w:hint="eastAsia" w:ascii="Times New Roman" w:hAnsi="Times New Roman" w:eastAsia="宋体" w:cs="Times New Roman"/>
                <w:color w:val="auto"/>
                <w:sz w:val="24"/>
                <w:szCs w:val="24"/>
                <w:lang w:val="en-US" w:eastAsia="zh-CN"/>
              </w:rPr>
              <w:t>160</w:t>
            </w:r>
            <w:r>
              <w:rPr>
                <w:rFonts w:hint="default" w:ascii="Times New Roman" w:hAnsi="Times New Roman" w:eastAsia="宋体" w:cs="Times New Roman"/>
                <w:color w:val="auto"/>
                <w:sz w:val="24"/>
                <w:szCs w:val="24"/>
              </w:rPr>
              <w:t>人，年工作3</w:t>
            </w:r>
            <w:r>
              <w:rPr>
                <w:rFonts w:hint="default" w:ascii="Times New Roman" w:hAnsi="Times New Roman" w:eastAsia="宋体" w:cs="Times New Roman"/>
                <w:color w:val="auto"/>
                <w:sz w:val="24"/>
                <w:szCs w:val="24"/>
                <w:lang w:val="en-US" w:eastAsia="zh-CN"/>
              </w:rPr>
              <w:t>0</w:t>
            </w:r>
            <w:r>
              <w:rPr>
                <w:rFonts w:hint="default" w:ascii="Times New Roman" w:hAnsi="Times New Roman" w:eastAsia="宋体" w:cs="Times New Roman"/>
                <w:color w:val="auto"/>
                <w:sz w:val="24"/>
                <w:szCs w:val="24"/>
              </w:rPr>
              <w:t>0天。生活垃圾产生量按0.5</w:t>
            </w:r>
            <w:r>
              <w:rPr>
                <w:rFonts w:hint="default" w:ascii="Times New Roman" w:hAnsi="Times New Roman" w:eastAsia="宋体" w:cs="Times New Roman"/>
                <w:color w:val="auto"/>
                <w:sz w:val="24"/>
                <w:szCs w:val="24"/>
                <w:lang w:eastAsia="zh-CN"/>
              </w:rPr>
              <w:t>kg</w:t>
            </w:r>
            <w:r>
              <w:rPr>
                <w:rFonts w:hint="default" w:ascii="Times New Roman" w:hAnsi="Times New Roman" w:eastAsia="宋体" w:cs="Times New Roman"/>
                <w:color w:val="auto"/>
                <w:sz w:val="24"/>
                <w:szCs w:val="24"/>
              </w:rPr>
              <w:t>/人·d计，则产生量为</w:t>
            </w:r>
            <w:r>
              <w:rPr>
                <w:rFonts w:hint="eastAsia" w:ascii="Times New Roman" w:hAnsi="Times New Roman" w:eastAsia="宋体" w:cs="Times New Roman"/>
                <w:color w:val="auto"/>
                <w:sz w:val="24"/>
                <w:szCs w:val="24"/>
                <w:lang w:val="en-US" w:eastAsia="zh-CN"/>
              </w:rPr>
              <w:t>80</w:t>
            </w:r>
            <w:r>
              <w:rPr>
                <w:rFonts w:hint="default" w:ascii="Times New Roman" w:hAnsi="Times New Roman" w:eastAsia="宋体" w:cs="Times New Roman"/>
                <w:color w:val="auto"/>
                <w:sz w:val="24"/>
                <w:szCs w:val="24"/>
                <w:lang w:eastAsia="zh-CN"/>
              </w:rPr>
              <w:t>kg</w:t>
            </w:r>
            <w:r>
              <w:rPr>
                <w:rFonts w:hint="default" w:ascii="Times New Roman" w:hAnsi="Times New Roman" w:eastAsia="宋体" w:cs="Times New Roman"/>
                <w:color w:val="auto"/>
                <w:sz w:val="24"/>
                <w:szCs w:val="24"/>
              </w:rPr>
              <w:t>/d（</w:t>
            </w:r>
            <w:r>
              <w:rPr>
                <w:rFonts w:hint="eastAsia" w:ascii="Times New Roman" w:hAnsi="Times New Roman" w:eastAsia="宋体" w:cs="Times New Roman"/>
                <w:color w:val="auto"/>
                <w:sz w:val="24"/>
                <w:szCs w:val="24"/>
                <w:lang w:val="en-US" w:eastAsia="zh-CN"/>
              </w:rPr>
              <w:t>24</w:t>
            </w:r>
            <w:r>
              <w:rPr>
                <w:rFonts w:hint="default" w:ascii="Times New Roman" w:hAnsi="Times New Roman" w:eastAsia="宋体" w:cs="Times New Roman"/>
                <w:color w:val="auto"/>
                <w:sz w:val="24"/>
                <w:szCs w:val="24"/>
              </w:rPr>
              <w:t>t/a）</w:t>
            </w:r>
            <w:r>
              <w:rPr>
                <w:rFonts w:hint="eastAsia" w:ascii="宋体" w:hAnsi="宋体" w:eastAsia="宋体" w:cs="宋体"/>
                <w:color w:val="auto"/>
                <w:sz w:val="24"/>
                <w:szCs w:val="24"/>
              </w:rPr>
              <w:t>，经</w:t>
            </w:r>
            <w:r>
              <w:rPr>
                <w:rFonts w:hint="default" w:ascii="Times New Roman" w:hAnsi="Times New Roman" w:eastAsia="宋体" w:cs="Times New Roman"/>
                <w:color w:val="auto"/>
                <w:sz w:val="24"/>
                <w:szCs w:val="24"/>
                <w:lang w:val="en-US" w:eastAsia="zh-CN"/>
              </w:rPr>
              <w:t>收集</w:t>
            </w:r>
            <w:r>
              <w:rPr>
                <w:rFonts w:hint="eastAsia" w:ascii="Times New Roman" w:hAnsi="Times New Roman" w:eastAsia="宋体" w:cs="Times New Roman"/>
                <w:color w:val="auto"/>
                <w:sz w:val="24"/>
                <w:szCs w:val="24"/>
                <w:lang w:val="en-US" w:eastAsia="zh-CN"/>
              </w:rPr>
              <w:t>后交</w:t>
            </w:r>
            <w:r>
              <w:rPr>
                <w:rFonts w:hint="default" w:ascii="Times New Roman" w:hAnsi="Times New Roman" w:eastAsia="宋体" w:cs="Times New Roman"/>
                <w:color w:val="auto"/>
                <w:sz w:val="24"/>
                <w:szCs w:val="24"/>
              </w:rPr>
              <w:t>由当地环卫部门清运</w:t>
            </w:r>
            <w:r>
              <w:rPr>
                <w:rFonts w:hint="eastAsia" w:ascii="Times New Roman" w:hAnsi="Times New Roman" w:eastAsia="宋体" w:cs="Times New Roman"/>
                <w:color w:val="auto"/>
                <w:sz w:val="24"/>
                <w:szCs w:val="24"/>
                <w:lang w:val="en-US" w:eastAsia="zh-CN"/>
              </w:rPr>
              <w:t>处理</w:t>
            </w:r>
            <w:r>
              <w:rPr>
                <w:rFonts w:hint="default" w:ascii="Times New Roman" w:hAnsi="Times New Roman" w:eastAsia="宋体" w:cs="Times New Roman"/>
                <w:color w:val="auto"/>
                <w:sz w:val="24"/>
                <w:szCs w:val="24"/>
              </w:rPr>
              <w:t>。</w:t>
            </w:r>
          </w:p>
          <w:p w14:paraId="54C8DC9D">
            <w:pPr>
              <w:pStyle w:val="217"/>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cs="Times New Roman"/>
                <w:b/>
                <w:bCs/>
                <w:color w:val="auto"/>
                <w:sz w:val="24"/>
                <w:szCs w:val="24"/>
                <w:lang w:val="en-US" w:eastAsia="zh-CN"/>
              </w:rPr>
              <w:t>②预处理池污泥：</w:t>
            </w:r>
            <w:r>
              <w:rPr>
                <w:rFonts w:hint="eastAsia"/>
                <w:color w:val="auto"/>
                <w:sz w:val="24"/>
                <w:highlight w:val="none"/>
              </w:rPr>
              <w:t>本项目</w:t>
            </w:r>
            <w:r>
              <w:rPr>
                <w:rFonts w:hint="eastAsia"/>
                <w:color w:val="auto"/>
                <w:sz w:val="24"/>
                <w:highlight w:val="none"/>
                <w:lang w:val="en-US" w:eastAsia="zh-CN"/>
              </w:rPr>
              <w:t>预处理池污泥产生量约</w:t>
            </w:r>
            <w:r>
              <w:rPr>
                <w:rFonts w:hint="default" w:ascii="Times New Roman" w:hAnsi="Times New Roman" w:cs="Times New Roman"/>
                <w:color w:val="auto"/>
                <w:sz w:val="24"/>
                <w:highlight w:val="none"/>
                <w:lang w:val="en-US" w:eastAsia="zh-CN"/>
              </w:rPr>
              <w:t>0.6t/a</w:t>
            </w:r>
            <w:r>
              <w:rPr>
                <w:rFonts w:hint="eastAsia"/>
                <w:color w:val="auto"/>
                <w:sz w:val="24"/>
                <w:highlight w:val="none"/>
                <w:lang w:val="en-US" w:eastAsia="zh-CN"/>
              </w:rPr>
              <w:t>，委托有能力的单位转运处置。</w:t>
            </w:r>
          </w:p>
          <w:p w14:paraId="425F2394">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auto"/>
                <w:sz w:val="24"/>
                <w:szCs w:val="24"/>
              </w:rPr>
            </w:pPr>
            <w:r>
              <w:rPr>
                <w:rFonts w:hint="eastAsia" w:ascii="Times New Roman" w:hAnsi="Times New Roman" w:eastAsia="宋体" w:cs="Times New Roman"/>
                <w:b/>
                <w:bCs/>
                <w:color w:val="auto"/>
                <w:sz w:val="24"/>
                <w:szCs w:val="24"/>
                <w:lang w:val="en-US" w:eastAsia="zh-CN"/>
              </w:rPr>
              <w:t>2）</w:t>
            </w:r>
            <w:r>
              <w:rPr>
                <w:rFonts w:hint="default" w:ascii="Times New Roman" w:hAnsi="Times New Roman" w:eastAsia="宋体" w:cs="Times New Roman"/>
                <w:b/>
                <w:bCs/>
                <w:color w:val="auto"/>
                <w:sz w:val="24"/>
                <w:szCs w:val="24"/>
              </w:rPr>
              <w:t>一般工业固废</w:t>
            </w:r>
          </w:p>
          <w:p w14:paraId="330BDB1E">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imes New Roman" w:hAnsi="Times New Roman" w:eastAsia="宋体" w:cs="Times New Roman"/>
                <w:b/>
                <w:bCs/>
                <w:color w:val="auto"/>
                <w:sz w:val="24"/>
                <w:szCs w:val="24"/>
                <w:lang w:eastAsia="zh-CN"/>
              </w:rPr>
            </w:pPr>
            <w:r>
              <w:rPr>
                <w:rFonts w:hint="eastAsia" w:cs="Times New Roman"/>
                <w:b/>
                <w:bCs/>
                <w:color w:val="auto"/>
                <w:sz w:val="24"/>
                <w:szCs w:val="24"/>
                <w:lang w:val="en-US" w:eastAsia="zh-CN"/>
              </w:rPr>
              <w:t>①</w:t>
            </w:r>
            <w:r>
              <w:rPr>
                <w:rFonts w:hint="default" w:ascii="Times New Roman" w:hAnsi="Times New Roman" w:eastAsia="宋体" w:cs="Times New Roman"/>
                <w:b/>
                <w:bCs/>
                <w:color w:val="auto"/>
                <w:sz w:val="24"/>
                <w:szCs w:val="24"/>
              </w:rPr>
              <w:t>废包装</w:t>
            </w:r>
            <w:r>
              <w:rPr>
                <w:rFonts w:hint="eastAsia" w:ascii="Times New Roman" w:hAnsi="Times New Roman" w:eastAsia="宋体" w:cs="Times New Roman"/>
                <w:b/>
                <w:bCs/>
                <w:color w:val="auto"/>
                <w:sz w:val="24"/>
                <w:szCs w:val="24"/>
                <w:lang w:val="en-US" w:eastAsia="zh-CN"/>
              </w:rPr>
              <w:t>材料</w:t>
            </w:r>
          </w:p>
          <w:p w14:paraId="1A61EE4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ascii="宋体" w:hAnsi="宋体" w:eastAsia="宋体" w:cs="宋体"/>
                <w:color w:val="auto"/>
                <w:sz w:val="24"/>
                <w:szCs w:val="24"/>
              </w:rPr>
              <w:t>项目</w:t>
            </w:r>
            <w:r>
              <w:rPr>
                <w:rFonts w:hint="eastAsia" w:ascii="宋体" w:hAnsi="宋体" w:eastAsia="宋体" w:cs="宋体"/>
                <w:color w:val="auto"/>
                <w:sz w:val="24"/>
                <w:szCs w:val="24"/>
                <w:lang w:val="en-US" w:eastAsia="zh-CN"/>
              </w:rPr>
              <w:t>在原材料拆包、产品包装等生产过</w:t>
            </w:r>
            <w:r>
              <w:rPr>
                <w:rFonts w:hint="eastAsia" w:ascii="宋体" w:hAnsi="宋体" w:cs="宋体"/>
                <w:color w:val="auto"/>
                <w:sz w:val="24"/>
                <w:szCs w:val="24"/>
                <w:lang w:val="en-US" w:eastAsia="zh-CN"/>
              </w:rPr>
              <w:t>程中</w:t>
            </w:r>
            <w:r>
              <w:rPr>
                <w:rFonts w:hint="eastAsia" w:ascii="宋体" w:hAnsi="宋体" w:eastAsia="宋体" w:cs="宋体"/>
                <w:color w:val="auto"/>
                <w:sz w:val="24"/>
                <w:szCs w:val="24"/>
                <w:lang w:val="en-US" w:eastAsia="zh-CN"/>
              </w:rPr>
              <w:t>会产生各类废包装材料</w:t>
            </w:r>
            <w:r>
              <w:rPr>
                <w:rFonts w:hint="eastAsia" w:ascii="宋体" w:hAnsi="宋体" w:eastAsia="宋体" w:cs="宋体"/>
                <w:color w:val="auto"/>
                <w:sz w:val="24"/>
                <w:szCs w:val="24"/>
              </w:rPr>
              <w:t>，年产生量约为</w:t>
            </w:r>
            <w:r>
              <w:rPr>
                <w:rFonts w:hint="default" w:ascii="Times New Roman" w:hAnsi="Times New Roman" w:eastAsia="宋体" w:cs="Times New Roman"/>
                <w:color w:val="auto"/>
                <w:sz w:val="24"/>
                <w:szCs w:val="24"/>
              </w:rPr>
              <w:t>0.</w:t>
            </w:r>
            <w:r>
              <w:rPr>
                <w:rFonts w:hint="default" w:ascii="Times New Roman" w:hAnsi="Times New Roman" w:eastAsia="宋体" w:cs="Times New Roman"/>
                <w:color w:val="auto"/>
                <w:sz w:val="24"/>
                <w:szCs w:val="24"/>
                <w:lang w:val="en-US" w:eastAsia="zh-CN"/>
              </w:rPr>
              <w:t>2</w:t>
            </w:r>
            <w:r>
              <w:rPr>
                <w:rFonts w:hint="default" w:ascii="Times New Roman" w:hAnsi="Times New Roman" w:eastAsia="宋体" w:cs="Times New Roman"/>
                <w:color w:val="auto"/>
                <w:sz w:val="24"/>
                <w:szCs w:val="24"/>
              </w:rPr>
              <w:t>t/a</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属于</w:t>
            </w:r>
            <w:r>
              <w:rPr>
                <w:rFonts w:hint="eastAsia" w:ascii="宋体" w:hAnsi="宋体" w:eastAsia="宋体" w:cs="宋体"/>
                <w:color w:val="auto"/>
                <w:sz w:val="24"/>
                <w:szCs w:val="24"/>
              </w:rPr>
              <w:t>《固体废物分类与代码目录》</w:t>
            </w:r>
            <w:r>
              <w:rPr>
                <w:rFonts w:hint="eastAsia" w:ascii="宋体" w:hAnsi="宋体" w:eastAsia="宋体" w:cs="宋体"/>
                <w:color w:val="auto"/>
                <w:sz w:val="24"/>
                <w:szCs w:val="24"/>
                <w:lang w:val="en-US" w:eastAsia="zh-CN"/>
              </w:rPr>
              <w:t>中</w:t>
            </w:r>
            <w:r>
              <w:rPr>
                <w:rFonts w:hint="eastAsia" w:ascii="宋体" w:hAnsi="宋体" w:eastAsia="宋体" w:cs="宋体"/>
                <w:color w:val="auto"/>
                <w:sz w:val="24"/>
                <w:szCs w:val="24"/>
                <w:lang w:eastAsia="zh-CN"/>
              </w:rPr>
              <w:t>“</w:t>
            </w:r>
            <w:r>
              <w:rPr>
                <w:rFonts w:hint="default" w:ascii="Times New Roman" w:hAnsi="Times New Roman" w:eastAsia="宋体" w:cs="Times New Roman"/>
                <w:color w:val="auto"/>
                <w:sz w:val="24"/>
                <w:szCs w:val="24"/>
              </w:rPr>
              <w:t>SW17可再生类废物</w:t>
            </w:r>
            <w:r>
              <w:rPr>
                <w:rFonts w:hint="default"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rPr>
              <w:t>非特定行业</w:t>
            </w:r>
            <w:r>
              <w:rPr>
                <w:rFonts w:hint="default"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rPr>
              <w:t>900-003-S17</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，收集</w:t>
            </w:r>
            <w:r>
              <w:rPr>
                <w:rFonts w:hint="default" w:ascii="Times New Roman" w:hAnsi="Times New Roman" w:eastAsia="宋体" w:cs="Times New Roman"/>
                <w:color w:val="auto"/>
                <w:sz w:val="24"/>
                <w:szCs w:val="24"/>
              </w:rPr>
              <w:t>后送至一般固废暂存间，定期外售综合利用。</w:t>
            </w:r>
          </w:p>
          <w:p w14:paraId="617AB68B">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cs="Times New Roman"/>
                <w:b/>
                <w:bCs/>
                <w:color w:val="auto"/>
                <w:sz w:val="24"/>
                <w:szCs w:val="24"/>
                <w:lang w:val="en-US" w:eastAsia="zh-CN"/>
              </w:rPr>
            </w:pPr>
            <w:r>
              <w:rPr>
                <w:rFonts w:hint="eastAsia" w:cs="Times New Roman"/>
                <w:b/>
                <w:bCs/>
                <w:color w:val="auto"/>
                <w:sz w:val="24"/>
                <w:szCs w:val="24"/>
                <w:lang w:val="en-US" w:eastAsia="zh-CN"/>
              </w:rPr>
              <w:t>②废边角料</w:t>
            </w:r>
          </w:p>
          <w:p w14:paraId="47D64EF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rPr>
            </w:pPr>
            <w:r>
              <w:rPr>
                <w:rFonts w:hint="eastAsia" w:ascii="宋体" w:hAnsi="宋体" w:cs="宋体"/>
                <w:color w:val="auto"/>
                <w:sz w:val="24"/>
                <w:szCs w:val="24"/>
                <w:lang w:val="en-US" w:eastAsia="zh-CN"/>
              </w:rPr>
              <w:t>项</w:t>
            </w:r>
            <w:r>
              <w:rPr>
                <w:rFonts w:ascii="宋体" w:hAnsi="宋体" w:eastAsia="宋体" w:cs="宋体"/>
                <w:color w:val="auto"/>
                <w:sz w:val="24"/>
                <w:szCs w:val="24"/>
              </w:rPr>
              <w:t>目在正负极极片</w:t>
            </w:r>
            <w:r>
              <w:rPr>
                <w:rFonts w:hint="eastAsia" w:ascii="宋体" w:hAnsi="宋体" w:cs="宋体"/>
                <w:color w:val="auto"/>
                <w:sz w:val="24"/>
                <w:szCs w:val="24"/>
                <w:lang w:val="en-US" w:eastAsia="zh-CN"/>
              </w:rPr>
              <w:t>涂布、</w:t>
            </w:r>
            <w:r>
              <w:rPr>
                <w:rFonts w:ascii="宋体" w:hAnsi="宋体" w:eastAsia="宋体" w:cs="宋体"/>
                <w:color w:val="auto"/>
                <w:sz w:val="24"/>
                <w:szCs w:val="24"/>
              </w:rPr>
              <w:t>分条、</w:t>
            </w:r>
            <w:r>
              <w:rPr>
                <w:rFonts w:hint="eastAsia" w:ascii="宋体" w:hAnsi="宋体" w:cs="宋体"/>
                <w:color w:val="auto"/>
                <w:sz w:val="24"/>
                <w:szCs w:val="24"/>
                <w:lang w:val="en-US" w:eastAsia="zh-CN"/>
              </w:rPr>
              <w:t>模切</w:t>
            </w:r>
            <w:r>
              <w:rPr>
                <w:rFonts w:ascii="宋体" w:hAnsi="宋体" w:eastAsia="宋体" w:cs="宋体"/>
                <w:color w:val="auto"/>
                <w:sz w:val="24"/>
                <w:szCs w:val="24"/>
              </w:rPr>
              <w:t>等工序生产过程中，会产生少量</w:t>
            </w:r>
            <w:r>
              <w:rPr>
                <w:rFonts w:hint="eastAsia" w:ascii="宋体" w:hAnsi="宋体" w:cs="宋体"/>
                <w:color w:val="auto"/>
                <w:sz w:val="24"/>
                <w:szCs w:val="24"/>
                <w:lang w:val="en-US" w:eastAsia="zh-CN"/>
              </w:rPr>
              <w:t>沾染浆料的废铜箔、废铝箔、废极片</w:t>
            </w:r>
            <w:r>
              <w:rPr>
                <w:rFonts w:ascii="宋体" w:hAnsi="宋体" w:eastAsia="宋体" w:cs="宋体"/>
                <w:color w:val="auto"/>
                <w:sz w:val="24"/>
                <w:szCs w:val="24"/>
              </w:rPr>
              <w:t>及铝塑膜废边角料</w:t>
            </w:r>
            <w:r>
              <w:rPr>
                <w:rFonts w:hint="eastAsia" w:ascii="宋体" w:hAnsi="宋体" w:cs="宋体"/>
                <w:color w:val="auto"/>
                <w:sz w:val="24"/>
                <w:szCs w:val="24"/>
                <w:lang w:val="en-US" w:eastAsia="zh-CN"/>
              </w:rPr>
              <w:t>等</w:t>
            </w:r>
            <w:r>
              <w:rPr>
                <w:rFonts w:hint="default" w:ascii="Times New Roman" w:hAnsi="Times New Roman" w:eastAsia="宋体" w:cs="Times New Roman"/>
                <w:color w:val="auto"/>
                <w:sz w:val="24"/>
                <w:szCs w:val="24"/>
                <w:lang w:val="en-US" w:eastAsia="zh-CN"/>
              </w:rPr>
              <w:t>，产生量约0.</w:t>
            </w:r>
            <w:r>
              <w:rPr>
                <w:rFonts w:hint="eastAsia" w:cs="Times New Roman"/>
                <w:color w:val="auto"/>
                <w:sz w:val="24"/>
                <w:szCs w:val="24"/>
                <w:lang w:val="en-US" w:eastAsia="zh-CN"/>
              </w:rPr>
              <w:t>2</w:t>
            </w:r>
            <w:r>
              <w:rPr>
                <w:rFonts w:hint="default" w:ascii="Times New Roman" w:hAnsi="Times New Roman" w:eastAsia="宋体" w:cs="Times New Roman"/>
                <w:color w:val="auto"/>
                <w:sz w:val="24"/>
                <w:szCs w:val="24"/>
                <w:lang w:val="en-US" w:eastAsia="zh-CN"/>
              </w:rPr>
              <w:t>t/a</w:t>
            </w:r>
            <w:r>
              <w:rPr>
                <w:rFonts w:hint="eastAsia" w:ascii="宋体" w:hAnsi="宋体" w:eastAsia="宋体" w:cs="宋体"/>
                <w:color w:val="auto"/>
                <w:sz w:val="24"/>
                <w:szCs w:val="24"/>
                <w:lang w:val="en-US" w:eastAsia="zh-CN"/>
              </w:rPr>
              <w:t>，</w:t>
            </w:r>
            <w:r>
              <w:rPr>
                <w:rFonts w:hint="default" w:ascii="宋体" w:hAnsi="宋体" w:eastAsia="宋体" w:cs="宋体"/>
                <w:color w:val="auto"/>
                <w:sz w:val="24"/>
                <w:szCs w:val="24"/>
                <w:lang w:val="en-US" w:eastAsia="zh-CN"/>
              </w:rPr>
              <w:t>属于</w:t>
            </w:r>
            <w:r>
              <w:rPr>
                <w:rFonts w:hint="default" w:ascii="宋体" w:hAnsi="宋体" w:eastAsia="宋体" w:cs="宋体"/>
                <w:color w:val="auto"/>
                <w:sz w:val="24"/>
                <w:szCs w:val="24"/>
              </w:rPr>
              <w:t>《固体废物分类与代码目录》</w:t>
            </w:r>
            <w:r>
              <w:rPr>
                <w:rFonts w:hint="default" w:ascii="宋体" w:hAnsi="宋体" w:eastAsia="宋体" w:cs="宋体"/>
                <w:color w:val="auto"/>
                <w:sz w:val="24"/>
                <w:szCs w:val="24"/>
                <w:lang w:val="en-US" w:eastAsia="zh-CN"/>
              </w:rPr>
              <w:t>中</w:t>
            </w:r>
            <w:r>
              <w:rPr>
                <w:rFonts w:hint="eastAsia" w:ascii="宋体" w:hAnsi="宋体" w:eastAsia="宋体" w:cs="宋体"/>
                <w:color w:val="auto"/>
                <w:sz w:val="24"/>
                <w:szCs w:val="24"/>
                <w:lang w:eastAsia="zh-CN"/>
              </w:rPr>
              <w:t>“</w:t>
            </w:r>
            <w:r>
              <w:rPr>
                <w:rFonts w:hint="default" w:ascii="Times New Roman" w:hAnsi="Times New Roman" w:eastAsia="宋体" w:cs="Times New Roman"/>
                <w:color w:val="auto"/>
                <w:sz w:val="24"/>
                <w:szCs w:val="24"/>
              </w:rPr>
              <w:t>SW17可再生类废物</w:t>
            </w:r>
            <w:r>
              <w:rPr>
                <w:rFonts w:hint="default"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rPr>
              <w:t>非特定行业</w:t>
            </w:r>
            <w:r>
              <w:rPr>
                <w:rFonts w:hint="default"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rPr>
              <w:t>900-012-S17</w:t>
            </w:r>
            <w:r>
              <w:rPr>
                <w:rFonts w:hint="eastAsia" w:ascii="宋体" w:hAnsi="宋体" w:eastAsia="宋体" w:cs="宋体"/>
                <w:color w:val="auto"/>
                <w:sz w:val="24"/>
                <w:szCs w:val="24"/>
                <w:lang w:eastAsia="zh-CN"/>
              </w:rPr>
              <w:t>”</w:t>
            </w:r>
            <w:r>
              <w:rPr>
                <w:rFonts w:hint="default" w:ascii="宋体" w:hAnsi="宋体" w:eastAsia="宋体" w:cs="宋体"/>
                <w:color w:val="auto"/>
                <w:sz w:val="24"/>
                <w:szCs w:val="24"/>
                <w:lang w:eastAsia="zh-CN"/>
              </w:rPr>
              <w:t>，</w:t>
            </w:r>
            <w:r>
              <w:rPr>
                <w:rFonts w:hint="default" w:ascii="宋体" w:hAnsi="宋体" w:eastAsia="宋体" w:cs="宋体"/>
                <w:color w:val="auto"/>
                <w:sz w:val="24"/>
                <w:szCs w:val="24"/>
              </w:rPr>
              <w:t>收集后定期外售综合利用</w:t>
            </w:r>
            <w:r>
              <w:rPr>
                <w:rFonts w:hint="eastAsia" w:ascii="宋体" w:hAnsi="宋体" w:eastAsia="宋体" w:cs="宋体"/>
                <w:color w:val="auto"/>
                <w:sz w:val="24"/>
                <w:szCs w:val="24"/>
                <w:lang w:eastAsia="zh-CN"/>
              </w:rPr>
              <w:t>。</w:t>
            </w:r>
          </w:p>
          <w:p w14:paraId="73D2964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lang w:val="en-US" w:eastAsia="zh-CN"/>
              </w:rPr>
            </w:pPr>
            <w:r>
              <w:rPr>
                <w:rFonts w:hint="eastAsia" w:ascii="宋体" w:hAnsi="宋体" w:cs="宋体"/>
                <w:b/>
                <w:bCs/>
                <w:color w:val="auto"/>
                <w:sz w:val="24"/>
                <w:szCs w:val="24"/>
                <w:lang w:val="en-US" w:eastAsia="zh-CN"/>
              </w:rPr>
              <w:t>③废隔膜、废极片</w:t>
            </w:r>
          </w:p>
          <w:p w14:paraId="125429A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rPr>
            </w:pPr>
            <w:r>
              <w:rPr>
                <w:rFonts w:ascii="宋体" w:hAnsi="宋体" w:eastAsia="宋体" w:cs="宋体"/>
                <w:color w:val="auto"/>
                <w:sz w:val="24"/>
                <w:szCs w:val="24"/>
              </w:rPr>
              <w:t>叠片工序</w:t>
            </w:r>
            <w:r>
              <w:rPr>
                <w:rFonts w:hint="eastAsia" w:ascii="宋体" w:hAnsi="宋体" w:eastAsia="宋体" w:cs="宋体"/>
                <w:color w:val="auto"/>
                <w:sz w:val="24"/>
                <w:szCs w:val="24"/>
                <w:lang w:val="en-US" w:eastAsia="zh-CN"/>
              </w:rPr>
              <w:t>由于</w:t>
            </w:r>
            <w:r>
              <w:rPr>
                <w:rFonts w:ascii="宋体" w:hAnsi="宋体" w:eastAsia="宋体" w:cs="宋体"/>
                <w:color w:val="auto"/>
                <w:sz w:val="24"/>
                <w:szCs w:val="24"/>
              </w:rPr>
              <w:t>组装电芯时裁切余量、物料错位</w:t>
            </w:r>
            <w:r>
              <w:rPr>
                <w:rFonts w:hint="eastAsia" w:ascii="宋体" w:hAnsi="宋体" w:eastAsia="宋体" w:cs="宋体"/>
                <w:color w:val="auto"/>
                <w:sz w:val="24"/>
                <w:szCs w:val="24"/>
                <w:lang w:val="en-US" w:eastAsia="zh-CN"/>
              </w:rPr>
              <w:t>等，会</w:t>
            </w:r>
            <w:r>
              <w:rPr>
                <w:rFonts w:ascii="宋体" w:hAnsi="宋体" w:eastAsia="宋体" w:cs="宋体"/>
                <w:color w:val="auto"/>
                <w:sz w:val="24"/>
                <w:szCs w:val="24"/>
              </w:rPr>
              <w:t>产生</w:t>
            </w:r>
            <w:r>
              <w:rPr>
                <w:rFonts w:hint="eastAsia" w:ascii="宋体" w:hAnsi="宋体" w:eastAsia="宋体" w:cs="宋体"/>
                <w:color w:val="auto"/>
                <w:sz w:val="24"/>
                <w:szCs w:val="24"/>
                <w:lang w:val="en-US" w:eastAsia="zh-CN"/>
              </w:rPr>
              <w:t>少量</w:t>
            </w:r>
            <w:r>
              <w:rPr>
                <w:rFonts w:ascii="宋体" w:hAnsi="宋体" w:eastAsia="宋体" w:cs="宋体"/>
                <w:color w:val="auto"/>
                <w:sz w:val="24"/>
                <w:szCs w:val="24"/>
              </w:rPr>
              <w:t>沾染浆料的废隔膜与废极片</w:t>
            </w:r>
            <w:r>
              <w:rPr>
                <w:rFonts w:hint="eastAsia" w:ascii="宋体" w:hAnsi="宋体" w:cs="宋体"/>
                <w:color w:val="auto"/>
                <w:sz w:val="24"/>
                <w:szCs w:val="24"/>
                <w:lang w:val="en-US" w:eastAsia="zh-CN"/>
              </w:rPr>
              <w:t>等</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产生量约为</w:t>
            </w:r>
            <w:r>
              <w:rPr>
                <w:rFonts w:hint="default" w:ascii="Times New Roman" w:hAnsi="Times New Roman" w:eastAsia="宋体" w:cs="Times New Roman"/>
                <w:color w:val="auto"/>
                <w:sz w:val="24"/>
                <w:szCs w:val="24"/>
                <w:lang w:val="en-US" w:eastAsia="zh-CN"/>
              </w:rPr>
              <w:t>0.</w:t>
            </w:r>
            <w:r>
              <w:rPr>
                <w:rFonts w:hint="eastAsia" w:cs="Times New Roman"/>
                <w:color w:val="auto"/>
                <w:sz w:val="24"/>
                <w:szCs w:val="24"/>
                <w:lang w:val="en-US" w:eastAsia="zh-CN"/>
              </w:rPr>
              <w:t>565</w:t>
            </w:r>
            <w:r>
              <w:rPr>
                <w:rFonts w:hint="default" w:ascii="Times New Roman" w:hAnsi="Times New Roman" w:eastAsia="宋体" w:cs="Times New Roman"/>
                <w:color w:val="auto"/>
                <w:sz w:val="24"/>
                <w:szCs w:val="24"/>
                <w:lang w:val="en-US" w:eastAsia="zh-CN"/>
              </w:rPr>
              <w:t>t/a</w:t>
            </w:r>
            <w:r>
              <w:rPr>
                <w:rFonts w:hint="eastAsia" w:ascii="宋体" w:hAnsi="宋体" w:eastAsia="宋体" w:cs="宋体"/>
                <w:color w:val="auto"/>
                <w:sz w:val="24"/>
                <w:szCs w:val="24"/>
                <w:lang w:val="en-US" w:eastAsia="zh-CN"/>
              </w:rPr>
              <w:t>，</w:t>
            </w:r>
            <w:r>
              <w:rPr>
                <w:rFonts w:hint="default" w:ascii="宋体" w:hAnsi="宋体" w:eastAsia="宋体" w:cs="宋体"/>
                <w:color w:val="auto"/>
                <w:sz w:val="24"/>
                <w:szCs w:val="24"/>
                <w:lang w:val="en-US" w:eastAsia="zh-CN"/>
              </w:rPr>
              <w:t>属于</w:t>
            </w:r>
            <w:r>
              <w:rPr>
                <w:rFonts w:hint="default" w:ascii="宋体" w:hAnsi="宋体" w:eastAsia="宋体" w:cs="宋体"/>
                <w:color w:val="auto"/>
                <w:sz w:val="24"/>
                <w:szCs w:val="24"/>
              </w:rPr>
              <w:t>《固体废物分类与代码目录》</w:t>
            </w:r>
            <w:r>
              <w:rPr>
                <w:rFonts w:hint="default" w:ascii="宋体" w:hAnsi="宋体" w:eastAsia="宋体" w:cs="宋体"/>
                <w:color w:val="auto"/>
                <w:sz w:val="24"/>
                <w:szCs w:val="24"/>
                <w:lang w:val="en-US" w:eastAsia="zh-CN"/>
              </w:rPr>
              <w:t>中</w:t>
            </w:r>
            <w:r>
              <w:rPr>
                <w:rFonts w:hint="eastAsia" w:ascii="宋体" w:hAnsi="宋体" w:eastAsia="宋体" w:cs="宋体"/>
                <w:color w:val="auto"/>
                <w:sz w:val="24"/>
                <w:szCs w:val="24"/>
                <w:lang w:eastAsia="zh-CN"/>
              </w:rPr>
              <w:t>“</w:t>
            </w:r>
            <w:r>
              <w:rPr>
                <w:rFonts w:hint="default" w:ascii="Times New Roman" w:hAnsi="Times New Roman" w:eastAsia="宋体" w:cs="Times New Roman"/>
                <w:color w:val="auto"/>
                <w:sz w:val="24"/>
                <w:szCs w:val="24"/>
              </w:rPr>
              <w:t>SW17可再生类废物</w:t>
            </w:r>
            <w:r>
              <w:rPr>
                <w:rFonts w:hint="default"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rPr>
              <w:t>非特定行业</w:t>
            </w:r>
            <w:r>
              <w:rPr>
                <w:rFonts w:hint="default"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rPr>
              <w:t>900-012-S17</w:t>
            </w:r>
            <w:r>
              <w:rPr>
                <w:rFonts w:hint="eastAsia" w:ascii="宋体" w:hAnsi="宋体" w:eastAsia="宋体" w:cs="宋体"/>
                <w:color w:val="auto"/>
                <w:sz w:val="24"/>
                <w:szCs w:val="24"/>
                <w:lang w:eastAsia="zh-CN"/>
              </w:rPr>
              <w:t>”</w:t>
            </w:r>
            <w:r>
              <w:rPr>
                <w:rFonts w:hint="default" w:ascii="宋体" w:hAnsi="宋体" w:eastAsia="宋体" w:cs="宋体"/>
                <w:color w:val="auto"/>
                <w:sz w:val="24"/>
                <w:szCs w:val="24"/>
                <w:lang w:eastAsia="zh-CN"/>
              </w:rPr>
              <w:t>，</w:t>
            </w:r>
            <w:r>
              <w:rPr>
                <w:rFonts w:hint="default" w:ascii="宋体" w:hAnsi="宋体" w:eastAsia="宋体" w:cs="宋体"/>
                <w:color w:val="auto"/>
                <w:sz w:val="24"/>
                <w:szCs w:val="24"/>
              </w:rPr>
              <w:t>收集后定期外售综合利用</w:t>
            </w:r>
            <w:r>
              <w:rPr>
                <w:rFonts w:hint="eastAsia" w:ascii="宋体" w:hAnsi="宋体" w:eastAsia="宋体" w:cs="宋体"/>
                <w:color w:val="auto"/>
                <w:sz w:val="24"/>
                <w:szCs w:val="24"/>
                <w:lang w:eastAsia="zh-CN"/>
              </w:rPr>
              <w:t>。</w:t>
            </w:r>
          </w:p>
          <w:p w14:paraId="299E14D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lang w:val="en-US" w:eastAsia="zh-CN"/>
              </w:rPr>
            </w:pPr>
            <w:r>
              <w:rPr>
                <w:rFonts w:hint="eastAsia" w:ascii="宋体" w:hAnsi="宋体" w:cs="宋体"/>
                <w:b/>
                <w:bCs/>
                <w:color w:val="auto"/>
                <w:sz w:val="24"/>
                <w:szCs w:val="24"/>
                <w:lang w:val="en-US" w:eastAsia="zh-CN"/>
              </w:rPr>
              <w:t>④沾染浆料的废手套</w:t>
            </w:r>
          </w:p>
          <w:p w14:paraId="021BCDD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cs="宋体"/>
                <w:color w:val="auto"/>
                <w:sz w:val="24"/>
                <w:szCs w:val="24"/>
                <w:lang w:val="en-US" w:eastAsia="zh-CN"/>
              </w:rPr>
            </w:pPr>
            <w:r>
              <w:rPr>
                <w:rFonts w:ascii="宋体" w:hAnsi="宋体" w:eastAsia="宋体" w:cs="宋体"/>
                <w:color w:val="auto"/>
                <w:sz w:val="24"/>
                <w:szCs w:val="24"/>
              </w:rPr>
              <w:t>投料工序人工将各类原辅材料投至上料系统</w:t>
            </w:r>
            <w:r>
              <w:rPr>
                <w:rFonts w:hint="eastAsia" w:ascii="宋体" w:hAnsi="宋体" w:cs="宋体"/>
                <w:color w:val="auto"/>
                <w:sz w:val="24"/>
                <w:szCs w:val="24"/>
                <w:lang w:val="en-US" w:eastAsia="zh-CN"/>
              </w:rPr>
              <w:t>，此过程会产生沾染相应原辅料及正负极浆料的废弃</w:t>
            </w:r>
            <w:r>
              <w:rPr>
                <w:rFonts w:hint="default" w:ascii="Times New Roman" w:hAnsi="Times New Roman" w:eastAsia="宋体" w:cs="Times New Roman"/>
                <w:color w:val="auto"/>
                <w:sz w:val="24"/>
                <w:szCs w:val="24"/>
                <w:lang w:val="en-US" w:eastAsia="zh-CN"/>
              </w:rPr>
              <w:t>劳保手套，产生量为</w:t>
            </w:r>
            <w:r>
              <w:rPr>
                <w:rFonts w:hint="eastAsia" w:ascii="Times New Roman" w:hAnsi="Times New Roman" w:cs="Times New Roman"/>
                <w:color w:val="auto"/>
                <w:sz w:val="24"/>
                <w:szCs w:val="24"/>
                <w:lang w:val="en-US" w:eastAsia="zh-CN"/>
              </w:rPr>
              <w:t>1</w:t>
            </w:r>
            <w:r>
              <w:rPr>
                <w:rFonts w:hint="default" w:ascii="Times New Roman" w:hAnsi="Times New Roman" w:eastAsia="宋体" w:cs="Times New Roman"/>
                <w:color w:val="auto"/>
                <w:sz w:val="24"/>
                <w:szCs w:val="24"/>
                <w:lang w:val="en-US" w:eastAsia="zh-CN"/>
              </w:rPr>
              <w:t>t/a，属于</w:t>
            </w:r>
            <w:r>
              <w:rPr>
                <w:rFonts w:hint="default" w:ascii="Times New Roman" w:hAnsi="Times New Roman" w:eastAsia="宋体" w:cs="Times New Roman"/>
                <w:color w:val="auto"/>
                <w:sz w:val="24"/>
                <w:szCs w:val="24"/>
              </w:rPr>
              <w:t>《固体废物分类与代码目录》</w:t>
            </w:r>
            <w:r>
              <w:rPr>
                <w:rFonts w:hint="eastAsia" w:ascii="宋体" w:hAnsi="宋体" w:eastAsia="宋体" w:cs="宋体"/>
                <w:color w:val="auto"/>
                <w:sz w:val="24"/>
                <w:szCs w:val="24"/>
                <w:lang w:val="en-US" w:eastAsia="zh-CN"/>
              </w:rPr>
              <w:t>中</w:t>
            </w:r>
            <w:r>
              <w:rPr>
                <w:rFonts w:hint="eastAsia" w:ascii="宋体" w:hAnsi="宋体" w:eastAsia="宋体" w:cs="宋体"/>
                <w:color w:val="auto"/>
                <w:sz w:val="24"/>
                <w:szCs w:val="24"/>
                <w:lang w:eastAsia="zh-CN"/>
              </w:rPr>
              <w:t>“</w:t>
            </w:r>
            <w:r>
              <w:rPr>
                <w:rFonts w:hint="default" w:ascii="Times New Roman" w:hAnsi="Times New Roman" w:eastAsia="宋体" w:cs="Times New Roman"/>
                <w:color w:val="auto"/>
                <w:sz w:val="24"/>
                <w:szCs w:val="24"/>
              </w:rPr>
              <w:t>SW17可再生类废物</w:t>
            </w:r>
            <w:r>
              <w:rPr>
                <w:rFonts w:hint="default"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rPr>
              <w:t>非特定行业</w:t>
            </w:r>
            <w:r>
              <w:rPr>
                <w:rFonts w:hint="default"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rPr>
              <w:t>900-0</w:t>
            </w:r>
            <w:r>
              <w:rPr>
                <w:rFonts w:hint="eastAsia" w:ascii="Times New Roman" w:hAnsi="Times New Roman" w:cs="Times New Roman"/>
                <w:color w:val="auto"/>
                <w:sz w:val="24"/>
                <w:szCs w:val="24"/>
                <w:lang w:val="en-US" w:eastAsia="zh-CN"/>
              </w:rPr>
              <w:t>99</w:t>
            </w:r>
            <w:r>
              <w:rPr>
                <w:rFonts w:hint="default" w:ascii="Times New Roman" w:hAnsi="Times New Roman" w:eastAsia="宋体" w:cs="Times New Roman"/>
                <w:color w:val="auto"/>
                <w:sz w:val="24"/>
                <w:szCs w:val="24"/>
              </w:rPr>
              <w:t>-S17</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收集</w:t>
            </w:r>
            <w:r>
              <w:rPr>
                <w:rFonts w:hint="default" w:ascii="Times New Roman" w:hAnsi="Times New Roman" w:eastAsia="宋体" w:cs="Times New Roman"/>
                <w:color w:val="auto"/>
                <w:sz w:val="24"/>
                <w:szCs w:val="24"/>
              </w:rPr>
              <w:t>后定期外售综合利用</w:t>
            </w:r>
            <w:r>
              <w:rPr>
                <w:rFonts w:hint="default" w:ascii="Times New Roman" w:hAnsi="Times New Roman" w:eastAsia="宋体" w:cs="Times New Roman"/>
                <w:color w:val="auto"/>
                <w:sz w:val="24"/>
                <w:szCs w:val="24"/>
                <w:lang w:eastAsia="zh-CN"/>
              </w:rPr>
              <w:t>。</w:t>
            </w:r>
          </w:p>
          <w:p w14:paraId="119BAA36">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imes New Roman" w:hAnsi="Times New Roman" w:eastAsia="宋体" w:cs="Times New Roman"/>
                <w:b/>
                <w:bCs/>
                <w:color w:val="auto"/>
                <w:sz w:val="24"/>
                <w:szCs w:val="24"/>
                <w:lang w:val="en-US" w:eastAsia="zh-CN"/>
              </w:rPr>
            </w:pPr>
            <w:r>
              <w:rPr>
                <w:rFonts w:hint="eastAsia" w:cs="Times New Roman"/>
                <w:b/>
                <w:bCs/>
                <w:color w:val="auto"/>
                <w:sz w:val="24"/>
                <w:szCs w:val="24"/>
                <w:lang w:val="en-US" w:eastAsia="zh-CN"/>
              </w:rPr>
              <w:t>⑤</w:t>
            </w:r>
            <w:r>
              <w:rPr>
                <w:rFonts w:hint="eastAsia" w:ascii="Times New Roman" w:hAnsi="Times New Roman" w:eastAsia="宋体" w:cs="Times New Roman"/>
                <w:b/>
                <w:bCs/>
                <w:color w:val="auto"/>
                <w:sz w:val="24"/>
                <w:szCs w:val="24"/>
                <w:lang w:val="en-US" w:eastAsia="zh-CN"/>
              </w:rPr>
              <w:t>NMP</w:t>
            </w:r>
            <w:r>
              <w:rPr>
                <w:rFonts w:hint="eastAsia" w:cs="Times New Roman"/>
                <w:b/>
                <w:bCs/>
                <w:color w:val="auto"/>
                <w:sz w:val="24"/>
                <w:szCs w:val="24"/>
                <w:lang w:val="en-US" w:eastAsia="zh-CN"/>
              </w:rPr>
              <w:t>回收</w:t>
            </w:r>
            <w:r>
              <w:rPr>
                <w:rFonts w:hint="eastAsia" w:ascii="Times New Roman" w:hAnsi="Times New Roman" w:eastAsia="宋体" w:cs="Times New Roman"/>
                <w:b/>
                <w:bCs/>
                <w:color w:val="auto"/>
                <w:sz w:val="24"/>
                <w:szCs w:val="24"/>
                <w:lang w:val="en-US" w:eastAsia="zh-CN"/>
              </w:rPr>
              <w:t>液</w:t>
            </w:r>
          </w:p>
          <w:p w14:paraId="6B96F31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rPr>
              <w:t>本项目电芯涂布工序NMP废气采用</w:t>
            </w:r>
            <w:r>
              <w:rPr>
                <w:rFonts w:hint="eastAsia" w:ascii="宋体" w:hAnsi="宋体" w:eastAsia="宋体" w:cs="宋体"/>
                <w:color w:val="auto"/>
                <w:sz w:val="24"/>
                <w:szCs w:val="24"/>
              </w:rPr>
              <w:t>“二级冷凝回收+转轮吸附</w:t>
            </w:r>
            <w:r>
              <w:rPr>
                <w:rFonts w:hint="eastAsia" w:ascii="宋体" w:hAnsi="宋体" w:cs="宋体"/>
                <w:color w:val="auto"/>
                <w:sz w:val="24"/>
                <w:szCs w:val="24"/>
                <w:lang w:val="en-US" w:eastAsia="zh-CN"/>
              </w:rPr>
              <w:t>脱附</w:t>
            </w:r>
            <w:r>
              <w:rPr>
                <w:rFonts w:hint="eastAsia" w:ascii="宋体" w:hAnsi="宋体" w:eastAsia="宋体" w:cs="宋体"/>
                <w:color w:val="auto"/>
                <w:sz w:val="24"/>
                <w:szCs w:val="24"/>
              </w:rPr>
              <w:t>”工</w:t>
            </w:r>
            <w:r>
              <w:rPr>
                <w:rFonts w:hint="default" w:ascii="Times New Roman" w:hAnsi="Times New Roman" w:eastAsia="宋体" w:cs="Times New Roman"/>
                <w:color w:val="auto"/>
                <w:sz w:val="24"/>
                <w:szCs w:val="24"/>
              </w:rPr>
              <w:t>艺处理，NMP纯物质回收量为</w:t>
            </w:r>
            <w:r>
              <w:rPr>
                <w:rFonts w:hint="eastAsia" w:cs="Times New Roman"/>
                <w:color w:val="auto"/>
                <w:sz w:val="24"/>
                <w:szCs w:val="24"/>
                <w:lang w:val="en-US" w:eastAsia="zh-CN"/>
              </w:rPr>
              <w:t>1454.74</w:t>
            </w:r>
            <w:r>
              <w:rPr>
                <w:rFonts w:hint="default" w:ascii="Times New Roman" w:hAnsi="Times New Roman" w:eastAsia="宋体" w:cs="Times New Roman"/>
                <w:color w:val="auto"/>
                <w:sz w:val="24"/>
                <w:szCs w:val="24"/>
                <w:lang w:val="en-US" w:eastAsia="zh-CN"/>
              </w:rPr>
              <w:t>t/a，</w:t>
            </w:r>
            <w:r>
              <w:rPr>
                <w:rFonts w:hint="default" w:ascii="Times New Roman" w:hAnsi="Times New Roman" w:eastAsia="宋体" w:cs="Times New Roman"/>
                <w:color w:val="auto"/>
                <w:sz w:val="24"/>
                <w:szCs w:val="24"/>
              </w:rPr>
              <w:t>按回收废液中NMP浓度85%计，折合NMP回收废液量约</w:t>
            </w:r>
            <w:r>
              <w:rPr>
                <w:rFonts w:hint="eastAsia" w:cs="Times New Roman"/>
                <w:color w:val="auto"/>
                <w:sz w:val="24"/>
                <w:szCs w:val="24"/>
                <w:lang w:val="en-US" w:eastAsia="zh-CN"/>
              </w:rPr>
              <w:t>1673</w:t>
            </w:r>
            <w:r>
              <w:rPr>
                <w:rFonts w:hint="eastAsia" w:ascii="Times New Roman" w:hAnsi="Times New Roman" w:cs="Times New Roman"/>
                <w:color w:val="auto"/>
                <w:sz w:val="24"/>
                <w:szCs w:val="24"/>
                <w:lang w:val="en-US" w:eastAsia="zh-CN"/>
              </w:rPr>
              <w:t>t</w:t>
            </w:r>
            <w:r>
              <w:rPr>
                <w:rFonts w:hint="default" w:ascii="Times New Roman" w:hAnsi="Times New Roman" w:eastAsia="宋体" w:cs="Times New Roman"/>
                <w:color w:val="auto"/>
                <w:sz w:val="24"/>
                <w:szCs w:val="24"/>
              </w:rPr>
              <w:t>/a，主要为NMP与少量水及杂质的混合物</w:t>
            </w:r>
            <w:r>
              <w:rPr>
                <w:rFonts w:hint="eastAsia" w:ascii="Times New Roman" w:hAnsi="Times New Roman" w:cs="Times New Roman"/>
                <w:color w:val="auto"/>
                <w:sz w:val="24"/>
                <w:szCs w:val="24"/>
                <w:lang w:eastAsia="zh-CN"/>
              </w:rPr>
              <w:t>，</w:t>
            </w:r>
            <w:r>
              <w:rPr>
                <w:rFonts w:hint="default" w:ascii="Times New Roman" w:hAnsi="Times New Roman" w:eastAsia="宋体" w:cs="Times New Roman"/>
                <w:color w:val="auto"/>
                <w:sz w:val="24"/>
                <w:szCs w:val="24"/>
                <w:lang w:val="en-US" w:eastAsia="zh-CN"/>
              </w:rPr>
              <w:t>属于</w:t>
            </w:r>
            <w:r>
              <w:rPr>
                <w:rFonts w:hint="default" w:ascii="Times New Roman" w:hAnsi="Times New Roman" w:eastAsia="宋体" w:cs="Times New Roman"/>
                <w:color w:val="auto"/>
                <w:sz w:val="24"/>
                <w:szCs w:val="24"/>
              </w:rPr>
              <w:t>《固体废物分类与代码目</w:t>
            </w:r>
            <w:r>
              <w:rPr>
                <w:rFonts w:hint="eastAsia" w:ascii="宋体" w:hAnsi="宋体" w:eastAsia="宋体" w:cs="宋体"/>
                <w:color w:val="auto"/>
                <w:sz w:val="24"/>
                <w:szCs w:val="24"/>
              </w:rPr>
              <w:t>录》</w:t>
            </w:r>
            <w:r>
              <w:rPr>
                <w:rFonts w:hint="eastAsia" w:ascii="宋体" w:hAnsi="宋体" w:eastAsia="宋体" w:cs="宋体"/>
                <w:color w:val="auto"/>
                <w:sz w:val="24"/>
                <w:szCs w:val="24"/>
                <w:lang w:val="en-US" w:eastAsia="zh-CN"/>
              </w:rPr>
              <w:t>中</w:t>
            </w:r>
            <w:r>
              <w:rPr>
                <w:rFonts w:hint="eastAsia" w:ascii="宋体" w:hAnsi="宋体" w:eastAsia="宋体" w:cs="宋体"/>
                <w:color w:val="auto"/>
                <w:sz w:val="24"/>
                <w:szCs w:val="24"/>
                <w:lang w:eastAsia="zh-CN"/>
              </w:rPr>
              <w:t>“</w:t>
            </w:r>
            <w:r>
              <w:rPr>
                <w:rFonts w:hint="default" w:ascii="Times New Roman" w:hAnsi="Times New Roman" w:eastAsia="宋体" w:cs="Times New Roman"/>
                <w:color w:val="auto"/>
                <w:sz w:val="24"/>
                <w:szCs w:val="24"/>
              </w:rPr>
              <w:t>SW17可再生类废物</w:t>
            </w:r>
            <w:r>
              <w:rPr>
                <w:rFonts w:hint="default"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rPr>
              <w:t>非特定行业</w:t>
            </w:r>
            <w:r>
              <w:rPr>
                <w:rFonts w:hint="default"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rPr>
              <w:t>900-0</w:t>
            </w:r>
            <w:r>
              <w:rPr>
                <w:rFonts w:hint="default" w:ascii="Times New Roman" w:hAnsi="Times New Roman" w:eastAsia="宋体" w:cs="Times New Roman"/>
                <w:color w:val="auto"/>
                <w:sz w:val="24"/>
                <w:szCs w:val="24"/>
                <w:lang w:val="en-US" w:eastAsia="zh-CN"/>
              </w:rPr>
              <w:t>12</w:t>
            </w:r>
            <w:r>
              <w:rPr>
                <w:rFonts w:hint="default" w:ascii="Times New Roman" w:hAnsi="Times New Roman" w:eastAsia="宋体" w:cs="Times New Roman"/>
                <w:color w:val="auto"/>
                <w:sz w:val="24"/>
                <w:szCs w:val="24"/>
              </w:rPr>
              <w:t>-S17</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由原料厂家回收精馏提纯综合利用。</w:t>
            </w:r>
          </w:p>
          <w:p w14:paraId="34970844">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imes New Roman" w:hAnsi="Times New Roman" w:eastAsia="宋体" w:cs="Times New Roman"/>
                <w:b/>
                <w:bCs/>
                <w:color w:val="auto"/>
                <w:sz w:val="24"/>
                <w:szCs w:val="24"/>
                <w:lang w:val="en-US" w:eastAsia="zh-CN"/>
              </w:rPr>
            </w:pPr>
            <w:r>
              <w:rPr>
                <w:rFonts w:hint="eastAsia" w:cs="Times New Roman"/>
                <w:b/>
                <w:bCs/>
                <w:color w:val="auto"/>
                <w:sz w:val="24"/>
                <w:szCs w:val="24"/>
                <w:lang w:val="en-US" w:eastAsia="zh-CN"/>
              </w:rPr>
              <w:t>⑥</w:t>
            </w:r>
            <w:r>
              <w:rPr>
                <w:rFonts w:hint="eastAsia" w:ascii="Times New Roman" w:hAnsi="Times New Roman" w:eastAsia="宋体" w:cs="Times New Roman"/>
                <w:b/>
                <w:bCs/>
                <w:color w:val="auto"/>
                <w:sz w:val="24"/>
                <w:szCs w:val="24"/>
                <w:lang w:val="en-US" w:eastAsia="zh-CN"/>
              </w:rPr>
              <w:t>废NMP包装桶</w:t>
            </w:r>
          </w:p>
          <w:p w14:paraId="5A064D8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项目生产使用NMP会产生废包装桶，产生量约3t/a，</w:t>
            </w:r>
            <w:r>
              <w:rPr>
                <w:rFonts w:hint="default" w:ascii="Times New Roman" w:hAnsi="Times New Roman" w:eastAsia="宋体" w:cs="Times New Roman"/>
                <w:color w:val="auto"/>
                <w:sz w:val="24"/>
                <w:szCs w:val="24"/>
                <w:lang w:val="en-US" w:eastAsia="zh-CN"/>
              </w:rPr>
              <w:t>属于</w:t>
            </w:r>
            <w:r>
              <w:rPr>
                <w:rFonts w:hint="default" w:ascii="Times New Roman" w:hAnsi="Times New Roman" w:eastAsia="宋体" w:cs="Times New Roman"/>
                <w:color w:val="auto"/>
                <w:sz w:val="24"/>
                <w:szCs w:val="24"/>
              </w:rPr>
              <w:t>《固体废物分类与代码</w:t>
            </w:r>
            <w:r>
              <w:rPr>
                <w:rFonts w:hint="eastAsia" w:ascii="宋体" w:hAnsi="宋体" w:eastAsia="宋体" w:cs="宋体"/>
                <w:color w:val="auto"/>
                <w:sz w:val="24"/>
                <w:szCs w:val="24"/>
              </w:rPr>
              <w:t>目录》</w:t>
            </w:r>
            <w:r>
              <w:rPr>
                <w:rFonts w:hint="eastAsia" w:ascii="宋体" w:hAnsi="宋体" w:eastAsia="宋体" w:cs="宋体"/>
                <w:color w:val="auto"/>
                <w:sz w:val="24"/>
                <w:szCs w:val="24"/>
                <w:lang w:val="en-US" w:eastAsia="zh-CN"/>
              </w:rPr>
              <w:t>中</w:t>
            </w:r>
            <w:r>
              <w:rPr>
                <w:rFonts w:hint="eastAsia" w:ascii="宋体" w:hAnsi="宋体" w:eastAsia="宋体" w:cs="宋体"/>
                <w:color w:val="auto"/>
                <w:sz w:val="24"/>
                <w:szCs w:val="24"/>
                <w:lang w:eastAsia="zh-CN"/>
              </w:rPr>
              <w:t>“</w:t>
            </w:r>
            <w:r>
              <w:rPr>
                <w:rFonts w:hint="default" w:ascii="Times New Roman" w:hAnsi="Times New Roman" w:eastAsia="宋体" w:cs="Times New Roman"/>
                <w:color w:val="auto"/>
                <w:sz w:val="24"/>
                <w:szCs w:val="24"/>
              </w:rPr>
              <w:t>SW17可再生类废物</w:t>
            </w:r>
            <w:r>
              <w:rPr>
                <w:rFonts w:hint="default"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rPr>
              <w:t>非特定行业</w:t>
            </w:r>
            <w:r>
              <w:rPr>
                <w:rFonts w:hint="default"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rPr>
              <w:t>900-0</w:t>
            </w:r>
            <w:r>
              <w:rPr>
                <w:rFonts w:hint="eastAsia" w:cs="Times New Roman"/>
                <w:color w:val="auto"/>
                <w:sz w:val="24"/>
                <w:szCs w:val="24"/>
                <w:lang w:val="en-US" w:eastAsia="zh-CN"/>
              </w:rPr>
              <w:t>99-</w:t>
            </w:r>
            <w:r>
              <w:rPr>
                <w:rFonts w:hint="default" w:ascii="Times New Roman" w:hAnsi="Times New Roman" w:eastAsia="宋体" w:cs="Times New Roman"/>
                <w:color w:val="auto"/>
                <w:sz w:val="24"/>
                <w:szCs w:val="24"/>
              </w:rPr>
              <w:t>S17</w:t>
            </w:r>
            <w:r>
              <w:rPr>
                <w:rFonts w:hint="eastAsia" w:ascii="宋体" w:hAnsi="宋体" w:eastAsia="宋体" w:cs="宋体"/>
                <w:color w:val="auto"/>
                <w:sz w:val="24"/>
                <w:szCs w:val="24"/>
                <w:lang w:eastAsia="zh-CN"/>
              </w:rPr>
              <w:t>”，</w:t>
            </w:r>
            <w:r>
              <w:rPr>
                <w:rFonts w:hint="eastAsia" w:ascii="Times New Roman" w:hAnsi="Times New Roman" w:eastAsia="宋体" w:cs="Times New Roman"/>
                <w:b w:val="0"/>
                <w:bCs w:val="0"/>
                <w:color w:val="auto"/>
                <w:sz w:val="24"/>
                <w:szCs w:val="24"/>
                <w:lang w:val="en-US" w:eastAsia="zh-CN"/>
              </w:rPr>
              <w:t>经收集后定期交由</w:t>
            </w:r>
            <w:r>
              <w:rPr>
                <w:rFonts w:hint="eastAsia" w:cs="Times New Roman"/>
                <w:b w:val="0"/>
                <w:bCs w:val="0"/>
                <w:color w:val="auto"/>
                <w:sz w:val="24"/>
                <w:szCs w:val="24"/>
                <w:lang w:val="en-US" w:eastAsia="zh-CN"/>
              </w:rPr>
              <w:t>原料</w:t>
            </w:r>
            <w:r>
              <w:rPr>
                <w:rFonts w:hint="eastAsia" w:ascii="Times New Roman" w:hAnsi="Times New Roman" w:eastAsia="宋体" w:cs="Times New Roman"/>
                <w:b w:val="0"/>
                <w:bCs w:val="0"/>
                <w:color w:val="auto"/>
                <w:sz w:val="24"/>
                <w:szCs w:val="24"/>
                <w:lang w:val="en-US" w:eastAsia="zh-CN"/>
              </w:rPr>
              <w:t>厂家回收利用。</w:t>
            </w:r>
          </w:p>
          <w:p w14:paraId="34B4724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根据原国家环境保护总局《关于N-甲基吡咯烷酮是否属于危险化学品事项的答复》（环信复字〔2007〕3号）：</w:t>
            </w:r>
            <w:r>
              <w:rPr>
                <w:rFonts w:hint="eastAsia" w:ascii="宋体" w:hAnsi="宋体" w:eastAsia="宋体" w:cs="宋体"/>
                <w:color w:val="auto"/>
                <w:sz w:val="24"/>
                <w:szCs w:val="24"/>
                <w:lang w:val="en-US" w:eastAsia="zh-CN"/>
              </w:rPr>
              <w:t>“</w:t>
            </w:r>
            <w:r>
              <w:rPr>
                <w:rFonts w:hint="default" w:ascii="Times New Roman" w:hAnsi="Times New Roman" w:eastAsia="宋体" w:cs="Times New Roman"/>
                <w:color w:val="auto"/>
                <w:sz w:val="24"/>
                <w:szCs w:val="24"/>
                <w:lang w:val="en-US" w:eastAsia="zh-CN"/>
              </w:rPr>
              <w:t>一、N-甲基吡咯烷酮（NMP）未列入《危险化学品名录（2002）》，目前在我国不属于危险化学品。经营NMP无需领取危险化学品相关许可证。二、废弃NMP未列入《国家危险废物名录》，且有关危险废物毒性标准中未将NMP列入相关指标中，废弃NMP不属于危险废物，经营废弃NMP无需领取危险废物相关许可</w:t>
            </w:r>
            <w:r>
              <w:rPr>
                <w:rFonts w:hint="eastAsia" w:ascii="Times New Roman" w:hAnsi="Times New Roman" w:eastAsia="宋体" w:cs="Times New Roman"/>
                <w:color w:val="auto"/>
                <w:sz w:val="24"/>
                <w:szCs w:val="24"/>
                <w:lang w:val="en-US" w:eastAsia="zh-CN"/>
              </w:rPr>
              <w:t>证”。</w:t>
            </w:r>
            <w:r>
              <w:rPr>
                <w:rFonts w:hint="default" w:ascii="Times New Roman" w:hAnsi="Times New Roman" w:cs="Times New Roman"/>
                <w:color w:val="auto"/>
                <w:sz w:val="24"/>
                <w:szCs w:val="24"/>
                <w:lang w:val="en-US" w:eastAsia="zh-CN"/>
              </w:rPr>
              <w:t>目前虽然《危险化学品目录》和《国家危险废物名录》均已更新，但NMP仍然未列入现行的《危险化学品目录（2015版，2022年调整）》，废弃NMP也未列入现行的《国家危险废物名录》（2025年版）。根据《国家危险废物名录》（2025年版），NMP未列入《危险化学品目录》，也未列入危险废物名录，可判定不属于危险废物。</w:t>
            </w:r>
          </w:p>
          <w:p w14:paraId="291CC21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auto"/>
                <w:sz w:val="24"/>
                <w:szCs w:val="24"/>
                <w:lang w:val="en-US" w:eastAsia="zh-CN"/>
              </w:rPr>
            </w:pPr>
            <w:r>
              <w:rPr>
                <w:rFonts w:hint="eastAsia" w:cs="Times New Roman"/>
                <w:b/>
                <w:bCs/>
                <w:color w:val="auto"/>
                <w:sz w:val="24"/>
                <w:szCs w:val="24"/>
                <w:lang w:val="en-US" w:eastAsia="zh-CN"/>
              </w:rPr>
              <w:t>⑦</w:t>
            </w:r>
            <w:r>
              <w:rPr>
                <w:rFonts w:hint="eastAsia" w:ascii="Times New Roman" w:hAnsi="Times New Roman" w:eastAsia="宋体" w:cs="Times New Roman"/>
                <w:b/>
                <w:bCs/>
                <w:color w:val="auto"/>
                <w:sz w:val="24"/>
                <w:szCs w:val="24"/>
                <w:lang w:val="en-US" w:eastAsia="zh-CN"/>
              </w:rPr>
              <w:t>纯水制备废过滤材料</w:t>
            </w:r>
          </w:p>
          <w:p w14:paraId="002DB0F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项目纯水机需定期更换</w:t>
            </w:r>
            <w:r>
              <w:rPr>
                <w:rFonts w:hint="eastAsia" w:cs="Times New Roman"/>
                <w:b w:val="0"/>
                <w:bCs w:val="0"/>
                <w:color w:val="auto"/>
                <w:sz w:val="24"/>
                <w:szCs w:val="24"/>
                <w:lang w:val="en-US" w:eastAsia="zh-CN"/>
              </w:rPr>
              <w:t>过滤器</w:t>
            </w:r>
            <w:r>
              <w:rPr>
                <w:rFonts w:hint="eastAsia" w:ascii="Times New Roman" w:hAnsi="Times New Roman" w:eastAsia="宋体" w:cs="Times New Roman"/>
                <w:b w:val="0"/>
                <w:bCs w:val="0"/>
                <w:color w:val="auto"/>
                <w:sz w:val="24"/>
                <w:szCs w:val="24"/>
                <w:lang w:val="en-US" w:eastAsia="zh-CN"/>
              </w:rPr>
              <w:t>、RO膜</w:t>
            </w:r>
            <w:r>
              <w:rPr>
                <w:rFonts w:hint="eastAsia" w:cs="Times New Roman"/>
                <w:b w:val="0"/>
                <w:bCs w:val="0"/>
                <w:color w:val="auto"/>
                <w:sz w:val="24"/>
                <w:szCs w:val="24"/>
                <w:lang w:val="en-US" w:eastAsia="zh-CN"/>
              </w:rPr>
              <w:t>、交换膜</w:t>
            </w:r>
            <w:r>
              <w:rPr>
                <w:rFonts w:hint="eastAsia" w:ascii="Times New Roman" w:hAnsi="Times New Roman" w:eastAsia="宋体" w:cs="Times New Roman"/>
                <w:b w:val="0"/>
                <w:bCs w:val="0"/>
                <w:color w:val="auto"/>
                <w:sz w:val="24"/>
                <w:szCs w:val="24"/>
                <w:lang w:val="en-US" w:eastAsia="zh-CN"/>
              </w:rPr>
              <w:t>，其废</w:t>
            </w:r>
            <w:r>
              <w:rPr>
                <w:rFonts w:hint="eastAsia" w:cs="Times New Roman"/>
                <w:b w:val="0"/>
                <w:bCs w:val="0"/>
                <w:color w:val="auto"/>
                <w:sz w:val="24"/>
                <w:szCs w:val="24"/>
                <w:lang w:val="en-US" w:eastAsia="zh-CN"/>
              </w:rPr>
              <w:t>过滤器</w:t>
            </w:r>
            <w:r>
              <w:rPr>
                <w:rFonts w:hint="eastAsia" w:ascii="Times New Roman" w:hAnsi="Times New Roman" w:eastAsia="宋体" w:cs="Times New Roman"/>
                <w:b w:val="0"/>
                <w:bCs w:val="0"/>
                <w:color w:val="auto"/>
                <w:sz w:val="24"/>
                <w:szCs w:val="24"/>
                <w:lang w:val="en-US" w:eastAsia="zh-CN"/>
              </w:rPr>
              <w:t>、废RO膜</w:t>
            </w:r>
            <w:r>
              <w:rPr>
                <w:rFonts w:hint="eastAsia" w:cs="Times New Roman"/>
                <w:b w:val="0"/>
                <w:bCs w:val="0"/>
                <w:color w:val="auto"/>
                <w:sz w:val="24"/>
                <w:szCs w:val="24"/>
                <w:lang w:val="en-US" w:eastAsia="zh-CN"/>
              </w:rPr>
              <w:t>、废交换膜</w:t>
            </w:r>
            <w:r>
              <w:rPr>
                <w:rFonts w:hint="eastAsia" w:ascii="Times New Roman" w:hAnsi="Times New Roman" w:eastAsia="宋体" w:cs="Times New Roman"/>
                <w:b w:val="0"/>
                <w:bCs w:val="0"/>
                <w:color w:val="auto"/>
                <w:sz w:val="24"/>
                <w:szCs w:val="24"/>
                <w:lang w:val="en-US" w:eastAsia="zh-CN"/>
              </w:rPr>
              <w:t>产生量约0.2t/a，</w:t>
            </w:r>
            <w:r>
              <w:rPr>
                <w:rFonts w:hint="default" w:ascii="Times New Roman" w:hAnsi="Times New Roman" w:cs="Times New Roman"/>
                <w:color w:val="auto"/>
              </w:rPr>
              <w:t>属于《</w:t>
            </w:r>
            <w:r>
              <w:rPr>
                <w:rFonts w:hint="default" w:ascii="Times New Roman" w:hAnsi="Times New Roman" w:eastAsia="宋体" w:cs="Times New Roman"/>
                <w:b w:val="0"/>
                <w:bCs w:val="0"/>
                <w:color w:val="auto"/>
                <w:sz w:val="24"/>
                <w:szCs w:val="24"/>
                <w:lang w:val="en-US" w:eastAsia="zh-CN"/>
              </w:rPr>
              <w:t>固体废物分类与代码目录》中</w:t>
            </w:r>
            <w:r>
              <w:rPr>
                <w:rFonts w:hint="eastAsia" w:ascii="Times New Roman" w:hAnsi="Times New Roman" w:eastAsia="宋体" w:cs="Times New Roman"/>
                <w:b w:val="0"/>
                <w:bCs w:val="0"/>
                <w:color w:val="auto"/>
                <w:sz w:val="24"/>
                <w:szCs w:val="24"/>
                <w:lang w:val="en-US" w:eastAsia="zh-CN"/>
              </w:rPr>
              <w:t>“</w:t>
            </w:r>
            <w:r>
              <w:rPr>
                <w:rFonts w:hint="default" w:ascii="Times New Roman" w:hAnsi="Times New Roman" w:eastAsia="宋体" w:cs="Times New Roman"/>
                <w:b w:val="0"/>
                <w:bCs w:val="0"/>
                <w:color w:val="auto"/>
                <w:sz w:val="24"/>
                <w:szCs w:val="24"/>
                <w:lang w:val="en-US" w:eastAsia="zh-CN"/>
              </w:rPr>
              <w:t>SW59其他工业固体废物/非特定行业/900-00</w:t>
            </w:r>
            <w:r>
              <w:rPr>
                <w:rFonts w:hint="eastAsia" w:cs="Times New Roman"/>
                <w:b w:val="0"/>
                <w:bCs w:val="0"/>
                <w:color w:val="auto"/>
                <w:sz w:val="24"/>
                <w:szCs w:val="24"/>
                <w:lang w:val="en-US" w:eastAsia="zh-CN"/>
              </w:rPr>
              <w:t>9</w:t>
            </w:r>
            <w:r>
              <w:rPr>
                <w:rFonts w:hint="default" w:ascii="Times New Roman" w:hAnsi="Times New Roman" w:eastAsia="宋体" w:cs="Times New Roman"/>
                <w:b w:val="0"/>
                <w:bCs w:val="0"/>
                <w:color w:val="auto"/>
                <w:sz w:val="24"/>
                <w:szCs w:val="24"/>
                <w:lang w:val="en-US" w:eastAsia="zh-CN"/>
              </w:rPr>
              <w:t>-S59</w:t>
            </w:r>
            <w:r>
              <w:rPr>
                <w:rFonts w:hint="eastAsia" w:ascii="Times New Roman" w:hAnsi="Times New Roman" w:eastAsia="宋体" w:cs="Times New Roman"/>
                <w:b w:val="0"/>
                <w:bCs w:val="0"/>
                <w:color w:val="auto"/>
                <w:sz w:val="24"/>
                <w:szCs w:val="24"/>
                <w:lang w:val="en-US" w:eastAsia="zh-CN"/>
              </w:rPr>
              <w:t>”</w:t>
            </w:r>
            <w:r>
              <w:rPr>
                <w:rFonts w:hint="default" w:ascii="Times New Roman" w:hAnsi="Times New Roman" w:eastAsia="宋体" w:cs="Times New Roman"/>
                <w:b w:val="0"/>
                <w:bCs w:val="0"/>
                <w:color w:val="auto"/>
                <w:sz w:val="24"/>
                <w:szCs w:val="24"/>
                <w:lang w:val="en-US" w:eastAsia="zh-CN"/>
              </w:rPr>
              <w:t>，</w:t>
            </w:r>
            <w:r>
              <w:rPr>
                <w:rFonts w:hint="eastAsia" w:ascii="Times New Roman" w:hAnsi="Times New Roman" w:eastAsia="宋体" w:cs="Times New Roman"/>
                <w:b w:val="0"/>
                <w:bCs w:val="0"/>
                <w:color w:val="auto"/>
                <w:sz w:val="24"/>
                <w:szCs w:val="24"/>
                <w:lang w:val="en-US" w:eastAsia="zh-CN"/>
              </w:rPr>
              <w:t>经收集后定期交厂家回收。</w:t>
            </w:r>
          </w:p>
          <w:p w14:paraId="7D6EED10">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imes New Roman" w:hAnsi="Times New Roman" w:eastAsia="宋体" w:cs="Times New Roman"/>
                <w:b/>
                <w:bCs/>
                <w:color w:val="auto"/>
                <w:sz w:val="24"/>
                <w:szCs w:val="24"/>
                <w:lang w:val="en-US" w:eastAsia="zh-CN"/>
              </w:rPr>
            </w:pPr>
            <w:r>
              <w:rPr>
                <w:rFonts w:hint="eastAsia" w:cs="Times New Roman"/>
                <w:b/>
                <w:bCs/>
                <w:color w:val="auto"/>
                <w:sz w:val="24"/>
                <w:szCs w:val="24"/>
                <w:lang w:val="en-US" w:eastAsia="zh-CN"/>
              </w:rPr>
              <w:t>⑧</w:t>
            </w:r>
            <w:r>
              <w:rPr>
                <w:rFonts w:hint="eastAsia" w:ascii="Times New Roman" w:hAnsi="Times New Roman" w:eastAsia="宋体" w:cs="Times New Roman"/>
                <w:b/>
                <w:bCs/>
                <w:color w:val="auto"/>
                <w:sz w:val="24"/>
                <w:szCs w:val="24"/>
                <w:lang w:val="en-US" w:eastAsia="zh-CN"/>
              </w:rPr>
              <w:t>废分子筛</w:t>
            </w:r>
          </w:p>
          <w:p w14:paraId="4B60ED06">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eastAsia" w:ascii="Times New Roman" w:hAnsi="Times New Roman" w:eastAsia="宋体" w:cs="Times New Roman"/>
                <w:b w:val="0"/>
                <w:bCs w:val="0"/>
                <w:color w:val="auto"/>
                <w:sz w:val="24"/>
                <w:szCs w:val="24"/>
                <w:lang w:val="en-US" w:eastAsia="zh-CN"/>
              </w:rPr>
              <w:t>项目氮气制备系统分子筛会因老化损耗而定期更换（</w:t>
            </w:r>
            <w:r>
              <w:rPr>
                <w:rFonts w:hint="eastAsia" w:cs="Times New Roman"/>
                <w:color w:val="auto"/>
                <w:sz w:val="24"/>
                <w:szCs w:val="24"/>
                <w:lang w:val="en-US" w:eastAsia="zh-CN"/>
              </w:rPr>
              <w:t>正常按1年更换1次</w:t>
            </w:r>
            <w:r>
              <w:rPr>
                <w:rFonts w:hint="eastAsia" w:ascii="Times New Roman" w:hAnsi="Times New Roman" w:eastAsia="宋体" w:cs="Times New Roman"/>
                <w:b w:val="0"/>
                <w:bCs w:val="0"/>
                <w:color w:val="auto"/>
                <w:sz w:val="24"/>
                <w:szCs w:val="24"/>
                <w:lang w:val="en-US" w:eastAsia="zh-CN"/>
              </w:rPr>
              <w:t>），产生量约0.2t/a，</w:t>
            </w:r>
            <w:r>
              <w:rPr>
                <w:rFonts w:hint="default" w:ascii="Times New Roman" w:hAnsi="Times New Roman" w:eastAsia="宋体" w:cs="Times New Roman"/>
                <w:color w:val="auto"/>
                <w:sz w:val="24"/>
                <w:szCs w:val="24"/>
              </w:rPr>
              <w:t>属于《固体废物分类与代码目录</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中</w:t>
            </w:r>
            <w:r>
              <w:rPr>
                <w:rFonts w:hint="eastAsia" w:ascii="宋体" w:hAnsi="宋体" w:eastAsia="宋体" w:cs="宋体"/>
                <w:color w:val="auto"/>
                <w:sz w:val="24"/>
                <w:szCs w:val="24"/>
                <w:lang w:eastAsia="zh-CN"/>
              </w:rPr>
              <w:t>“</w:t>
            </w:r>
            <w:r>
              <w:rPr>
                <w:rFonts w:hint="default" w:ascii="Times New Roman" w:hAnsi="Times New Roman" w:eastAsia="宋体" w:cs="Times New Roman"/>
                <w:color w:val="auto"/>
                <w:sz w:val="24"/>
                <w:szCs w:val="24"/>
              </w:rPr>
              <w:t>SW59其他工业固体废物</w:t>
            </w:r>
            <w:r>
              <w:rPr>
                <w:rFonts w:hint="default" w:ascii="Times New Roman" w:hAnsi="Times New Roman" w:eastAsia="宋体" w:cs="Times New Roman"/>
                <w:color w:val="auto"/>
                <w:sz w:val="24"/>
                <w:szCs w:val="24"/>
                <w:lang w:val="en-US" w:eastAsia="zh-CN"/>
              </w:rPr>
              <w:t>/非特定行业/</w:t>
            </w:r>
            <w:r>
              <w:rPr>
                <w:rFonts w:hint="default" w:ascii="Times New Roman" w:hAnsi="Times New Roman" w:eastAsia="宋体" w:cs="Times New Roman"/>
                <w:color w:val="auto"/>
                <w:sz w:val="24"/>
                <w:szCs w:val="24"/>
              </w:rPr>
              <w:t>900-005-S59</w:t>
            </w:r>
            <w:r>
              <w:rPr>
                <w:rFonts w:hint="eastAsia" w:ascii="宋体" w:hAnsi="宋体" w:eastAsia="宋体" w:cs="宋体"/>
                <w:color w:val="auto"/>
                <w:sz w:val="24"/>
                <w:szCs w:val="24"/>
                <w:lang w:eastAsia="zh-CN"/>
              </w:rPr>
              <w:t>”，</w:t>
            </w:r>
            <w:r>
              <w:rPr>
                <w:rFonts w:hint="eastAsia" w:ascii="Times New Roman" w:hAnsi="Times New Roman" w:eastAsia="宋体" w:cs="Times New Roman"/>
                <w:color w:val="auto"/>
                <w:sz w:val="24"/>
                <w:szCs w:val="24"/>
                <w:lang w:val="en-US" w:eastAsia="zh-CN"/>
              </w:rPr>
              <w:t>经收集</w:t>
            </w:r>
            <w:r>
              <w:rPr>
                <w:rFonts w:hint="default" w:ascii="Times New Roman" w:hAnsi="Times New Roman" w:eastAsia="宋体" w:cs="Times New Roman"/>
                <w:color w:val="auto"/>
                <w:sz w:val="24"/>
                <w:szCs w:val="24"/>
              </w:rPr>
              <w:t>定期交</w:t>
            </w:r>
            <w:r>
              <w:rPr>
                <w:rFonts w:hint="default" w:ascii="Times New Roman" w:hAnsi="Times New Roman" w:eastAsia="宋体" w:cs="Times New Roman"/>
                <w:color w:val="auto"/>
                <w:sz w:val="24"/>
                <w:szCs w:val="24"/>
                <w:lang w:eastAsia="zh-CN"/>
              </w:rPr>
              <w:t>厂家</w:t>
            </w:r>
            <w:r>
              <w:rPr>
                <w:rFonts w:hint="default" w:ascii="Times New Roman" w:hAnsi="Times New Roman" w:eastAsia="宋体" w:cs="Times New Roman"/>
                <w:color w:val="auto"/>
                <w:sz w:val="24"/>
                <w:szCs w:val="24"/>
              </w:rPr>
              <w:t>回收。</w:t>
            </w:r>
          </w:p>
          <w:p w14:paraId="0F3E87F3">
            <w:pPr>
              <w:keepNext w:val="0"/>
              <w:keepLines w:val="0"/>
              <w:pageBreakBefore w:val="0"/>
              <w:widowControl w:val="0"/>
              <w:kinsoku/>
              <w:wordWrap/>
              <w:overflowPunct/>
              <w:topLinePunct w:val="0"/>
              <w:bidi w:val="0"/>
              <w:adjustRightInd/>
              <w:snapToGrid/>
              <w:spacing w:line="360" w:lineRule="auto"/>
              <w:ind w:firstLine="482" w:firstLineChars="200"/>
              <w:textAlignment w:val="auto"/>
              <w:rPr>
                <w:rFonts w:hint="default" w:ascii="Times New Roman" w:hAnsi="Times New Roman" w:eastAsia="宋体" w:cs="Times New Roman"/>
                <w:b/>
                <w:bCs/>
                <w:color w:val="auto"/>
                <w:sz w:val="24"/>
                <w:szCs w:val="24"/>
                <w:lang w:val="en-US" w:eastAsia="zh-CN"/>
              </w:rPr>
            </w:pPr>
            <w:r>
              <w:rPr>
                <w:rFonts w:hint="eastAsia" w:cs="Times New Roman"/>
                <w:b/>
                <w:bCs/>
                <w:color w:val="auto"/>
                <w:sz w:val="24"/>
                <w:szCs w:val="24"/>
                <w:lang w:val="en-US" w:eastAsia="zh-CN"/>
              </w:rPr>
              <w:t>⑨不合格品</w:t>
            </w:r>
          </w:p>
          <w:p w14:paraId="4276A424">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Times New Roman" w:hAnsi="Times New Roman" w:eastAsia="宋体" w:cs="Times New Roman"/>
                <w:color w:val="auto"/>
                <w:sz w:val="24"/>
                <w:szCs w:val="24"/>
                <w:lang w:val="en-US" w:eastAsia="zh-CN"/>
              </w:rPr>
            </w:pPr>
            <w:r>
              <w:rPr>
                <w:rFonts w:hint="eastAsia" w:cs="Times New Roman"/>
                <w:color w:val="auto"/>
                <w:sz w:val="24"/>
                <w:szCs w:val="24"/>
                <w:lang w:val="en-US" w:eastAsia="zh-CN"/>
              </w:rPr>
              <w:t>本项目产品测试过程中会产生不合格产品，产生量约0.7t/a，</w:t>
            </w:r>
            <w:r>
              <w:rPr>
                <w:rFonts w:hint="eastAsia" w:ascii="Times New Roman" w:hAnsi="Times New Roman" w:eastAsia="宋体" w:cs="Times New Roman"/>
                <w:color w:val="auto"/>
                <w:sz w:val="24"/>
                <w:szCs w:val="24"/>
                <w:lang w:val="en-US" w:eastAsia="zh-CN"/>
              </w:rPr>
              <w:t>根据</w:t>
            </w:r>
            <w:r>
              <w:rPr>
                <w:rFonts w:hint="default" w:ascii="Times New Roman" w:hAnsi="Times New Roman" w:eastAsia="宋体" w:cs="Times New Roman"/>
                <w:color w:val="auto"/>
                <w:sz w:val="24"/>
                <w:szCs w:val="24"/>
                <w:lang w:val="en-US" w:eastAsia="zh-CN"/>
              </w:rPr>
              <w:t>《关于废旧锂电池收集处置有关问题的复函》（环办函〔2014〕1621号）中指出：</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废旧锂电池未列入《国家危险废物名录》。《国家危险废物名录》（2025年版）中明确废铅蓄电池、废镍镉电池和氧化汞电池属于危险废物等，未提到锂离子电池，同时根据《固体废物分类与代码目录》，工业生产活动中产生的废弃磷酸铁锂电池、废弃三元锂电池、废弃钴酸锂电池、废弃镍氢电池、废弃燃料电池等废电池，以及电池生产过程中产生的废极片、废电芯、废粉末及浆料、边角料等属于工业固体废物类别下的SW17</w:t>
            </w:r>
            <w:r>
              <w:rPr>
                <w:rFonts w:hint="eastAsia"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可再生类废物</w:t>
            </w:r>
            <w:r>
              <w:rPr>
                <w:rFonts w:hint="eastAsia" w:cs="Times New Roman"/>
                <w:color w:val="auto"/>
                <w:sz w:val="24"/>
                <w:szCs w:val="24"/>
                <w:lang w:val="en-US" w:eastAsia="zh-CN"/>
              </w:rPr>
              <w:t>/非特定行业/</w:t>
            </w:r>
            <w:r>
              <w:rPr>
                <w:rFonts w:hint="default" w:ascii="Times New Roman" w:hAnsi="Times New Roman" w:eastAsia="宋体" w:cs="Times New Roman"/>
                <w:color w:val="auto"/>
                <w:sz w:val="24"/>
                <w:szCs w:val="24"/>
                <w:lang w:val="en-US" w:eastAsia="zh-CN"/>
              </w:rPr>
              <w:t>900-012-S17</w:t>
            </w:r>
            <w:r>
              <w:rPr>
                <w:rFonts w:hint="eastAsia" w:ascii="Times New Roman" w:hAnsi="Times New Roman" w:eastAsia="宋体" w:cs="Times New Roman"/>
                <w:color w:val="auto"/>
                <w:sz w:val="24"/>
                <w:szCs w:val="24"/>
                <w:lang w:val="en-US" w:eastAsia="zh-CN"/>
              </w:rPr>
              <w:t>，经收集后定期外售综合利用。</w:t>
            </w:r>
          </w:p>
          <w:p w14:paraId="63FFD0A4">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cs="Times New Roman"/>
                <w:b/>
                <w:bCs/>
                <w:color w:val="auto"/>
                <w:sz w:val="24"/>
                <w:szCs w:val="24"/>
                <w:lang w:val="en-US" w:eastAsia="zh-CN"/>
              </w:rPr>
            </w:pPr>
            <w:r>
              <w:rPr>
                <w:rFonts w:hint="eastAsia" w:cs="Times New Roman"/>
                <w:b/>
                <w:bCs/>
                <w:color w:val="auto"/>
                <w:sz w:val="24"/>
                <w:szCs w:val="24"/>
                <w:lang w:val="en-US" w:eastAsia="zh-CN"/>
              </w:rPr>
              <w:t>⑩废浆料</w:t>
            </w:r>
          </w:p>
          <w:p w14:paraId="4D15CEB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Times New Roman"/>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本</w:t>
            </w:r>
            <w:r>
              <w:rPr>
                <w:rFonts w:hint="default" w:ascii="Times New Roman" w:hAnsi="Times New Roman" w:eastAsia="宋体" w:cs="Times New Roman"/>
                <w:b w:val="0"/>
                <w:bCs w:val="0"/>
                <w:color w:val="auto"/>
                <w:sz w:val="24"/>
                <w:szCs w:val="24"/>
                <w:lang w:val="en-US" w:eastAsia="zh-CN"/>
              </w:rPr>
              <w:t>项目</w:t>
            </w:r>
            <w:r>
              <w:rPr>
                <w:rFonts w:hint="eastAsia" w:cs="Times New Roman"/>
                <w:b w:val="0"/>
                <w:bCs w:val="0"/>
                <w:color w:val="auto"/>
                <w:sz w:val="24"/>
                <w:szCs w:val="24"/>
                <w:lang w:val="en-US" w:eastAsia="zh-CN"/>
              </w:rPr>
              <w:t>投料工序会产生少量浆料，产生量约0.2t/a，根据</w:t>
            </w:r>
            <w:r>
              <w:rPr>
                <w:rFonts w:hint="default" w:ascii="Times New Roman" w:hAnsi="Times New Roman" w:eastAsia="宋体" w:cs="Times New Roman"/>
                <w:color w:val="auto"/>
                <w:sz w:val="24"/>
                <w:szCs w:val="24"/>
              </w:rPr>
              <w:t>属于《固体废物分类与代码目录</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中</w:t>
            </w:r>
            <w:r>
              <w:rPr>
                <w:rFonts w:hint="eastAsia" w:ascii="宋体" w:hAnsi="宋体" w:eastAsia="宋体" w:cs="宋体"/>
                <w:color w:val="auto"/>
                <w:sz w:val="24"/>
                <w:szCs w:val="24"/>
                <w:lang w:eastAsia="zh-CN"/>
              </w:rPr>
              <w:t>“</w:t>
            </w:r>
            <w:r>
              <w:rPr>
                <w:rFonts w:hint="default" w:ascii="Times New Roman" w:hAnsi="Times New Roman" w:eastAsia="宋体" w:cs="Times New Roman"/>
                <w:color w:val="auto"/>
                <w:sz w:val="24"/>
                <w:szCs w:val="24"/>
                <w:lang w:val="en-US" w:eastAsia="zh-CN"/>
              </w:rPr>
              <w:t>SW17</w:t>
            </w:r>
            <w:r>
              <w:rPr>
                <w:rFonts w:hint="eastAsia"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可再生类废物</w:t>
            </w:r>
            <w:r>
              <w:rPr>
                <w:rFonts w:hint="eastAsia" w:cs="Times New Roman"/>
                <w:color w:val="auto"/>
                <w:sz w:val="24"/>
                <w:szCs w:val="24"/>
                <w:lang w:val="en-US" w:eastAsia="zh-CN"/>
              </w:rPr>
              <w:t>/非特定行业/</w:t>
            </w:r>
            <w:r>
              <w:rPr>
                <w:rFonts w:hint="default" w:ascii="Times New Roman" w:hAnsi="Times New Roman" w:eastAsia="宋体" w:cs="Times New Roman"/>
                <w:color w:val="auto"/>
                <w:sz w:val="24"/>
                <w:szCs w:val="24"/>
                <w:lang w:val="en-US" w:eastAsia="zh-CN"/>
              </w:rPr>
              <w:t>900-012-S17</w:t>
            </w:r>
            <w:r>
              <w:rPr>
                <w:rFonts w:hint="eastAsia" w:ascii="宋体" w:hAnsi="宋体" w:eastAsia="宋体" w:cs="宋体"/>
                <w:color w:val="auto"/>
                <w:sz w:val="24"/>
                <w:szCs w:val="24"/>
                <w:lang w:eastAsia="zh-CN"/>
              </w:rPr>
              <w:t>”，</w:t>
            </w:r>
            <w:r>
              <w:rPr>
                <w:rFonts w:hint="eastAsia" w:ascii="Times New Roman" w:hAnsi="Times New Roman" w:eastAsia="宋体" w:cs="Times New Roman"/>
                <w:color w:val="auto"/>
                <w:sz w:val="24"/>
                <w:szCs w:val="24"/>
                <w:lang w:val="en-US" w:eastAsia="zh-CN"/>
              </w:rPr>
              <w:t>经收集后定期外售综合利用</w:t>
            </w:r>
            <w:r>
              <w:rPr>
                <w:rFonts w:hint="eastAsia" w:cs="Times New Roman"/>
                <w:color w:val="auto"/>
                <w:sz w:val="24"/>
                <w:szCs w:val="24"/>
                <w:lang w:val="en-US" w:eastAsia="zh-CN"/>
              </w:rPr>
              <w:t>。</w:t>
            </w:r>
          </w:p>
          <w:p w14:paraId="057BF3C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cs="Times New Roman"/>
                <w:b/>
                <w:bCs/>
                <w:color w:val="auto"/>
                <w:sz w:val="24"/>
                <w:szCs w:val="24"/>
                <w:lang w:val="en-US" w:eastAsia="zh-CN"/>
              </w:rPr>
            </w:pPr>
            <w:r>
              <w:rPr>
                <w:rFonts w:hint="eastAsia" w:cs="Times New Roman"/>
                <w:b/>
                <w:bCs/>
                <w:color w:val="auto"/>
                <w:sz w:val="24"/>
                <w:szCs w:val="24"/>
                <w:lang w:val="en-US" w:eastAsia="zh-CN"/>
              </w:rPr>
              <w:t>⑪废滤芯</w:t>
            </w:r>
          </w:p>
          <w:p w14:paraId="0DE16E6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sz w:val="24"/>
                <w:szCs w:val="24"/>
                <w:lang w:eastAsia="zh-CN"/>
              </w:rPr>
            </w:pPr>
            <w:r>
              <w:rPr>
                <w:rFonts w:hint="eastAsia" w:cs="Times New Roman"/>
                <w:color w:val="auto"/>
                <w:sz w:val="24"/>
                <w:szCs w:val="24"/>
                <w:lang w:val="en-US" w:eastAsia="zh-CN"/>
              </w:rPr>
              <w:t>项目空气压缩装置、系统自带滤芯布袋除尘器、洁净系统会产生废滤芯（正常按1年更换1次），产生量约0.5t/a，</w:t>
            </w:r>
            <w:r>
              <w:rPr>
                <w:rFonts w:hint="default" w:ascii="Times New Roman" w:hAnsi="Times New Roman" w:eastAsia="宋体" w:cs="Times New Roman"/>
                <w:color w:val="auto"/>
                <w:sz w:val="24"/>
                <w:szCs w:val="24"/>
              </w:rPr>
              <w:t>属于《固体废物分类与代码目录</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中</w:t>
            </w:r>
            <w:r>
              <w:rPr>
                <w:rFonts w:hint="eastAsia" w:ascii="宋体" w:hAnsi="宋体" w:eastAsia="宋体" w:cs="宋体"/>
                <w:color w:val="auto"/>
                <w:sz w:val="24"/>
                <w:szCs w:val="24"/>
                <w:lang w:eastAsia="zh-CN"/>
              </w:rPr>
              <w:t>“</w:t>
            </w:r>
            <w:r>
              <w:rPr>
                <w:rFonts w:hint="default" w:ascii="Times New Roman" w:hAnsi="Times New Roman" w:eastAsia="宋体" w:cs="Times New Roman"/>
                <w:color w:val="auto"/>
                <w:sz w:val="24"/>
                <w:szCs w:val="24"/>
                <w:lang w:val="en-US" w:eastAsia="zh-CN"/>
              </w:rPr>
              <w:t>SW17</w:t>
            </w:r>
            <w:r>
              <w:rPr>
                <w:rFonts w:hint="eastAsia"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可再生类废物</w:t>
            </w:r>
            <w:r>
              <w:rPr>
                <w:rFonts w:hint="eastAsia" w:cs="Times New Roman"/>
                <w:color w:val="auto"/>
                <w:sz w:val="24"/>
                <w:szCs w:val="24"/>
                <w:lang w:val="en-US" w:eastAsia="zh-CN"/>
              </w:rPr>
              <w:t>/非特定行业/</w:t>
            </w:r>
            <w:r>
              <w:rPr>
                <w:rFonts w:hint="default" w:ascii="Times New Roman" w:hAnsi="Times New Roman" w:eastAsia="宋体" w:cs="Times New Roman"/>
                <w:color w:val="auto"/>
                <w:sz w:val="24"/>
                <w:szCs w:val="24"/>
                <w:lang w:val="en-US" w:eastAsia="zh-CN"/>
              </w:rPr>
              <w:t>900-0</w:t>
            </w:r>
            <w:r>
              <w:rPr>
                <w:rFonts w:hint="eastAsia" w:cs="Times New Roman"/>
                <w:color w:val="auto"/>
                <w:sz w:val="24"/>
                <w:szCs w:val="24"/>
                <w:lang w:val="en-US" w:eastAsia="zh-CN"/>
              </w:rPr>
              <w:t>09</w:t>
            </w:r>
            <w:r>
              <w:rPr>
                <w:rFonts w:hint="default" w:ascii="Times New Roman" w:hAnsi="Times New Roman" w:eastAsia="宋体" w:cs="Times New Roman"/>
                <w:color w:val="auto"/>
                <w:sz w:val="24"/>
                <w:szCs w:val="24"/>
                <w:lang w:val="en-US" w:eastAsia="zh-CN"/>
              </w:rPr>
              <w:t>-S</w:t>
            </w:r>
            <w:r>
              <w:rPr>
                <w:rFonts w:hint="eastAsia" w:cs="Times New Roman"/>
                <w:color w:val="auto"/>
                <w:sz w:val="24"/>
                <w:szCs w:val="24"/>
                <w:lang w:val="en-US" w:eastAsia="zh-CN"/>
              </w:rPr>
              <w:t>59</w:t>
            </w:r>
            <w:r>
              <w:rPr>
                <w:rFonts w:hint="eastAsia" w:ascii="宋体" w:hAnsi="宋体" w:eastAsia="宋体" w:cs="宋体"/>
                <w:color w:val="auto"/>
                <w:sz w:val="24"/>
                <w:szCs w:val="24"/>
                <w:lang w:eastAsia="zh-CN"/>
              </w:rPr>
              <w:t>”，</w:t>
            </w:r>
            <w:r>
              <w:rPr>
                <w:rFonts w:hint="eastAsia" w:ascii="Times New Roman" w:hAnsi="Times New Roman" w:eastAsia="宋体" w:cs="Times New Roman"/>
                <w:color w:val="auto"/>
                <w:sz w:val="24"/>
                <w:szCs w:val="24"/>
                <w:lang w:val="en-US" w:eastAsia="zh-CN"/>
              </w:rPr>
              <w:t>经收集后定期外售综合利用</w:t>
            </w:r>
            <w:r>
              <w:rPr>
                <w:rFonts w:hint="eastAsia" w:ascii="Times New Roman" w:hAnsi="Times New Roman" w:eastAsia="宋体" w:cs="Times New Roman"/>
                <w:color w:val="auto"/>
                <w:sz w:val="24"/>
                <w:szCs w:val="24"/>
                <w:lang w:eastAsia="zh-CN"/>
              </w:rPr>
              <w:t>。</w:t>
            </w:r>
          </w:p>
          <w:p w14:paraId="092B705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auto"/>
                <w:sz w:val="24"/>
                <w:szCs w:val="24"/>
                <w:lang w:val="en-US" w:eastAsia="zh-CN"/>
              </w:rPr>
            </w:pPr>
            <w:r>
              <w:rPr>
                <w:rFonts w:hint="default" w:cs="Times New Roman"/>
                <w:b/>
                <w:bCs/>
                <w:color w:val="auto"/>
                <w:sz w:val="24"/>
                <w:szCs w:val="24"/>
                <w:lang w:val="en-US" w:eastAsia="zh-CN"/>
              </w:rPr>
              <w:t>⑫</w:t>
            </w:r>
            <w:r>
              <w:rPr>
                <w:rFonts w:hint="default" w:ascii="Times New Roman" w:hAnsi="Times New Roman" w:eastAsia="宋体" w:cs="Times New Roman"/>
                <w:b/>
                <w:bCs/>
                <w:color w:val="auto"/>
                <w:sz w:val="24"/>
                <w:szCs w:val="24"/>
                <w:lang w:val="en-US" w:eastAsia="zh-CN"/>
              </w:rPr>
              <w:t>除尘器收集粉尘</w:t>
            </w:r>
          </w:p>
          <w:p w14:paraId="63086BBC">
            <w:pPr>
              <w:keepNext w:val="0"/>
              <w:keepLines w:val="0"/>
              <w:pageBreakBefore w:val="0"/>
              <w:widowControl w:val="0"/>
              <w:shd w:val="clear"/>
              <w:kinsoku/>
              <w:wordWrap/>
              <w:overflowPunct/>
              <w:topLinePunct w:val="0"/>
              <w:autoSpaceDE w:val="0"/>
              <w:autoSpaceDN w:val="0"/>
              <w:bidi w:val="0"/>
              <w:adjustRightInd/>
              <w:snapToGrid/>
              <w:spacing w:line="360" w:lineRule="auto"/>
              <w:ind w:firstLine="480" w:firstLineChars="200"/>
              <w:jc w:val="both"/>
              <w:textAlignment w:val="auto"/>
              <w:rPr>
                <w:rFonts w:hint="eastAsia" w:ascii="Times New Roman" w:hAnsi="Times New Roman" w:eastAsia="宋体" w:cs="Times New Roman"/>
                <w:b/>
                <w:bCs/>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本</w:t>
            </w:r>
            <w:r>
              <w:rPr>
                <w:rFonts w:hint="default" w:ascii="Times New Roman" w:hAnsi="Times New Roman" w:eastAsia="宋体" w:cs="Times New Roman"/>
                <w:b w:val="0"/>
                <w:bCs w:val="0"/>
                <w:color w:val="auto"/>
                <w:sz w:val="24"/>
                <w:szCs w:val="24"/>
                <w:lang w:val="en-US" w:eastAsia="zh-CN"/>
              </w:rPr>
              <w:t>项目</w:t>
            </w:r>
            <w:r>
              <w:rPr>
                <w:rFonts w:hint="eastAsia" w:cs="Times New Roman"/>
                <w:b w:val="0"/>
                <w:bCs w:val="0"/>
                <w:color w:val="auto"/>
                <w:sz w:val="24"/>
                <w:szCs w:val="24"/>
                <w:lang w:val="en-US" w:eastAsia="zh-CN"/>
              </w:rPr>
              <w:t>投料工序产生的原辅料散逸粉尘由</w:t>
            </w:r>
            <w:r>
              <w:rPr>
                <w:rFonts w:hint="default" w:ascii="Times New Roman" w:hAnsi="Times New Roman" w:eastAsia="宋体" w:cs="Times New Roman"/>
                <w:b w:val="0"/>
                <w:bCs w:val="0"/>
                <w:color w:val="auto"/>
                <w:sz w:val="24"/>
                <w:szCs w:val="24"/>
                <w:lang w:val="en-US" w:eastAsia="zh-CN"/>
              </w:rPr>
              <w:t>滤芯除尘器</w:t>
            </w:r>
            <w:r>
              <w:rPr>
                <w:rFonts w:hint="eastAsia" w:cs="Times New Roman"/>
                <w:b w:val="0"/>
                <w:bCs w:val="0"/>
                <w:color w:val="auto"/>
                <w:sz w:val="24"/>
                <w:szCs w:val="24"/>
                <w:lang w:val="en-US" w:eastAsia="zh-CN"/>
              </w:rPr>
              <w:t>及车间洁净系统收集，收集的除尘灰</w:t>
            </w:r>
            <w:r>
              <w:rPr>
                <w:rFonts w:hint="default" w:ascii="Times New Roman" w:hAnsi="Times New Roman" w:eastAsia="宋体" w:cs="Times New Roman"/>
                <w:b w:val="0"/>
                <w:bCs w:val="0"/>
                <w:color w:val="auto"/>
                <w:sz w:val="24"/>
                <w:szCs w:val="24"/>
                <w:lang w:val="en-US" w:eastAsia="zh-CN"/>
              </w:rPr>
              <w:t>约为</w:t>
            </w:r>
            <w:r>
              <w:rPr>
                <w:rFonts w:hint="eastAsia" w:cs="Times New Roman"/>
                <w:b w:val="0"/>
                <w:bCs w:val="0"/>
                <w:color w:val="auto"/>
                <w:sz w:val="24"/>
                <w:szCs w:val="24"/>
                <w:lang w:val="en-US" w:eastAsia="zh-CN"/>
              </w:rPr>
              <w:t>0.07</w:t>
            </w:r>
            <w:r>
              <w:rPr>
                <w:rFonts w:hint="default" w:ascii="Times New Roman" w:hAnsi="Times New Roman" w:eastAsia="宋体" w:cs="Times New Roman"/>
                <w:b w:val="0"/>
                <w:bCs w:val="0"/>
                <w:color w:val="auto"/>
                <w:sz w:val="24"/>
                <w:szCs w:val="24"/>
                <w:lang w:val="en-US" w:eastAsia="zh-CN"/>
              </w:rPr>
              <w:t>t/a</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属于《固体废物分类与代码目录</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中</w:t>
            </w:r>
            <w:r>
              <w:rPr>
                <w:rFonts w:hint="eastAsia" w:ascii="宋体" w:hAnsi="宋体" w:eastAsia="宋体" w:cs="宋体"/>
                <w:color w:val="auto"/>
                <w:sz w:val="24"/>
                <w:szCs w:val="24"/>
                <w:lang w:eastAsia="zh-CN"/>
              </w:rPr>
              <w:t>“</w:t>
            </w:r>
            <w:r>
              <w:rPr>
                <w:rFonts w:hint="default" w:ascii="Times New Roman" w:hAnsi="Times New Roman" w:eastAsia="宋体" w:cs="Times New Roman"/>
                <w:color w:val="auto"/>
                <w:sz w:val="24"/>
                <w:szCs w:val="24"/>
                <w:lang w:val="en-US" w:eastAsia="zh-CN"/>
              </w:rPr>
              <w:t>SW17</w:t>
            </w:r>
            <w:r>
              <w:rPr>
                <w:rFonts w:hint="eastAsia"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可再生类废物</w:t>
            </w:r>
            <w:r>
              <w:rPr>
                <w:rFonts w:hint="eastAsia" w:cs="Times New Roman"/>
                <w:color w:val="auto"/>
                <w:sz w:val="24"/>
                <w:szCs w:val="24"/>
                <w:lang w:val="en-US" w:eastAsia="zh-CN"/>
              </w:rPr>
              <w:t>/非特定行业/</w:t>
            </w:r>
            <w:r>
              <w:rPr>
                <w:rFonts w:hint="default" w:ascii="Times New Roman" w:hAnsi="Times New Roman" w:eastAsia="宋体" w:cs="Times New Roman"/>
                <w:color w:val="auto"/>
                <w:sz w:val="24"/>
                <w:szCs w:val="24"/>
                <w:lang w:val="en-US" w:eastAsia="zh-CN"/>
              </w:rPr>
              <w:t>900-012-S17</w:t>
            </w:r>
            <w:r>
              <w:rPr>
                <w:rFonts w:hint="eastAsia" w:ascii="宋体" w:hAnsi="宋体" w:eastAsia="宋体" w:cs="宋体"/>
                <w:color w:val="auto"/>
                <w:sz w:val="24"/>
                <w:szCs w:val="24"/>
                <w:lang w:eastAsia="zh-CN"/>
              </w:rPr>
              <w:t>”，</w:t>
            </w:r>
            <w:r>
              <w:rPr>
                <w:rFonts w:hint="eastAsia" w:ascii="Times New Roman" w:hAnsi="Times New Roman" w:eastAsia="宋体" w:cs="Times New Roman"/>
                <w:color w:val="auto"/>
                <w:sz w:val="24"/>
                <w:szCs w:val="24"/>
                <w:lang w:val="en-US" w:eastAsia="zh-CN"/>
              </w:rPr>
              <w:t>经收集后定期外售综合利用</w:t>
            </w:r>
            <w:r>
              <w:rPr>
                <w:rFonts w:hint="eastAsia" w:ascii="Times New Roman" w:hAnsi="Times New Roman" w:eastAsia="宋体" w:cs="Times New Roman"/>
                <w:color w:val="auto"/>
                <w:sz w:val="24"/>
                <w:szCs w:val="24"/>
                <w:lang w:eastAsia="zh-CN"/>
              </w:rPr>
              <w:t>。</w:t>
            </w:r>
          </w:p>
          <w:p w14:paraId="79E87944">
            <w:pPr>
              <w:keepNext w:val="0"/>
              <w:keepLines w:val="0"/>
              <w:pageBreakBefore w:val="0"/>
              <w:widowControl w:val="0"/>
              <w:kinsoku/>
              <w:wordWrap/>
              <w:overflowPunct/>
              <w:topLinePunct w:val="0"/>
              <w:bidi w:val="0"/>
              <w:adjustRightInd/>
              <w:snapToGrid/>
              <w:spacing w:line="360" w:lineRule="auto"/>
              <w:ind w:firstLine="482" w:firstLineChars="200"/>
              <w:textAlignment w:val="auto"/>
              <w:rPr>
                <w:rFonts w:hint="default" w:ascii="Times New Roman" w:hAnsi="Times New Roman" w:eastAsia="宋体" w:cs="Times New Roman"/>
                <w:b/>
                <w:bCs/>
                <w:color w:val="auto"/>
                <w:sz w:val="24"/>
                <w:szCs w:val="24"/>
              </w:rPr>
            </w:pPr>
            <w:r>
              <w:rPr>
                <w:rFonts w:hint="eastAsia" w:ascii="Times New Roman" w:hAnsi="Times New Roman" w:eastAsia="宋体" w:cs="Times New Roman"/>
                <w:b/>
                <w:bCs/>
                <w:color w:val="auto"/>
                <w:sz w:val="24"/>
                <w:szCs w:val="24"/>
                <w:lang w:val="en-US" w:eastAsia="zh-CN"/>
              </w:rPr>
              <w:t>3）</w:t>
            </w:r>
            <w:r>
              <w:rPr>
                <w:rFonts w:hint="default" w:ascii="Times New Roman" w:hAnsi="Times New Roman" w:eastAsia="宋体" w:cs="Times New Roman"/>
                <w:b/>
                <w:bCs/>
                <w:color w:val="auto"/>
                <w:sz w:val="24"/>
                <w:szCs w:val="24"/>
              </w:rPr>
              <w:t>危险废物</w:t>
            </w:r>
          </w:p>
          <w:p w14:paraId="62C52439">
            <w:pPr>
              <w:keepNext w:val="0"/>
              <w:keepLines w:val="0"/>
              <w:pageBreakBefore w:val="0"/>
              <w:widowControl w:val="0"/>
              <w:shd w:val="clear"/>
              <w:kinsoku/>
              <w:wordWrap/>
              <w:overflowPunct/>
              <w:topLinePunct w:val="0"/>
              <w:autoSpaceDE w:val="0"/>
              <w:autoSpaceDN w:val="0"/>
              <w:bidi w:val="0"/>
              <w:adjustRightInd/>
              <w:snapToGrid/>
              <w:spacing w:line="360" w:lineRule="auto"/>
              <w:ind w:firstLine="482" w:firstLineChars="200"/>
              <w:jc w:val="left"/>
              <w:textAlignment w:val="auto"/>
              <w:rPr>
                <w:rFonts w:hint="default" w:ascii="Times New Roman" w:hAnsi="Times New Roman" w:eastAsia="宋体" w:cs="Times New Roman"/>
                <w:b/>
                <w:bCs/>
                <w:color w:val="auto"/>
                <w:sz w:val="24"/>
                <w:szCs w:val="24"/>
                <w:lang w:val="en-US" w:eastAsia="zh-CN"/>
              </w:rPr>
            </w:pPr>
            <w:r>
              <w:rPr>
                <w:rFonts w:hint="eastAsia" w:ascii="Times New Roman" w:hAnsi="Times New Roman" w:eastAsia="宋体" w:cs="Times New Roman"/>
                <w:b/>
                <w:bCs/>
                <w:color w:val="auto"/>
                <w:sz w:val="24"/>
                <w:szCs w:val="24"/>
                <w:lang w:val="en-US" w:eastAsia="zh-CN"/>
              </w:rPr>
              <w:t>①</w:t>
            </w:r>
            <w:r>
              <w:rPr>
                <w:rFonts w:hint="default" w:ascii="Times New Roman" w:hAnsi="Times New Roman" w:eastAsia="宋体" w:cs="Times New Roman"/>
                <w:b/>
                <w:bCs/>
                <w:color w:val="auto"/>
                <w:sz w:val="24"/>
                <w:szCs w:val="24"/>
                <w:lang w:val="en-US" w:eastAsia="zh-CN"/>
              </w:rPr>
              <w:t>废活性炭</w:t>
            </w:r>
          </w:p>
          <w:p w14:paraId="71FEC26F">
            <w:pPr>
              <w:keepNext w:val="0"/>
              <w:keepLines w:val="0"/>
              <w:pageBreakBefore w:val="0"/>
              <w:widowControl w:val="0"/>
              <w:shd w:val="clear"/>
              <w:kinsoku/>
              <w:wordWrap/>
              <w:overflowPunct/>
              <w:topLinePunct w:val="0"/>
              <w:autoSpaceDE w:val="0"/>
              <w:autoSpaceDN w:val="0"/>
              <w:bidi w:val="0"/>
              <w:adjustRightInd/>
              <w:snapToGrid/>
              <w:spacing w:line="360" w:lineRule="auto"/>
              <w:ind w:firstLine="480" w:firstLineChars="200"/>
              <w:jc w:val="left"/>
              <w:textAlignment w:val="auto"/>
              <w:rPr>
                <w:rFonts w:hint="eastAsia"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color w:val="auto"/>
                <w:sz w:val="24"/>
                <w:szCs w:val="24"/>
                <w:highlight w:val="none"/>
                <w:lang w:val="en-US" w:eastAsia="zh-CN"/>
              </w:rPr>
              <w:t>本项目活性炭填充量约</w:t>
            </w:r>
            <w:r>
              <w:rPr>
                <w:rFonts w:hint="eastAsia" w:cs="Times New Roman"/>
                <w:color w:val="auto"/>
                <w:sz w:val="24"/>
                <w:szCs w:val="24"/>
                <w:highlight w:val="none"/>
                <w:lang w:val="en-US" w:eastAsia="zh-CN"/>
              </w:rPr>
              <w:t>8</w:t>
            </w:r>
            <w:r>
              <w:rPr>
                <w:rFonts w:hint="eastAsia" w:ascii="Times New Roman" w:hAnsi="Times New Roman" w:eastAsia="宋体" w:cs="Times New Roman"/>
                <w:color w:val="auto"/>
                <w:sz w:val="24"/>
                <w:szCs w:val="24"/>
                <w:highlight w:val="none"/>
                <w:lang w:val="en-US" w:eastAsia="zh-CN"/>
              </w:rPr>
              <w:t>t/a，吸附废气量</w:t>
            </w:r>
            <w:r>
              <w:rPr>
                <w:rFonts w:hint="eastAsia" w:cs="Times New Roman"/>
                <w:color w:val="auto"/>
                <w:sz w:val="24"/>
                <w:szCs w:val="24"/>
                <w:highlight w:val="none"/>
                <w:lang w:val="en-US" w:eastAsia="zh-CN"/>
              </w:rPr>
              <w:t>0.7642</w:t>
            </w:r>
            <w:r>
              <w:rPr>
                <w:rFonts w:hint="eastAsia"/>
                <w:color w:val="auto"/>
                <w:sz w:val="24"/>
                <w:szCs w:val="24"/>
                <w:highlight w:val="none"/>
                <w:lang w:val="en-US" w:eastAsia="zh-CN"/>
              </w:rPr>
              <w:t>t，则本项目废活性炭产生量为8.76422t/a，</w:t>
            </w:r>
            <w:r>
              <w:rPr>
                <w:rFonts w:hint="eastAsia"/>
                <w:color w:val="auto"/>
                <w:sz w:val="24"/>
                <w:szCs w:val="24"/>
                <w:highlight w:val="none"/>
              </w:rPr>
              <w:t>属于《国家危险废物名录（202</w:t>
            </w:r>
            <w:r>
              <w:rPr>
                <w:rFonts w:hint="eastAsia"/>
                <w:color w:val="auto"/>
                <w:sz w:val="24"/>
                <w:szCs w:val="24"/>
                <w:highlight w:val="none"/>
                <w:lang w:val="en-US" w:eastAsia="zh-CN"/>
              </w:rPr>
              <w:t>5</w:t>
            </w:r>
            <w:r>
              <w:rPr>
                <w:rFonts w:hint="eastAsia"/>
                <w:color w:val="auto"/>
                <w:sz w:val="24"/>
                <w:szCs w:val="24"/>
                <w:highlight w:val="none"/>
              </w:rPr>
              <w:t>年版）》中的</w:t>
            </w:r>
            <w:r>
              <w:rPr>
                <w:rFonts w:hint="eastAsia"/>
                <w:color w:val="auto"/>
                <w:sz w:val="24"/>
                <w:szCs w:val="24"/>
                <w:highlight w:val="none"/>
                <w:lang w:eastAsia="zh-CN"/>
              </w:rPr>
              <w:t>“</w:t>
            </w:r>
            <w:r>
              <w:rPr>
                <w:rFonts w:hint="eastAsia"/>
                <w:color w:val="auto"/>
                <w:sz w:val="24"/>
                <w:szCs w:val="24"/>
                <w:highlight w:val="none"/>
              </w:rPr>
              <w:t>HW49</w:t>
            </w:r>
            <w:r>
              <w:rPr>
                <w:rFonts w:hint="eastAsia"/>
                <w:color w:val="auto"/>
                <w:sz w:val="24"/>
                <w:szCs w:val="24"/>
                <w:highlight w:val="none"/>
                <w:lang w:val="en-US" w:eastAsia="zh-CN"/>
              </w:rPr>
              <w:t xml:space="preserve"> 其他废物/非特定行业/</w:t>
            </w:r>
            <w:r>
              <w:rPr>
                <w:rFonts w:hint="eastAsia"/>
                <w:color w:val="auto"/>
                <w:sz w:val="24"/>
                <w:szCs w:val="24"/>
                <w:highlight w:val="none"/>
              </w:rPr>
              <w:t>900-0</w:t>
            </w:r>
            <w:r>
              <w:rPr>
                <w:rFonts w:hint="eastAsia"/>
                <w:color w:val="auto"/>
                <w:sz w:val="24"/>
                <w:szCs w:val="24"/>
                <w:highlight w:val="none"/>
                <w:lang w:val="en-US" w:eastAsia="zh-CN"/>
              </w:rPr>
              <w:t>39</w:t>
            </w:r>
            <w:r>
              <w:rPr>
                <w:rFonts w:hint="eastAsia"/>
                <w:color w:val="auto"/>
                <w:sz w:val="24"/>
                <w:szCs w:val="24"/>
                <w:highlight w:val="none"/>
              </w:rPr>
              <w:t>-49</w:t>
            </w:r>
            <w:r>
              <w:rPr>
                <w:rFonts w:hint="eastAsia"/>
                <w:color w:val="auto"/>
                <w:sz w:val="24"/>
                <w:szCs w:val="24"/>
                <w:highlight w:val="none"/>
                <w:lang w:eastAsia="zh-CN"/>
              </w:rPr>
              <w:t>”</w:t>
            </w:r>
            <w:r>
              <w:rPr>
                <w:rFonts w:hint="eastAsia"/>
                <w:color w:val="auto"/>
                <w:sz w:val="24"/>
                <w:szCs w:val="24"/>
                <w:highlight w:val="none"/>
              </w:rPr>
              <w:t>类危险废物</w:t>
            </w:r>
            <w:r>
              <w:rPr>
                <w:rFonts w:hint="eastAsia"/>
                <w:color w:val="auto"/>
                <w:sz w:val="24"/>
                <w:szCs w:val="24"/>
                <w:highlight w:val="none"/>
                <w:lang w:eastAsia="zh-CN"/>
              </w:rPr>
              <w:t>，</w:t>
            </w:r>
            <w:r>
              <w:rPr>
                <w:rFonts w:hint="default" w:ascii="Times New Roman" w:hAnsi="Times New Roman" w:eastAsia="宋体" w:cs="Times New Roman"/>
                <w:color w:val="auto"/>
                <w:sz w:val="24"/>
                <w:szCs w:val="24"/>
              </w:rPr>
              <w:t>收集暂存于</w:t>
            </w:r>
            <w:r>
              <w:rPr>
                <w:rFonts w:hint="eastAsia" w:cs="Times New Roman"/>
                <w:color w:val="auto"/>
                <w:sz w:val="24"/>
                <w:szCs w:val="24"/>
                <w:lang w:val="en-US" w:eastAsia="zh-CN"/>
              </w:rPr>
              <w:t>危废库</w:t>
            </w:r>
            <w:r>
              <w:rPr>
                <w:rFonts w:hint="default" w:ascii="Times New Roman" w:hAnsi="Times New Roman" w:eastAsia="宋体" w:cs="Times New Roman"/>
                <w:color w:val="auto"/>
                <w:sz w:val="24"/>
                <w:szCs w:val="24"/>
              </w:rPr>
              <w:t>，定期交由有资质的单位处置。</w:t>
            </w:r>
          </w:p>
          <w:p w14:paraId="043EAC15">
            <w:pPr>
              <w:keepNext w:val="0"/>
              <w:keepLines w:val="0"/>
              <w:pageBreakBefore w:val="0"/>
              <w:widowControl w:val="0"/>
              <w:kinsoku/>
              <w:wordWrap/>
              <w:overflowPunct/>
              <w:topLinePunct w:val="0"/>
              <w:bidi w:val="0"/>
              <w:adjustRightInd/>
              <w:snapToGrid/>
              <w:spacing w:line="360" w:lineRule="auto"/>
              <w:ind w:firstLine="482" w:firstLineChars="200"/>
              <w:textAlignment w:val="auto"/>
              <w:rPr>
                <w:rFonts w:hint="default" w:ascii="Times New Roman" w:hAnsi="Times New Roman" w:eastAsia="宋体" w:cs="Times New Roman"/>
                <w:b/>
                <w:bCs/>
                <w:color w:val="auto"/>
                <w:sz w:val="24"/>
                <w:szCs w:val="24"/>
                <w:lang w:val="en-US" w:eastAsia="zh-CN"/>
              </w:rPr>
            </w:pPr>
            <w:r>
              <w:rPr>
                <w:rFonts w:hint="eastAsia" w:ascii="Times New Roman" w:hAnsi="Times New Roman" w:eastAsia="宋体" w:cs="Times New Roman"/>
                <w:b/>
                <w:bCs/>
                <w:color w:val="auto"/>
                <w:sz w:val="24"/>
                <w:szCs w:val="24"/>
                <w:lang w:val="en-US" w:eastAsia="zh-CN"/>
              </w:rPr>
              <w:t>②</w:t>
            </w:r>
            <w:r>
              <w:rPr>
                <w:rFonts w:hint="default" w:ascii="Times New Roman" w:hAnsi="Times New Roman" w:eastAsia="宋体" w:cs="Times New Roman"/>
                <w:b/>
                <w:bCs/>
                <w:color w:val="auto"/>
                <w:sz w:val="24"/>
                <w:szCs w:val="24"/>
                <w:lang w:val="en-US" w:eastAsia="zh-CN"/>
              </w:rPr>
              <w:t>废水处理污泥</w:t>
            </w:r>
          </w:p>
          <w:p w14:paraId="676326FF">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项目生产废水在厂区污水处理站处理时会产生污泥，</w:t>
            </w:r>
            <w:r>
              <w:rPr>
                <w:rFonts w:hint="default" w:ascii="Times New Roman" w:hAnsi="Times New Roman" w:eastAsia="宋体" w:cs="Times New Roman"/>
                <w:color w:val="auto"/>
                <w:sz w:val="24"/>
                <w:szCs w:val="24"/>
              </w:rPr>
              <w:t>参照《集中式污染治理设施产排污系数手册（2010修订）》，污泥产生量按照16.7t/万t废水处理量计算，本项目进入污水站的水量为</w:t>
            </w:r>
            <w:r>
              <w:rPr>
                <w:rFonts w:hint="eastAsia" w:cs="Times New Roman"/>
                <w:color w:val="auto"/>
                <w:sz w:val="24"/>
                <w:szCs w:val="24"/>
                <w:lang w:val="en-US" w:eastAsia="zh-CN"/>
              </w:rPr>
              <w:t>76.8</w:t>
            </w:r>
            <w:r>
              <w:rPr>
                <w:rFonts w:hint="default" w:ascii="Times New Roman" w:hAnsi="Times New Roman" w:eastAsia="宋体" w:cs="Times New Roman"/>
                <w:color w:val="auto"/>
                <w:sz w:val="24"/>
                <w:szCs w:val="24"/>
              </w:rPr>
              <w:t>t/a，则污水处理站污泥产生量约为</w:t>
            </w:r>
            <w:r>
              <w:rPr>
                <w:rFonts w:hint="eastAsia" w:cs="Times New Roman"/>
                <w:color w:val="auto"/>
                <w:sz w:val="24"/>
                <w:szCs w:val="24"/>
                <w:lang w:val="en-US" w:eastAsia="zh-CN"/>
              </w:rPr>
              <w:t>0.13</w:t>
            </w:r>
            <w:r>
              <w:rPr>
                <w:rFonts w:hint="default" w:ascii="Times New Roman" w:hAnsi="Times New Roman" w:eastAsia="宋体" w:cs="Times New Roman"/>
                <w:color w:val="auto"/>
                <w:sz w:val="24"/>
                <w:szCs w:val="24"/>
              </w:rPr>
              <w:t>t/a</w:t>
            </w:r>
            <w:r>
              <w:rPr>
                <w:rFonts w:hint="default" w:ascii="Times New Roman" w:hAnsi="Times New Roman" w:eastAsia="宋体" w:cs="Times New Roman"/>
                <w:color w:val="auto"/>
                <w:sz w:val="24"/>
                <w:szCs w:val="24"/>
                <w:lang w:val="en-US" w:eastAsia="zh-CN"/>
              </w:rPr>
              <w:t>，属于</w:t>
            </w:r>
            <w:r>
              <w:rPr>
                <w:rFonts w:hint="default" w:ascii="Times New Roman" w:hAnsi="Times New Roman" w:eastAsia="宋体" w:cs="Times New Roman"/>
                <w:color w:val="auto"/>
                <w:sz w:val="24"/>
                <w:szCs w:val="24"/>
                <w:lang w:eastAsia="zh-CN"/>
              </w:rPr>
              <w:t>《国家危险废物名录》（2025年版</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中“</w:t>
            </w:r>
            <w:r>
              <w:rPr>
                <w:rFonts w:hint="default" w:ascii="Times New Roman" w:hAnsi="Times New Roman" w:eastAsia="宋体" w:cs="Times New Roman"/>
                <w:color w:val="auto"/>
                <w:sz w:val="24"/>
                <w:szCs w:val="24"/>
                <w:lang w:val="en-US" w:eastAsia="zh-CN"/>
              </w:rPr>
              <w:t>HW49其他废物/环境治理/772-006-49</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，收集暂</w:t>
            </w:r>
            <w:r>
              <w:rPr>
                <w:rFonts w:hint="default" w:ascii="Times New Roman" w:hAnsi="Times New Roman" w:eastAsia="宋体" w:cs="Times New Roman"/>
                <w:color w:val="auto"/>
                <w:sz w:val="24"/>
                <w:szCs w:val="24"/>
              </w:rPr>
              <w:t>存于</w:t>
            </w:r>
            <w:r>
              <w:rPr>
                <w:rFonts w:hint="eastAsia" w:cs="Times New Roman"/>
                <w:color w:val="auto"/>
                <w:sz w:val="24"/>
                <w:szCs w:val="24"/>
                <w:lang w:val="en-US" w:eastAsia="zh-CN"/>
              </w:rPr>
              <w:t>危废库</w:t>
            </w:r>
            <w:r>
              <w:rPr>
                <w:rFonts w:hint="default" w:ascii="Times New Roman" w:hAnsi="Times New Roman" w:eastAsia="宋体" w:cs="Times New Roman"/>
                <w:color w:val="auto"/>
                <w:sz w:val="24"/>
                <w:szCs w:val="24"/>
              </w:rPr>
              <w:t>，定期交由有资质的单位处置。</w:t>
            </w:r>
          </w:p>
          <w:p w14:paraId="772876C4">
            <w:pPr>
              <w:keepNext w:val="0"/>
              <w:keepLines w:val="0"/>
              <w:pageBreakBefore w:val="0"/>
              <w:widowControl w:val="0"/>
              <w:kinsoku/>
              <w:wordWrap/>
              <w:overflowPunct/>
              <w:topLinePunct w:val="0"/>
              <w:bidi w:val="0"/>
              <w:adjustRightInd/>
              <w:snapToGrid/>
              <w:spacing w:line="360" w:lineRule="auto"/>
              <w:ind w:firstLine="482" w:firstLineChars="200"/>
              <w:textAlignment w:val="auto"/>
              <w:rPr>
                <w:rFonts w:hint="default" w:ascii="Times New Roman" w:hAnsi="Times New Roman" w:eastAsia="宋体" w:cs="Times New Roman"/>
                <w:b/>
                <w:bCs/>
                <w:color w:val="auto"/>
                <w:sz w:val="24"/>
                <w:szCs w:val="24"/>
              </w:rPr>
            </w:pPr>
            <w:r>
              <w:rPr>
                <w:rFonts w:hint="eastAsia" w:ascii="Times New Roman" w:hAnsi="Times New Roman" w:eastAsia="宋体" w:cs="Times New Roman"/>
                <w:b/>
                <w:bCs/>
                <w:color w:val="auto"/>
                <w:sz w:val="24"/>
                <w:szCs w:val="24"/>
                <w:lang w:val="en-US" w:eastAsia="zh-CN"/>
              </w:rPr>
              <w:t>③</w:t>
            </w:r>
            <w:r>
              <w:rPr>
                <w:rFonts w:hint="default" w:ascii="Times New Roman" w:hAnsi="Times New Roman" w:eastAsia="宋体" w:cs="Times New Roman"/>
                <w:b/>
                <w:bCs/>
                <w:color w:val="auto"/>
                <w:sz w:val="24"/>
                <w:szCs w:val="24"/>
              </w:rPr>
              <w:t>废机油</w:t>
            </w:r>
          </w:p>
          <w:p w14:paraId="47BCF446">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主要为设备</w:t>
            </w:r>
            <w:r>
              <w:rPr>
                <w:rFonts w:hint="eastAsia" w:ascii="Times New Roman" w:hAnsi="Times New Roman" w:eastAsia="宋体" w:cs="Times New Roman"/>
                <w:color w:val="auto"/>
                <w:sz w:val="24"/>
                <w:szCs w:val="24"/>
                <w:lang w:val="en-US" w:eastAsia="zh-CN"/>
              </w:rPr>
              <w:t>维护</w:t>
            </w:r>
            <w:r>
              <w:rPr>
                <w:rFonts w:hint="eastAsia" w:ascii="Times New Roman" w:hAnsi="Times New Roman" w:eastAsia="宋体" w:cs="Times New Roman"/>
                <w:color w:val="auto"/>
                <w:sz w:val="24"/>
                <w:szCs w:val="24"/>
              </w:rPr>
              <w:t>过程中</w:t>
            </w:r>
            <w:r>
              <w:rPr>
                <w:rFonts w:hint="eastAsia" w:cs="Times New Roman"/>
                <w:color w:val="auto"/>
                <w:sz w:val="24"/>
                <w:szCs w:val="24"/>
                <w:lang w:eastAsia="zh-CN"/>
              </w:rPr>
              <w:t>产生的</w:t>
            </w:r>
            <w:r>
              <w:rPr>
                <w:rFonts w:hint="default" w:ascii="Times New Roman" w:hAnsi="Times New Roman" w:eastAsia="宋体" w:cs="Times New Roman"/>
                <w:color w:val="auto"/>
                <w:sz w:val="24"/>
                <w:szCs w:val="24"/>
              </w:rPr>
              <w:t>废机油产生量约0.0</w:t>
            </w:r>
            <w:r>
              <w:rPr>
                <w:rFonts w:hint="eastAsia" w:ascii="Times New Roman" w:hAnsi="Times New Roman" w:eastAsia="宋体" w:cs="Times New Roman"/>
                <w:color w:val="auto"/>
                <w:sz w:val="24"/>
                <w:szCs w:val="24"/>
                <w:lang w:val="en-US" w:eastAsia="zh-CN"/>
              </w:rPr>
              <w:t>1</w:t>
            </w:r>
            <w:r>
              <w:rPr>
                <w:rFonts w:hint="default" w:ascii="Times New Roman" w:hAnsi="Times New Roman" w:eastAsia="宋体" w:cs="Times New Roman"/>
                <w:color w:val="auto"/>
                <w:sz w:val="24"/>
                <w:szCs w:val="24"/>
              </w:rPr>
              <w:t>t/a</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属于</w:t>
            </w:r>
            <w:r>
              <w:rPr>
                <w:rFonts w:hint="default" w:ascii="Times New Roman" w:hAnsi="Times New Roman" w:eastAsia="宋体" w:cs="Times New Roman"/>
                <w:color w:val="auto"/>
                <w:sz w:val="24"/>
                <w:szCs w:val="24"/>
                <w:lang w:eastAsia="zh-CN"/>
              </w:rPr>
              <w:t>《国家危险废物名录》（2025年版）</w:t>
            </w:r>
            <w:r>
              <w:rPr>
                <w:rFonts w:hint="eastAsia" w:ascii="宋体" w:hAnsi="宋体" w:eastAsia="宋体" w:cs="宋体"/>
                <w:color w:val="auto"/>
                <w:sz w:val="24"/>
                <w:szCs w:val="24"/>
                <w:lang w:val="en-US" w:eastAsia="zh-CN"/>
              </w:rPr>
              <w:t>中“</w:t>
            </w:r>
            <w:r>
              <w:rPr>
                <w:rFonts w:hint="default" w:ascii="Times New Roman" w:hAnsi="Times New Roman" w:eastAsia="宋体" w:cs="Times New Roman"/>
                <w:color w:val="auto"/>
                <w:sz w:val="24"/>
                <w:szCs w:val="24"/>
              </w:rPr>
              <w:t>HW08</w:t>
            </w:r>
            <w:r>
              <w:rPr>
                <w:rFonts w:hint="default" w:ascii="Times New Roman" w:hAnsi="Times New Roman" w:eastAsia="宋体" w:cs="Times New Roman"/>
                <w:color w:val="auto"/>
                <w:sz w:val="24"/>
                <w:szCs w:val="24"/>
                <w:lang w:val="en-US" w:eastAsia="zh-CN"/>
              </w:rPr>
              <w:t>废矿物油与含矿物油废物/非特定行业/</w:t>
            </w:r>
            <w:r>
              <w:rPr>
                <w:rFonts w:hint="default" w:ascii="Times New Roman" w:hAnsi="Times New Roman" w:eastAsia="宋体" w:cs="Times New Roman"/>
                <w:color w:val="auto"/>
                <w:sz w:val="24"/>
                <w:szCs w:val="24"/>
              </w:rPr>
              <w:t>900-2</w:t>
            </w:r>
            <w:r>
              <w:rPr>
                <w:rFonts w:hint="eastAsia" w:ascii="Times New Roman" w:hAnsi="Times New Roman" w:eastAsia="宋体" w:cs="Times New Roman"/>
                <w:color w:val="auto"/>
                <w:sz w:val="24"/>
                <w:szCs w:val="24"/>
                <w:lang w:val="en-US" w:eastAsia="zh-CN"/>
              </w:rPr>
              <w:t>49</w:t>
            </w:r>
            <w:r>
              <w:rPr>
                <w:rFonts w:hint="default" w:ascii="Times New Roman" w:hAnsi="Times New Roman" w:eastAsia="宋体" w:cs="Times New Roman"/>
                <w:color w:val="auto"/>
                <w:sz w:val="24"/>
                <w:szCs w:val="24"/>
              </w:rPr>
              <w:t>-08</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，采用专</w:t>
            </w:r>
            <w:r>
              <w:rPr>
                <w:rFonts w:hint="default" w:ascii="Times New Roman" w:hAnsi="Times New Roman" w:eastAsia="宋体" w:cs="Times New Roman"/>
                <w:color w:val="auto"/>
                <w:sz w:val="24"/>
                <w:szCs w:val="24"/>
              </w:rPr>
              <w:t>用容器密封收集暂存于</w:t>
            </w:r>
            <w:r>
              <w:rPr>
                <w:rFonts w:hint="eastAsia" w:cs="Times New Roman"/>
                <w:color w:val="auto"/>
                <w:sz w:val="24"/>
                <w:szCs w:val="24"/>
                <w:lang w:val="en-US" w:eastAsia="zh-CN"/>
              </w:rPr>
              <w:t>危废库</w:t>
            </w:r>
            <w:r>
              <w:rPr>
                <w:rFonts w:hint="default" w:ascii="Times New Roman" w:hAnsi="Times New Roman" w:eastAsia="宋体" w:cs="Times New Roman"/>
                <w:color w:val="auto"/>
                <w:sz w:val="24"/>
                <w:szCs w:val="24"/>
              </w:rPr>
              <w:t>内，定期交由有资质的单位处置。</w:t>
            </w:r>
          </w:p>
          <w:p w14:paraId="3B982EB8">
            <w:pPr>
              <w:keepNext w:val="0"/>
              <w:keepLines w:val="0"/>
              <w:pageBreakBefore w:val="0"/>
              <w:widowControl w:val="0"/>
              <w:kinsoku/>
              <w:wordWrap/>
              <w:overflowPunct/>
              <w:topLinePunct w:val="0"/>
              <w:bidi w:val="0"/>
              <w:adjustRightInd/>
              <w:snapToGrid/>
              <w:spacing w:line="360" w:lineRule="auto"/>
              <w:ind w:firstLine="482" w:firstLineChars="200"/>
              <w:textAlignment w:val="auto"/>
              <w:rPr>
                <w:rFonts w:hint="default" w:ascii="Times New Roman" w:hAnsi="Times New Roman" w:eastAsia="宋体" w:cs="Times New Roman"/>
                <w:b/>
                <w:bCs/>
                <w:color w:val="auto"/>
                <w:sz w:val="24"/>
                <w:szCs w:val="24"/>
              </w:rPr>
            </w:pPr>
            <w:r>
              <w:rPr>
                <w:rFonts w:hint="eastAsia" w:ascii="Times New Roman" w:hAnsi="Times New Roman" w:eastAsia="宋体" w:cs="Times New Roman"/>
                <w:b/>
                <w:bCs/>
                <w:color w:val="auto"/>
                <w:sz w:val="24"/>
                <w:szCs w:val="24"/>
                <w:lang w:val="en-US" w:eastAsia="zh-CN"/>
              </w:rPr>
              <w:t>④</w:t>
            </w:r>
            <w:r>
              <w:rPr>
                <w:rFonts w:hint="default" w:ascii="Times New Roman" w:hAnsi="Times New Roman" w:eastAsia="宋体" w:cs="Times New Roman"/>
                <w:b/>
                <w:bCs/>
                <w:color w:val="auto"/>
                <w:sz w:val="24"/>
                <w:szCs w:val="24"/>
              </w:rPr>
              <w:t>含油</w:t>
            </w:r>
            <w:r>
              <w:rPr>
                <w:rFonts w:hint="eastAsia" w:cs="Times New Roman"/>
                <w:b/>
                <w:bCs/>
                <w:color w:val="auto"/>
                <w:sz w:val="24"/>
                <w:szCs w:val="24"/>
                <w:lang w:val="en-US" w:eastAsia="zh-CN"/>
              </w:rPr>
              <w:t>棉纱</w:t>
            </w:r>
            <w:r>
              <w:rPr>
                <w:rFonts w:hint="default" w:ascii="Times New Roman" w:hAnsi="Times New Roman" w:eastAsia="宋体" w:cs="Times New Roman"/>
                <w:b/>
                <w:bCs/>
                <w:color w:val="auto"/>
                <w:sz w:val="24"/>
                <w:szCs w:val="24"/>
              </w:rPr>
              <w:t>手套、抹布</w:t>
            </w:r>
          </w:p>
          <w:p w14:paraId="62091301">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val="en-US" w:eastAsia="zh-CN"/>
              </w:rPr>
              <w:t>项目生产过程中会因设备使用、维护机械设备产生含油棉纱手套、抹布等，</w:t>
            </w:r>
            <w:r>
              <w:rPr>
                <w:rFonts w:hint="default" w:ascii="Times New Roman" w:hAnsi="Times New Roman" w:eastAsia="宋体" w:cs="Times New Roman"/>
                <w:color w:val="auto"/>
                <w:sz w:val="24"/>
                <w:szCs w:val="24"/>
              </w:rPr>
              <w:t>产生量约为0.0</w:t>
            </w:r>
            <w:r>
              <w:rPr>
                <w:rFonts w:hint="default" w:ascii="Times New Roman" w:hAnsi="Times New Roman" w:eastAsia="宋体" w:cs="Times New Roman"/>
                <w:color w:val="auto"/>
                <w:sz w:val="24"/>
                <w:szCs w:val="24"/>
                <w:lang w:val="en-US" w:eastAsia="zh-CN"/>
              </w:rPr>
              <w:t>1</w:t>
            </w:r>
            <w:r>
              <w:rPr>
                <w:rFonts w:hint="default" w:ascii="Times New Roman" w:hAnsi="Times New Roman" w:eastAsia="宋体" w:cs="Times New Roman"/>
                <w:color w:val="auto"/>
                <w:sz w:val="24"/>
                <w:szCs w:val="24"/>
              </w:rPr>
              <w:t>t/a</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属于</w:t>
            </w:r>
            <w:r>
              <w:rPr>
                <w:rFonts w:hint="default" w:ascii="Times New Roman" w:hAnsi="Times New Roman" w:eastAsia="宋体" w:cs="Times New Roman"/>
                <w:color w:val="auto"/>
                <w:sz w:val="24"/>
                <w:szCs w:val="24"/>
                <w:lang w:eastAsia="zh-CN"/>
              </w:rPr>
              <w:t>《国家危险废物名录》（2025年版</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中</w:t>
            </w:r>
            <w:r>
              <w:rPr>
                <w:rFonts w:hint="eastAsia" w:ascii="宋体" w:hAnsi="宋体" w:eastAsia="宋体" w:cs="宋体"/>
                <w:color w:val="auto"/>
                <w:sz w:val="24"/>
                <w:szCs w:val="24"/>
                <w:lang w:eastAsia="zh-CN"/>
              </w:rPr>
              <w:t>“</w:t>
            </w:r>
            <w:r>
              <w:rPr>
                <w:rFonts w:hint="default" w:ascii="Times New Roman" w:hAnsi="Times New Roman" w:eastAsia="宋体" w:cs="Times New Roman"/>
                <w:color w:val="auto"/>
                <w:sz w:val="24"/>
                <w:szCs w:val="24"/>
                <w:lang w:val="en-US" w:eastAsia="zh-CN"/>
              </w:rPr>
              <w:t>HW49其他废物/非特定行业/900-041-49</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，收集后暂存于</w:t>
            </w:r>
            <w:r>
              <w:rPr>
                <w:rFonts w:hint="eastAsia" w:cs="Times New Roman"/>
                <w:color w:val="auto"/>
                <w:sz w:val="24"/>
                <w:szCs w:val="24"/>
                <w:lang w:val="en-US" w:eastAsia="zh-CN"/>
              </w:rPr>
              <w:t>危废库</w:t>
            </w:r>
            <w:r>
              <w:rPr>
                <w:rFonts w:hint="default" w:ascii="Times New Roman" w:hAnsi="Times New Roman" w:eastAsia="宋体" w:cs="Times New Roman"/>
                <w:color w:val="auto"/>
                <w:sz w:val="24"/>
                <w:szCs w:val="24"/>
              </w:rPr>
              <w:t>，定期交由有资质的单位处置。</w:t>
            </w:r>
          </w:p>
          <w:p w14:paraId="5EFB8778">
            <w:pPr>
              <w:keepNext w:val="0"/>
              <w:keepLines w:val="0"/>
              <w:pageBreakBefore w:val="0"/>
              <w:widowControl w:val="0"/>
              <w:kinsoku/>
              <w:wordWrap/>
              <w:overflowPunct/>
              <w:topLinePunct w:val="0"/>
              <w:bidi w:val="0"/>
              <w:adjustRightInd/>
              <w:snapToGrid/>
              <w:spacing w:line="360" w:lineRule="auto"/>
              <w:ind w:firstLine="482" w:firstLineChars="200"/>
              <w:textAlignment w:val="auto"/>
              <w:rPr>
                <w:rFonts w:hint="default" w:ascii="Times New Roman" w:hAnsi="Times New Roman" w:eastAsia="宋体" w:cs="Times New Roman"/>
                <w:b/>
                <w:bCs/>
                <w:color w:val="auto"/>
                <w:sz w:val="24"/>
                <w:szCs w:val="24"/>
                <w:lang w:val="en-US" w:eastAsia="zh-CN"/>
              </w:rPr>
            </w:pPr>
            <w:r>
              <w:rPr>
                <w:rFonts w:hint="eastAsia" w:ascii="Times New Roman" w:hAnsi="Times New Roman" w:eastAsia="宋体" w:cs="Times New Roman"/>
                <w:b/>
                <w:bCs/>
                <w:color w:val="auto"/>
                <w:sz w:val="24"/>
                <w:szCs w:val="24"/>
                <w:lang w:val="en-US" w:eastAsia="zh-CN"/>
              </w:rPr>
              <w:t>⑤</w:t>
            </w:r>
            <w:r>
              <w:rPr>
                <w:rFonts w:hint="eastAsia" w:cs="Times New Roman"/>
                <w:b/>
                <w:bCs/>
                <w:color w:val="auto"/>
                <w:sz w:val="24"/>
                <w:szCs w:val="24"/>
                <w:lang w:val="en-US" w:eastAsia="zh-CN"/>
              </w:rPr>
              <w:t>沾染危险物质的废包装材料</w:t>
            </w:r>
          </w:p>
          <w:p w14:paraId="75AD851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主要为电解液、机油产生的废</w:t>
            </w:r>
            <w:r>
              <w:rPr>
                <w:rFonts w:hint="eastAsia" w:ascii="Times New Roman" w:hAnsi="Times New Roman" w:eastAsia="宋体" w:cs="Times New Roman"/>
                <w:color w:val="auto"/>
                <w:sz w:val="24"/>
                <w:szCs w:val="24"/>
                <w:lang w:val="en-US" w:eastAsia="zh-CN"/>
              </w:rPr>
              <w:t>包装</w:t>
            </w:r>
            <w:r>
              <w:rPr>
                <w:rFonts w:hint="default" w:ascii="Times New Roman" w:hAnsi="Times New Roman" w:eastAsia="宋体" w:cs="Times New Roman"/>
                <w:color w:val="auto"/>
                <w:sz w:val="24"/>
                <w:szCs w:val="24"/>
              </w:rPr>
              <w:t>桶（用完后的沾带有残存电解液、机油等物质的废弃包装铁桶），</w:t>
            </w:r>
            <w:r>
              <w:rPr>
                <w:rFonts w:hint="eastAsia" w:ascii="Times New Roman" w:hAnsi="Times New Roman" w:eastAsia="宋体" w:cs="Times New Roman"/>
                <w:color w:val="auto"/>
                <w:sz w:val="24"/>
                <w:szCs w:val="24"/>
                <w:lang w:val="en-US" w:eastAsia="zh-CN"/>
              </w:rPr>
              <w:t>产生</w:t>
            </w:r>
            <w:r>
              <w:rPr>
                <w:rFonts w:hint="default" w:ascii="Times New Roman" w:hAnsi="Times New Roman" w:eastAsia="宋体" w:cs="Times New Roman"/>
                <w:color w:val="auto"/>
                <w:sz w:val="24"/>
                <w:szCs w:val="24"/>
              </w:rPr>
              <w:t>量约</w:t>
            </w:r>
            <w:r>
              <w:rPr>
                <w:rFonts w:hint="eastAsia" w:ascii="Times New Roman" w:hAnsi="Times New Roman" w:eastAsia="宋体" w:cs="Times New Roman"/>
                <w:color w:val="auto"/>
                <w:sz w:val="24"/>
                <w:szCs w:val="24"/>
                <w:lang w:val="en-US" w:eastAsia="zh-CN"/>
              </w:rPr>
              <w:t>3</w:t>
            </w:r>
            <w:r>
              <w:rPr>
                <w:rFonts w:hint="default" w:ascii="Times New Roman" w:hAnsi="Times New Roman" w:eastAsia="宋体" w:cs="Times New Roman"/>
                <w:color w:val="auto"/>
                <w:sz w:val="24"/>
                <w:szCs w:val="24"/>
              </w:rPr>
              <w:t>t/a，属于《国家危险废物名录》（202</w:t>
            </w:r>
            <w:r>
              <w:rPr>
                <w:rFonts w:hint="default" w:ascii="Times New Roman" w:hAnsi="Times New Roman" w:eastAsia="宋体" w:cs="Times New Roman"/>
                <w:color w:val="auto"/>
                <w:sz w:val="24"/>
                <w:szCs w:val="24"/>
                <w:lang w:val="en-US" w:eastAsia="zh-CN"/>
              </w:rPr>
              <w:t>5</w:t>
            </w:r>
            <w:r>
              <w:rPr>
                <w:rFonts w:hint="default" w:ascii="Times New Roman" w:hAnsi="Times New Roman" w:eastAsia="宋体" w:cs="Times New Roman"/>
                <w:color w:val="auto"/>
                <w:sz w:val="24"/>
                <w:szCs w:val="24"/>
              </w:rPr>
              <w:t>年版）</w:t>
            </w:r>
            <w:r>
              <w:rPr>
                <w:rFonts w:hint="eastAsia" w:ascii="宋体" w:hAnsi="宋体" w:eastAsia="宋体" w:cs="宋体"/>
                <w:color w:val="auto"/>
                <w:sz w:val="24"/>
                <w:szCs w:val="24"/>
              </w:rPr>
              <w:t>中</w:t>
            </w:r>
            <w:r>
              <w:rPr>
                <w:rFonts w:hint="eastAsia" w:ascii="宋体" w:hAnsi="宋体" w:eastAsia="宋体" w:cs="宋体"/>
                <w:color w:val="auto"/>
                <w:sz w:val="24"/>
                <w:szCs w:val="24"/>
                <w:lang w:eastAsia="zh-CN"/>
              </w:rPr>
              <w:t>“</w:t>
            </w:r>
            <w:r>
              <w:rPr>
                <w:rFonts w:hint="default" w:ascii="Times New Roman" w:hAnsi="Times New Roman" w:eastAsia="宋体" w:cs="Times New Roman"/>
                <w:color w:val="auto"/>
                <w:sz w:val="24"/>
                <w:szCs w:val="24"/>
                <w:lang w:val="en-US" w:eastAsia="zh-CN"/>
              </w:rPr>
              <w:t>HW49其他废物/非特定行业/900-041-49</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收集</w:t>
            </w:r>
            <w:r>
              <w:rPr>
                <w:rFonts w:hint="default" w:ascii="Times New Roman" w:hAnsi="Times New Roman" w:eastAsia="宋体" w:cs="Times New Roman"/>
                <w:color w:val="auto"/>
                <w:sz w:val="24"/>
                <w:szCs w:val="24"/>
              </w:rPr>
              <w:t>暂存于</w:t>
            </w:r>
            <w:r>
              <w:rPr>
                <w:rFonts w:hint="eastAsia" w:cs="Times New Roman"/>
                <w:color w:val="auto"/>
                <w:sz w:val="24"/>
                <w:szCs w:val="24"/>
                <w:lang w:val="en-US" w:eastAsia="zh-CN"/>
              </w:rPr>
              <w:t>危废库</w:t>
            </w:r>
            <w:r>
              <w:rPr>
                <w:rFonts w:hint="default" w:ascii="Times New Roman" w:hAnsi="Times New Roman" w:eastAsia="宋体" w:cs="Times New Roman"/>
                <w:color w:val="auto"/>
                <w:sz w:val="24"/>
                <w:szCs w:val="24"/>
              </w:rPr>
              <w:t>，定期交由有资质的单位处置。</w:t>
            </w:r>
          </w:p>
          <w:p w14:paraId="4948E026">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imes New Roman" w:hAnsi="Times New Roman" w:eastAsia="宋体" w:cs="Times New Roman"/>
                <w:b/>
                <w:bCs/>
                <w:color w:val="auto"/>
                <w:sz w:val="24"/>
                <w:szCs w:val="24"/>
                <w:lang w:val="en-US" w:eastAsia="zh-CN"/>
              </w:rPr>
            </w:pPr>
            <w:r>
              <w:rPr>
                <w:rFonts w:hint="eastAsia" w:ascii="Times New Roman" w:hAnsi="Times New Roman" w:eastAsia="宋体" w:cs="Times New Roman"/>
                <w:b/>
                <w:bCs/>
                <w:color w:val="auto"/>
                <w:sz w:val="24"/>
                <w:szCs w:val="24"/>
                <w:lang w:val="en-US" w:eastAsia="zh-CN"/>
              </w:rPr>
              <w:t>⑥废电解液</w:t>
            </w:r>
          </w:p>
          <w:p w14:paraId="6E83D64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ascii="宋体" w:hAnsi="宋体" w:eastAsia="宋体" w:cs="宋体"/>
                <w:color w:val="auto"/>
                <w:sz w:val="24"/>
                <w:szCs w:val="24"/>
              </w:rPr>
              <w:t>项目</w:t>
            </w:r>
            <w:r>
              <w:rPr>
                <w:rFonts w:hint="default" w:ascii="Times New Roman" w:hAnsi="Times New Roman" w:eastAsia="宋体" w:cs="Times New Roman"/>
                <w:color w:val="auto"/>
                <w:sz w:val="24"/>
                <w:szCs w:val="24"/>
              </w:rPr>
              <w:t>停产时清空注液机电解液，连同电池拆解产生的废电解液，均收集于密封桶内分区暂存，废电解液年产生量约1.2t</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属于</w:t>
            </w:r>
            <w:r>
              <w:rPr>
                <w:rFonts w:hint="default" w:ascii="Times New Roman" w:hAnsi="Times New Roman" w:eastAsia="宋体" w:cs="Times New Roman"/>
                <w:color w:val="auto"/>
                <w:sz w:val="24"/>
                <w:szCs w:val="24"/>
              </w:rPr>
              <w:t>《国家危险废物名录》（202</w:t>
            </w:r>
            <w:r>
              <w:rPr>
                <w:rFonts w:hint="default" w:ascii="Times New Roman" w:hAnsi="Times New Roman" w:eastAsia="宋体" w:cs="Times New Roman"/>
                <w:color w:val="auto"/>
                <w:sz w:val="24"/>
                <w:szCs w:val="24"/>
                <w:lang w:val="en-US" w:eastAsia="zh-CN"/>
              </w:rPr>
              <w:t>5</w:t>
            </w:r>
            <w:r>
              <w:rPr>
                <w:rFonts w:hint="default" w:ascii="Times New Roman" w:hAnsi="Times New Roman" w:eastAsia="宋体" w:cs="Times New Roman"/>
                <w:color w:val="auto"/>
                <w:sz w:val="24"/>
                <w:szCs w:val="24"/>
              </w:rPr>
              <w:t>年版）</w:t>
            </w:r>
            <w:r>
              <w:rPr>
                <w:rFonts w:hint="eastAsia" w:ascii="宋体" w:hAnsi="宋体" w:eastAsia="宋体" w:cs="宋体"/>
                <w:color w:val="auto"/>
                <w:sz w:val="24"/>
                <w:szCs w:val="24"/>
              </w:rPr>
              <w:t>中</w:t>
            </w:r>
            <w:r>
              <w:rPr>
                <w:rFonts w:hint="eastAsia" w:ascii="宋体" w:hAnsi="宋体" w:eastAsia="宋体" w:cs="宋体"/>
                <w:color w:val="auto"/>
                <w:sz w:val="24"/>
                <w:szCs w:val="24"/>
                <w:lang w:eastAsia="zh-CN"/>
              </w:rPr>
              <w:t>“</w:t>
            </w:r>
            <w:r>
              <w:rPr>
                <w:rFonts w:hint="default" w:ascii="Times New Roman" w:hAnsi="Times New Roman" w:eastAsia="宋体" w:cs="Times New Roman"/>
                <w:color w:val="auto"/>
                <w:sz w:val="24"/>
                <w:szCs w:val="24"/>
                <w:lang w:val="en-US" w:eastAsia="zh-CN"/>
              </w:rPr>
              <w:t>HW49其他废物/非特定行业/900-04</w:t>
            </w:r>
            <w:r>
              <w:rPr>
                <w:rFonts w:hint="eastAsia" w:ascii="Times New Roman" w:hAnsi="Times New Roman" w:eastAsia="宋体" w:cs="Times New Roman"/>
                <w:color w:val="auto"/>
                <w:sz w:val="24"/>
                <w:szCs w:val="24"/>
                <w:lang w:val="en-US" w:eastAsia="zh-CN"/>
              </w:rPr>
              <w:t>5</w:t>
            </w:r>
            <w:r>
              <w:rPr>
                <w:rFonts w:hint="default" w:ascii="Times New Roman" w:hAnsi="Times New Roman" w:eastAsia="宋体" w:cs="Times New Roman"/>
                <w:color w:val="auto"/>
                <w:sz w:val="24"/>
                <w:szCs w:val="24"/>
                <w:lang w:val="en-US" w:eastAsia="zh-CN"/>
              </w:rPr>
              <w:t>-49</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收集</w:t>
            </w:r>
            <w:r>
              <w:rPr>
                <w:rFonts w:hint="default" w:ascii="Times New Roman" w:hAnsi="Times New Roman" w:eastAsia="宋体" w:cs="Times New Roman"/>
                <w:color w:val="auto"/>
                <w:sz w:val="24"/>
                <w:szCs w:val="24"/>
              </w:rPr>
              <w:t>暂存于</w:t>
            </w:r>
            <w:r>
              <w:rPr>
                <w:rFonts w:hint="eastAsia" w:cs="Times New Roman"/>
                <w:color w:val="auto"/>
                <w:sz w:val="24"/>
                <w:szCs w:val="24"/>
                <w:lang w:val="en-US" w:eastAsia="zh-CN"/>
              </w:rPr>
              <w:t>危废库</w:t>
            </w:r>
            <w:r>
              <w:rPr>
                <w:rFonts w:hint="default" w:ascii="Times New Roman" w:hAnsi="Times New Roman" w:eastAsia="宋体" w:cs="Times New Roman"/>
                <w:color w:val="auto"/>
                <w:sz w:val="24"/>
                <w:szCs w:val="24"/>
              </w:rPr>
              <w:t>，定期交由有资质的单位处置。</w:t>
            </w:r>
          </w:p>
          <w:p w14:paraId="016ED130">
            <w:pPr>
              <w:pStyle w:val="34"/>
              <w:spacing w:line="360" w:lineRule="auto"/>
              <w:rPr>
                <w:rFonts w:hint="default" w:ascii="Times New Roman" w:hAnsi="Times New Roman" w:cs="Times New Roman"/>
                <w:b/>
                <w:bCs/>
                <w:color w:val="auto"/>
                <w:sz w:val="24"/>
                <w:szCs w:val="24"/>
                <w:lang w:val="en-US" w:eastAsia="zh-CN"/>
              </w:rPr>
            </w:pPr>
            <w:r>
              <w:rPr>
                <w:rFonts w:hint="default" w:ascii="Times New Roman" w:hAnsi="Times New Roman" w:cs="Times New Roman"/>
                <w:b/>
                <w:bCs/>
                <w:color w:val="auto"/>
                <w:sz w:val="24"/>
                <w:szCs w:val="24"/>
                <w:lang w:val="en-US" w:eastAsia="zh-CN"/>
              </w:rPr>
              <w:t>⑦</w:t>
            </w:r>
            <w:r>
              <w:rPr>
                <w:rFonts w:hint="eastAsia" w:ascii="Times New Roman" w:hAnsi="Times New Roman" w:cs="Times New Roman"/>
                <w:b/>
                <w:bCs/>
                <w:color w:val="auto"/>
                <w:sz w:val="24"/>
                <w:szCs w:val="24"/>
                <w:lang w:val="en-US" w:eastAsia="zh-CN"/>
              </w:rPr>
              <w:t>沾染危险物质的废组件</w:t>
            </w:r>
          </w:p>
          <w:p w14:paraId="0CB8627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val="en-US" w:eastAsia="zh-CN"/>
              </w:rPr>
              <w:t>项目在电池拆解过程中，会产生沾染电解液的废组件，如废铜箔、铝箔、铝塑膜、隔膜</w:t>
            </w:r>
            <w:r>
              <w:rPr>
                <w:rFonts w:hint="eastAsia" w:cs="Times New Roman"/>
                <w:color w:val="auto"/>
                <w:sz w:val="24"/>
                <w:szCs w:val="24"/>
                <w:lang w:val="en-US" w:eastAsia="zh-CN"/>
              </w:rPr>
              <w:t>、极片</w:t>
            </w:r>
            <w:r>
              <w:rPr>
                <w:rFonts w:hint="eastAsia" w:ascii="Times New Roman" w:hAnsi="Times New Roman" w:eastAsia="宋体" w:cs="Times New Roman"/>
                <w:color w:val="auto"/>
                <w:sz w:val="24"/>
                <w:szCs w:val="24"/>
                <w:lang w:val="en-US" w:eastAsia="zh-CN"/>
              </w:rPr>
              <w:t>等，产生量约1t/a，属于</w:t>
            </w:r>
            <w:r>
              <w:rPr>
                <w:rFonts w:hint="default" w:ascii="Times New Roman" w:hAnsi="Times New Roman" w:eastAsia="宋体" w:cs="Times New Roman"/>
                <w:color w:val="auto"/>
                <w:sz w:val="24"/>
                <w:szCs w:val="24"/>
              </w:rPr>
              <w:t>《国家危险废物名录》（202</w:t>
            </w:r>
            <w:r>
              <w:rPr>
                <w:rFonts w:hint="default" w:ascii="Times New Roman" w:hAnsi="Times New Roman" w:eastAsia="宋体" w:cs="Times New Roman"/>
                <w:color w:val="auto"/>
                <w:sz w:val="24"/>
                <w:szCs w:val="24"/>
                <w:lang w:val="en-US" w:eastAsia="zh-CN"/>
              </w:rPr>
              <w:t>5</w:t>
            </w:r>
            <w:r>
              <w:rPr>
                <w:rFonts w:hint="default" w:ascii="Times New Roman" w:hAnsi="Times New Roman" w:eastAsia="宋体" w:cs="Times New Roman"/>
                <w:color w:val="auto"/>
                <w:sz w:val="24"/>
                <w:szCs w:val="24"/>
              </w:rPr>
              <w:t>年版）</w:t>
            </w:r>
            <w:r>
              <w:rPr>
                <w:rFonts w:hint="eastAsia" w:ascii="Times New Roman" w:hAnsi="Times New Roman" w:eastAsia="宋体" w:cs="Times New Roman"/>
                <w:color w:val="auto"/>
                <w:sz w:val="24"/>
                <w:szCs w:val="24"/>
              </w:rPr>
              <w:t>中</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HW49其他废物/非特定行业/900-04</w:t>
            </w:r>
            <w:r>
              <w:rPr>
                <w:rFonts w:hint="eastAsia" w:ascii="Times New Roman" w:hAnsi="Times New Roman" w:eastAsia="宋体" w:cs="Times New Roman"/>
                <w:color w:val="auto"/>
                <w:sz w:val="24"/>
                <w:szCs w:val="24"/>
                <w:lang w:val="en-US" w:eastAsia="zh-CN"/>
              </w:rPr>
              <w:t>5</w:t>
            </w:r>
            <w:r>
              <w:rPr>
                <w:rFonts w:hint="default" w:ascii="Times New Roman" w:hAnsi="Times New Roman" w:eastAsia="宋体" w:cs="Times New Roman"/>
                <w:color w:val="auto"/>
                <w:sz w:val="24"/>
                <w:szCs w:val="24"/>
                <w:lang w:val="en-US" w:eastAsia="zh-CN"/>
              </w:rPr>
              <w:t>-49</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rPr>
              <w:t>收集</w:t>
            </w:r>
            <w:r>
              <w:rPr>
                <w:rFonts w:hint="default" w:ascii="Times New Roman" w:hAnsi="Times New Roman" w:eastAsia="宋体" w:cs="Times New Roman"/>
                <w:color w:val="auto"/>
                <w:sz w:val="24"/>
                <w:szCs w:val="24"/>
              </w:rPr>
              <w:t>暂存于</w:t>
            </w:r>
            <w:r>
              <w:rPr>
                <w:rFonts w:hint="eastAsia" w:ascii="Times New Roman" w:hAnsi="Times New Roman" w:eastAsia="宋体" w:cs="Times New Roman"/>
                <w:color w:val="auto"/>
                <w:sz w:val="24"/>
                <w:szCs w:val="24"/>
                <w:lang w:val="en-US" w:eastAsia="zh-CN"/>
              </w:rPr>
              <w:t>危废库</w:t>
            </w:r>
            <w:r>
              <w:rPr>
                <w:rFonts w:hint="default" w:ascii="Times New Roman" w:hAnsi="Times New Roman" w:eastAsia="宋体" w:cs="Times New Roman"/>
                <w:color w:val="auto"/>
                <w:sz w:val="24"/>
                <w:szCs w:val="24"/>
              </w:rPr>
              <w:t>，定期交由有资质的单位处置。</w:t>
            </w:r>
          </w:p>
          <w:p w14:paraId="122911F3">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cs="Times New Roman"/>
                <w:b/>
                <w:bCs/>
                <w:color w:val="auto"/>
                <w:sz w:val="24"/>
                <w:szCs w:val="24"/>
                <w:lang w:val="en-US" w:eastAsia="zh-CN"/>
              </w:rPr>
            </w:pPr>
            <w:r>
              <w:rPr>
                <w:rFonts w:hint="eastAsia" w:cs="Times New Roman"/>
                <w:b/>
                <w:bCs/>
                <w:color w:val="auto"/>
                <w:sz w:val="24"/>
                <w:szCs w:val="24"/>
                <w:lang w:val="en-US" w:eastAsia="zh-CN"/>
              </w:rPr>
              <w:t>⑧废沸石转轮</w:t>
            </w:r>
          </w:p>
          <w:p w14:paraId="342A18B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cs="Times New Roman"/>
                <w:color w:val="auto"/>
                <w:sz w:val="24"/>
                <w:szCs w:val="24"/>
                <w:lang w:val="en-US" w:eastAsia="zh-CN"/>
              </w:rPr>
            </w:pPr>
            <w:r>
              <w:rPr>
                <w:rFonts w:hint="eastAsia" w:cs="Times New Roman"/>
                <w:color w:val="auto"/>
                <w:sz w:val="24"/>
                <w:szCs w:val="24"/>
                <w:lang w:val="en-US" w:eastAsia="zh-CN"/>
              </w:rPr>
              <w:t>项目采用“二级冷凝+转轮吸附脱附”回收装置，为保障废气处理效率，沸石转轮需每2年更换一次，废沸石的产生量约1t/a，</w:t>
            </w:r>
            <w:r>
              <w:rPr>
                <w:rFonts w:hint="eastAsia" w:ascii="Times New Roman" w:hAnsi="Times New Roman" w:eastAsia="宋体" w:cs="Times New Roman"/>
                <w:color w:val="auto"/>
                <w:sz w:val="24"/>
                <w:szCs w:val="24"/>
                <w:lang w:val="en-US" w:eastAsia="zh-CN"/>
              </w:rPr>
              <w:t>属于</w:t>
            </w:r>
            <w:r>
              <w:rPr>
                <w:rFonts w:hint="default" w:ascii="Times New Roman" w:hAnsi="Times New Roman" w:eastAsia="宋体" w:cs="Times New Roman"/>
                <w:color w:val="auto"/>
                <w:sz w:val="24"/>
                <w:szCs w:val="24"/>
              </w:rPr>
              <w:t>《国家危险废物名录》（202</w:t>
            </w:r>
            <w:r>
              <w:rPr>
                <w:rFonts w:hint="default" w:ascii="Times New Roman" w:hAnsi="Times New Roman" w:eastAsia="宋体" w:cs="Times New Roman"/>
                <w:color w:val="auto"/>
                <w:sz w:val="24"/>
                <w:szCs w:val="24"/>
                <w:lang w:val="en-US" w:eastAsia="zh-CN"/>
              </w:rPr>
              <w:t>5</w:t>
            </w:r>
            <w:r>
              <w:rPr>
                <w:rFonts w:hint="default" w:ascii="Times New Roman" w:hAnsi="Times New Roman" w:eastAsia="宋体" w:cs="Times New Roman"/>
                <w:color w:val="auto"/>
                <w:sz w:val="24"/>
                <w:szCs w:val="24"/>
              </w:rPr>
              <w:t>年版）</w:t>
            </w:r>
            <w:r>
              <w:rPr>
                <w:rFonts w:hint="eastAsia" w:ascii="Times New Roman" w:hAnsi="Times New Roman" w:eastAsia="宋体" w:cs="Times New Roman"/>
                <w:color w:val="auto"/>
                <w:sz w:val="24"/>
                <w:szCs w:val="24"/>
              </w:rPr>
              <w:t>中</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HW49其他废物/非特定行业/900-04</w:t>
            </w:r>
            <w:r>
              <w:rPr>
                <w:rFonts w:hint="eastAsia" w:cs="Times New Roman"/>
                <w:color w:val="auto"/>
                <w:sz w:val="24"/>
                <w:szCs w:val="24"/>
                <w:lang w:val="en-US" w:eastAsia="zh-CN"/>
              </w:rPr>
              <w:t>1</w:t>
            </w:r>
            <w:r>
              <w:rPr>
                <w:rFonts w:hint="default" w:ascii="Times New Roman" w:hAnsi="Times New Roman" w:eastAsia="宋体" w:cs="Times New Roman"/>
                <w:color w:val="auto"/>
                <w:sz w:val="24"/>
                <w:szCs w:val="24"/>
                <w:lang w:val="en-US" w:eastAsia="zh-CN"/>
              </w:rPr>
              <w:t>-49</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rPr>
              <w:t>收集</w:t>
            </w:r>
            <w:r>
              <w:rPr>
                <w:rFonts w:hint="default" w:ascii="Times New Roman" w:hAnsi="Times New Roman" w:eastAsia="宋体" w:cs="Times New Roman"/>
                <w:color w:val="auto"/>
                <w:sz w:val="24"/>
                <w:szCs w:val="24"/>
              </w:rPr>
              <w:t>暂存于</w:t>
            </w:r>
            <w:r>
              <w:rPr>
                <w:rFonts w:hint="eastAsia" w:ascii="Times New Roman" w:hAnsi="Times New Roman" w:eastAsia="宋体" w:cs="Times New Roman"/>
                <w:color w:val="auto"/>
                <w:sz w:val="24"/>
                <w:szCs w:val="24"/>
                <w:lang w:val="en-US" w:eastAsia="zh-CN"/>
              </w:rPr>
              <w:t>危废库</w:t>
            </w:r>
            <w:r>
              <w:rPr>
                <w:rFonts w:hint="default" w:ascii="Times New Roman" w:hAnsi="Times New Roman" w:eastAsia="宋体" w:cs="Times New Roman"/>
                <w:color w:val="auto"/>
                <w:sz w:val="24"/>
                <w:szCs w:val="24"/>
              </w:rPr>
              <w:t>，定期交由有资质的单位处置。</w:t>
            </w:r>
          </w:p>
          <w:p w14:paraId="321E80BD">
            <w:pPr>
              <w:spacing w:line="360" w:lineRule="auto"/>
              <w:ind w:firstLine="480"/>
              <w:rPr>
                <w:rFonts w:hint="eastAsia" w:ascii="Calibri" w:hAnsi="Calibri"/>
                <w:color w:val="auto"/>
                <w:sz w:val="24"/>
              </w:rPr>
            </w:pPr>
            <w:r>
              <w:rPr>
                <w:rFonts w:hint="eastAsia" w:ascii="Calibri" w:hAnsi="Calibri"/>
                <w:color w:val="auto"/>
                <w:sz w:val="24"/>
              </w:rPr>
              <w:t>综上，项目</w:t>
            </w:r>
            <w:r>
              <w:rPr>
                <w:rFonts w:hint="eastAsia" w:ascii="Calibri" w:hAnsi="Calibri"/>
                <w:color w:val="auto"/>
                <w:sz w:val="24"/>
                <w:lang w:val="en-US" w:eastAsia="zh-CN"/>
              </w:rPr>
              <w:t>固废</w:t>
            </w:r>
            <w:r>
              <w:rPr>
                <w:rFonts w:hint="eastAsia" w:ascii="Calibri" w:hAnsi="Calibri"/>
                <w:color w:val="auto"/>
                <w:sz w:val="24"/>
              </w:rPr>
              <w:t>产生及处置情况见下表。</w:t>
            </w:r>
          </w:p>
          <w:p w14:paraId="36A28FDA">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b/>
                <w:bCs/>
                <w:color w:val="auto"/>
                <w:kern w:val="0"/>
                <w:sz w:val="21"/>
                <w:szCs w:val="21"/>
                <w:highlight w:val="none"/>
                <w:lang w:val="en-US" w:eastAsia="zh-CN" w:bidi="ar-SA"/>
              </w:rPr>
              <w:t>表4-</w:t>
            </w:r>
            <w:r>
              <w:rPr>
                <w:rFonts w:hint="eastAsia" w:cs="Times New Roman"/>
                <w:b/>
                <w:bCs/>
                <w:color w:val="auto"/>
                <w:kern w:val="0"/>
                <w:sz w:val="21"/>
                <w:szCs w:val="21"/>
                <w:highlight w:val="none"/>
                <w:lang w:val="en-US" w:eastAsia="zh-CN" w:bidi="ar-SA"/>
              </w:rPr>
              <w:t>21</w:t>
            </w:r>
            <w:r>
              <w:rPr>
                <w:rFonts w:hint="default" w:ascii="Times New Roman" w:hAnsi="Times New Roman" w:eastAsia="宋体" w:cs="Times New Roman"/>
                <w:b/>
                <w:bCs/>
                <w:color w:val="auto"/>
                <w:kern w:val="0"/>
                <w:sz w:val="21"/>
                <w:szCs w:val="21"/>
                <w:highlight w:val="none"/>
                <w:lang w:val="en-US" w:eastAsia="zh-CN" w:bidi="ar-SA"/>
              </w:rPr>
              <w:t xml:space="preserve"> 固体废物产生及处置情况一览表（t/a）</w:t>
            </w:r>
          </w:p>
          <w:tbl>
            <w:tblPr>
              <w:tblStyle w:val="41"/>
              <w:tblW w:w="8035" w:type="dxa"/>
              <w:jc w:val="center"/>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388"/>
              <w:gridCol w:w="1006"/>
              <w:gridCol w:w="886"/>
              <w:gridCol w:w="1837"/>
              <w:gridCol w:w="911"/>
              <w:gridCol w:w="665"/>
              <w:gridCol w:w="788"/>
              <w:gridCol w:w="619"/>
              <w:gridCol w:w="935"/>
            </w:tblGrid>
            <w:tr w14:paraId="4DCC7461">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823" w:hRule="atLeast"/>
                <w:jc w:val="center"/>
              </w:trPr>
              <w:tc>
                <w:tcPr>
                  <w:tcW w:w="388" w:type="dxa"/>
                  <w:noWrap w:val="0"/>
                  <w:vAlign w:val="center"/>
                </w:tcPr>
                <w:p w14:paraId="0EDEB3F5">
                  <w:pPr>
                    <w:autoSpaceDE w:val="0"/>
                    <w:autoSpaceDN w:val="0"/>
                    <w:adjustRightInd w:val="0"/>
                    <w:snapToGrid w:val="0"/>
                    <w:jc w:val="center"/>
                    <w:rPr>
                      <w:rFonts w:hint="eastAsia" w:eastAsia="宋体"/>
                      <w:b/>
                      <w:color w:val="auto"/>
                      <w:kern w:val="0"/>
                      <w:sz w:val="21"/>
                      <w:szCs w:val="21"/>
                      <w:lang w:eastAsia="zh-CN"/>
                    </w:rPr>
                  </w:pPr>
                  <w:r>
                    <w:rPr>
                      <w:rFonts w:hint="eastAsia"/>
                      <w:b/>
                      <w:color w:val="auto"/>
                      <w:kern w:val="0"/>
                      <w:sz w:val="21"/>
                      <w:szCs w:val="21"/>
                      <w:lang w:val="en-US" w:eastAsia="zh-CN"/>
                    </w:rPr>
                    <w:t>序号</w:t>
                  </w:r>
                </w:p>
              </w:tc>
              <w:tc>
                <w:tcPr>
                  <w:tcW w:w="1006" w:type="dxa"/>
                  <w:noWrap w:val="0"/>
                  <w:vAlign w:val="center"/>
                </w:tcPr>
                <w:p w14:paraId="799BA611">
                  <w:pPr>
                    <w:autoSpaceDE w:val="0"/>
                    <w:autoSpaceDN w:val="0"/>
                    <w:adjustRightInd w:val="0"/>
                    <w:snapToGrid w:val="0"/>
                    <w:jc w:val="center"/>
                    <w:rPr>
                      <w:b/>
                      <w:color w:val="auto"/>
                      <w:kern w:val="0"/>
                      <w:sz w:val="21"/>
                      <w:szCs w:val="21"/>
                      <w:lang w:eastAsia="en-US"/>
                    </w:rPr>
                  </w:pPr>
                  <w:r>
                    <w:rPr>
                      <w:b/>
                      <w:color w:val="auto"/>
                      <w:kern w:val="0"/>
                      <w:sz w:val="21"/>
                      <w:szCs w:val="21"/>
                      <w:lang w:eastAsia="en-US"/>
                    </w:rPr>
                    <w:t>固废名称</w:t>
                  </w:r>
                </w:p>
              </w:tc>
              <w:tc>
                <w:tcPr>
                  <w:tcW w:w="886" w:type="dxa"/>
                  <w:noWrap w:val="0"/>
                  <w:vAlign w:val="center"/>
                </w:tcPr>
                <w:p w14:paraId="612FFB6C">
                  <w:pPr>
                    <w:autoSpaceDE w:val="0"/>
                    <w:autoSpaceDN w:val="0"/>
                    <w:adjustRightInd w:val="0"/>
                    <w:snapToGrid w:val="0"/>
                    <w:jc w:val="center"/>
                    <w:rPr>
                      <w:b/>
                      <w:color w:val="auto"/>
                      <w:kern w:val="0"/>
                      <w:sz w:val="21"/>
                      <w:szCs w:val="21"/>
                      <w:lang w:eastAsia="en-US"/>
                    </w:rPr>
                  </w:pPr>
                  <w:r>
                    <w:rPr>
                      <w:b/>
                      <w:color w:val="auto"/>
                      <w:kern w:val="0"/>
                      <w:sz w:val="21"/>
                      <w:szCs w:val="21"/>
                      <w:lang w:eastAsia="en-US"/>
                    </w:rPr>
                    <w:t>固废属性</w:t>
                  </w:r>
                </w:p>
              </w:tc>
              <w:tc>
                <w:tcPr>
                  <w:tcW w:w="1837" w:type="dxa"/>
                  <w:noWrap w:val="0"/>
                  <w:vAlign w:val="center"/>
                </w:tcPr>
                <w:p w14:paraId="175B6599">
                  <w:pPr>
                    <w:autoSpaceDE w:val="0"/>
                    <w:autoSpaceDN w:val="0"/>
                    <w:adjustRightInd w:val="0"/>
                    <w:snapToGrid w:val="0"/>
                    <w:jc w:val="center"/>
                    <w:rPr>
                      <w:rFonts w:hint="default" w:eastAsia="宋体"/>
                      <w:b/>
                      <w:color w:val="auto"/>
                      <w:kern w:val="0"/>
                      <w:sz w:val="21"/>
                      <w:szCs w:val="21"/>
                      <w:lang w:val="en-US" w:eastAsia="zh-CN"/>
                    </w:rPr>
                  </w:pPr>
                  <w:r>
                    <w:rPr>
                      <w:rFonts w:hint="eastAsia"/>
                      <w:b/>
                      <w:color w:val="auto"/>
                      <w:kern w:val="0"/>
                      <w:sz w:val="21"/>
                      <w:szCs w:val="21"/>
                      <w:lang w:val="en-US" w:eastAsia="zh-CN"/>
                    </w:rPr>
                    <w:t>类别代码</w:t>
                  </w:r>
                </w:p>
              </w:tc>
              <w:tc>
                <w:tcPr>
                  <w:tcW w:w="911" w:type="dxa"/>
                  <w:noWrap w:val="0"/>
                  <w:vAlign w:val="center"/>
                </w:tcPr>
                <w:p w14:paraId="22F477E9">
                  <w:pPr>
                    <w:autoSpaceDE w:val="0"/>
                    <w:autoSpaceDN w:val="0"/>
                    <w:adjustRightInd w:val="0"/>
                    <w:snapToGrid w:val="0"/>
                    <w:jc w:val="center"/>
                    <w:rPr>
                      <w:b/>
                      <w:color w:val="auto"/>
                      <w:kern w:val="0"/>
                      <w:sz w:val="21"/>
                      <w:szCs w:val="21"/>
                    </w:rPr>
                  </w:pPr>
                  <w:r>
                    <w:rPr>
                      <w:b/>
                      <w:color w:val="auto"/>
                      <w:kern w:val="0"/>
                      <w:sz w:val="21"/>
                      <w:szCs w:val="21"/>
                    </w:rPr>
                    <w:t>主要有毒有害物质名称</w:t>
                  </w:r>
                </w:p>
              </w:tc>
              <w:tc>
                <w:tcPr>
                  <w:tcW w:w="665" w:type="dxa"/>
                  <w:noWrap w:val="0"/>
                  <w:vAlign w:val="center"/>
                </w:tcPr>
                <w:p w14:paraId="1DCBBB8D">
                  <w:pPr>
                    <w:autoSpaceDE w:val="0"/>
                    <w:autoSpaceDN w:val="0"/>
                    <w:adjustRightInd w:val="0"/>
                    <w:snapToGrid w:val="0"/>
                    <w:jc w:val="center"/>
                    <w:rPr>
                      <w:b/>
                      <w:color w:val="auto"/>
                      <w:kern w:val="0"/>
                      <w:sz w:val="21"/>
                      <w:szCs w:val="21"/>
                    </w:rPr>
                  </w:pPr>
                  <w:r>
                    <w:rPr>
                      <w:b/>
                      <w:color w:val="auto"/>
                      <w:kern w:val="0"/>
                      <w:sz w:val="21"/>
                      <w:szCs w:val="21"/>
                    </w:rPr>
                    <w:t>物理性状</w:t>
                  </w:r>
                </w:p>
              </w:tc>
              <w:tc>
                <w:tcPr>
                  <w:tcW w:w="788" w:type="dxa"/>
                  <w:noWrap w:val="0"/>
                  <w:vAlign w:val="center"/>
                </w:tcPr>
                <w:p w14:paraId="6E6552E2">
                  <w:pPr>
                    <w:autoSpaceDE w:val="0"/>
                    <w:autoSpaceDN w:val="0"/>
                    <w:adjustRightInd w:val="0"/>
                    <w:snapToGrid w:val="0"/>
                    <w:jc w:val="center"/>
                    <w:rPr>
                      <w:b/>
                      <w:color w:val="auto"/>
                      <w:kern w:val="0"/>
                      <w:sz w:val="21"/>
                      <w:szCs w:val="21"/>
                      <w:lang w:eastAsia="en-US"/>
                    </w:rPr>
                  </w:pPr>
                  <w:r>
                    <w:rPr>
                      <w:b/>
                      <w:color w:val="auto"/>
                      <w:kern w:val="0"/>
                      <w:sz w:val="21"/>
                      <w:szCs w:val="21"/>
                    </w:rPr>
                    <w:t>环境危险特性</w:t>
                  </w:r>
                </w:p>
              </w:tc>
              <w:tc>
                <w:tcPr>
                  <w:tcW w:w="619" w:type="dxa"/>
                  <w:noWrap w:val="0"/>
                  <w:vAlign w:val="center"/>
                </w:tcPr>
                <w:p w14:paraId="444F594F">
                  <w:pPr>
                    <w:autoSpaceDE w:val="0"/>
                    <w:autoSpaceDN w:val="0"/>
                    <w:adjustRightInd w:val="0"/>
                    <w:snapToGrid w:val="0"/>
                    <w:jc w:val="center"/>
                    <w:rPr>
                      <w:b/>
                      <w:color w:val="auto"/>
                      <w:kern w:val="0"/>
                      <w:sz w:val="21"/>
                      <w:szCs w:val="21"/>
                      <w:lang w:eastAsia="en-US"/>
                    </w:rPr>
                  </w:pPr>
                  <w:r>
                    <w:rPr>
                      <w:b/>
                      <w:color w:val="auto"/>
                      <w:kern w:val="0"/>
                      <w:sz w:val="21"/>
                      <w:szCs w:val="21"/>
                    </w:rPr>
                    <w:t>年度产生</w:t>
                  </w:r>
                  <w:r>
                    <w:rPr>
                      <w:b/>
                      <w:color w:val="auto"/>
                      <w:kern w:val="0"/>
                      <w:sz w:val="21"/>
                      <w:szCs w:val="21"/>
                      <w:lang w:eastAsia="en-US"/>
                    </w:rPr>
                    <w:t>量</w:t>
                  </w:r>
                </w:p>
              </w:tc>
              <w:tc>
                <w:tcPr>
                  <w:tcW w:w="935" w:type="dxa"/>
                  <w:noWrap w:val="0"/>
                  <w:vAlign w:val="center"/>
                </w:tcPr>
                <w:p w14:paraId="7374507F">
                  <w:pPr>
                    <w:autoSpaceDE w:val="0"/>
                    <w:autoSpaceDN w:val="0"/>
                    <w:adjustRightInd w:val="0"/>
                    <w:snapToGrid w:val="0"/>
                    <w:jc w:val="center"/>
                    <w:rPr>
                      <w:b/>
                      <w:color w:val="auto"/>
                      <w:kern w:val="0"/>
                      <w:sz w:val="21"/>
                      <w:szCs w:val="21"/>
                      <w:lang w:eastAsia="en-US"/>
                    </w:rPr>
                  </w:pPr>
                  <w:r>
                    <w:rPr>
                      <w:b/>
                      <w:color w:val="auto"/>
                      <w:kern w:val="0"/>
                      <w:sz w:val="21"/>
                      <w:szCs w:val="21"/>
                    </w:rPr>
                    <w:t>利用处置方式及</w:t>
                  </w:r>
                  <w:r>
                    <w:rPr>
                      <w:b/>
                      <w:color w:val="auto"/>
                      <w:kern w:val="0"/>
                      <w:sz w:val="21"/>
                      <w:szCs w:val="21"/>
                      <w:lang w:eastAsia="en-US"/>
                    </w:rPr>
                    <w:t>去向</w:t>
                  </w:r>
                </w:p>
              </w:tc>
            </w:tr>
            <w:tr w14:paraId="0490779A">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794" w:hRule="exact"/>
                <w:jc w:val="center"/>
              </w:trPr>
              <w:tc>
                <w:tcPr>
                  <w:tcW w:w="388" w:type="dxa"/>
                  <w:noWrap w:val="0"/>
                  <w:vAlign w:val="center"/>
                </w:tcPr>
                <w:p w14:paraId="162B52A9">
                  <w:pPr>
                    <w:autoSpaceDE w:val="0"/>
                    <w:autoSpaceDN w:val="0"/>
                    <w:adjustRightInd w:val="0"/>
                    <w:snapToGrid w:val="0"/>
                    <w:jc w:val="center"/>
                    <w:rPr>
                      <w:rFonts w:hint="default" w:eastAsia="宋体"/>
                      <w:color w:val="auto"/>
                      <w:kern w:val="0"/>
                      <w:sz w:val="21"/>
                      <w:szCs w:val="21"/>
                      <w:lang w:val="en-US" w:eastAsia="zh-CN"/>
                    </w:rPr>
                  </w:pPr>
                  <w:r>
                    <w:rPr>
                      <w:rFonts w:hint="eastAsia"/>
                      <w:color w:val="auto"/>
                      <w:kern w:val="0"/>
                      <w:sz w:val="21"/>
                      <w:szCs w:val="21"/>
                      <w:lang w:val="en-US" w:eastAsia="zh-CN"/>
                    </w:rPr>
                    <w:t>1</w:t>
                  </w:r>
                </w:p>
              </w:tc>
              <w:tc>
                <w:tcPr>
                  <w:tcW w:w="1006" w:type="dxa"/>
                  <w:noWrap w:val="0"/>
                  <w:vAlign w:val="center"/>
                </w:tcPr>
                <w:p w14:paraId="00A898EC">
                  <w:pPr>
                    <w:autoSpaceDE w:val="0"/>
                    <w:autoSpaceDN w:val="0"/>
                    <w:adjustRightInd w:val="0"/>
                    <w:snapToGrid w:val="0"/>
                    <w:jc w:val="center"/>
                    <w:rPr>
                      <w:rFonts w:hint="default" w:eastAsia="宋体"/>
                      <w:color w:val="auto"/>
                      <w:kern w:val="0"/>
                      <w:sz w:val="21"/>
                      <w:szCs w:val="21"/>
                      <w:lang w:val="en-US" w:eastAsia="zh-CN"/>
                    </w:rPr>
                  </w:pPr>
                  <w:r>
                    <w:rPr>
                      <w:rFonts w:hint="eastAsia"/>
                      <w:color w:val="auto"/>
                      <w:kern w:val="0"/>
                      <w:sz w:val="21"/>
                      <w:szCs w:val="21"/>
                      <w:lang w:val="en-US" w:eastAsia="zh-CN"/>
                    </w:rPr>
                    <w:t>生活垃圾</w:t>
                  </w:r>
                </w:p>
              </w:tc>
              <w:tc>
                <w:tcPr>
                  <w:tcW w:w="886" w:type="dxa"/>
                  <w:noWrap w:val="0"/>
                  <w:vAlign w:val="center"/>
                </w:tcPr>
                <w:p w14:paraId="66B5CF17">
                  <w:pPr>
                    <w:autoSpaceDE w:val="0"/>
                    <w:autoSpaceDN w:val="0"/>
                    <w:adjustRightInd w:val="0"/>
                    <w:snapToGrid w:val="0"/>
                    <w:jc w:val="center"/>
                    <w:rPr>
                      <w:rFonts w:hint="eastAsia" w:eastAsia="宋体"/>
                      <w:color w:val="auto"/>
                      <w:kern w:val="0"/>
                      <w:sz w:val="21"/>
                      <w:szCs w:val="21"/>
                      <w:lang w:eastAsia="zh-CN"/>
                    </w:rPr>
                  </w:pPr>
                  <w:r>
                    <w:rPr>
                      <w:rFonts w:hint="eastAsia" w:eastAsia="宋体"/>
                      <w:color w:val="auto"/>
                      <w:kern w:val="0"/>
                      <w:sz w:val="21"/>
                      <w:szCs w:val="21"/>
                      <w:lang w:val="en-US" w:eastAsia="zh-CN"/>
                    </w:rPr>
                    <w:t>/</w:t>
                  </w:r>
                </w:p>
              </w:tc>
              <w:tc>
                <w:tcPr>
                  <w:tcW w:w="1837" w:type="dxa"/>
                  <w:noWrap w:val="0"/>
                  <w:vAlign w:val="center"/>
                </w:tcPr>
                <w:p w14:paraId="3E8FC647">
                  <w:pPr>
                    <w:autoSpaceDE w:val="0"/>
                    <w:autoSpaceDN w:val="0"/>
                    <w:adjustRightInd w:val="0"/>
                    <w:snapToGrid w:val="0"/>
                    <w:jc w:val="center"/>
                    <w:rPr>
                      <w:rFonts w:hint="eastAsia" w:eastAsia="宋体"/>
                      <w:color w:val="auto"/>
                      <w:kern w:val="0"/>
                      <w:sz w:val="21"/>
                      <w:szCs w:val="21"/>
                      <w:lang w:val="en-US" w:eastAsia="zh-CN"/>
                    </w:rPr>
                  </w:pPr>
                  <w:r>
                    <w:rPr>
                      <w:rFonts w:hint="eastAsia"/>
                      <w:color w:val="auto"/>
                      <w:kern w:val="0"/>
                      <w:sz w:val="21"/>
                      <w:szCs w:val="21"/>
                      <w:lang w:val="en-US" w:eastAsia="zh-CN"/>
                    </w:rPr>
                    <w:t>/</w:t>
                  </w:r>
                </w:p>
              </w:tc>
              <w:tc>
                <w:tcPr>
                  <w:tcW w:w="911" w:type="dxa"/>
                  <w:noWrap w:val="0"/>
                  <w:vAlign w:val="center"/>
                </w:tcPr>
                <w:p w14:paraId="1B0A1CA9">
                  <w:pPr>
                    <w:autoSpaceDE w:val="0"/>
                    <w:autoSpaceDN w:val="0"/>
                    <w:adjustRightInd w:val="0"/>
                    <w:snapToGrid w:val="0"/>
                    <w:jc w:val="center"/>
                    <w:rPr>
                      <w:rFonts w:hint="eastAsia" w:eastAsia="宋体"/>
                      <w:color w:val="auto"/>
                      <w:kern w:val="0"/>
                      <w:sz w:val="21"/>
                      <w:szCs w:val="21"/>
                      <w:lang w:eastAsia="zh-CN"/>
                    </w:rPr>
                  </w:pPr>
                  <w:r>
                    <w:rPr>
                      <w:rFonts w:hint="eastAsia"/>
                      <w:color w:val="auto"/>
                      <w:kern w:val="0"/>
                      <w:sz w:val="21"/>
                      <w:szCs w:val="21"/>
                      <w:lang w:val="en-US" w:eastAsia="zh-CN"/>
                    </w:rPr>
                    <w:t>/</w:t>
                  </w:r>
                </w:p>
              </w:tc>
              <w:tc>
                <w:tcPr>
                  <w:tcW w:w="665" w:type="dxa"/>
                  <w:noWrap w:val="0"/>
                  <w:vAlign w:val="center"/>
                </w:tcPr>
                <w:p w14:paraId="30A1FF51">
                  <w:pPr>
                    <w:autoSpaceDE w:val="0"/>
                    <w:autoSpaceDN w:val="0"/>
                    <w:adjustRightInd w:val="0"/>
                    <w:snapToGrid w:val="0"/>
                    <w:jc w:val="center"/>
                    <w:rPr>
                      <w:color w:val="auto"/>
                      <w:kern w:val="0"/>
                      <w:sz w:val="21"/>
                      <w:szCs w:val="21"/>
                      <w:lang w:eastAsia="en-US"/>
                    </w:rPr>
                  </w:pPr>
                  <w:r>
                    <w:rPr>
                      <w:color w:val="auto"/>
                      <w:kern w:val="0"/>
                      <w:sz w:val="21"/>
                      <w:szCs w:val="21"/>
                    </w:rPr>
                    <w:t>固态</w:t>
                  </w:r>
                </w:p>
              </w:tc>
              <w:tc>
                <w:tcPr>
                  <w:tcW w:w="788" w:type="dxa"/>
                  <w:noWrap w:val="0"/>
                  <w:vAlign w:val="center"/>
                </w:tcPr>
                <w:p w14:paraId="355FDF02">
                  <w:pPr>
                    <w:autoSpaceDE w:val="0"/>
                    <w:autoSpaceDN w:val="0"/>
                    <w:adjustRightInd w:val="0"/>
                    <w:snapToGrid w:val="0"/>
                    <w:jc w:val="center"/>
                    <w:rPr>
                      <w:color w:val="auto"/>
                      <w:kern w:val="0"/>
                      <w:sz w:val="21"/>
                      <w:szCs w:val="21"/>
                      <w:lang w:eastAsia="en-US"/>
                    </w:rPr>
                  </w:pPr>
                  <w:r>
                    <w:rPr>
                      <w:color w:val="auto"/>
                      <w:kern w:val="0"/>
                      <w:sz w:val="21"/>
                      <w:szCs w:val="21"/>
                    </w:rPr>
                    <w:t>/</w:t>
                  </w:r>
                </w:p>
              </w:tc>
              <w:tc>
                <w:tcPr>
                  <w:tcW w:w="619" w:type="dxa"/>
                  <w:noWrap w:val="0"/>
                  <w:vAlign w:val="center"/>
                </w:tcPr>
                <w:p w14:paraId="0EA223AA">
                  <w:pPr>
                    <w:autoSpaceDE w:val="0"/>
                    <w:autoSpaceDN w:val="0"/>
                    <w:adjustRightInd w:val="0"/>
                    <w:snapToGrid w:val="0"/>
                    <w:jc w:val="center"/>
                    <w:rPr>
                      <w:rFonts w:hint="default" w:eastAsia="宋体"/>
                      <w:color w:val="auto"/>
                      <w:kern w:val="0"/>
                      <w:sz w:val="21"/>
                      <w:szCs w:val="21"/>
                      <w:lang w:val="en-US" w:eastAsia="zh-CN"/>
                    </w:rPr>
                  </w:pPr>
                  <w:r>
                    <w:rPr>
                      <w:rFonts w:hint="eastAsia"/>
                      <w:color w:val="auto"/>
                      <w:kern w:val="0"/>
                      <w:sz w:val="21"/>
                      <w:szCs w:val="21"/>
                      <w:lang w:val="en-US" w:eastAsia="zh-CN"/>
                    </w:rPr>
                    <w:t>2.4</w:t>
                  </w:r>
                </w:p>
              </w:tc>
              <w:tc>
                <w:tcPr>
                  <w:tcW w:w="935" w:type="dxa"/>
                  <w:noWrap w:val="0"/>
                  <w:vAlign w:val="center"/>
                </w:tcPr>
                <w:p w14:paraId="13FAA4F3">
                  <w:pPr>
                    <w:autoSpaceDE w:val="0"/>
                    <w:autoSpaceDN w:val="0"/>
                    <w:adjustRightInd w:val="0"/>
                    <w:snapToGrid w:val="0"/>
                    <w:jc w:val="center"/>
                    <w:rPr>
                      <w:rFonts w:hint="default" w:eastAsia="宋体"/>
                      <w:color w:val="auto"/>
                      <w:kern w:val="0"/>
                      <w:sz w:val="21"/>
                      <w:szCs w:val="21"/>
                      <w:lang w:val="en-US" w:eastAsia="zh-CN"/>
                    </w:rPr>
                  </w:pPr>
                  <w:r>
                    <w:rPr>
                      <w:color w:val="auto"/>
                      <w:kern w:val="0"/>
                      <w:sz w:val="21"/>
                      <w:szCs w:val="21"/>
                      <w:lang w:eastAsia="en-US"/>
                    </w:rPr>
                    <w:t>委托环卫部门</w:t>
                  </w:r>
                  <w:r>
                    <w:rPr>
                      <w:rFonts w:hint="eastAsia"/>
                      <w:color w:val="auto"/>
                      <w:kern w:val="0"/>
                      <w:sz w:val="21"/>
                      <w:szCs w:val="21"/>
                      <w:lang w:val="en-US" w:eastAsia="zh-CN"/>
                    </w:rPr>
                    <w:t>统一清运处置</w:t>
                  </w:r>
                </w:p>
              </w:tc>
            </w:tr>
            <w:tr w14:paraId="2B5F4DFC">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794" w:hRule="exact"/>
                <w:jc w:val="center"/>
              </w:trPr>
              <w:tc>
                <w:tcPr>
                  <w:tcW w:w="388" w:type="dxa"/>
                  <w:noWrap w:val="0"/>
                  <w:vAlign w:val="center"/>
                </w:tcPr>
                <w:p w14:paraId="0993A040">
                  <w:pPr>
                    <w:autoSpaceDE w:val="0"/>
                    <w:autoSpaceDN w:val="0"/>
                    <w:adjustRightInd w:val="0"/>
                    <w:snapToGrid w:val="0"/>
                    <w:jc w:val="center"/>
                    <w:rPr>
                      <w:rFonts w:hint="default"/>
                      <w:color w:val="auto"/>
                      <w:kern w:val="0"/>
                      <w:sz w:val="21"/>
                      <w:szCs w:val="21"/>
                      <w:lang w:val="en-US" w:eastAsia="zh-CN"/>
                    </w:rPr>
                  </w:pPr>
                  <w:r>
                    <w:rPr>
                      <w:rFonts w:hint="eastAsia"/>
                      <w:color w:val="auto"/>
                      <w:kern w:val="0"/>
                      <w:sz w:val="21"/>
                      <w:szCs w:val="21"/>
                      <w:lang w:val="en-US" w:eastAsia="zh-CN"/>
                    </w:rPr>
                    <w:t>2</w:t>
                  </w:r>
                </w:p>
              </w:tc>
              <w:tc>
                <w:tcPr>
                  <w:tcW w:w="1006" w:type="dxa"/>
                  <w:noWrap w:val="0"/>
                  <w:vAlign w:val="center"/>
                </w:tcPr>
                <w:p w14:paraId="6DD6F409">
                  <w:pPr>
                    <w:autoSpaceDE w:val="0"/>
                    <w:autoSpaceDN w:val="0"/>
                    <w:adjustRightInd w:val="0"/>
                    <w:snapToGrid w:val="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预处理池污泥</w:t>
                  </w:r>
                </w:p>
              </w:tc>
              <w:tc>
                <w:tcPr>
                  <w:tcW w:w="886" w:type="dxa"/>
                  <w:noWrap w:val="0"/>
                  <w:vAlign w:val="center"/>
                </w:tcPr>
                <w:p w14:paraId="7F797188">
                  <w:pPr>
                    <w:autoSpaceDE w:val="0"/>
                    <w:autoSpaceDN w:val="0"/>
                    <w:adjustRightInd w:val="0"/>
                    <w:snapToGrid w:val="0"/>
                    <w:jc w:val="center"/>
                    <w:rPr>
                      <w:rFonts w:hint="default" w:eastAsia="宋体"/>
                      <w:color w:val="auto"/>
                      <w:kern w:val="0"/>
                      <w:sz w:val="21"/>
                      <w:szCs w:val="21"/>
                      <w:lang w:val="en-US" w:eastAsia="zh-CN"/>
                    </w:rPr>
                  </w:pPr>
                  <w:r>
                    <w:rPr>
                      <w:rFonts w:hint="eastAsia"/>
                      <w:color w:val="auto"/>
                      <w:kern w:val="0"/>
                      <w:sz w:val="21"/>
                      <w:szCs w:val="21"/>
                      <w:lang w:val="en-US" w:eastAsia="zh-CN"/>
                    </w:rPr>
                    <w:t>/</w:t>
                  </w:r>
                </w:p>
              </w:tc>
              <w:tc>
                <w:tcPr>
                  <w:tcW w:w="1837" w:type="dxa"/>
                  <w:noWrap w:val="0"/>
                  <w:vAlign w:val="center"/>
                </w:tcPr>
                <w:p w14:paraId="04F46805">
                  <w:pPr>
                    <w:autoSpaceDE w:val="0"/>
                    <w:autoSpaceDN w:val="0"/>
                    <w:adjustRightInd w:val="0"/>
                    <w:snapToGrid w:val="0"/>
                    <w:jc w:val="center"/>
                    <w:rPr>
                      <w:rFonts w:hint="default"/>
                      <w:color w:val="auto"/>
                      <w:kern w:val="0"/>
                      <w:sz w:val="21"/>
                      <w:szCs w:val="21"/>
                      <w:lang w:val="en-US" w:eastAsia="zh-CN"/>
                    </w:rPr>
                  </w:pPr>
                  <w:r>
                    <w:rPr>
                      <w:rFonts w:hint="eastAsia"/>
                      <w:color w:val="auto"/>
                      <w:kern w:val="0"/>
                      <w:sz w:val="21"/>
                      <w:szCs w:val="21"/>
                      <w:lang w:val="en-US" w:eastAsia="zh-CN"/>
                    </w:rPr>
                    <w:t>/</w:t>
                  </w:r>
                </w:p>
              </w:tc>
              <w:tc>
                <w:tcPr>
                  <w:tcW w:w="911" w:type="dxa"/>
                  <w:noWrap w:val="0"/>
                  <w:vAlign w:val="center"/>
                </w:tcPr>
                <w:p w14:paraId="33C54347">
                  <w:pPr>
                    <w:autoSpaceDE w:val="0"/>
                    <w:autoSpaceDN w:val="0"/>
                    <w:adjustRightInd w:val="0"/>
                    <w:snapToGrid w:val="0"/>
                    <w:jc w:val="center"/>
                    <w:rPr>
                      <w:rFonts w:hint="default"/>
                      <w:color w:val="auto"/>
                      <w:kern w:val="0"/>
                      <w:sz w:val="21"/>
                      <w:szCs w:val="21"/>
                      <w:lang w:val="en-US" w:eastAsia="zh-CN"/>
                    </w:rPr>
                  </w:pPr>
                  <w:r>
                    <w:rPr>
                      <w:rFonts w:hint="eastAsia"/>
                      <w:color w:val="auto"/>
                      <w:kern w:val="0"/>
                      <w:sz w:val="21"/>
                      <w:szCs w:val="21"/>
                      <w:lang w:val="en-US" w:eastAsia="zh-CN"/>
                    </w:rPr>
                    <w:t>/</w:t>
                  </w:r>
                </w:p>
              </w:tc>
              <w:tc>
                <w:tcPr>
                  <w:tcW w:w="665" w:type="dxa"/>
                  <w:noWrap w:val="0"/>
                  <w:vAlign w:val="center"/>
                </w:tcPr>
                <w:p w14:paraId="5AF40C12">
                  <w:pPr>
                    <w:autoSpaceDE w:val="0"/>
                    <w:autoSpaceDN w:val="0"/>
                    <w:adjustRightInd w:val="0"/>
                    <w:snapToGrid w:val="0"/>
                    <w:jc w:val="center"/>
                    <w:rPr>
                      <w:rFonts w:hint="eastAsia" w:eastAsia="宋体"/>
                      <w:color w:val="auto"/>
                      <w:kern w:val="0"/>
                      <w:sz w:val="21"/>
                      <w:szCs w:val="21"/>
                      <w:lang w:val="en-US" w:eastAsia="zh-CN"/>
                    </w:rPr>
                  </w:pPr>
                  <w:r>
                    <w:rPr>
                      <w:rFonts w:hint="eastAsia"/>
                      <w:color w:val="auto"/>
                      <w:kern w:val="0"/>
                      <w:sz w:val="21"/>
                      <w:szCs w:val="21"/>
                      <w:lang w:val="en-US" w:eastAsia="zh-CN"/>
                    </w:rPr>
                    <w:t>固态</w:t>
                  </w:r>
                </w:p>
              </w:tc>
              <w:tc>
                <w:tcPr>
                  <w:tcW w:w="788" w:type="dxa"/>
                  <w:noWrap w:val="0"/>
                  <w:vAlign w:val="center"/>
                </w:tcPr>
                <w:p w14:paraId="7E6786E4">
                  <w:pPr>
                    <w:autoSpaceDE w:val="0"/>
                    <w:autoSpaceDN w:val="0"/>
                    <w:adjustRightInd w:val="0"/>
                    <w:snapToGrid w:val="0"/>
                    <w:jc w:val="center"/>
                    <w:rPr>
                      <w:rFonts w:hint="eastAsia" w:eastAsia="宋体"/>
                      <w:color w:val="auto"/>
                      <w:kern w:val="0"/>
                      <w:sz w:val="21"/>
                      <w:szCs w:val="21"/>
                      <w:lang w:val="en-US" w:eastAsia="zh-CN"/>
                    </w:rPr>
                  </w:pPr>
                  <w:r>
                    <w:rPr>
                      <w:rFonts w:hint="eastAsia"/>
                      <w:color w:val="auto"/>
                      <w:kern w:val="0"/>
                      <w:sz w:val="21"/>
                      <w:szCs w:val="21"/>
                      <w:lang w:val="en-US" w:eastAsia="zh-CN"/>
                    </w:rPr>
                    <w:t>/</w:t>
                  </w:r>
                </w:p>
              </w:tc>
              <w:tc>
                <w:tcPr>
                  <w:tcW w:w="619" w:type="dxa"/>
                  <w:noWrap w:val="0"/>
                  <w:vAlign w:val="center"/>
                </w:tcPr>
                <w:p w14:paraId="2AFC19B6">
                  <w:pPr>
                    <w:autoSpaceDE w:val="0"/>
                    <w:autoSpaceDN w:val="0"/>
                    <w:adjustRightInd w:val="0"/>
                    <w:snapToGrid w:val="0"/>
                    <w:jc w:val="center"/>
                    <w:rPr>
                      <w:rFonts w:hint="default"/>
                      <w:color w:val="auto"/>
                      <w:kern w:val="0"/>
                      <w:sz w:val="21"/>
                      <w:szCs w:val="21"/>
                      <w:lang w:val="en-US" w:eastAsia="zh-CN"/>
                    </w:rPr>
                  </w:pPr>
                  <w:r>
                    <w:rPr>
                      <w:rFonts w:hint="eastAsia"/>
                      <w:color w:val="auto"/>
                      <w:kern w:val="0"/>
                      <w:sz w:val="21"/>
                      <w:szCs w:val="21"/>
                      <w:lang w:val="en-US" w:eastAsia="zh-CN"/>
                    </w:rPr>
                    <w:t>0.6</w:t>
                  </w:r>
                </w:p>
              </w:tc>
              <w:tc>
                <w:tcPr>
                  <w:tcW w:w="935" w:type="dxa"/>
                  <w:noWrap w:val="0"/>
                  <w:vAlign w:val="center"/>
                </w:tcPr>
                <w:p w14:paraId="51335643">
                  <w:pPr>
                    <w:autoSpaceDE w:val="0"/>
                    <w:autoSpaceDN w:val="0"/>
                    <w:adjustRightInd w:val="0"/>
                    <w:snapToGrid w:val="0"/>
                    <w:jc w:val="center"/>
                    <w:rPr>
                      <w:rFonts w:hint="default" w:eastAsia="宋体"/>
                      <w:color w:val="auto"/>
                      <w:kern w:val="0"/>
                      <w:sz w:val="21"/>
                      <w:szCs w:val="21"/>
                      <w:lang w:val="en-US" w:eastAsia="zh-CN"/>
                    </w:rPr>
                  </w:pPr>
                  <w:r>
                    <w:rPr>
                      <w:rFonts w:hint="eastAsia"/>
                      <w:color w:val="auto"/>
                      <w:kern w:val="0"/>
                      <w:sz w:val="21"/>
                      <w:szCs w:val="21"/>
                      <w:lang w:val="en-US" w:eastAsia="zh-CN"/>
                    </w:rPr>
                    <w:t>委托有能力的单位转运处置</w:t>
                  </w:r>
                </w:p>
              </w:tc>
            </w:tr>
            <w:tr w14:paraId="3872A134">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794" w:hRule="exact"/>
                <w:jc w:val="center"/>
              </w:trPr>
              <w:tc>
                <w:tcPr>
                  <w:tcW w:w="388" w:type="dxa"/>
                  <w:noWrap w:val="0"/>
                  <w:vAlign w:val="center"/>
                </w:tcPr>
                <w:p w14:paraId="50F0D463">
                  <w:pPr>
                    <w:autoSpaceDE w:val="0"/>
                    <w:autoSpaceDN w:val="0"/>
                    <w:adjustRightInd w:val="0"/>
                    <w:snapToGrid w:val="0"/>
                    <w:jc w:val="center"/>
                    <w:rPr>
                      <w:rFonts w:hint="default"/>
                      <w:color w:val="auto"/>
                      <w:kern w:val="0"/>
                      <w:sz w:val="21"/>
                      <w:szCs w:val="21"/>
                      <w:lang w:val="en-US" w:eastAsia="zh-CN"/>
                    </w:rPr>
                  </w:pPr>
                  <w:r>
                    <w:rPr>
                      <w:rFonts w:hint="eastAsia"/>
                      <w:color w:val="auto"/>
                      <w:kern w:val="0"/>
                      <w:sz w:val="21"/>
                      <w:szCs w:val="21"/>
                      <w:lang w:val="en-US" w:eastAsia="zh-CN"/>
                    </w:rPr>
                    <w:t>3</w:t>
                  </w:r>
                </w:p>
              </w:tc>
              <w:tc>
                <w:tcPr>
                  <w:tcW w:w="1006" w:type="dxa"/>
                  <w:noWrap w:val="0"/>
                  <w:vAlign w:val="center"/>
                </w:tcPr>
                <w:p w14:paraId="05EAC48A">
                  <w:pPr>
                    <w:autoSpaceDE w:val="0"/>
                    <w:autoSpaceDN w:val="0"/>
                    <w:adjustRightInd w:val="0"/>
                    <w:snapToGrid w:val="0"/>
                    <w:jc w:val="center"/>
                    <w:rPr>
                      <w:rFonts w:hint="eastAsia"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除尘器收集粉尘</w:t>
                  </w:r>
                </w:p>
              </w:tc>
              <w:tc>
                <w:tcPr>
                  <w:tcW w:w="886" w:type="dxa"/>
                  <w:vMerge w:val="restart"/>
                  <w:noWrap w:val="0"/>
                  <w:vAlign w:val="center"/>
                </w:tcPr>
                <w:p w14:paraId="034179A0">
                  <w:pPr>
                    <w:autoSpaceDE w:val="0"/>
                    <w:autoSpaceDN w:val="0"/>
                    <w:adjustRightInd w:val="0"/>
                    <w:snapToGrid w:val="0"/>
                    <w:jc w:val="center"/>
                    <w:rPr>
                      <w:color w:val="auto"/>
                      <w:kern w:val="0"/>
                      <w:sz w:val="21"/>
                      <w:szCs w:val="21"/>
                    </w:rPr>
                  </w:pPr>
                  <w:r>
                    <w:rPr>
                      <w:color w:val="auto"/>
                      <w:kern w:val="0"/>
                      <w:sz w:val="21"/>
                      <w:szCs w:val="21"/>
                    </w:rPr>
                    <w:t>一般固废</w:t>
                  </w:r>
                </w:p>
              </w:tc>
              <w:tc>
                <w:tcPr>
                  <w:tcW w:w="1837" w:type="dxa"/>
                  <w:noWrap w:val="0"/>
                  <w:vAlign w:val="center"/>
                </w:tcPr>
                <w:p w14:paraId="11C3132D">
                  <w:pPr>
                    <w:autoSpaceDE w:val="0"/>
                    <w:autoSpaceDN w:val="0"/>
                    <w:adjustRightInd w:val="0"/>
                    <w:snapToGrid w:val="0"/>
                    <w:jc w:val="center"/>
                    <w:rPr>
                      <w:rFonts w:hint="eastAsia"/>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SW17</w:t>
                  </w:r>
                  <w:r>
                    <w:rPr>
                      <w:rFonts w:hint="eastAsia" w:ascii="Times New Roman" w:hAnsi="Times New Roman" w:eastAsia="宋体" w:cs="Times New Roman"/>
                      <w:color w:val="auto"/>
                      <w:kern w:val="0"/>
                      <w:sz w:val="21"/>
                      <w:szCs w:val="21"/>
                      <w:lang w:val="en-US" w:eastAsia="zh-CN"/>
                    </w:rPr>
                    <w:t xml:space="preserve"> </w:t>
                  </w:r>
                  <w:r>
                    <w:rPr>
                      <w:rFonts w:hint="default" w:ascii="Times New Roman" w:hAnsi="Times New Roman" w:eastAsia="宋体" w:cs="Times New Roman"/>
                      <w:color w:val="auto"/>
                      <w:kern w:val="0"/>
                      <w:sz w:val="21"/>
                      <w:szCs w:val="21"/>
                      <w:lang w:val="en-US" w:eastAsia="zh-CN"/>
                    </w:rPr>
                    <w:t>900-0</w:t>
                  </w:r>
                  <w:r>
                    <w:rPr>
                      <w:rFonts w:hint="eastAsia" w:ascii="Times New Roman" w:hAnsi="Times New Roman" w:eastAsia="宋体" w:cs="Times New Roman"/>
                      <w:color w:val="auto"/>
                      <w:kern w:val="0"/>
                      <w:sz w:val="21"/>
                      <w:szCs w:val="21"/>
                      <w:lang w:val="en-US" w:eastAsia="zh-CN"/>
                    </w:rPr>
                    <w:t>1</w:t>
                  </w:r>
                  <w:r>
                    <w:rPr>
                      <w:rFonts w:hint="default" w:ascii="Times New Roman" w:hAnsi="Times New Roman" w:eastAsia="宋体" w:cs="Times New Roman"/>
                      <w:color w:val="auto"/>
                      <w:kern w:val="0"/>
                      <w:sz w:val="21"/>
                      <w:szCs w:val="21"/>
                      <w:lang w:val="en-US" w:eastAsia="zh-CN"/>
                    </w:rPr>
                    <w:t>2-S17</w:t>
                  </w:r>
                </w:p>
              </w:tc>
              <w:tc>
                <w:tcPr>
                  <w:tcW w:w="911" w:type="dxa"/>
                  <w:noWrap w:val="0"/>
                  <w:vAlign w:val="center"/>
                </w:tcPr>
                <w:p w14:paraId="0AAB0357">
                  <w:pPr>
                    <w:autoSpaceDE w:val="0"/>
                    <w:autoSpaceDN w:val="0"/>
                    <w:adjustRightInd w:val="0"/>
                    <w:snapToGrid w:val="0"/>
                    <w:jc w:val="center"/>
                    <w:rPr>
                      <w:rFonts w:hint="eastAsia"/>
                      <w:color w:val="auto"/>
                      <w:kern w:val="0"/>
                      <w:sz w:val="21"/>
                      <w:szCs w:val="21"/>
                      <w:lang w:val="en-US" w:eastAsia="zh-CN"/>
                    </w:rPr>
                  </w:pPr>
                  <w:r>
                    <w:rPr>
                      <w:rFonts w:hint="eastAsia"/>
                      <w:color w:val="auto"/>
                      <w:kern w:val="0"/>
                      <w:sz w:val="21"/>
                      <w:szCs w:val="21"/>
                      <w:lang w:val="en-US" w:eastAsia="zh-CN"/>
                    </w:rPr>
                    <w:t>/</w:t>
                  </w:r>
                </w:p>
              </w:tc>
              <w:tc>
                <w:tcPr>
                  <w:tcW w:w="665" w:type="dxa"/>
                  <w:noWrap w:val="0"/>
                  <w:vAlign w:val="center"/>
                </w:tcPr>
                <w:p w14:paraId="48A2F211">
                  <w:pPr>
                    <w:autoSpaceDE w:val="0"/>
                    <w:autoSpaceDN w:val="0"/>
                    <w:adjustRightInd w:val="0"/>
                    <w:snapToGrid w:val="0"/>
                    <w:jc w:val="center"/>
                    <w:rPr>
                      <w:rFonts w:hint="eastAsia"/>
                      <w:color w:val="auto"/>
                      <w:kern w:val="0"/>
                      <w:sz w:val="21"/>
                      <w:szCs w:val="21"/>
                      <w:lang w:val="en-US" w:eastAsia="zh-CN"/>
                    </w:rPr>
                  </w:pPr>
                  <w:r>
                    <w:rPr>
                      <w:rFonts w:hint="eastAsia"/>
                      <w:color w:val="auto"/>
                      <w:kern w:val="0"/>
                      <w:sz w:val="21"/>
                      <w:szCs w:val="21"/>
                      <w:lang w:val="en-US" w:eastAsia="zh-CN"/>
                    </w:rPr>
                    <w:t>固态</w:t>
                  </w:r>
                </w:p>
              </w:tc>
              <w:tc>
                <w:tcPr>
                  <w:tcW w:w="788" w:type="dxa"/>
                  <w:noWrap w:val="0"/>
                  <w:vAlign w:val="center"/>
                </w:tcPr>
                <w:p w14:paraId="786B86C2">
                  <w:pPr>
                    <w:autoSpaceDE w:val="0"/>
                    <w:autoSpaceDN w:val="0"/>
                    <w:adjustRightInd w:val="0"/>
                    <w:snapToGrid w:val="0"/>
                    <w:jc w:val="center"/>
                    <w:rPr>
                      <w:rFonts w:hint="eastAsia"/>
                      <w:color w:val="auto"/>
                      <w:kern w:val="0"/>
                      <w:sz w:val="21"/>
                      <w:szCs w:val="21"/>
                      <w:lang w:val="en-US" w:eastAsia="zh-CN"/>
                    </w:rPr>
                  </w:pPr>
                  <w:r>
                    <w:rPr>
                      <w:rFonts w:hint="eastAsia"/>
                      <w:color w:val="auto"/>
                      <w:kern w:val="0"/>
                      <w:sz w:val="21"/>
                      <w:szCs w:val="21"/>
                      <w:lang w:val="en-US" w:eastAsia="zh-CN"/>
                    </w:rPr>
                    <w:t>/</w:t>
                  </w:r>
                </w:p>
              </w:tc>
              <w:tc>
                <w:tcPr>
                  <w:tcW w:w="619" w:type="dxa"/>
                  <w:noWrap w:val="0"/>
                  <w:vAlign w:val="center"/>
                </w:tcPr>
                <w:p w14:paraId="4650A883">
                  <w:pPr>
                    <w:tabs>
                      <w:tab w:val="left" w:pos="239"/>
                    </w:tabs>
                    <w:autoSpaceDE w:val="0"/>
                    <w:autoSpaceDN w:val="0"/>
                    <w:adjustRightInd w:val="0"/>
                    <w:snapToGrid w:val="0"/>
                    <w:jc w:val="center"/>
                    <w:rPr>
                      <w:rFonts w:hint="default"/>
                      <w:color w:val="auto"/>
                      <w:kern w:val="0"/>
                      <w:sz w:val="21"/>
                      <w:szCs w:val="21"/>
                      <w:lang w:val="en-US" w:eastAsia="zh-CN"/>
                    </w:rPr>
                  </w:pPr>
                  <w:r>
                    <w:rPr>
                      <w:rFonts w:hint="eastAsia"/>
                      <w:color w:val="auto"/>
                      <w:kern w:val="0"/>
                      <w:sz w:val="21"/>
                      <w:szCs w:val="21"/>
                      <w:lang w:val="en-US" w:eastAsia="zh-CN"/>
                    </w:rPr>
                    <w:t>0.07</w:t>
                  </w:r>
                </w:p>
              </w:tc>
              <w:tc>
                <w:tcPr>
                  <w:tcW w:w="935" w:type="dxa"/>
                  <w:vMerge w:val="restart"/>
                  <w:noWrap w:val="0"/>
                  <w:vAlign w:val="center"/>
                </w:tcPr>
                <w:p w14:paraId="11C21B52">
                  <w:pPr>
                    <w:autoSpaceDE w:val="0"/>
                    <w:autoSpaceDN w:val="0"/>
                    <w:adjustRightInd w:val="0"/>
                    <w:snapToGrid w:val="0"/>
                    <w:jc w:val="center"/>
                    <w:rPr>
                      <w:rFonts w:hint="eastAsia"/>
                      <w:color w:val="auto"/>
                      <w:kern w:val="0"/>
                      <w:sz w:val="21"/>
                      <w:szCs w:val="21"/>
                      <w:lang w:val="en-US" w:eastAsia="zh-CN"/>
                    </w:rPr>
                  </w:pPr>
                  <w:r>
                    <w:rPr>
                      <w:rFonts w:hint="default" w:ascii="Times New Roman" w:hAnsi="Times New Roman" w:eastAsia="宋体" w:cs="Times New Roman"/>
                      <w:color w:val="auto"/>
                      <w:kern w:val="0"/>
                      <w:sz w:val="21"/>
                      <w:szCs w:val="21"/>
                      <w:lang w:eastAsia="en-US"/>
                    </w:rPr>
                    <w:t>外售综合利用</w:t>
                  </w:r>
                </w:p>
              </w:tc>
            </w:tr>
            <w:tr w14:paraId="45142623">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794" w:hRule="exact"/>
                <w:jc w:val="center"/>
              </w:trPr>
              <w:tc>
                <w:tcPr>
                  <w:tcW w:w="388" w:type="dxa"/>
                  <w:noWrap w:val="0"/>
                  <w:vAlign w:val="center"/>
                </w:tcPr>
                <w:p w14:paraId="2B0D9FF5">
                  <w:pPr>
                    <w:autoSpaceDE w:val="0"/>
                    <w:autoSpaceDN w:val="0"/>
                    <w:adjustRightInd w:val="0"/>
                    <w:snapToGrid w:val="0"/>
                    <w:jc w:val="center"/>
                    <w:rPr>
                      <w:rFonts w:hint="default"/>
                      <w:color w:val="auto"/>
                      <w:kern w:val="0"/>
                      <w:sz w:val="21"/>
                      <w:szCs w:val="21"/>
                      <w:lang w:val="en-US" w:eastAsia="zh-CN"/>
                    </w:rPr>
                  </w:pPr>
                  <w:r>
                    <w:rPr>
                      <w:rFonts w:hint="eastAsia"/>
                      <w:color w:val="auto"/>
                      <w:kern w:val="0"/>
                      <w:sz w:val="21"/>
                      <w:szCs w:val="21"/>
                      <w:lang w:val="en-US" w:eastAsia="zh-CN"/>
                    </w:rPr>
                    <w:t>4</w:t>
                  </w:r>
                </w:p>
              </w:tc>
              <w:tc>
                <w:tcPr>
                  <w:tcW w:w="1006" w:type="dxa"/>
                  <w:noWrap w:val="0"/>
                  <w:vAlign w:val="center"/>
                </w:tcPr>
                <w:p w14:paraId="75B86684">
                  <w:pPr>
                    <w:autoSpaceDE w:val="0"/>
                    <w:autoSpaceDN w:val="0"/>
                    <w:adjustRightInd w:val="0"/>
                    <w:snapToGrid w:val="0"/>
                    <w:jc w:val="center"/>
                    <w:rPr>
                      <w:rFonts w:hint="default" w:ascii="Times New Roman" w:hAnsi="Times New Roman" w:eastAsia="宋体" w:cs="Times New Roman"/>
                      <w:color w:val="auto"/>
                      <w:kern w:val="0"/>
                      <w:sz w:val="21"/>
                      <w:szCs w:val="21"/>
                      <w:lang w:val="en-US" w:eastAsia="zh-CN"/>
                    </w:rPr>
                  </w:pPr>
                  <w:r>
                    <w:rPr>
                      <w:rFonts w:hint="eastAsia" w:cs="Times New Roman"/>
                      <w:color w:val="auto"/>
                      <w:kern w:val="0"/>
                      <w:sz w:val="21"/>
                      <w:szCs w:val="21"/>
                      <w:lang w:val="en-US" w:eastAsia="zh-CN"/>
                    </w:rPr>
                    <w:t>废浆料</w:t>
                  </w:r>
                </w:p>
              </w:tc>
              <w:tc>
                <w:tcPr>
                  <w:tcW w:w="886" w:type="dxa"/>
                  <w:vMerge w:val="continue"/>
                  <w:noWrap w:val="0"/>
                  <w:vAlign w:val="center"/>
                </w:tcPr>
                <w:p w14:paraId="54154DD0">
                  <w:pPr>
                    <w:autoSpaceDE w:val="0"/>
                    <w:autoSpaceDN w:val="0"/>
                    <w:adjustRightInd w:val="0"/>
                    <w:snapToGrid w:val="0"/>
                    <w:jc w:val="center"/>
                    <w:rPr>
                      <w:color w:val="auto"/>
                      <w:kern w:val="0"/>
                      <w:sz w:val="21"/>
                      <w:szCs w:val="21"/>
                    </w:rPr>
                  </w:pPr>
                </w:p>
              </w:tc>
              <w:tc>
                <w:tcPr>
                  <w:tcW w:w="1837" w:type="dxa"/>
                  <w:noWrap w:val="0"/>
                  <w:vAlign w:val="center"/>
                </w:tcPr>
                <w:p w14:paraId="6A37652F">
                  <w:pPr>
                    <w:autoSpaceDE w:val="0"/>
                    <w:autoSpaceDN w:val="0"/>
                    <w:adjustRightInd w:val="0"/>
                    <w:snapToGrid w:val="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SW17</w:t>
                  </w:r>
                  <w:r>
                    <w:rPr>
                      <w:rFonts w:hint="eastAsia" w:ascii="Times New Roman" w:hAnsi="Times New Roman" w:eastAsia="宋体" w:cs="Times New Roman"/>
                      <w:color w:val="auto"/>
                      <w:kern w:val="0"/>
                      <w:sz w:val="21"/>
                      <w:szCs w:val="21"/>
                      <w:lang w:val="en-US" w:eastAsia="zh-CN"/>
                    </w:rPr>
                    <w:t xml:space="preserve"> </w:t>
                  </w:r>
                  <w:r>
                    <w:rPr>
                      <w:rFonts w:hint="default" w:ascii="Times New Roman" w:hAnsi="Times New Roman" w:eastAsia="宋体" w:cs="Times New Roman"/>
                      <w:color w:val="auto"/>
                      <w:kern w:val="0"/>
                      <w:sz w:val="21"/>
                      <w:szCs w:val="21"/>
                      <w:lang w:val="en-US" w:eastAsia="zh-CN"/>
                    </w:rPr>
                    <w:t>900-0</w:t>
                  </w:r>
                  <w:r>
                    <w:rPr>
                      <w:rFonts w:hint="eastAsia" w:ascii="Times New Roman" w:hAnsi="Times New Roman" w:eastAsia="宋体" w:cs="Times New Roman"/>
                      <w:color w:val="auto"/>
                      <w:kern w:val="0"/>
                      <w:sz w:val="21"/>
                      <w:szCs w:val="21"/>
                      <w:lang w:val="en-US" w:eastAsia="zh-CN"/>
                    </w:rPr>
                    <w:t>1</w:t>
                  </w:r>
                  <w:r>
                    <w:rPr>
                      <w:rFonts w:hint="default" w:ascii="Times New Roman" w:hAnsi="Times New Roman" w:eastAsia="宋体" w:cs="Times New Roman"/>
                      <w:color w:val="auto"/>
                      <w:kern w:val="0"/>
                      <w:sz w:val="21"/>
                      <w:szCs w:val="21"/>
                      <w:lang w:val="en-US" w:eastAsia="zh-CN"/>
                    </w:rPr>
                    <w:t>2-S17</w:t>
                  </w:r>
                </w:p>
              </w:tc>
              <w:tc>
                <w:tcPr>
                  <w:tcW w:w="911" w:type="dxa"/>
                  <w:noWrap w:val="0"/>
                  <w:vAlign w:val="center"/>
                </w:tcPr>
                <w:p w14:paraId="4FFD727E">
                  <w:pPr>
                    <w:autoSpaceDE w:val="0"/>
                    <w:autoSpaceDN w:val="0"/>
                    <w:adjustRightInd w:val="0"/>
                    <w:snapToGrid w:val="0"/>
                    <w:jc w:val="center"/>
                    <w:rPr>
                      <w:rFonts w:hint="eastAsia"/>
                      <w:color w:val="auto"/>
                      <w:kern w:val="0"/>
                      <w:sz w:val="21"/>
                      <w:szCs w:val="21"/>
                      <w:lang w:val="en-US" w:eastAsia="zh-CN"/>
                    </w:rPr>
                  </w:pPr>
                  <w:r>
                    <w:rPr>
                      <w:rFonts w:hint="eastAsia"/>
                      <w:color w:val="auto"/>
                      <w:kern w:val="0"/>
                      <w:sz w:val="21"/>
                      <w:szCs w:val="21"/>
                      <w:lang w:val="en-US" w:eastAsia="zh-CN"/>
                    </w:rPr>
                    <w:t>/</w:t>
                  </w:r>
                </w:p>
              </w:tc>
              <w:tc>
                <w:tcPr>
                  <w:tcW w:w="665" w:type="dxa"/>
                  <w:noWrap w:val="0"/>
                  <w:vAlign w:val="center"/>
                </w:tcPr>
                <w:p w14:paraId="1C991C5A">
                  <w:pPr>
                    <w:autoSpaceDE w:val="0"/>
                    <w:autoSpaceDN w:val="0"/>
                    <w:adjustRightInd w:val="0"/>
                    <w:snapToGrid w:val="0"/>
                    <w:jc w:val="center"/>
                    <w:rPr>
                      <w:rFonts w:hint="default"/>
                      <w:color w:val="auto"/>
                      <w:kern w:val="0"/>
                      <w:sz w:val="21"/>
                      <w:szCs w:val="21"/>
                      <w:lang w:val="en-US" w:eastAsia="zh-CN"/>
                    </w:rPr>
                  </w:pPr>
                  <w:r>
                    <w:rPr>
                      <w:rFonts w:hint="eastAsia"/>
                      <w:color w:val="auto"/>
                      <w:kern w:val="0"/>
                      <w:sz w:val="21"/>
                      <w:szCs w:val="21"/>
                      <w:lang w:val="en-US" w:eastAsia="zh-CN"/>
                    </w:rPr>
                    <w:t>液态</w:t>
                  </w:r>
                </w:p>
              </w:tc>
              <w:tc>
                <w:tcPr>
                  <w:tcW w:w="788" w:type="dxa"/>
                  <w:noWrap w:val="0"/>
                  <w:vAlign w:val="center"/>
                </w:tcPr>
                <w:p w14:paraId="79541AD4">
                  <w:pPr>
                    <w:autoSpaceDE w:val="0"/>
                    <w:autoSpaceDN w:val="0"/>
                    <w:adjustRightInd w:val="0"/>
                    <w:snapToGrid w:val="0"/>
                    <w:jc w:val="center"/>
                    <w:rPr>
                      <w:rFonts w:hint="default"/>
                      <w:color w:val="auto"/>
                      <w:kern w:val="0"/>
                      <w:sz w:val="21"/>
                      <w:szCs w:val="21"/>
                      <w:lang w:val="en-US" w:eastAsia="zh-CN"/>
                    </w:rPr>
                  </w:pPr>
                  <w:r>
                    <w:rPr>
                      <w:rFonts w:hint="eastAsia"/>
                      <w:color w:val="auto"/>
                      <w:kern w:val="0"/>
                      <w:sz w:val="21"/>
                      <w:szCs w:val="21"/>
                      <w:lang w:val="en-US" w:eastAsia="zh-CN"/>
                    </w:rPr>
                    <w:t>/</w:t>
                  </w:r>
                </w:p>
              </w:tc>
              <w:tc>
                <w:tcPr>
                  <w:tcW w:w="619" w:type="dxa"/>
                  <w:noWrap w:val="0"/>
                  <w:vAlign w:val="center"/>
                </w:tcPr>
                <w:p w14:paraId="054C7354">
                  <w:pPr>
                    <w:tabs>
                      <w:tab w:val="left" w:pos="239"/>
                    </w:tabs>
                    <w:autoSpaceDE w:val="0"/>
                    <w:autoSpaceDN w:val="0"/>
                    <w:adjustRightInd w:val="0"/>
                    <w:snapToGrid w:val="0"/>
                    <w:jc w:val="center"/>
                    <w:rPr>
                      <w:rFonts w:hint="default"/>
                      <w:color w:val="auto"/>
                      <w:kern w:val="0"/>
                      <w:sz w:val="21"/>
                      <w:szCs w:val="21"/>
                      <w:lang w:val="en-US" w:eastAsia="zh-CN"/>
                    </w:rPr>
                  </w:pPr>
                  <w:r>
                    <w:rPr>
                      <w:rFonts w:hint="eastAsia"/>
                      <w:color w:val="auto"/>
                      <w:kern w:val="0"/>
                      <w:sz w:val="21"/>
                      <w:szCs w:val="21"/>
                      <w:lang w:val="en-US" w:eastAsia="zh-CN"/>
                    </w:rPr>
                    <w:t>0.2</w:t>
                  </w:r>
                </w:p>
              </w:tc>
              <w:tc>
                <w:tcPr>
                  <w:tcW w:w="935" w:type="dxa"/>
                  <w:vMerge w:val="continue"/>
                  <w:noWrap w:val="0"/>
                  <w:vAlign w:val="center"/>
                </w:tcPr>
                <w:p w14:paraId="2BEAFFBA">
                  <w:pPr>
                    <w:autoSpaceDE w:val="0"/>
                    <w:autoSpaceDN w:val="0"/>
                    <w:adjustRightInd w:val="0"/>
                    <w:snapToGrid w:val="0"/>
                    <w:jc w:val="center"/>
                    <w:rPr>
                      <w:rFonts w:hint="default" w:ascii="Times New Roman" w:hAnsi="Times New Roman" w:eastAsia="宋体" w:cs="Times New Roman"/>
                      <w:color w:val="auto"/>
                      <w:kern w:val="0"/>
                      <w:sz w:val="21"/>
                      <w:szCs w:val="21"/>
                      <w:lang w:eastAsia="en-US"/>
                    </w:rPr>
                  </w:pPr>
                </w:p>
              </w:tc>
            </w:tr>
            <w:tr w14:paraId="16190980">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770" w:hRule="exact"/>
                <w:jc w:val="center"/>
              </w:trPr>
              <w:tc>
                <w:tcPr>
                  <w:tcW w:w="388" w:type="dxa"/>
                  <w:shd w:val="clear" w:color="auto" w:fill="auto"/>
                  <w:noWrap w:val="0"/>
                  <w:vAlign w:val="center"/>
                </w:tcPr>
                <w:p w14:paraId="3EC6505A">
                  <w:pPr>
                    <w:autoSpaceDE w:val="0"/>
                    <w:autoSpaceDN w:val="0"/>
                    <w:adjustRightInd w:val="0"/>
                    <w:snapToGrid w:val="0"/>
                    <w:jc w:val="center"/>
                    <w:rPr>
                      <w:rFonts w:hint="default"/>
                      <w:color w:val="auto"/>
                      <w:kern w:val="0"/>
                      <w:sz w:val="21"/>
                      <w:szCs w:val="21"/>
                      <w:lang w:val="en-US" w:eastAsia="zh-CN"/>
                    </w:rPr>
                  </w:pPr>
                  <w:r>
                    <w:rPr>
                      <w:rFonts w:hint="eastAsia"/>
                      <w:color w:val="auto"/>
                      <w:kern w:val="0"/>
                      <w:sz w:val="21"/>
                      <w:szCs w:val="21"/>
                      <w:lang w:val="en-US" w:eastAsia="zh-CN"/>
                    </w:rPr>
                    <w:t>5</w:t>
                  </w:r>
                </w:p>
              </w:tc>
              <w:tc>
                <w:tcPr>
                  <w:tcW w:w="1006" w:type="dxa"/>
                  <w:shd w:val="clear" w:color="auto" w:fill="auto"/>
                  <w:noWrap w:val="0"/>
                  <w:vAlign w:val="center"/>
                </w:tcPr>
                <w:p w14:paraId="1DCDE8E1">
                  <w:pPr>
                    <w:autoSpaceDE w:val="0"/>
                    <w:autoSpaceDN w:val="0"/>
                    <w:adjustRightInd w:val="0"/>
                    <w:snapToGrid w:val="0"/>
                    <w:jc w:val="center"/>
                    <w:rPr>
                      <w:rFonts w:hint="default" w:eastAsia="宋体"/>
                      <w:color w:val="auto"/>
                      <w:kern w:val="0"/>
                      <w:sz w:val="21"/>
                      <w:szCs w:val="21"/>
                      <w:lang w:val="en-US" w:eastAsia="zh-CN"/>
                    </w:rPr>
                  </w:pPr>
                  <w:r>
                    <w:rPr>
                      <w:rFonts w:hint="eastAsia"/>
                      <w:color w:val="auto"/>
                      <w:kern w:val="0"/>
                      <w:sz w:val="21"/>
                      <w:szCs w:val="21"/>
                      <w:lang w:val="en-US" w:eastAsia="zh-CN"/>
                    </w:rPr>
                    <w:t>废包装材料</w:t>
                  </w:r>
                </w:p>
              </w:tc>
              <w:tc>
                <w:tcPr>
                  <w:tcW w:w="886" w:type="dxa"/>
                  <w:vMerge w:val="continue"/>
                  <w:shd w:val="clear" w:color="auto" w:fill="auto"/>
                  <w:noWrap w:val="0"/>
                  <w:vAlign w:val="center"/>
                </w:tcPr>
                <w:p w14:paraId="03C6C89E">
                  <w:pPr>
                    <w:autoSpaceDE w:val="0"/>
                    <w:autoSpaceDN w:val="0"/>
                    <w:adjustRightInd w:val="0"/>
                    <w:snapToGrid w:val="0"/>
                    <w:jc w:val="center"/>
                    <w:rPr>
                      <w:color w:val="auto"/>
                      <w:kern w:val="0"/>
                      <w:sz w:val="21"/>
                      <w:szCs w:val="21"/>
                    </w:rPr>
                  </w:pPr>
                </w:p>
              </w:tc>
              <w:tc>
                <w:tcPr>
                  <w:tcW w:w="1837" w:type="dxa"/>
                  <w:shd w:val="clear" w:color="auto" w:fill="auto"/>
                  <w:noWrap w:val="0"/>
                  <w:vAlign w:val="center"/>
                </w:tcPr>
                <w:p w14:paraId="4793C18F">
                  <w:pPr>
                    <w:autoSpaceDE w:val="0"/>
                    <w:autoSpaceDN w:val="0"/>
                    <w:adjustRightInd w:val="0"/>
                    <w:snapToGrid w:val="0"/>
                    <w:jc w:val="center"/>
                    <w:rPr>
                      <w:rFonts w:hint="eastAsia"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SW17</w:t>
                  </w:r>
                  <w:r>
                    <w:rPr>
                      <w:rFonts w:hint="eastAsia" w:ascii="Times New Roman" w:hAnsi="Times New Roman" w:eastAsia="宋体" w:cs="Times New Roman"/>
                      <w:color w:val="auto"/>
                      <w:kern w:val="0"/>
                      <w:sz w:val="21"/>
                      <w:szCs w:val="21"/>
                      <w:lang w:val="en-US" w:eastAsia="zh-CN"/>
                    </w:rPr>
                    <w:t xml:space="preserve"> </w:t>
                  </w:r>
                  <w:r>
                    <w:rPr>
                      <w:rFonts w:hint="default" w:ascii="Times New Roman" w:hAnsi="Times New Roman" w:eastAsia="宋体" w:cs="Times New Roman"/>
                      <w:color w:val="auto"/>
                      <w:kern w:val="0"/>
                      <w:sz w:val="21"/>
                      <w:szCs w:val="21"/>
                      <w:lang w:val="en-US" w:eastAsia="zh-CN"/>
                    </w:rPr>
                    <w:t>900-0</w:t>
                  </w:r>
                  <w:r>
                    <w:rPr>
                      <w:rFonts w:hint="eastAsia" w:ascii="Times New Roman" w:hAnsi="Times New Roman" w:eastAsia="宋体" w:cs="Times New Roman"/>
                      <w:color w:val="auto"/>
                      <w:kern w:val="0"/>
                      <w:sz w:val="21"/>
                      <w:szCs w:val="21"/>
                      <w:lang w:val="en-US" w:eastAsia="zh-CN"/>
                    </w:rPr>
                    <w:t>1</w:t>
                  </w:r>
                  <w:r>
                    <w:rPr>
                      <w:rFonts w:hint="default" w:ascii="Times New Roman" w:hAnsi="Times New Roman" w:eastAsia="宋体" w:cs="Times New Roman"/>
                      <w:color w:val="auto"/>
                      <w:kern w:val="0"/>
                      <w:sz w:val="21"/>
                      <w:szCs w:val="21"/>
                      <w:lang w:val="en-US" w:eastAsia="zh-CN"/>
                    </w:rPr>
                    <w:t>2-S17</w:t>
                  </w:r>
                </w:p>
              </w:tc>
              <w:tc>
                <w:tcPr>
                  <w:tcW w:w="911" w:type="dxa"/>
                  <w:shd w:val="clear" w:color="auto" w:fill="auto"/>
                  <w:noWrap w:val="0"/>
                  <w:vAlign w:val="center"/>
                </w:tcPr>
                <w:p w14:paraId="0639393D">
                  <w:pPr>
                    <w:autoSpaceDE w:val="0"/>
                    <w:autoSpaceDN w:val="0"/>
                    <w:adjustRightInd w:val="0"/>
                    <w:snapToGrid w:val="0"/>
                    <w:jc w:val="center"/>
                    <w:rPr>
                      <w:rFonts w:hint="default" w:eastAsia="宋体"/>
                      <w:color w:val="auto"/>
                      <w:kern w:val="0"/>
                      <w:sz w:val="21"/>
                      <w:szCs w:val="21"/>
                      <w:lang w:val="en-US" w:eastAsia="zh-CN"/>
                    </w:rPr>
                  </w:pPr>
                  <w:r>
                    <w:rPr>
                      <w:rFonts w:hint="eastAsia"/>
                      <w:color w:val="auto"/>
                      <w:kern w:val="0"/>
                      <w:sz w:val="21"/>
                      <w:szCs w:val="21"/>
                      <w:lang w:val="en-US" w:eastAsia="zh-CN"/>
                    </w:rPr>
                    <w:t>/</w:t>
                  </w:r>
                </w:p>
              </w:tc>
              <w:tc>
                <w:tcPr>
                  <w:tcW w:w="665" w:type="dxa"/>
                  <w:shd w:val="clear" w:color="auto" w:fill="auto"/>
                  <w:noWrap w:val="0"/>
                  <w:vAlign w:val="center"/>
                </w:tcPr>
                <w:p w14:paraId="6DCAD1A6">
                  <w:pPr>
                    <w:autoSpaceDE w:val="0"/>
                    <w:autoSpaceDN w:val="0"/>
                    <w:adjustRightInd w:val="0"/>
                    <w:snapToGrid w:val="0"/>
                    <w:jc w:val="center"/>
                    <w:rPr>
                      <w:rFonts w:hint="default" w:eastAsia="宋体"/>
                      <w:color w:val="auto"/>
                      <w:kern w:val="0"/>
                      <w:sz w:val="21"/>
                      <w:szCs w:val="21"/>
                      <w:lang w:val="en-US" w:eastAsia="zh-CN"/>
                    </w:rPr>
                  </w:pPr>
                  <w:r>
                    <w:rPr>
                      <w:rFonts w:hint="eastAsia"/>
                      <w:color w:val="auto"/>
                      <w:kern w:val="0"/>
                      <w:sz w:val="21"/>
                      <w:szCs w:val="21"/>
                      <w:lang w:val="en-US" w:eastAsia="zh-CN"/>
                    </w:rPr>
                    <w:t>固态</w:t>
                  </w:r>
                </w:p>
              </w:tc>
              <w:tc>
                <w:tcPr>
                  <w:tcW w:w="788" w:type="dxa"/>
                  <w:shd w:val="clear" w:color="auto" w:fill="auto"/>
                  <w:noWrap w:val="0"/>
                  <w:vAlign w:val="center"/>
                </w:tcPr>
                <w:p w14:paraId="789C5A1D">
                  <w:pPr>
                    <w:autoSpaceDE w:val="0"/>
                    <w:autoSpaceDN w:val="0"/>
                    <w:adjustRightInd w:val="0"/>
                    <w:snapToGrid w:val="0"/>
                    <w:jc w:val="center"/>
                    <w:rPr>
                      <w:rFonts w:hint="default" w:eastAsia="宋体"/>
                      <w:color w:val="auto"/>
                      <w:kern w:val="0"/>
                      <w:sz w:val="21"/>
                      <w:szCs w:val="21"/>
                      <w:lang w:val="en-US" w:eastAsia="zh-CN"/>
                    </w:rPr>
                  </w:pPr>
                  <w:r>
                    <w:rPr>
                      <w:rFonts w:hint="eastAsia"/>
                      <w:color w:val="auto"/>
                      <w:kern w:val="0"/>
                      <w:sz w:val="21"/>
                      <w:szCs w:val="21"/>
                      <w:lang w:val="en-US" w:eastAsia="zh-CN"/>
                    </w:rPr>
                    <w:t>/</w:t>
                  </w:r>
                </w:p>
              </w:tc>
              <w:tc>
                <w:tcPr>
                  <w:tcW w:w="619" w:type="dxa"/>
                  <w:shd w:val="clear" w:color="auto" w:fill="auto"/>
                  <w:noWrap w:val="0"/>
                  <w:vAlign w:val="center"/>
                </w:tcPr>
                <w:p w14:paraId="59B010DA">
                  <w:pPr>
                    <w:tabs>
                      <w:tab w:val="left" w:pos="239"/>
                    </w:tabs>
                    <w:autoSpaceDE w:val="0"/>
                    <w:autoSpaceDN w:val="0"/>
                    <w:adjustRightInd w:val="0"/>
                    <w:snapToGrid w:val="0"/>
                    <w:jc w:val="center"/>
                    <w:rPr>
                      <w:rFonts w:hint="default"/>
                      <w:color w:val="auto"/>
                      <w:kern w:val="0"/>
                      <w:sz w:val="21"/>
                      <w:szCs w:val="21"/>
                      <w:lang w:val="en-US" w:eastAsia="zh-CN"/>
                    </w:rPr>
                  </w:pPr>
                  <w:r>
                    <w:rPr>
                      <w:rFonts w:hint="eastAsia"/>
                      <w:color w:val="auto"/>
                      <w:kern w:val="0"/>
                      <w:sz w:val="21"/>
                      <w:szCs w:val="21"/>
                      <w:lang w:val="en-US" w:eastAsia="zh-CN"/>
                    </w:rPr>
                    <w:t>0.2</w:t>
                  </w:r>
                </w:p>
              </w:tc>
              <w:tc>
                <w:tcPr>
                  <w:tcW w:w="935" w:type="dxa"/>
                  <w:noWrap w:val="0"/>
                  <w:vAlign w:val="center"/>
                </w:tcPr>
                <w:p w14:paraId="28F26460">
                  <w:pPr>
                    <w:autoSpaceDE w:val="0"/>
                    <w:autoSpaceDN w:val="0"/>
                    <w:adjustRightInd w:val="0"/>
                    <w:snapToGrid w:val="0"/>
                    <w:jc w:val="center"/>
                    <w:rPr>
                      <w:rFonts w:hint="eastAsia"/>
                      <w:color w:val="auto"/>
                      <w:kern w:val="0"/>
                      <w:sz w:val="21"/>
                      <w:szCs w:val="21"/>
                      <w:lang w:val="en-US" w:eastAsia="zh-CN"/>
                    </w:rPr>
                  </w:pPr>
                  <w:r>
                    <w:rPr>
                      <w:rFonts w:hint="default" w:ascii="Times New Roman" w:hAnsi="Times New Roman" w:eastAsia="宋体" w:cs="Times New Roman"/>
                      <w:color w:val="auto"/>
                      <w:kern w:val="0"/>
                      <w:sz w:val="21"/>
                      <w:szCs w:val="21"/>
                      <w:lang w:eastAsia="en-US"/>
                    </w:rPr>
                    <w:t>外售综合利用</w:t>
                  </w:r>
                </w:p>
              </w:tc>
            </w:tr>
            <w:tr w14:paraId="7EEAF09F">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770" w:hRule="exact"/>
                <w:jc w:val="center"/>
              </w:trPr>
              <w:tc>
                <w:tcPr>
                  <w:tcW w:w="388" w:type="dxa"/>
                  <w:shd w:val="clear" w:color="auto" w:fill="auto"/>
                  <w:noWrap w:val="0"/>
                  <w:vAlign w:val="center"/>
                </w:tcPr>
                <w:p w14:paraId="21E7D9D9">
                  <w:pPr>
                    <w:autoSpaceDE w:val="0"/>
                    <w:autoSpaceDN w:val="0"/>
                    <w:adjustRightInd w:val="0"/>
                    <w:snapToGrid w:val="0"/>
                    <w:jc w:val="center"/>
                    <w:rPr>
                      <w:rFonts w:hint="default"/>
                      <w:color w:val="auto"/>
                      <w:kern w:val="0"/>
                      <w:sz w:val="21"/>
                      <w:szCs w:val="21"/>
                      <w:lang w:val="en-US" w:eastAsia="zh-CN"/>
                    </w:rPr>
                  </w:pPr>
                  <w:r>
                    <w:rPr>
                      <w:rFonts w:hint="eastAsia"/>
                      <w:color w:val="auto"/>
                      <w:kern w:val="0"/>
                      <w:sz w:val="21"/>
                      <w:szCs w:val="21"/>
                      <w:lang w:val="en-US" w:eastAsia="zh-CN"/>
                    </w:rPr>
                    <w:t>6</w:t>
                  </w:r>
                </w:p>
              </w:tc>
              <w:tc>
                <w:tcPr>
                  <w:tcW w:w="1006" w:type="dxa"/>
                  <w:shd w:val="clear" w:color="auto" w:fill="auto"/>
                  <w:noWrap w:val="0"/>
                  <w:vAlign w:val="center"/>
                </w:tcPr>
                <w:p w14:paraId="5400AC09">
                  <w:pPr>
                    <w:autoSpaceDE w:val="0"/>
                    <w:autoSpaceDN w:val="0"/>
                    <w:adjustRightInd w:val="0"/>
                    <w:snapToGrid w:val="0"/>
                    <w:jc w:val="center"/>
                    <w:rPr>
                      <w:rFonts w:hint="default" w:eastAsia="宋体"/>
                      <w:color w:val="auto"/>
                      <w:kern w:val="0"/>
                      <w:sz w:val="21"/>
                      <w:szCs w:val="21"/>
                      <w:lang w:val="en-US" w:eastAsia="zh-CN"/>
                    </w:rPr>
                  </w:pPr>
                  <w:r>
                    <w:rPr>
                      <w:rFonts w:hint="eastAsia"/>
                      <w:color w:val="auto"/>
                      <w:kern w:val="0"/>
                      <w:sz w:val="21"/>
                      <w:szCs w:val="21"/>
                      <w:lang w:val="en-US" w:eastAsia="zh-CN"/>
                    </w:rPr>
                    <w:t>NMP回收液</w:t>
                  </w:r>
                </w:p>
              </w:tc>
              <w:tc>
                <w:tcPr>
                  <w:tcW w:w="886" w:type="dxa"/>
                  <w:vMerge w:val="continue"/>
                  <w:shd w:val="clear" w:color="auto" w:fill="auto"/>
                  <w:noWrap w:val="0"/>
                  <w:vAlign w:val="center"/>
                </w:tcPr>
                <w:p w14:paraId="77CCE3E7">
                  <w:pPr>
                    <w:autoSpaceDE w:val="0"/>
                    <w:autoSpaceDN w:val="0"/>
                    <w:adjustRightInd w:val="0"/>
                    <w:snapToGrid w:val="0"/>
                    <w:jc w:val="center"/>
                    <w:rPr>
                      <w:color w:val="auto"/>
                      <w:kern w:val="0"/>
                      <w:sz w:val="21"/>
                      <w:szCs w:val="21"/>
                    </w:rPr>
                  </w:pPr>
                </w:p>
              </w:tc>
              <w:tc>
                <w:tcPr>
                  <w:tcW w:w="1837" w:type="dxa"/>
                  <w:shd w:val="clear" w:color="auto" w:fill="auto"/>
                  <w:noWrap w:val="0"/>
                  <w:vAlign w:val="center"/>
                </w:tcPr>
                <w:p w14:paraId="5550788E">
                  <w:pPr>
                    <w:autoSpaceDE w:val="0"/>
                    <w:autoSpaceDN w:val="0"/>
                    <w:adjustRightInd w:val="0"/>
                    <w:snapToGrid w:val="0"/>
                    <w:jc w:val="center"/>
                    <w:rPr>
                      <w:rFonts w:hint="eastAsia"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SW17</w:t>
                  </w:r>
                  <w:r>
                    <w:rPr>
                      <w:rFonts w:hint="eastAsia" w:ascii="Times New Roman" w:hAnsi="Times New Roman" w:eastAsia="宋体" w:cs="Times New Roman"/>
                      <w:color w:val="auto"/>
                      <w:kern w:val="0"/>
                      <w:sz w:val="21"/>
                      <w:szCs w:val="21"/>
                      <w:lang w:val="en-US" w:eastAsia="zh-CN"/>
                    </w:rPr>
                    <w:t xml:space="preserve"> </w:t>
                  </w:r>
                  <w:r>
                    <w:rPr>
                      <w:rFonts w:hint="default" w:ascii="Times New Roman" w:hAnsi="Times New Roman" w:eastAsia="宋体" w:cs="Times New Roman"/>
                      <w:color w:val="auto"/>
                      <w:kern w:val="0"/>
                      <w:sz w:val="21"/>
                      <w:szCs w:val="21"/>
                      <w:lang w:val="en-US" w:eastAsia="zh-CN"/>
                    </w:rPr>
                    <w:t>900-0</w:t>
                  </w:r>
                  <w:r>
                    <w:rPr>
                      <w:rFonts w:hint="eastAsia" w:ascii="Times New Roman" w:hAnsi="Times New Roman" w:eastAsia="宋体" w:cs="Times New Roman"/>
                      <w:color w:val="auto"/>
                      <w:kern w:val="0"/>
                      <w:sz w:val="21"/>
                      <w:szCs w:val="21"/>
                      <w:lang w:val="en-US" w:eastAsia="zh-CN"/>
                    </w:rPr>
                    <w:t>1</w:t>
                  </w:r>
                  <w:r>
                    <w:rPr>
                      <w:rFonts w:hint="default" w:ascii="Times New Roman" w:hAnsi="Times New Roman" w:eastAsia="宋体" w:cs="Times New Roman"/>
                      <w:color w:val="auto"/>
                      <w:kern w:val="0"/>
                      <w:sz w:val="21"/>
                      <w:szCs w:val="21"/>
                      <w:lang w:val="en-US" w:eastAsia="zh-CN"/>
                    </w:rPr>
                    <w:t>2-S17</w:t>
                  </w:r>
                </w:p>
              </w:tc>
              <w:tc>
                <w:tcPr>
                  <w:tcW w:w="911" w:type="dxa"/>
                  <w:shd w:val="clear" w:color="auto" w:fill="auto"/>
                  <w:noWrap w:val="0"/>
                  <w:vAlign w:val="center"/>
                </w:tcPr>
                <w:p w14:paraId="2F4CB400">
                  <w:pPr>
                    <w:autoSpaceDE w:val="0"/>
                    <w:autoSpaceDN w:val="0"/>
                    <w:adjustRightInd w:val="0"/>
                    <w:snapToGrid w:val="0"/>
                    <w:jc w:val="center"/>
                    <w:rPr>
                      <w:color w:val="auto"/>
                      <w:kern w:val="0"/>
                      <w:sz w:val="21"/>
                      <w:szCs w:val="21"/>
                    </w:rPr>
                  </w:pPr>
                  <w:r>
                    <w:rPr>
                      <w:rFonts w:hint="eastAsia"/>
                      <w:color w:val="auto"/>
                      <w:kern w:val="0"/>
                      <w:sz w:val="21"/>
                      <w:szCs w:val="21"/>
                      <w:lang w:val="en-US" w:eastAsia="zh-CN"/>
                    </w:rPr>
                    <w:t>/</w:t>
                  </w:r>
                </w:p>
              </w:tc>
              <w:tc>
                <w:tcPr>
                  <w:tcW w:w="665" w:type="dxa"/>
                  <w:shd w:val="clear" w:color="auto" w:fill="auto"/>
                  <w:noWrap w:val="0"/>
                  <w:vAlign w:val="center"/>
                </w:tcPr>
                <w:p w14:paraId="58C044B8">
                  <w:pPr>
                    <w:autoSpaceDE w:val="0"/>
                    <w:autoSpaceDN w:val="0"/>
                    <w:adjustRightInd w:val="0"/>
                    <w:snapToGrid w:val="0"/>
                    <w:jc w:val="center"/>
                    <w:rPr>
                      <w:color w:val="auto"/>
                      <w:kern w:val="0"/>
                      <w:sz w:val="21"/>
                      <w:szCs w:val="21"/>
                    </w:rPr>
                  </w:pPr>
                  <w:r>
                    <w:rPr>
                      <w:rFonts w:hint="eastAsia"/>
                      <w:color w:val="auto"/>
                      <w:kern w:val="0"/>
                      <w:sz w:val="21"/>
                      <w:szCs w:val="21"/>
                      <w:lang w:val="en-US" w:eastAsia="zh-CN"/>
                    </w:rPr>
                    <w:t>液态</w:t>
                  </w:r>
                </w:p>
              </w:tc>
              <w:tc>
                <w:tcPr>
                  <w:tcW w:w="788" w:type="dxa"/>
                  <w:shd w:val="clear" w:color="auto" w:fill="auto"/>
                  <w:noWrap w:val="0"/>
                  <w:vAlign w:val="center"/>
                </w:tcPr>
                <w:p w14:paraId="0C3A326D">
                  <w:pPr>
                    <w:autoSpaceDE w:val="0"/>
                    <w:autoSpaceDN w:val="0"/>
                    <w:adjustRightInd w:val="0"/>
                    <w:snapToGrid w:val="0"/>
                    <w:jc w:val="center"/>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w:t>
                  </w:r>
                </w:p>
              </w:tc>
              <w:tc>
                <w:tcPr>
                  <w:tcW w:w="619" w:type="dxa"/>
                  <w:shd w:val="clear" w:color="auto" w:fill="auto"/>
                  <w:noWrap w:val="0"/>
                  <w:vAlign w:val="center"/>
                </w:tcPr>
                <w:p w14:paraId="1B75FB41">
                  <w:pPr>
                    <w:autoSpaceDE w:val="0"/>
                    <w:autoSpaceDN w:val="0"/>
                    <w:adjustRightInd w:val="0"/>
                    <w:snapToGrid w:val="0"/>
                    <w:jc w:val="center"/>
                    <w:rPr>
                      <w:rFonts w:hint="default" w:ascii="Times New Roman" w:hAnsi="Times New Roman" w:eastAsia="宋体" w:cs="Times New Roman"/>
                      <w:color w:val="auto"/>
                      <w:kern w:val="0"/>
                      <w:sz w:val="21"/>
                      <w:szCs w:val="21"/>
                      <w:lang w:val="en-US" w:eastAsia="zh-CN"/>
                    </w:rPr>
                  </w:pPr>
                  <w:r>
                    <w:rPr>
                      <w:rFonts w:hint="eastAsia" w:cs="Times New Roman"/>
                      <w:color w:val="auto"/>
                      <w:kern w:val="0"/>
                      <w:sz w:val="21"/>
                      <w:szCs w:val="21"/>
                      <w:lang w:val="en-US" w:eastAsia="zh-CN"/>
                    </w:rPr>
                    <w:t>1673</w:t>
                  </w:r>
                </w:p>
              </w:tc>
              <w:tc>
                <w:tcPr>
                  <w:tcW w:w="935" w:type="dxa"/>
                  <w:noWrap w:val="0"/>
                  <w:vAlign w:val="center"/>
                </w:tcPr>
                <w:p w14:paraId="3C32361D">
                  <w:pPr>
                    <w:autoSpaceDE w:val="0"/>
                    <w:autoSpaceDN w:val="0"/>
                    <w:adjustRightInd w:val="0"/>
                    <w:snapToGrid w:val="0"/>
                    <w:jc w:val="center"/>
                    <w:rPr>
                      <w:rFonts w:hint="default"/>
                      <w:color w:val="auto"/>
                      <w:kern w:val="0"/>
                      <w:sz w:val="21"/>
                      <w:szCs w:val="21"/>
                      <w:lang w:val="en-US" w:eastAsia="zh-CN"/>
                    </w:rPr>
                  </w:pPr>
                  <w:r>
                    <w:rPr>
                      <w:rFonts w:hint="eastAsia"/>
                      <w:color w:val="auto"/>
                      <w:kern w:val="0"/>
                      <w:sz w:val="21"/>
                      <w:szCs w:val="21"/>
                      <w:lang w:val="en-US" w:eastAsia="zh-CN"/>
                    </w:rPr>
                    <w:t>原料厂家回收</w:t>
                  </w:r>
                </w:p>
              </w:tc>
            </w:tr>
            <w:tr w14:paraId="6DB4ABD8">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981" w:hRule="exact"/>
                <w:jc w:val="center"/>
              </w:trPr>
              <w:tc>
                <w:tcPr>
                  <w:tcW w:w="388" w:type="dxa"/>
                  <w:noWrap w:val="0"/>
                  <w:vAlign w:val="center"/>
                </w:tcPr>
                <w:p w14:paraId="68D2EDBC">
                  <w:pPr>
                    <w:autoSpaceDE w:val="0"/>
                    <w:autoSpaceDN w:val="0"/>
                    <w:adjustRightInd w:val="0"/>
                    <w:snapToGrid w:val="0"/>
                    <w:jc w:val="center"/>
                    <w:rPr>
                      <w:rFonts w:hint="default"/>
                      <w:color w:val="auto"/>
                      <w:kern w:val="0"/>
                      <w:sz w:val="21"/>
                      <w:szCs w:val="21"/>
                      <w:lang w:val="en-US" w:eastAsia="zh-CN"/>
                    </w:rPr>
                  </w:pPr>
                  <w:r>
                    <w:rPr>
                      <w:rFonts w:hint="eastAsia"/>
                      <w:color w:val="auto"/>
                      <w:kern w:val="0"/>
                      <w:sz w:val="21"/>
                      <w:szCs w:val="21"/>
                      <w:lang w:val="en-US" w:eastAsia="zh-CN"/>
                    </w:rPr>
                    <w:t>7</w:t>
                  </w:r>
                </w:p>
              </w:tc>
              <w:tc>
                <w:tcPr>
                  <w:tcW w:w="1006" w:type="dxa"/>
                  <w:noWrap w:val="0"/>
                  <w:vAlign w:val="center"/>
                </w:tcPr>
                <w:p w14:paraId="086B0FEB">
                  <w:pPr>
                    <w:autoSpaceDE w:val="0"/>
                    <w:autoSpaceDN w:val="0"/>
                    <w:adjustRightInd w:val="0"/>
                    <w:snapToGrid w:val="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废NMP包装桶</w:t>
                  </w:r>
                </w:p>
              </w:tc>
              <w:tc>
                <w:tcPr>
                  <w:tcW w:w="886" w:type="dxa"/>
                  <w:vMerge w:val="continue"/>
                  <w:noWrap w:val="0"/>
                  <w:vAlign w:val="center"/>
                </w:tcPr>
                <w:p w14:paraId="6F94956B">
                  <w:pPr>
                    <w:autoSpaceDE w:val="0"/>
                    <w:autoSpaceDN w:val="0"/>
                    <w:adjustRightInd w:val="0"/>
                    <w:snapToGrid w:val="0"/>
                    <w:jc w:val="center"/>
                    <w:rPr>
                      <w:color w:val="auto"/>
                      <w:kern w:val="0"/>
                      <w:sz w:val="21"/>
                      <w:szCs w:val="21"/>
                    </w:rPr>
                  </w:pPr>
                </w:p>
              </w:tc>
              <w:tc>
                <w:tcPr>
                  <w:tcW w:w="1837" w:type="dxa"/>
                  <w:noWrap w:val="0"/>
                  <w:vAlign w:val="center"/>
                </w:tcPr>
                <w:p w14:paraId="32C26DFB">
                  <w:pPr>
                    <w:autoSpaceDE w:val="0"/>
                    <w:autoSpaceDN w:val="0"/>
                    <w:adjustRightInd w:val="0"/>
                    <w:snapToGrid w:val="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SW17</w:t>
                  </w:r>
                  <w:r>
                    <w:rPr>
                      <w:rFonts w:hint="eastAsia" w:ascii="Times New Roman" w:hAnsi="Times New Roman" w:eastAsia="宋体" w:cs="Times New Roman"/>
                      <w:color w:val="auto"/>
                      <w:kern w:val="0"/>
                      <w:sz w:val="21"/>
                      <w:szCs w:val="21"/>
                      <w:lang w:val="en-US" w:eastAsia="zh-CN"/>
                    </w:rPr>
                    <w:t xml:space="preserve"> 900-099-S17</w:t>
                  </w:r>
                </w:p>
              </w:tc>
              <w:tc>
                <w:tcPr>
                  <w:tcW w:w="911" w:type="dxa"/>
                  <w:noWrap w:val="0"/>
                  <w:vAlign w:val="center"/>
                </w:tcPr>
                <w:p w14:paraId="17BD2D61">
                  <w:pPr>
                    <w:autoSpaceDE w:val="0"/>
                    <w:autoSpaceDN w:val="0"/>
                    <w:adjustRightInd w:val="0"/>
                    <w:snapToGrid w:val="0"/>
                    <w:jc w:val="center"/>
                    <w:rPr>
                      <w:rFonts w:hint="eastAsia" w:ascii="Times New Roman" w:hAnsi="Times New Roman" w:eastAsia="宋体" w:cs="Times New Roman"/>
                      <w:color w:val="auto"/>
                      <w:kern w:val="0"/>
                      <w:sz w:val="21"/>
                      <w:szCs w:val="21"/>
                      <w:lang w:val="en-US" w:eastAsia="zh-CN"/>
                    </w:rPr>
                  </w:pPr>
                  <w:r>
                    <w:rPr>
                      <w:rFonts w:hint="eastAsia"/>
                      <w:color w:val="auto"/>
                      <w:kern w:val="0"/>
                      <w:sz w:val="21"/>
                      <w:szCs w:val="21"/>
                      <w:lang w:val="en-US" w:eastAsia="zh-CN"/>
                    </w:rPr>
                    <w:t>/</w:t>
                  </w:r>
                </w:p>
              </w:tc>
              <w:tc>
                <w:tcPr>
                  <w:tcW w:w="665" w:type="dxa"/>
                  <w:noWrap w:val="0"/>
                  <w:vAlign w:val="center"/>
                </w:tcPr>
                <w:p w14:paraId="5C218ADD">
                  <w:pPr>
                    <w:autoSpaceDE w:val="0"/>
                    <w:autoSpaceDN w:val="0"/>
                    <w:adjustRightInd w:val="0"/>
                    <w:snapToGrid w:val="0"/>
                    <w:jc w:val="center"/>
                    <w:rPr>
                      <w:rFonts w:hint="eastAsia"/>
                      <w:color w:val="auto"/>
                      <w:kern w:val="0"/>
                      <w:sz w:val="21"/>
                      <w:szCs w:val="21"/>
                      <w:lang w:val="en-US" w:eastAsia="zh-CN"/>
                    </w:rPr>
                  </w:pPr>
                  <w:r>
                    <w:rPr>
                      <w:rFonts w:hint="eastAsia"/>
                      <w:color w:val="auto"/>
                      <w:kern w:val="0"/>
                      <w:sz w:val="21"/>
                      <w:szCs w:val="21"/>
                      <w:lang w:val="en-US" w:eastAsia="zh-CN"/>
                    </w:rPr>
                    <w:t>固态</w:t>
                  </w:r>
                </w:p>
              </w:tc>
              <w:tc>
                <w:tcPr>
                  <w:tcW w:w="788" w:type="dxa"/>
                  <w:noWrap w:val="0"/>
                  <w:vAlign w:val="center"/>
                </w:tcPr>
                <w:p w14:paraId="6425ADAB">
                  <w:pPr>
                    <w:autoSpaceDE w:val="0"/>
                    <w:autoSpaceDN w:val="0"/>
                    <w:adjustRightInd w:val="0"/>
                    <w:snapToGrid w:val="0"/>
                    <w:jc w:val="center"/>
                    <w:rPr>
                      <w:rFonts w:hint="default"/>
                      <w:color w:val="auto"/>
                      <w:kern w:val="0"/>
                      <w:sz w:val="21"/>
                      <w:szCs w:val="21"/>
                      <w:lang w:val="en-US" w:eastAsia="zh-CN"/>
                    </w:rPr>
                  </w:pPr>
                  <w:r>
                    <w:rPr>
                      <w:rFonts w:hint="eastAsia"/>
                      <w:color w:val="auto"/>
                      <w:kern w:val="0"/>
                      <w:sz w:val="21"/>
                      <w:szCs w:val="21"/>
                      <w:lang w:val="en-US" w:eastAsia="zh-CN"/>
                    </w:rPr>
                    <w:t>/</w:t>
                  </w:r>
                </w:p>
              </w:tc>
              <w:tc>
                <w:tcPr>
                  <w:tcW w:w="619" w:type="dxa"/>
                  <w:noWrap w:val="0"/>
                  <w:vAlign w:val="center"/>
                </w:tcPr>
                <w:p w14:paraId="2355CAC1">
                  <w:pPr>
                    <w:tabs>
                      <w:tab w:val="left" w:pos="239"/>
                    </w:tabs>
                    <w:autoSpaceDE w:val="0"/>
                    <w:autoSpaceDN w:val="0"/>
                    <w:adjustRightInd w:val="0"/>
                    <w:snapToGrid w:val="0"/>
                    <w:jc w:val="center"/>
                    <w:rPr>
                      <w:rFonts w:hint="default"/>
                      <w:color w:val="auto"/>
                      <w:kern w:val="0"/>
                      <w:sz w:val="21"/>
                      <w:szCs w:val="21"/>
                      <w:shd w:val="clear" w:fill="FFFF00"/>
                      <w:lang w:val="en-US" w:eastAsia="zh-CN"/>
                    </w:rPr>
                  </w:pPr>
                  <w:r>
                    <w:rPr>
                      <w:rFonts w:hint="eastAsia"/>
                      <w:color w:val="auto"/>
                      <w:kern w:val="0"/>
                      <w:sz w:val="21"/>
                      <w:szCs w:val="21"/>
                      <w:shd w:val="clear"/>
                      <w:lang w:val="en-US" w:eastAsia="zh-CN"/>
                    </w:rPr>
                    <w:t>3</w:t>
                  </w:r>
                </w:p>
              </w:tc>
              <w:tc>
                <w:tcPr>
                  <w:tcW w:w="935" w:type="dxa"/>
                  <w:noWrap w:val="0"/>
                  <w:vAlign w:val="center"/>
                </w:tcPr>
                <w:p w14:paraId="4D888ACE">
                  <w:pPr>
                    <w:autoSpaceDE w:val="0"/>
                    <w:autoSpaceDN w:val="0"/>
                    <w:adjustRightInd w:val="0"/>
                    <w:snapToGrid w:val="0"/>
                    <w:jc w:val="center"/>
                    <w:rPr>
                      <w:rFonts w:hint="default"/>
                      <w:color w:val="auto"/>
                      <w:kern w:val="0"/>
                      <w:sz w:val="21"/>
                      <w:szCs w:val="21"/>
                      <w:lang w:val="en-US" w:eastAsia="zh-CN"/>
                    </w:rPr>
                  </w:pPr>
                  <w:r>
                    <w:rPr>
                      <w:rFonts w:hint="eastAsia"/>
                      <w:color w:val="auto"/>
                      <w:kern w:val="0"/>
                      <w:sz w:val="21"/>
                      <w:szCs w:val="21"/>
                      <w:lang w:val="en-US" w:eastAsia="zh-CN"/>
                    </w:rPr>
                    <w:t>原料厂家回收</w:t>
                  </w:r>
                </w:p>
              </w:tc>
            </w:tr>
            <w:tr w14:paraId="4B27C554">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981" w:hRule="exact"/>
                <w:jc w:val="center"/>
              </w:trPr>
              <w:tc>
                <w:tcPr>
                  <w:tcW w:w="388" w:type="dxa"/>
                  <w:noWrap w:val="0"/>
                  <w:vAlign w:val="center"/>
                </w:tcPr>
                <w:p w14:paraId="230C486B">
                  <w:pPr>
                    <w:autoSpaceDE w:val="0"/>
                    <w:autoSpaceDN w:val="0"/>
                    <w:adjustRightInd w:val="0"/>
                    <w:snapToGrid w:val="0"/>
                    <w:jc w:val="center"/>
                    <w:rPr>
                      <w:rFonts w:hint="default"/>
                      <w:color w:val="auto"/>
                      <w:kern w:val="0"/>
                      <w:sz w:val="21"/>
                      <w:szCs w:val="21"/>
                      <w:lang w:val="en-US" w:eastAsia="zh-CN"/>
                    </w:rPr>
                  </w:pPr>
                  <w:r>
                    <w:rPr>
                      <w:rFonts w:hint="eastAsia"/>
                      <w:color w:val="auto"/>
                      <w:kern w:val="0"/>
                      <w:sz w:val="21"/>
                      <w:szCs w:val="21"/>
                      <w:lang w:val="en-US" w:eastAsia="zh-CN"/>
                    </w:rPr>
                    <w:t>8</w:t>
                  </w:r>
                </w:p>
              </w:tc>
              <w:tc>
                <w:tcPr>
                  <w:tcW w:w="1006" w:type="dxa"/>
                  <w:noWrap w:val="0"/>
                  <w:vAlign w:val="center"/>
                </w:tcPr>
                <w:p w14:paraId="319984E7">
                  <w:pPr>
                    <w:autoSpaceDE w:val="0"/>
                    <w:autoSpaceDN w:val="0"/>
                    <w:adjustRightInd w:val="0"/>
                    <w:snapToGrid w:val="0"/>
                    <w:jc w:val="center"/>
                    <w:rPr>
                      <w:rFonts w:hint="default" w:ascii="Times New Roman" w:hAnsi="Times New Roman" w:eastAsia="宋体" w:cs="Times New Roman"/>
                      <w:color w:val="auto"/>
                      <w:kern w:val="0"/>
                      <w:sz w:val="21"/>
                      <w:szCs w:val="21"/>
                      <w:lang w:val="en-US" w:eastAsia="zh-CN"/>
                    </w:rPr>
                  </w:pPr>
                  <w:r>
                    <w:rPr>
                      <w:rFonts w:hint="eastAsia" w:cs="Times New Roman"/>
                      <w:color w:val="auto"/>
                      <w:kern w:val="0"/>
                      <w:sz w:val="21"/>
                      <w:szCs w:val="21"/>
                      <w:lang w:val="en-US" w:eastAsia="zh-CN"/>
                    </w:rPr>
                    <w:t>废滤芯</w:t>
                  </w:r>
                </w:p>
              </w:tc>
              <w:tc>
                <w:tcPr>
                  <w:tcW w:w="886" w:type="dxa"/>
                  <w:vMerge w:val="continue"/>
                  <w:noWrap w:val="0"/>
                  <w:vAlign w:val="center"/>
                </w:tcPr>
                <w:p w14:paraId="12E3CCFF">
                  <w:pPr>
                    <w:autoSpaceDE w:val="0"/>
                    <w:autoSpaceDN w:val="0"/>
                    <w:adjustRightInd w:val="0"/>
                    <w:snapToGrid w:val="0"/>
                    <w:jc w:val="center"/>
                    <w:rPr>
                      <w:color w:val="auto"/>
                      <w:kern w:val="0"/>
                      <w:sz w:val="21"/>
                      <w:szCs w:val="21"/>
                    </w:rPr>
                  </w:pPr>
                </w:p>
              </w:tc>
              <w:tc>
                <w:tcPr>
                  <w:tcW w:w="1837" w:type="dxa"/>
                  <w:noWrap w:val="0"/>
                  <w:vAlign w:val="center"/>
                </w:tcPr>
                <w:p w14:paraId="44F6B21B">
                  <w:pPr>
                    <w:autoSpaceDE w:val="0"/>
                    <w:autoSpaceDN w:val="0"/>
                    <w:adjustRightInd w:val="0"/>
                    <w:snapToGrid w:val="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SW17</w:t>
                  </w:r>
                  <w:r>
                    <w:rPr>
                      <w:rFonts w:hint="eastAsia" w:ascii="Times New Roman" w:hAnsi="Times New Roman" w:eastAsia="宋体" w:cs="Times New Roman"/>
                      <w:color w:val="auto"/>
                      <w:kern w:val="0"/>
                      <w:sz w:val="21"/>
                      <w:szCs w:val="21"/>
                      <w:lang w:val="en-US" w:eastAsia="zh-CN"/>
                    </w:rPr>
                    <w:t xml:space="preserve"> 900-0</w:t>
                  </w:r>
                  <w:r>
                    <w:rPr>
                      <w:rFonts w:hint="eastAsia" w:cs="Times New Roman"/>
                      <w:color w:val="auto"/>
                      <w:kern w:val="0"/>
                      <w:sz w:val="21"/>
                      <w:szCs w:val="21"/>
                      <w:lang w:val="en-US" w:eastAsia="zh-CN"/>
                    </w:rPr>
                    <w:t>0</w:t>
                  </w:r>
                  <w:r>
                    <w:rPr>
                      <w:rFonts w:hint="eastAsia" w:ascii="Times New Roman" w:hAnsi="Times New Roman" w:eastAsia="宋体" w:cs="Times New Roman"/>
                      <w:color w:val="auto"/>
                      <w:kern w:val="0"/>
                      <w:sz w:val="21"/>
                      <w:szCs w:val="21"/>
                      <w:lang w:val="en-US" w:eastAsia="zh-CN"/>
                    </w:rPr>
                    <w:t>9-S</w:t>
                  </w:r>
                  <w:r>
                    <w:rPr>
                      <w:rFonts w:hint="eastAsia" w:cs="Times New Roman"/>
                      <w:color w:val="auto"/>
                      <w:kern w:val="0"/>
                      <w:sz w:val="21"/>
                      <w:szCs w:val="21"/>
                      <w:lang w:val="en-US" w:eastAsia="zh-CN"/>
                    </w:rPr>
                    <w:t>59</w:t>
                  </w:r>
                </w:p>
              </w:tc>
              <w:tc>
                <w:tcPr>
                  <w:tcW w:w="911" w:type="dxa"/>
                  <w:noWrap w:val="0"/>
                  <w:vAlign w:val="center"/>
                </w:tcPr>
                <w:p w14:paraId="63304269">
                  <w:pPr>
                    <w:autoSpaceDE w:val="0"/>
                    <w:autoSpaceDN w:val="0"/>
                    <w:adjustRightInd w:val="0"/>
                    <w:snapToGrid w:val="0"/>
                    <w:jc w:val="center"/>
                    <w:rPr>
                      <w:rFonts w:hint="default"/>
                      <w:color w:val="auto"/>
                      <w:kern w:val="0"/>
                      <w:sz w:val="21"/>
                      <w:szCs w:val="21"/>
                      <w:lang w:val="en-US" w:eastAsia="zh-CN"/>
                    </w:rPr>
                  </w:pPr>
                  <w:r>
                    <w:rPr>
                      <w:rFonts w:hint="eastAsia"/>
                      <w:color w:val="auto"/>
                      <w:kern w:val="0"/>
                      <w:sz w:val="21"/>
                      <w:szCs w:val="21"/>
                      <w:lang w:val="en-US" w:eastAsia="zh-CN"/>
                    </w:rPr>
                    <w:t>/</w:t>
                  </w:r>
                </w:p>
              </w:tc>
              <w:tc>
                <w:tcPr>
                  <w:tcW w:w="665" w:type="dxa"/>
                  <w:noWrap w:val="0"/>
                  <w:vAlign w:val="center"/>
                </w:tcPr>
                <w:p w14:paraId="619E5664">
                  <w:pPr>
                    <w:autoSpaceDE w:val="0"/>
                    <w:autoSpaceDN w:val="0"/>
                    <w:adjustRightInd w:val="0"/>
                    <w:snapToGrid w:val="0"/>
                    <w:jc w:val="center"/>
                    <w:rPr>
                      <w:rFonts w:hint="default"/>
                      <w:color w:val="auto"/>
                      <w:kern w:val="0"/>
                      <w:sz w:val="21"/>
                      <w:szCs w:val="21"/>
                      <w:lang w:val="en-US" w:eastAsia="zh-CN"/>
                    </w:rPr>
                  </w:pPr>
                  <w:r>
                    <w:rPr>
                      <w:rFonts w:hint="eastAsia"/>
                      <w:color w:val="auto"/>
                      <w:kern w:val="0"/>
                      <w:sz w:val="21"/>
                      <w:szCs w:val="21"/>
                      <w:lang w:val="en-US" w:eastAsia="zh-CN"/>
                    </w:rPr>
                    <w:t>固态</w:t>
                  </w:r>
                </w:p>
              </w:tc>
              <w:tc>
                <w:tcPr>
                  <w:tcW w:w="788" w:type="dxa"/>
                  <w:noWrap w:val="0"/>
                  <w:vAlign w:val="center"/>
                </w:tcPr>
                <w:p w14:paraId="5A960BE8">
                  <w:pPr>
                    <w:autoSpaceDE w:val="0"/>
                    <w:autoSpaceDN w:val="0"/>
                    <w:adjustRightInd w:val="0"/>
                    <w:snapToGrid w:val="0"/>
                    <w:jc w:val="center"/>
                    <w:rPr>
                      <w:rFonts w:hint="default"/>
                      <w:color w:val="auto"/>
                      <w:kern w:val="0"/>
                      <w:sz w:val="21"/>
                      <w:szCs w:val="21"/>
                      <w:lang w:val="en-US" w:eastAsia="zh-CN"/>
                    </w:rPr>
                  </w:pPr>
                  <w:r>
                    <w:rPr>
                      <w:rFonts w:hint="eastAsia"/>
                      <w:color w:val="auto"/>
                      <w:kern w:val="0"/>
                      <w:sz w:val="21"/>
                      <w:szCs w:val="21"/>
                      <w:lang w:val="en-US" w:eastAsia="zh-CN"/>
                    </w:rPr>
                    <w:t>/</w:t>
                  </w:r>
                </w:p>
              </w:tc>
              <w:tc>
                <w:tcPr>
                  <w:tcW w:w="619" w:type="dxa"/>
                  <w:noWrap w:val="0"/>
                  <w:vAlign w:val="center"/>
                </w:tcPr>
                <w:p w14:paraId="3B69E017">
                  <w:pPr>
                    <w:tabs>
                      <w:tab w:val="left" w:pos="239"/>
                    </w:tabs>
                    <w:autoSpaceDE w:val="0"/>
                    <w:autoSpaceDN w:val="0"/>
                    <w:adjustRightInd w:val="0"/>
                    <w:snapToGrid w:val="0"/>
                    <w:jc w:val="center"/>
                    <w:rPr>
                      <w:rFonts w:hint="default"/>
                      <w:color w:val="auto"/>
                      <w:kern w:val="0"/>
                      <w:sz w:val="21"/>
                      <w:szCs w:val="21"/>
                      <w:shd w:val="clear"/>
                      <w:lang w:val="en-US" w:eastAsia="zh-CN"/>
                    </w:rPr>
                  </w:pPr>
                  <w:r>
                    <w:rPr>
                      <w:rFonts w:hint="eastAsia"/>
                      <w:color w:val="auto"/>
                      <w:kern w:val="0"/>
                      <w:sz w:val="21"/>
                      <w:szCs w:val="21"/>
                      <w:shd w:val="clear"/>
                      <w:lang w:val="en-US" w:eastAsia="zh-CN"/>
                    </w:rPr>
                    <w:t>0.5</w:t>
                  </w:r>
                </w:p>
              </w:tc>
              <w:tc>
                <w:tcPr>
                  <w:tcW w:w="935" w:type="dxa"/>
                  <w:noWrap w:val="0"/>
                  <w:vAlign w:val="center"/>
                </w:tcPr>
                <w:p w14:paraId="3EF1C103">
                  <w:pPr>
                    <w:autoSpaceDE w:val="0"/>
                    <w:autoSpaceDN w:val="0"/>
                    <w:adjustRightInd w:val="0"/>
                    <w:snapToGrid w:val="0"/>
                    <w:jc w:val="center"/>
                    <w:rPr>
                      <w:rFonts w:hint="eastAsia"/>
                      <w:color w:val="auto"/>
                      <w:kern w:val="0"/>
                      <w:sz w:val="21"/>
                      <w:szCs w:val="21"/>
                      <w:lang w:val="en-US" w:eastAsia="zh-CN"/>
                    </w:rPr>
                  </w:pPr>
                  <w:r>
                    <w:rPr>
                      <w:rFonts w:hint="default" w:ascii="Times New Roman" w:hAnsi="Times New Roman" w:eastAsia="宋体" w:cs="Times New Roman"/>
                      <w:color w:val="auto"/>
                      <w:kern w:val="0"/>
                      <w:sz w:val="21"/>
                      <w:szCs w:val="21"/>
                      <w:lang w:eastAsia="en-US"/>
                    </w:rPr>
                    <w:t>外售综合利用</w:t>
                  </w:r>
                </w:p>
              </w:tc>
            </w:tr>
            <w:tr w14:paraId="05854E0F">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839" w:hRule="exact"/>
                <w:jc w:val="center"/>
              </w:trPr>
              <w:tc>
                <w:tcPr>
                  <w:tcW w:w="388" w:type="dxa"/>
                  <w:noWrap w:val="0"/>
                  <w:vAlign w:val="center"/>
                </w:tcPr>
                <w:p w14:paraId="33DF52F6">
                  <w:pPr>
                    <w:autoSpaceDE w:val="0"/>
                    <w:autoSpaceDN w:val="0"/>
                    <w:adjustRightInd w:val="0"/>
                    <w:snapToGrid w:val="0"/>
                    <w:jc w:val="center"/>
                    <w:rPr>
                      <w:rFonts w:hint="default"/>
                      <w:color w:val="auto"/>
                      <w:kern w:val="0"/>
                      <w:sz w:val="21"/>
                      <w:szCs w:val="21"/>
                      <w:lang w:val="en-US" w:eastAsia="zh-CN"/>
                    </w:rPr>
                  </w:pPr>
                  <w:r>
                    <w:rPr>
                      <w:rFonts w:hint="eastAsia"/>
                      <w:color w:val="auto"/>
                      <w:kern w:val="0"/>
                      <w:sz w:val="21"/>
                      <w:szCs w:val="21"/>
                      <w:lang w:val="en-US" w:eastAsia="zh-CN"/>
                    </w:rPr>
                    <w:t>9</w:t>
                  </w:r>
                </w:p>
              </w:tc>
              <w:tc>
                <w:tcPr>
                  <w:tcW w:w="1006" w:type="dxa"/>
                  <w:noWrap w:val="0"/>
                  <w:vAlign w:val="center"/>
                </w:tcPr>
                <w:p w14:paraId="0C0F2AC4">
                  <w:pPr>
                    <w:autoSpaceDE w:val="0"/>
                    <w:autoSpaceDN w:val="0"/>
                    <w:adjustRightInd w:val="0"/>
                    <w:snapToGrid w:val="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纯水制备废过滤材料</w:t>
                  </w:r>
                </w:p>
              </w:tc>
              <w:tc>
                <w:tcPr>
                  <w:tcW w:w="886" w:type="dxa"/>
                  <w:vMerge w:val="continue"/>
                  <w:noWrap w:val="0"/>
                  <w:vAlign w:val="center"/>
                </w:tcPr>
                <w:p w14:paraId="3BAE7649">
                  <w:pPr>
                    <w:autoSpaceDE w:val="0"/>
                    <w:autoSpaceDN w:val="0"/>
                    <w:adjustRightInd w:val="0"/>
                    <w:snapToGrid w:val="0"/>
                    <w:jc w:val="center"/>
                    <w:rPr>
                      <w:color w:val="auto"/>
                      <w:kern w:val="0"/>
                      <w:sz w:val="21"/>
                      <w:szCs w:val="21"/>
                    </w:rPr>
                  </w:pPr>
                </w:p>
              </w:tc>
              <w:tc>
                <w:tcPr>
                  <w:tcW w:w="1837" w:type="dxa"/>
                  <w:noWrap w:val="0"/>
                  <w:vAlign w:val="center"/>
                </w:tcPr>
                <w:p w14:paraId="1F772006">
                  <w:pPr>
                    <w:autoSpaceDE w:val="0"/>
                    <w:autoSpaceDN w:val="0"/>
                    <w:adjustRightInd w:val="0"/>
                    <w:snapToGrid w:val="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SW59</w:t>
                  </w:r>
                  <w:r>
                    <w:rPr>
                      <w:rFonts w:hint="eastAsia" w:ascii="Times New Roman" w:hAnsi="Times New Roman" w:eastAsia="宋体" w:cs="Times New Roman"/>
                      <w:color w:val="auto"/>
                      <w:kern w:val="0"/>
                      <w:sz w:val="21"/>
                      <w:szCs w:val="21"/>
                      <w:lang w:val="en-US" w:eastAsia="zh-CN"/>
                    </w:rPr>
                    <w:t xml:space="preserve"> </w:t>
                  </w:r>
                  <w:r>
                    <w:rPr>
                      <w:rFonts w:hint="default" w:ascii="Times New Roman" w:hAnsi="Times New Roman" w:eastAsia="宋体" w:cs="Times New Roman"/>
                      <w:color w:val="auto"/>
                      <w:kern w:val="0"/>
                      <w:sz w:val="21"/>
                      <w:szCs w:val="21"/>
                      <w:lang w:val="en-US" w:eastAsia="zh-CN"/>
                    </w:rPr>
                    <w:t>900-00</w:t>
                  </w:r>
                  <w:r>
                    <w:rPr>
                      <w:rFonts w:hint="eastAsia" w:ascii="Times New Roman" w:hAnsi="Times New Roman" w:eastAsia="宋体" w:cs="Times New Roman"/>
                      <w:color w:val="auto"/>
                      <w:kern w:val="0"/>
                      <w:sz w:val="21"/>
                      <w:szCs w:val="21"/>
                      <w:lang w:val="en-US" w:eastAsia="zh-CN"/>
                    </w:rPr>
                    <w:t>9</w:t>
                  </w:r>
                  <w:r>
                    <w:rPr>
                      <w:rFonts w:hint="default" w:ascii="Times New Roman" w:hAnsi="Times New Roman" w:eastAsia="宋体" w:cs="Times New Roman"/>
                      <w:color w:val="auto"/>
                      <w:kern w:val="0"/>
                      <w:sz w:val="21"/>
                      <w:szCs w:val="21"/>
                      <w:lang w:val="en-US" w:eastAsia="zh-CN"/>
                    </w:rPr>
                    <w:t>-S59</w:t>
                  </w:r>
                </w:p>
              </w:tc>
              <w:tc>
                <w:tcPr>
                  <w:tcW w:w="911" w:type="dxa"/>
                  <w:noWrap w:val="0"/>
                  <w:vAlign w:val="center"/>
                </w:tcPr>
                <w:p w14:paraId="3017FDCB">
                  <w:pPr>
                    <w:autoSpaceDE w:val="0"/>
                    <w:autoSpaceDN w:val="0"/>
                    <w:adjustRightInd w:val="0"/>
                    <w:snapToGrid w:val="0"/>
                    <w:jc w:val="center"/>
                    <w:rPr>
                      <w:rFonts w:hint="default"/>
                      <w:color w:val="auto"/>
                      <w:kern w:val="0"/>
                      <w:sz w:val="21"/>
                      <w:szCs w:val="21"/>
                      <w:lang w:val="en-US" w:eastAsia="zh-CN"/>
                    </w:rPr>
                  </w:pPr>
                  <w:r>
                    <w:rPr>
                      <w:rFonts w:hint="eastAsia"/>
                      <w:color w:val="auto"/>
                      <w:kern w:val="0"/>
                      <w:sz w:val="21"/>
                      <w:szCs w:val="21"/>
                      <w:lang w:val="en-US" w:eastAsia="zh-CN"/>
                    </w:rPr>
                    <w:t>/</w:t>
                  </w:r>
                </w:p>
              </w:tc>
              <w:tc>
                <w:tcPr>
                  <w:tcW w:w="665" w:type="dxa"/>
                  <w:noWrap w:val="0"/>
                  <w:vAlign w:val="center"/>
                </w:tcPr>
                <w:p w14:paraId="037E44AA">
                  <w:pPr>
                    <w:autoSpaceDE w:val="0"/>
                    <w:autoSpaceDN w:val="0"/>
                    <w:adjustRightInd w:val="0"/>
                    <w:snapToGrid w:val="0"/>
                    <w:jc w:val="center"/>
                    <w:rPr>
                      <w:rFonts w:hint="eastAsia"/>
                      <w:color w:val="auto"/>
                      <w:kern w:val="0"/>
                      <w:sz w:val="21"/>
                      <w:szCs w:val="21"/>
                      <w:lang w:val="en-US" w:eastAsia="zh-CN"/>
                    </w:rPr>
                  </w:pPr>
                  <w:r>
                    <w:rPr>
                      <w:rFonts w:hint="eastAsia"/>
                      <w:color w:val="auto"/>
                      <w:kern w:val="0"/>
                      <w:sz w:val="21"/>
                      <w:szCs w:val="21"/>
                      <w:lang w:val="en-US" w:eastAsia="zh-CN"/>
                    </w:rPr>
                    <w:t>固态</w:t>
                  </w:r>
                </w:p>
              </w:tc>
              <w:tc>
                <w:tcPr>
                  <w:tcW w:w="788" w:type="dxa"/>
                  <w:noWrap w:val="0"/>
                  <w:vAlign w:val="center"/>
                </w:tcPr>
                <w:p w14:paraId="27D72F6E">
                  <w:pPr>
                    <w:autoSpaceDE w:val="0"/>
                    <w:autoSpaceDN w:val="0"/>
                    <w:adjustRightInd w:val="0"/>
                    <w:snapToGrid w:val="0"/>
                    <w:jc w:val="center"/>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w:t>
                  </w:r>
                </w:p>
              </w:tc>
              <w:tc>
                <w:tcPr>
                  <w:tcW w:w="619" w:type="dxa"/>
                  <w:noWrap w:val="0"/>
                  <w:vAlign w:val="center"/>
                </w:tcPr>
                <w:p w14:paraId="0EB188F3">
                  <w:pPr>
                    <w:autoSpaceDE w:val="0"/>
                    <w:autoSpaceDN w:val="0"/>
                    <w:adjustRightInd w:val="0"/>
                    <w:snapToGrid w:val="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0.2</w:t>
                  </w:r>
                </w:p>
              </w:tc>
              <w:tc>
                <w:tcPr>
                  <w:tcW w:w="935" w:type="dxa"/>
                  <w:noWrap w:val="0"/>
                  <w:vAlign w:val="center"/>
                </w:tcPr>
                <w:p w14:paraId="62655490">
                  <w:pPr>
                    <w:autoSpaceDE w:val="0"/>
                    <w:autoSpaceDN w:val="0"/>
                    <w:adjustRightInd w:val="0"/>
                    <w:snapToGrid w:val="0"/>
                    <w:jc w:val="center"/>
                    <w:rPr>
                      <w:rFonts w:hint="eastAsia"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定期交厂家回收</w:t>
                  </w:r>
                </w:p>
              </w:tc>
            </w:tr>
            <w:tr w14:paraId="7506E59E">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770" w:hRule="exact"/>
                <w:jc w:val="center"/>
              </w:trPr>
              <w:tc>
                <w:tcPr>
                  <w:tcW w:w="388" w:type="dxa"/>
                  <w:noWrap w:val="0"/>
                  <w:vAlign w:val="center"/>
                </w:tcPr>
                <w:p w14:paraId="6113BEC1">
                  <w:pPr>
                    <w:autoSpaceDE w:val="0"/>
                    <w:autoSpaceDN w:val="0"/>
                    <w:adjustRightInd w:val="0"/>
                    <w:snapToGrid w:val="0"/>
                    <w:jc w:val="center"/>
                    <w:rPr>
                      <w:rFonts w:hint="default"/>
                      <w:color w:val="auto"/>
                      <w:kern w:val="0"/>
                      <w:sz w:val="21"/>
                      <w:szCs w:val="21"/>
                      <w:lang w:val="en-US" w:eastAsia="zh-CN"/>
                    </w:rPr>
                  </w:pPr>
                  <w:r>
                    <w:rPr>
                      <w:rFonts w:hint="eastAsia"/>
                      <w:color w:val="auto"/>
                      <w:kern w:val="0"/>
                      <w:sz w:val="21"/>
                      <w:szCs w:val="21"/>
                      <w:lang w:val="en-US" w:eastAsia="zh-CN"/>
                    </w:rPr>
                    <w:t>10</w:t>
                  </w:r>
                </w:p>
              </w:tc>
              <w:tc>
                <w:tcPr>
                  <w:tcW w:w="1006" w:type="dxa"/>
                  <w:noWrap w:val="0"/>
                  <w:vAlign w:val="center"/>
                </w:tcPr>
                <w:p w14:paraId="258918C8">
                  <w:pPr>
                    <w:autoSpaceDE w:val="0"/>
                    <w:autoSpaceDN w:val="0"/>
                    <w:adjustRightInd w:val="0"/>
                    <w:snapToGrid w:val="0"/>
                    <w:jc w:val="center"/>
                    <w:rPr>
                      <w:rFonts w:hint="default"/>
                      <w:color w:val="auto"/>
                      <w:kern w:val="0"/>
                      <w:sz w:val="21"/>
                      <w:szCs w:val="21"/>
                      <w:lang w:val="en-US" w:eastAsia="zh-CN"/>
                    </w:rPr>
                  </w:pPr>
                  <w:r>
                    <w:rPr>
                      <w:rFonts w:hint="eastAsia"/>
                      <w:color w:val="auto"/>
                      <w:kern w:val="0"/>
                      <w:sz w:val="21"/>
                      <w:szCs w:val="21"/>
                      <w:lang w:val="en-US" w:eastAsia="zh-CN"/>
                    </w:rPr>
                    <w:t>废分子筛</w:t>
                  </w:r>
                </w:p>
              </w:tc>
              <w:tc>
                <w:tcPr>
                  <w:tcW w:w="886" w:type="dxa"/>
                  <w:vMerge w:val="continue"/>
                  <w:noWrap w:val="0"/>
                  <w:vAlign w:val="center"/>
                </w:tcPr>
                <w:p w14:paraId="5169496E">
                  <w:pPr>
                    <w:autoSpaceDE w:val="0"/>
                    <w:autoSpaceDN w:val="0"/>
                    <w:adjustRightInd w:val="0"/>
                    <w:snapToGrid w:val="0"/>
                    <w:jc w:val="center"/>
                    <w:rPr>
                      <w:color w:val="auto"/>
                      <w:kern w:val="0"/>
                      <w:sz w:val="21"/>
                      <w:szCs w:val="21"/>
                    </w:rPr>
                  </w:pPr>
                </w:p>
              </w:tc>
              <w:tc>
                <w:tcPr>
                  <w:tcW w:w="1837" w:type="dxa"/>
                  <w:noWrap w:val="0"/>
                  <w:vAlign w:val="center"/>
                </w:tcPr>
                <w:p w14:paraId="419B2C66">
                  <w:pPr>
                    <w:autoSpaceDE w:val="0"/>
                    <w:autoSpaceDN w:val="0"/>
                    <w:adjustRightInd w:val="0"/>
                    <w:snapToGrid w:val="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SW59</w:t>
                  </w:r>
                  <w:r>
                    <w:rPr>
                      <w:rFonts w:hint="eastAsia" w:ascii="Times New Roman" w:hAnsi="Times New Roman" w:eastAsia="宋体" w:cs="Times New Roman"/>
                      <w:color w:val="auto"/>
                      <w:kern w:val="0"/>
                      <w:sz w:val="21"/>
                      <w:szCs w:val="21"/>
                      <w:lang w:val="en-US" w:eastAsia="zh-CN"/>
                    </w:rPr>
                    <w:t xml:space="preserve"> </w:t>
                  </w:r>
                  <w:r>
                    <w:rPr>
                      <w:rFonts w:hint="default" w:ascii="Times New Roman" w:hAnsi="Times New Roman" w:eastAsia="宋体" w:cs="Times New Roman"/>
                      <w:color w:val="auto"/>
                      <w:kern w:val="0"/>
                      <w:sz w:val="21"/>
                      <w:szCs w:val="21"/>
                      <w:lang w:val="en-US" w:eastAsia="zh-CN"/>
                    </w:rPr>
                    <w:t>900-00</w:t>
                  </w:r>
                  <w:r>
                    <w:rPr>
                      <w:rFonts w:hint="eastAsia" w:ascii="Times New Roman" w:hAnsi="Times New Roman" w:eastAsia="宋体" w:cs="Times New Roman"/>
                      <w:color w:val="auto"/>
                      <w:kern w:val="0"/>
                      <w:sz w:val="21"/>
                      <w:szCs w:val="21"/>
                      <w:lang w:val="en-US" w:eastAsia="zh-CN"/>
                    </w:rPr>
                    <w:t>5</w:t>
                  </w:r>
                  <w:r>
                    <w:rPr>
                      <w:rFonts w:hint="default" w:ascii="Times New Roman" w:hAnsi="Times New Roman" w:eastAsia="宋体" w:cs="Times New Roman"/>
                      <w:color w:val="auto"/>
                      <w:kern w:val="0"/>
                      <w:sz w:val="21"/>
                      <w:szCs w:val="21"/>
                      <w:lang w:val="en-US" w:eastAsia="zh-CN"/>
                    </w:rPr>
                    <w:t>-S59</w:t>
                  </w:r>
                </w:p>
              </w:tc>
              <w:tc>
                <w:tcPr>
                  <w:tcW w:w="911" w:type="dxa"/>
                  <w:noWrap w:val="0"/>
                  <w:vAlign w:val="center"/>
                </w:tcPr>
                <w:p w14:paraId="7C6AE6D6">
                  <w:pPr>
                    <w:autoSpaceDE w:val="0"/>
                    <w:autoSpaceDN w:val="0"/>
                    <w:adjustRightInd w:val="0"/>
                    <w:snapToGrid w:val="0"/>
                    <w:jc w:val="center"/>
                    <w:rPr>
                      <w:rFonts w:hint="eastAsia"/>
                      <w:color w:val="auto"/>
                      <w:kern w:val="0"/>
                      <w:sz w:val="21"/>
                      <w:szCs w:val="21"/>
                      <w:lang w:val="en-US" w:eastAsia="zh-CN"/>
                    </w:rPr>
                  </w:pPr>
                  <w:r>
                    <w:rPr>
                      <w:rFonts w:hint="eastAsia"/>
                      <w:color w:val="auto"/>
                      <w:kern w:val="0"/>
                      <w:sz w:val="21"/>
                      <w:szCs w:val="21"/>
                      <w:lang w:val="en-US" w:eastAsia="zh-CN"/>
                    </w:rPr>
                    <w:t>/</w:t>
                  </w:r>
                </w:p>
              </w:tc>
              <w:tc>
                <w:tcPr>
                  <w:tcW w:w="665" w:type="dxa"/>
                  <w:noWrap w:val="0"/>
                  <w:vAlign w:val="center"/>
                </w:tcPr>
                <w:p w14:paraId="3A4F8B2C">
                  <w:pPr>
                    <w:autoSpaceDE w:val="0"/>
                    <w:autoSpaceDN w:val="0"/>
                    <w:adjustRightInd w:val="0"/>
                    <w:snapToGrid w:val="0"/>
                    <w:jc w:val="center"/>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固态</w:t>
                  </w:r>
                </w:p>
              </w:tc>
              <w:tc>
                <w:tcPr>
                  <w:tcW w:w="788" w:type="dxa"/>
                  <w:noWrap w:val="0"/>
                  <w:vAlign w:val="center"/>
                </w:tcPr>
                <w:p w14:paraId="27DC6E1F">
                  <w:pPr>
                    <w:autoSpaceDE w:val="0"/>
                    <w:autoSpaceDN w:val="0"/>
                    <w:adjustRightInd w:val="0"/>
                    <w:snapToGrid w:val="0"/>
                    <w:jc w:val="center"/>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w:t>
                  </w:r>
                </w:p>
              </w:tc>
              <w:tc>
                <w:tcPr>
                  <w:tcW w:w="619" w:type="dxa"/>
                  <w:noWrap w:val="0"/>
                  <w:vAlign w:val="center"/>
                </w:tcPr>
                <w:p w14:paraId="5C511A4E">
                  <w:pPr>
                    <w:autoSpaceDE w:val="0"/>
                    <w:autoSpaceDN w:val="0"/>
                    <w:adjustRightInd w:val="0"/>
                    <w:snapToGrid w:val="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0.2</w:t>
                  </w:r>
                </w:p>
              </w:tc>
              <w:tc>
                <w:tcPr>
                  <w:tcW w:w="935" w:type="dxa"/>
                  <w:noWrap w:val="0"/>
                  <w:vAlign w:val="center"/>
                </w:tcPr>
                <w:p w14:paraId="48BC6135">
                  <w:pPr>
                    <w:autoSpaceDE w:val="0"/>
                    <w:autoSpaceDN w:val="0"/>
                    <w:adjustRightInd w:val="0"/>
                    <w:snapToGrid w:val="0"/>
                    <w:jc w:val="center"/>
                    <w:rPr>
                      <w:rFonts w:hint="eastAsia"/>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定期交厂家回收</w:t>
                  </w:r>
                </w:p>
              </w:tc>
            </w:tr>
            <w:tr w14:paraId="757F875F">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525" w:hRule="exact"/>
                <w:jc w:val="center"/>
              </w:trPr>
              <w:tc>
                <w:tcPr>
                  <w:tcW w:w="388" w:type="dxa"/>
                  <w:noWrap w:val="0"/>
                  <w:vAlign w:val="center"/>
                </w:tcPr>
                <w:p w14:paraId="1D991FDC">
                  <w:pPr>
                    <w:autoSpaceDE w:val="0"/>
                    <w:autoSpaceDN w:val="0"/>
                    <w:adjustRightInd w:val="0"/>
                    <w:snapToGrid w:val="0"/>
                    <w:jc w:val="center"/>
                    <w:rPr>
                      <w:rFonts w:hint="default"/>
                      <w:color w:val="auto"/>
                      <w:kern w:val="0"/>
                      <w:sz w:val="21"/>
                      <w:szCs w:val="21"/>
                      <w:lang w:val="en-US" w:eastAsia="zh-CN"/>
                    </w:rPr>
                  </w:pPr>
                  <w:r>
                    <w:rPr>
                      <w:rFonts w:hint="eastAsia"/>
                      <w:color w:val="auto"/>
                      <w:kern w:val="0"/>
                      <w:sz w:val="21"/>
                      <w:szCs w:val="21"/>
                      <w:lang w:val="en-US" w:eastAsia="zh-CN"/>
                    </w:rPr>
                    <w:t>11</w:t>
                  </w:r>
                </w:p>
              </w:tc>
              <w:tc>
                <w:tcPr>
                  <w:tcW w:w="1006" w:type="dxa"/>
                  <w:noWrap w:val="0"/>
                  <w:vAlign w:val="center"/>
                </w:tcPr>
                <w:p w14:paraId="2A1D95DA">
                  <w:pPr>
                    <w:autoSpaceDE w:val="0"/>
                    <w:autoSpaceDN w:val="0"/>
                    <w:adjustRightInd w:val="0"/>
                    <w:snapToGrid w:val="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不合格品</w:t>
                  </w:r>
                </w:p>
              </w:tc>
              <w:tc>
                <w:tcPr>
                  <w:tcW w:w="886" w:type="dxa"/>
                  <w:vMerge w:val="continue"/>
                  <w:noWrap w:val="0"/>
                  <w:vAlign w:val="center"/>
                </w:tcPr>
                <w:p w14:paraId="7B310F77">
                  <w:pPr>
                    <w:autoSpaceDE w:val="0"/>
                    <w:autoSpaceDN w:val="0"/>
                    <w:adjustRightInd w:val="0"/>
                    <w:snapToGrid w:val="0"/>
                    <w:jc w:val="center"/>
                    <w:rPr>
                      <w:color w:val="auto"/>
                      <w:kern w:val="0"/>
                      <w:sz w:val="21"/>
                      <w:szCs w:val="21"/>
                    </w:rPr>
                  </w:pPr>
                </w:p>
              </w:tc>
              <w:tc>
                <w:tcPr>
                  <w:tcW w:w="1837" w:type="dxa"/>
                  <w:noWrap w:val="0"/>
                  <w:vAlign w:val="center"/>
                </w:tcPr>
                <w:p w14:paraId="40035BD6">
                  <w:pPr>
                    <w:autoSpaceDE w:val="0"/>
                    <w:autoSpaceDN w:val="0"/>
                    <w:adjustRightInd w:val="0"/>
                    <w:snapToGrid w:val="0"/>
                    <w:jc w:val="center"/>
                    <w:rPr>
                      <w:rFonts w:hint="eastAsia"/>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SW17</w:t>
                  </w:r>
                  <w:r>
                    <w:rPr>
                      <w:rFonts w:hint="eastAsia" w:ascii="Times New Roman" w:hAnsi="Times New Roman" w:eastAsia="宋体" w:cs="Times New Roman"/>
                      <w:color w:val="auto"/>
                      <w:kern w:val="0"/>
                      <w:sz w:val="21"/>
                      <w:szCs w:val="21"/>
                      <w:lang w:val="en-US" w:eastAsia="zh-CN"/>
                    </w:rPr>
                    <w:t xml:space="preserve"> </w:t>
                  </w:r>
                  <w:r>
                    <w:rPr>
                      <w:rFonts w:hint="default" w:ascii="Times New Roman" w:hAnsi="Times New Roman" w:eastAsia="宋体" w:cs="Times New Roman"/>
                      <w:color w:val="auto"/>
                      <w:kern w:val="0"/>
                      <w:sz w:val="21"/>
                      <w:szCs w:val="21"/>
                      <w:lang w:val="en-US" w:eastAsia="zh-CN"/>
                    </w:rPr>
                    <w:t>900-0</w:t>
                  </w:r>
                  <w:r>
                    <w:rPr>
                      <w:rFonts w:hint="eastAsia" w:ascii="Times New Roman" w:hAnsi="Times New Roman" w:eastAsia="宋体" w:cs="Times New Roman"/>
                      <w:color w:val="auto"/>
                      <w:kern w:val="0"/>
                      <w:sz w:val="21"/>
                      <w:szCs w:val="21"/>
                      <w:lang w:val="en-US" w:eastAsia="zh-CN"/>
                    </w:rPr>
                    <w:t>1</w:t>
                  </w:r>
                  <w:r>
                    <w:rPr>
                      <w:rFonts w:hint="default" w:ascii="Times New Roman" w:hAnsi="Times New Roman" w:eastAsia="宋体" w:cs="Times New Roman"/>
                      <w:color w:val="auto"/>
                      <w:kern w:val="0"/>
                      <w:sz w:val="21"/>
                      <w:szCs w:val="21"/>
                      <w:lang w:val="en-US" w:eastAsia="zh-CN"/>
                    </w:rPr>
                    <w:t>2-S17</w:t>
                  </w:r>
                </w:p>
              </w:tc>
              <w:tc>
                <w:tcPr>
                  <w:tcW w:w="911" w:type="dxa"/>
                  <w:noWrap w:val="0"/>
                  <w:vAlign w:val="center"/>
                </w:tcPr>
                <w:p w14:paraId="79674582">
                  <w:pPr>
                    <w:autoSpaceDE w:val="0"/>
                    <w:autoSpaceDN w:val="0"/>
                    <w:adjustRightInd w:val="0"/>
                    <w:snapToGrid w:val="0"/>
                    <w:jc w:val="center"/>
                    <w:rPr>
                      <w:color w:val="auto"/>
                      <w:kern w:val="0"/>
                      <w:sz w:val="21"/>
                      <w:szCs w:val="21"/>
                    </w:rPr>
                  </w:pPr>
                  <w:r>
                    <w:rPr>
                      <w:rFonts w:hint="eastAsia"/>
                      <w:color w:val="auto"/>
                      <w:kern w:val="0"/>
                      <w:sz w:val="21"/>
                      <w:szCs w:val="21"/>
                      <w:lang w:val="en-US" w:eastAsia="zh-CN"/>
                    </w:rPr>
                    <w:t>/</w:t>
                  </w:r>
                </w:p>
              </w:tc>
              <w:tc>
                <w:tcPr>
                  <w:tcW w:w="665" w:type="dxa"/>
                  <w:noWrap w:val="0"/>
                  <w:vAlign w:val="center"/>
                </w:tcPr>
                <w:p w14:paraId="1E2F4C91">
                  <w:pPr>
                    <w:autoSpaceDE w:val="0"/>
                    <w:autoSpaceDN w:val="0"/>
                    <w:adjustRightInd w:val="0"/>
                    <w:snapToGrid w:val="0"/>
                    <w:jc w:val="center"/>
                    <w:rPr>
                      <w:color w:val="auto"/>
                      <w:kern w:val="0"/>
                      <w:sz w:val="21"/>
                      <w:szCs w:val="21"/>
                    </w:rPr>
                  </w:pPr>
                  <w:r>
                    <w:rPr>
                      <w:rFonts w:hint="eastAsia"/>
                      <w:color w:val="auto"/>
                      <w:kern w:val="0"/>
                      <w:sz w:val="21"/>
                      <w:szCs w:val="21"/>
                      <w:lang w:val="en-US" w:eastAsia="zh-CN"/>
                    </w:rPr>
                    <w:t>固态</w:t>
                  </w:r>
                </w:p>
              </w:tc>
              <w:tc>
                <w:tcPr>
                  <w:tcW w:w="788" w:type="dxa"/>
                  <w:noWrap w:val="0"/>
                  <w:vAlign w:val="center"/>
                </w:tcPr>
                <w:p w14:paraId="632192F7">
                  <w:pPr>
                    <w:autoSpaceDE w:val="0"/>
                    <w:autoSpaceDN w:val="0"/>
                    <w:adjustRightInd w:val="0"/>
                    <w:snapToGrid w:val="0"/>
                    <w:jc w:val="center"/>
                    <w:rPr>
                      <w:color w:val="auto"/>
                      <w:kern w:val="0"/>
                      <w:sz w:val="21"/>
                      <w:szCs w:val="21"/>
                    </w:rPr>
                  </w:pPr>
                  <w:r>
                    <w:rPr>
                      <w:rFonts w:hint="eastAsia" w:ascii="Times New Roman" w:hAnsi="Times New Roman" w:eastAsia="宋体" w:cs="Times New Roman"/>
                      <w:color w:val="auto"/>
                      <w:kern w:val="0"/>
                      <w:sz w:val="21"/>
                      <w:szCs w:val="21"/>
                      <w:lang w:val="en-US" w:eastAsia="zh-CN"/>
                    </w:rPr>
                    <w:t>/</w:t>
                  </w:r>
                </w:p>
              </w:tc>
              <w:tc>
                <w:tcPr>
                  <w:tcW w:w="619" w:type="dxa"/>
                  <w:noWrap w:val="0"/>
                  <w:vAlign w:val="center"/>
                </w:tcPr>
                <w:p w14:paraId="79547062">
                  <w:pPr>
                    <w:autoSpaceDE w:val="0"/>
                    <w:autoSpaceDN w:val="0"/>
                    <w:adjustRightInd w:val="0"/>
                    <w:snapToGrid w:val="0"/>
                    <w:jc w:val="center"/>
                    <w:rPr>
                      <w:rFonts w:hint="default"/>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0.</w:t>
                  </w:r>
                  <w:r>
                    <w:rPr>
                      <w:rFonts w:hint="eastAsia" w:cs="Times New Roman"/>
                      <w:color w:val="auto"/>
                      <w:kern w:val="0"/>
                      <w:sz w:val="21"/>
                      <w:szCs w:val="21"/>
                      <w:lang w:val="en-US" w:eastAsia="zh-CN"/>
                    </w:rPr>
                    <w:t>7</w:t>
                  </w:r>
                </w:p>
              </w:tc>
              <w:tc>
                <w:tcPr>
                  <w:tcW w:w="935" w:type="dxa"/>
                  <w:noWrap w:val="0"/>
                  <w:vAlign w:val="center"/>
                </w:tcPr>
                <w:p w14:paraId="3678C5E4">
                  <w:pPr>
                    <w:autoSpaceDE w:val="0"/>
                    <w:autoSpaceDN w:val="0"/>
                    <w:adjustRightInd w:val="0"/>
                    <w:snapToGrid w:val="0"/>
                    <w:jc w:val="center"/>
                    <w:rPr>
                      <w:rFonts w:hint="eastAsia"/>
                      <w:color w:val="auto"/>
                      <w:kern w:val="0"/>
                      <w:sz w:val="21"/>
                      <w:szCs w:val="21"/>
                      <w:lang w:val="en-US" w:eastAsia="zh-CN"/>
                    </w:rPr>
                  </w:pPr>
                  <w:r>
                    <w:rPr>
                      <w:rFonts w:hint="default" w:ascii="Times New Roman" w:hAnsi="Times New Roman" w:eastAsia="宋体" w:cs="Times New Roman"/>
                      <w:color w:val="auto"/>
                      <w:kern w:val="0"/>
                      <w:sz w:val="21"/>
                      <w:szCs w:val="21"/>
                      <w:lang w:eastAsia="en-US"/>
                    </w:rPr>
                    <w:t>外售综合利用</w:t>
                  </w:r>
                </w:p>
              </w:tc>
            </w:tr>
            <w:tr w14:paraId="4FE3A64B">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546" w:hRule="exact"/>
                <w:jc w:val="center"/>
              </w:trPr>
              <w:tc>
                <w:tcPr>
                  <w:tcW w:w="388" w:type="dxa"/>
                  <w:noWrap w:val="0"/>
                  <w:vAlign w:val="center"/>
                </w:tcPr>
                <w:p w14:paraId="7BF90F7A">
                  <w:pPr>
                    <w:autoSpaceDE w:val="0"/>
                    <w:autoSpaceDN w:val="0"/>
                    <w:adjustRightInd w:val="0"/>
                    <w:snapToGrid w:val="0"/>
                    <w:jc w:val="center"/>
                    <w:rPr>
                      <w:rFonts w:hint="default"/>
                      <w:color w:val="auto"/>
                      <w:kern w:val="0"/>
                      <w:sz w:val="21"/>
                      <w:szCs w:val="21"/>
                      <w:lang w:val="en-US" w:eastAsia="zh-CN"/>
                    </w:rPr>
                  </w:pPr>
                  <w:r>
                    <w:rPr>
                      <w:rFonts w:hint="eastAsia"/>
                      <w:color w:val="auto"/>
                      <w:kern w:val="0"/>
                      <w:sz w:val="21"/>
                      <w:szCs w:val="21"/>
                      <w:lang w:val="en-US" w:eastAsia="zh-CN"/>
                    </w:rPr>
                    <w:t>12</w:t>
                  </w:r>
                </w:p>
              </w:tc>
              <w:tc>
                <w:tcPr>
                  <w:tcW w:w="1006" w:type="dxa"/>
                  <w:noWrap w:val="0"/>
                  <w:vAlign w:val="center"/>
                </w:tcPr>
                <w:p w14:paraId="62DF76A8">
                  <w:pPr>
                    <w:autoSpaceDE w:val="0"/>
                    <w:autoSpaceDN w:val="0"/>
                    <w:adjustRightInd w:val="0"/>
                    <w:snapToGrid w:val="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废隔膜、废极片</w:t>
                  </w:r>
                </w:p>
              </w:tc>
              <w:tc>
                <w:tcPr>
                  <w:tcW w:w="886" w:type="dxa"/>
                  <w:vMerge w:val="continue"/>
                  <w:noWrap w:val="0"/>
                  <w:vAlign w:val="center"/>
                </w:tcPr>
                <w:p w14:paraId="30F6F4FA">
                  <w:pPr>
                    <w:autoSpaceDE w:val="0"/>
                    <w:autoSpaceDN w:val="0"/>
                    <w:adjustRightInd w:val="0"/>
                    <w:snapToGrid w:val="0"/>
                    <w:jc w:val="center"/>
                    <w:rPr>
                      <w:color w:val="auto"/>
                      <w:kern w:val="0"/>
                      <w:sz w:val="21"/>
                      <w:szCs w:val="21"/>
                    </w:rPr>
                  </w:pPr>
                </w:p>
              </w:tc>
              <w:tc>
                <w:tcPr>
                  <w:tcW w:w="1837" w:type="dxa"/>
                  <w:noWrap w:val="0"/>
                  <w:vAlign w:val="center"/>
                </w:tcPr>
                <w:p w14:paraId="525C8F86">
                  <w:pPr>
                    <w:autoSpaceDE w:val="0"/>
                    <w:autoSpaceDN w:val="0"/>
                    <w:adjustRightInd w:val="0"/>
                    <w:snapToGrid w:val="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SW17</w:t>
                  </w:r>
                  <w:r>
                    <w:rPr>
                      <w:rFonts w:hint="eastAsia" w:ascii="Times New Roman" w:hAnsi="Times New Roman" w:eastAsia="宋体" w:cs="Times New Roman"/>
                      <w:color w:val="auto"/>
                      <w:kern w:val="0"/>
                      <w:sz w:val="21"/>
                      <w:szCs w:val="21"/>
                      <w:lang w:val="en-US" w:eastAsia="zh-CN"/>
                    </w:rPr>
                    <w:t xml:space="preserve"> </w:t>
                  </w:r>
                  <w:r>
                    <w:rPr>
                      <w:rFonts w:hint="default" w:ascii="Times New Roman" w:hAnsi="Times New Roman" w:eastAsia="宋体" w:cs="Times New Roman"/>
                      <w:color w:val="auto"/>
                      <w:kern w:val="0"/>
                      <w:sz w:val="21"/>
                      <w:szCs w:val="21"/>
                      <w:lang w:val="en-US" w:eastAsia="zh-CN"/>
                    </w:rPr>
                    <w:t>900-0</w:t>
                  </w:r>
                  <w:r>
                    <w:rPr>
                      <w:rFonts w:hint="eastAsia" w:ascii="Times New Roman" w:hAnsi="Times New Roman" w:eastAsia="宋体" w:cs="Times New Roman"/>
                      <w:color w:val="auto"/>
                      <w:kern w:val="0"/>
                      <w:sz w:val="21"/>
                      <w:szCs w:val="21"/>
                      <w:lang w:val="en-US" w:eastAsia="zh-CN"/>
                    </w:rPr>
                    <w:t>1</w:t>
                  </w:r>
                  <w:r>
                    <w:rPr>
                      <w:rFonts w:hint="default" w:ascii="Times New Roman" w:hAnsi="Times New Roman" w:eastAsia="宋体" w:cs="Times New Roman"/>
                      <w:color w:val="auto"/>
                      <w:kern w:val="0"/>
                      <w:sz w:val="21"/>
                      <w:szCs w:val="21"/>
                      <w:lang w:val="en-US" w:eastAsia="zh-CN"/>
                    </w:rPr>
                    <w:t>2-S17</w:t>
                  </w:r>
                </w:p>
              </w:tc>
              <w:tc>
                <w:tcPr>
                  <w:tcW w:w="911" w:type="dxa"/>
                  <w:noWrap w:val="0"/>
                  <w:vAlign w:val="center"/>
                </w:tcPr>
                <w:p w14:paraId="2C814B48">
                  <w:pPr>
                    <w:autoSpaceDE w:val="0"/>
                    <w:autoSpaceDN w:val="0"/>
                    <w:adjustRightInd w:val="0"/>
                    <w:snapToGrid w:val="0"/>
                    <w:jc w:val="center"/>
                    <w:rPr>
                      <w:rFonts w:hint="default"/>
                      <w:color w:val="auto"/>
                      <w:kern w:val="0"/>
                      <w:sz w:val="21"/>
                      <w:szCs w:val="21"/>
                      <w:lang w:val="en-US" w:eastAsia="zh-CN"/>
                    </w:rPr>
                  </w:pPr>
                  <w:r>
                    <w:rPr>
                      <w:rFonts w:hint="eastAsia"/>
                      <w:color w:val="auto"/>
                      <w:kern w:val="0"/>
                      <w:sz w:val="21"/>
                      <w:szCs w:val="21"/>
                      <w:lang w:val="en-US" w:eastAsia="zh-CN"/>
                    </w:rPr>
                    <w:t>/</w:t>
                  </w:r>
                </w:p>
              </w:tc>
              <w:tc>
                <w:tcPr>
                  <w:tcW w:w="665" w:type="dxa"/>
                  <w:noWrap w:val="0"/>
                  <w:vAlign w:val="center"/>
                </w:tcPr>
                <w:p w14:paraId="3C53CC8E">
                  <w:pPr>
                    <w:autoSpaceDE w:val="0"/>
                    <w:autoSpaceDN w:val="0"/>
                    <w:adjustRightInd w:val="0"/>
                    <w:snapToGrid w:val="0"/>
                    <w:jc w:val="center"/>
                    <w:rPr>
                      <w:rFonts w:hint="eastAsia"/>
                      <w:color w:val="auto"/>
                      <w:kern w:val="0"/>
                      <w:sz w:val="21"/>
                      <w:szCs w:val="21"/>
                      <w:lang w:val="en-US" w:eastAsia="zh-CN"/>
                    </w:rPr>
                  </w:pPr>
                  <w:r>
                    <w:rPr>
                      <w:rFonts w:hint="eastAsia"/>
                      <w:color w:val="auto"/>
                      <w:kern w:val="0"/>
                      <w:sz w:val="21"/>
                      <w:szCs w:val="21"/>
                      <w:lang w:val="en-US" w:eastAsia="zh-CN"/>
                    </w:rPr>
                    <w:t>固态</w:t>
                  </w:r>
                </w:p>
              </w:tc>
              <w:tc>
                <w:tcPr>
                  <w:tcW w:w="788" w:type="dxa"/>
                  <w:noWrap w:val="0"/>
                  <w:vAlign w:val="center"/>
                </w:tcPr>
                <w:p w14:paraId="6B061D99">
                  <w:pPr>
                    <w:autoSpaceDE w:val="0"/>
                    <w:autoSpaceDN w:val="0"/>
                    <w:adjustRightInd w:val="0"/>
                    <w:snapToGrid w:val="0"/>
                    <w:jc w:val="center"/>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w:t>
                  </w:r>
                </w:p>
              </w:tc>
              <w:tc>
                <w:tcPr>
                  <w:tcW w:w="619" w:type="dxa"/>
                  <w:noWrap w:val="0"/>
                  <w:vAlign w:val="center"/>
                </w:tcPr>
                <w:p w14:paraId="180A4927">
                  <w:pPr>
                    <w:autoSpaceDE w:val="0"/>
                    <w:autoSpaceDN w:val="0"/>
                    <w:adjustRightInd w:val="0"/>
                    <w:snapToGrid w:val="0"/>
                    <w:jc w:val="center"/>
                    <w:rPr>
                      <w:rFonts w:hint="default" w:ascii="Times New Roman" w:hAnsi="Times New Roman" w:eastAsia="宋体" w:cs="Times New Roman"/>
                      <w:color w:val="auto"/>
                      <w:kern w:val="0"/>
                      <w:sz w:val="21"/>
                      <w:szCs w:val="21"/>
                      <w:lang w:val="en-US" w:eastAsia="zh-CN"/>
                    </w:rPr>
                  </w:pPr>
                  <w:r>
                    <w:rPr>
                      <w:rFonts w:hint="eastAsia" w:cs="Times New Roman"/>
                      <w:color w:val="auto"/>
                      <w:kern w:val="0"/>
                      <w:sz w:val="21"/>
                      <w:szCs w:val="21"/>
                      <w:lang w:val="en-US" w:eastAsia="zh-CN"/>
                    </w:rPr>
                    <w:t>0.565</w:t>
                  </w:r>
                </w:p>
              </w:tc>
              <w:tc>
                <w:tcPr>
                  <w:tcW w:w="935" w:type="dxa"/>
                  <w:noWrap w:val="0"/>
                  <w:vAlign w:val="center"/>
                </w:tcPr>
                <w:p w14:paraId="3D138873">
                  <w:pPr>
                    <w:autoSpaceDE w:val="0"/>
                    <w:autoSpaceDN w:val="0"/>
                    <w:adjustRightInd w:val="0"/>
                    <w:snapToGrid w:val="0"/>
                    <w:jc w:val="center"/>
                    <w:rPr>
                      <w:rFonts w:hint="default" w:ascii="Times New Roman" w:hAnsi="Times New Roman" w:eastAsia="宋体" w:cs="Times New Roman"/>
                      <w:color w:val="auto"/>
                      <w:kern w:val="0"/>
                      <w:sz w:val="21"/>
                      <w:szCs w:val="21"/>
                      <w:lang w:eastAsia="en-US"/>
                    </w:rPr>
                  </w:pPr>
                  <w:r>
                    <w:rPr>
                      <w:rFonts w:hint="default" w:ascii="Times New Roman" w:hAnsi="Times New Roman" w:eastAsia="宋体" w:cs="Times New Roman"/>
                      <w:color w:val="auto"/>
                      <w:kern w:val="0"/>
                      <w:sz w:val="21"/>
                      <w:szCs w:val="21"/>
                      <w:lang w:eastAsia="en-US"/>
                    </w:rPr>
                    <w:t>外售综合利用</w:t>
                  </w:r>
                </w:p>
              </w:tc>
            </w:tr>
            <w:tr w14:paraId="1D8421B3">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595" w:hRule="exact"/>
                <w:jc w:val="center"/>
              </w:trPr>
              <w:tc>
                <w:tcPr>
                  <w:tcW w:w="388" w:type="dxa"/>
                  <w:noWrap w:val="0"/>
                  <w:vAlign w:val="center"/>
                </w:tcPr>
                <w:p w14:paraId="15305F44">
                  <w:pPr>
                    <w:autoSpaceDE w:val="0"/>
                    <w:autoSpaceDN w:val="0"/>
                    <w:adjustRightInd w:val="0"/>
                    <w:snapToGrid w:val="0"/>
                    <w:jc w:val="center"/>
                    <w:rPr>
                      <w:rFonts w:hint="default"/>
                      <w:color w:val="auto"/>
                      <w:kern w:val="0"/>
                      <w:sz w:val="21"/>
                      <w:szCs w:val="21"/>
                      <w:lang w:val="en-US" w:eastAsia="zh-CN"/>
                    </w:rPr>
                  </w:pPr>
                  <w:r>
                    <w:rPr>
                      <w:rFonts w:hint="eastAsia"/>
                      <w:color w:val="auto"/>
                      <w:kern w:val="0"/>
                      <w:sz w:val="21"/>
                      <w:szCs w:val="21"/>
                      <w:lang w:val="en-US" w:eastAsia="zh-CN"/>
                    </w:rPr>
                    <w:t>13</w:t>
                  </w:r>
                </w:p>
              </w:tc>
              <w:tc>
                <w:tcPr>
                  <w:tcW w:w="1006" w:type="dxa"/>
                  <w:noWrap w:val="0"/>
                  <w:vAlign w:val="center"/>
                </w:tcPr>
                <w:p w14:paraId="7E0BEAB5">
                  <w:pPr>
                    <w:autoSpaceDE w:val="0"/>
                    <w:autoSpaceDN w:val="0"/>
                    <w:adjustRightInd w:val="0"/>
                    <w:snapToGrid w:val="0"/>
                    <w:jc w:val="center"/>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沾染浆料的废手套</w:t>
                  </w:r>
                </w:p>
              </w:tc>
              <w:tc>
                <w:tcPr>
                  <w:tcW w:w="886" w:type="dxa"/>
                  <w:vMerge w:val="continue"/>
                  <w:noWrap w:val="0"/>
                  <w:vAlign w:val="center"/>
                </w:tcPr>
                <w:p w14:paraId="1B8F39ED">
                  <w:pPr>
                    <w:autoSpaceDE w:val="0"/>
                    <w:autoSpaceDN w:val="0"/>
                    <w:adjustRightInd w:val="0"/>
                    <w:snapToGrid w:val="0"/>
                    <w:jc w:val="center"/>
                    <w:rPr>
                      <w:color w:val="auto"/>
                      <w:kern w:val="0"/>
                      <w:sz w:val="21"/>
                      <w:szCs w:val="21"/>
                    </w:rPr>
                  </w:pPr>
                </w:p>
              </w:tc>
              <w:tc>
                <w:tcPr>
                  <w:tcW w:w="1837" w:type="dxa"/>
                  <w:noWrap w:val="0"/>
                  <w:vAlign w:val="center"/>
                </w:tcPr>
                <w:p w14:paraId="4D35E64B">
                  <w:pPr>
                    <w:autoSpaceDE w:val="0"/>
                    <w:autoSpaceDN w:val="0"/>
                    <w:adjustRightInd w:val="0"/>
                    <w:snapToGrid w:val="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SW17</w:t>
                  </w:r>
                  <w:r>
                    <w:rPr>
                      <w:rFonts w:hint="eastAsia" w:ascii="Times New Roman" w:hAnsi="Times New Roman" w:eastAsia="宋体" w:cs="Times New Roman"/>
                      <w:color w:val="auto"/>
                      <w:kern w:val="0"/>
                      <w:sz w:val="21"/>
                      <w:szCs w:val="21"/>
                      <w:lang w:val="en-US" w:eastAsia="zh-CN"/>
                    </w:rPr>
                    <w:t xml:space="preserve"> </w:t>
                  </w:r>
                  <w:r>
                    <w:rPr>
                      <w:rFonts w:hint="default" w:ascii="Times New Roman" w:hAnsi="Times New Roman" w:eastAsia="宋体" w:cs="Times New Roman"/>
                      <w:color w:val="auto"/>
                      <w:kern w:val="0"/>
                      <w:sz w:val="21"/>
                      <w:szCs w:val="21"/>
                      <w:lang w:val="en-US" w:eastAsia="zh-CN"/>
                    </w:rPr>
                    <w:t>900-0</w:t>
                  </w:r>
                  <w:r>
                    <w:rPr>
                      <w:rFonts w:hint="eastAsia" w:cs="Times New Roman"/>
                      <w:color w:val="auto"/>
                      <w:kern w:val="0"/>
                      <w:sz w:val="21"/>
                      <w:szCs w:val="21"/>
                      <w:lang w:val="en-US" w:eastAsia="zh-CN"/>
                    </w:rPr>
                    <w:t>99</w:t>
                  </w:r>
                  <w:r>
                    <w:rPr>
                      <w:rFonts w:hint="default" w:ascii="Times New Roman" w:hAnsi="Times New Roman" w:eastAsia="宋体" w:cs="Times New Roman"/>
                      <w:color w:val="auto"/>
                      <w:kern w:val="0"/>
                      <w:sz w:val="21"/>
                      <w:szCs w:val="21"/>
                      <w:lang w:val="en-US" w:eastAsia="zh-CN"/>
                    </w:rPr>
                    <w:t>-S17</w:t>
                  </w:r>
                </w:p>
              </w:tc>
              <w:tc>
                <w:tcPr>
                  <w:tcW w:w="911" w:type="dxa"/>
                  <w:noWrap w:val="0"/>
                  <w:vAlign w:val="center"/>
                </w:tcPr>
                <w:p w14:paraId="57806652">
                  <w:pPr>
                    <w:autoSpaceDE w:val="0"/>
                    <w:autoSpaceDN w:val="0"/>
                    <w:adjustRightInd w:val="0"/>
                    <w:snapToGrid w:val="0"/>
                    <w:jc w:val="center"/>
                    <w:rPr>
                      <w:rFonts w:hint="eastAsia"/>
                      <w:color w:val="auto"/>
                      <w:kern w:val="0"/>
                      <w:sz w:val="21"/>
                      <w:szCs w:val="21"/>
                      <w:lang w:val="en-US" w:eastAsia="zh-CN"/>
                    </w:rPr>
                  </w:pPr>
                  <w:r>
                    <w:rPr>
                      <w:rFonts w:hint="eastAsia"/>
                      <w:color w:val="auto"/>
                      <w:kern w:val="0"/>
                      <w:sz w:val="21"/>
                      <w:szCs w:val="21"/>
                      <w:lang w:val="en-US" w:eastAsia="zh-CN"/>
                    </w:rPr>
                    <w:t>/</w:t>
                  </w:r>
                </w:p>
              </w:tc>
              <w:tc>
                <w:tcPr>
                  <w:tcW w:w="665" w:type="dxa"/>
                  <w:noWrap w:val="0"/>
                  <w:vAlign w:val="center"/>
                </w:tcPr>
                <w:p w14:paraId="74E20019">
                  <w:pPr>
                    <w:autoSpaceDE w:val="0"/>
                    <w:autoSpaceDN w:val="0"/>
                    <w:adjustRightInd w:val="0"/>
                    <w:snapToGrid w:val="0"/>
                    <w:jc w:val="center"/>
                    <w:rPr>
                      <w:rFonts w:hint="eastAsia"/>
                      <w:color w:val="auto"/>
                      <w:kern w:val="0"/>
                      <w:sz w:val="21"/>
                      <w:szCs w:val="21"/>
                      <w:lang w:val="en-US" w:eastAsia="zh-CN"/>
                    </w:rPr>
                  </w:pPr>
                  <w:r>
                    <w:rPr>
                      <w:rFonts w:hint="eastAsia"/>
                      <w:color w:val="auto"/>
                      <w:kern w:val="0"/>
                      <w:sz w:val="21"/>
                      <w:szCs w:val="21"/>
                      <w:lang w:val="en-US" w:eastAsia="zh-CN"/>
                    </w:rPr>
                    <w:t>固态</w:t>
                  </w:r>
                </w:p>
              </w:tc>
              <w:tc>
                <w:tcPr>
                  <w:tcW w:w="788" w:type="dxa"/>
                  <w:noWrap w:val="0"/>
                  <w:vAlign w:val="center"/>
                </w:tcPr>
                <w:p w14:paraId="768845F8">
                  <w:pPr>
                    <w:autoSpaceDE w:val="0"/>
                    <w:autoSpaceDN w:val="0"/>
                    <w:adjustRightInd w:val="0"/>
                    <w:snapToGrid w:val="0"/>
                    <w:jc w:val="center"/>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w:t>
                  </w:r>
                </w:p>
              </w:tc>
              <w:tc>
                <w:tcPr>
                  <w:tcW w:w="619" w:type="dxa"/>
                  <w:noWrap w:val="0"/>
                  <w:vAlign w:val="center"/>
                </w:tcPr>
                <w:p w14:paraId="5B252186">
                  <w:pPr>
                    <w:autoSpaceDE w:val="0"/>
                    <w:autoSpaceDN w:val="0"/>
                    <w:adjustRightInd w:val="0"/>
                    <w:snapToGrid w:val="0"/>
                    <w:jc w:val="center"/>
                    <w:rPr>
                      <w:rFonts w:hint="default" w:ascii="Times New Roman" w:hAnsi="Times New Roman" w:eastAsia="宋体" w:cs="Times New Roman"/>
                      <w:color w:val="auto"/>
                      <w:kern w:val="0"/>
                      <w:sz w:val="21"/>
                      <w:szCs w:val="21"/>
                      <w:lang w:val="en-US" w:eastAsia="zh-CN"/>
                    </w:rPr>
                  </w:pPr>
                  <w:r>
                    <w:rPr>
                      <w:rFonts w:hint="eastAsia" w:cs="Times New Roman"/>
                      <w:color w:val="auto"/>
                      <w:kern w:val="0"/>
                      <w:sz w:val="21"/>
                      <w:szCs w:val="21"/>
                      <w:lang w:val="en-US" w:eastAsia="zh-CN"/>
                    </w:rPr>
                    <w:t>1</w:t>
                  </w:r>
                </w:p>
              </w:tc>
              <w:tc>
                <w:tcPr>
                  <w:tcW w:w="935" w:type="dxa"/>
                  <w:noWrap w:val="0"/>
                  <w:vAlign w:val="center"/>
                </w:tcPr>
                <w:p w14:paraId="5D596430">
                  <w:pPr>
                    <w:autoSpaceDE w:val="0"/>
                    <w:autoSpaceDN w:val="0"/>
                    <w:adjustRightInd w:val="0"/>
                    <w:snapToGrid w:val="0"/>
                    <w:jc w:val="center"/>
                    <w:rPr>
                      <w:rFonts w:hint="default" w:ascii="Times New Roman" w:hAnsi="Times New Roman" w:eastAsia="宋体" w:cs="Times New Roman"/>
                      <w:color w:val="auto"/>
                      <w:kern w:val="0"/>
                      <w:sz w:val="21"/>
                      <w:szCs w:val="21"/>
                      <w:lang w:eastAsia="en-US"/>
                    </w:rPr>
                  </w:pPr>
                  <w:r>
                    <w:rPr>
                      <w:rFonts w:hint="default" w:ascii="Times New Roman" w:hAnsi="Times New Roman" w:eastAsia="宋体" w:cs="Times New Roman"/>
                      <w:color w:val="auto"/>
                      <w:kern w:val="0"/>
                      <w:sz w:val="21"/>
                      <w:szCs w:val="21"/>
                      <w:lang w:eastAsia="en-US"/>
                    </w:rPr>
                    <w:t>外售综合利用</w:t>
                  </w:r>
                </w:p>
              </w:tc>
            </w:tr>
            <w:tr w14:paraId="589D5C67">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525" w:hRule="exact"/>
                <w:jc w:val="center"/>
              </w:trPr>
              <w:tc>
                <w:tcPr>
                  <w:tcW w:w="388" w:type="dxa"/>
                  <w:noWrap w:val="0"/>
                  <w:vAlign w:val="center"/>
                </w:tcPr>
                <w:p w14:paraId="7EDF393E">
                  <w:pPr>
                    <w:autoSpaceDE w:val="0"/>
                    <w:autoSpaceDN w:val="0"/>
                    <w:adjustRightInd w:val="0"/>
                    <w:snapToGrid w:val="0"/>
                    <w:jc w:val="center"/>
                    <w:rPr>
                      <w:rFonts w:hint="default"/>
                      <w:color w:val="auto"/>
                      <w:kern w:val="0"/>
                      <w:sz w:val="21"/>
                      <w:szCs w:val="21"/>
                      <w:lang w:val="en-US" w:eastAsia="zh-CN"/>
                    </w:rPr>
                  </w:pPr>
                  <w:r>
                    <w:rPr>
                      <w:rFonts w:hint="eastAsia"/>
                      <w:color w:val="auto"/>
                      <w:kern w:val="0"/>
                      <w:sz w:val="21"/>
                      <w:szCs w:val="21"/>
                      <w:lang w:val="en-US" w:eastAsia="zh-CN"/>
                    </w:rPr>
                    <w:t>14</w:t>
                  </w:r>
                </w:p>
              </w:tc>
              <w:tc>
                <w:tcPr>
                  <w:tcW w:w="1006" w:type="dxa"/>
                  <w:noWrap w:val="0"/>
                  <w:vAlign w:val="center"/>
                </w:tcPr>
                <w:p w14:paraId="0683E9C2">
                  <w:pPr>
                    <w:autoSpaceDE w:val="0"/>
                    <w:autoSpaceDN w:val="0"/>
                    <w:adjustRightInd w:val="0"/>
                    <w:snapToGrid w:val="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废边角料</w:t>
                  </w:r>
                </w:p>
              </w:tc>
              <w:tc>
                <w:tcPr>
                  <w:tcW w:w="886" w:type="dxa"/>
                  <w:vMerge w:val="continue"/>
                  <w:noWrap w:val="0"/>
                  <w:vAlign w:val="center"/>
                </w:tcPr>
                <w:p w14:paraId="0D6EA70C">
                  <w:pPr>
                    <w:autoSpaceDE w:val="0"/>
                    <w:autoSpaceDN w:val="0"/>
                    <w:adjustRightInd w:val="0"/>
                    <w:snapToGrid w:val="0"/>
                    <w:jc w:val="center"/>
                    <w:rPr>
                      <w:color w:val="auto"/>
                      <w:kern w:val="0"/>
                      <w:sz w:val="21"/>
                      <w:szCs w:val="21"/>
                    </w:rPr>
                  </w:pPr>
                </w:p>
              </w:tc>
              <w:tc>
                <w:tcPr>
                  <w:tcW w:w="1837" w:type="dxa"/>
                  <w:noWrap w:val="0"/>
                  <w:vAlign w:val="center"/>
                </w:tcPr>
                <w:p w14:paraId="28E51AC8">
                  <w:pPr>
                    <w:autoSpaceDE w:val="0"/>
                    <w:autoSpaceDN w:val="0"/>
                    <w:adjustRightInd w:val="0"/>
                    <w:snapToGrid w:val="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SW17</w:t>
                  </w:r>
                  <w:r>
                    <w:rPr>
                      <w:rFonts w:hint="eastAsia" w:ascii="Times New Roman" w:hAnsi="Times New Roman" w:eastAsia="宋体" w:cs="Times New Roman"/>
                      <w:color w:val="auto"/>
                      <w:kern w:val="0"/>
                      <w:sz w:val="21"/>
                      <w:szCs w:val="21"/>
                      <w:lang w:val="en-US" w:eastAsia="zh-CN"/>
                    </w:rPr>
                    <w:t xml:space="preserve"> </w:t>
                  </w:r>
                  <w:r>
                    <w:rPr>
                      <w:rFonts w:hint="default" w:ascii="Times New Roman" w:hAnsi="Times New Roman" w:eastAsia="宋体" w:cs="Times New Roman"/>
                      <w:color w:val="auto"/>
                      <w:kern w:val="0"/>
                      <w:sz w:val="21"/>
                      <w:szCs w:val="21"/>
                      <w:lang w:val="en-US" w:eastAsia="zh-CN"/>
                    </w:rPr>
                    <w:t>900-0</w:t>
                  </w:r>
                  <w:r>
                    <w:rPr>
                      <w:rFonts w:hint="eastAsia" w:ascii="Times New Roman" w:hAnsi="Times New Roman" w:eastAsia="宋体" w:cs="Times New Roman"/>
                      <w:color w:val="auto"/>
                      <w:kern w:val="0"/>
                      <w:sz w:val="21"/>
                      <w:szCs w:val="21"/>
                      <w:lang w:val="en-US" w:eastAsia="zh-CN"/>
                    </w:rPr>
                    <w:t>1</w:t>
                  </w:r>
                  <w:r>
                    <w:rPr>
                      <w:rFonts w:hint="default" w:ascii="Times New Roman" w:hAnsi="Times New Roman" w:eastAsia="宋体" w:cs="Times New Roman"/>
                      <w:color w:val="auto"/>
                      <w:kern w:val="0"/>
                      <w:sz w:val="21"/>
                      <w:szCs w:val="21"/>
                      <w:lang w:val="en-US" w:eastAsia="zh-CN"/>
                    </w:rPr>
                    <w:t>2-S17</w:t>
                  </w:r>
                </w:p>
              </w:tc>
              <w:tc>
                <w:tcPr>
                  <w:tcW w:w="911" w:type="dxa"/>
                  <w:noWrap w:val="0"/>
                  <w:vAlign w:val="center"/>
                </w:tcPr>
                <w:p w14:paraId="05BD5328">
                  <w:pPr>
                    <w:autoSpaceDE w:val="0"/>
                    <w:autoSpaceDN w:val="0"/>
                    <w:adjustRightInd w:val="0"/>
                    <w:snapToGrid w:val="0"/>
                    <w:jc w:val="center"/>
                    <w:rPr>
                      <w:rFonts w:hint="eastAsia"/>
                      <w:color w:val="auto"/>
                      <w:kern w:val="0"/>
                      <w:sz w:val="21"/>
                      <w:szCs w:val="21"/>
                      <w:lang w:val="en-US" w:eastAsia="zh-CN"/>
                    </w:rPr>
                  </w:pPr>
                  <w:r>
                    <w:rPr>
                      <w:rFonts w:hint="eastAsia"/>
                      <w:color w:val="auto"/>
                      <w:kern w:val="0"/>
                      <w:sz w:val="21"/>
                      <w:szCs w:val="21"/>
                      <w:lang w:val="en-US" w:eastAsia="zh-CN"/>
                    </w:rPr>
                    <w:t>/</w:t>
                  </w:r>
                </w:p>
              </w:tc>
              <w:tc>
                <w:tcPr>
                  <w:tcW w:w="665" w:type="dxa"/>
                  <w:noWrap w:val="0"/>
                  <w:vAlign w:val="center"/>
                </w:tcPr>
                <w:p w14:paraId="7C62AC79">
                  <w:pPr>
                    <w:autoSpaceDE w:val="0"/>
                    <w:autoSpaceDN w:val="0"/>
                    <w:adjustRightInd w:val="0"/>
                    <w:snapToGrid w:val="0"/>
                    <w:jc w:val="center"/>
                    <w:rPr>
                      <w:rFonts w:hint="eastAsia"/>
                      <w:color w:val="auto"/>
                      <w:kern w:val="0"/>
                      <w:sz w:val="21"/>
                      <w:szCs w:val="21"/>
                      <w:lang w:val="en-US" w:eastAsia="zh-CN"/>
                    </w:rPr>
                  </w:pPr>
                  <w:r>
                    <w:rPr>
                      <w:rFonts w:hint="eastAsia"/>
                      <w:color w:val="auto"/>
                      <w:kern w:val="0"/>
                      <w:sz w:val="21"/>
                      <w:szCs w:val="21"/>
                      <w:lang w:val="en-US" w:eastAsia="zh-CN"/>
                    </w:rPr>
                    <w:t>固态</w:t>
                  </w:r>
                </w:p>
              </w:tc>
              <w:tc>
                <w:tcPr>
                  <w:tcW w:w="788" w:type="dxa"/>
                  <w:noWrap w:val="0"/>
                  <w:vAlign w:val="center"/>
                </w:tcPr>
                <w:p w14:paraId="5C15F695">
                  <w:pPr>
                    <w:autoSpaceDE w:val="0"/>
                    <w:autoSpaceDN w:val="0"/>
                    <w:adjustRightInd w:val="0"/>
                    <w:snapToGrid w:val="0"/>
                    <w:jc w:val="center"/>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w:t>
                  </w:r>
                </w:p>
              </w:tc>
              <w:tc>
                <w:tcPr>
                  <w:tcW w:w="619" w:type="dxa"/>
                  <w:noWrap w:val="0"/>
                  <w:vAlign w:val="center"/>
                </w:tcPr>
                <w:p w14:paraId="42769073">
                  <w:pPr>
                    <w:autoSpaceDE w:val="0"/>
                    <w:autoSpaceDN w:val="0"/>
                    <w:adjustRightInd w:val="0"/>
                    <w:snapToGrid w:val="0"/>
                    <w:jc w:val="center"/>
                    <w:rPr>
                      <w:rFonts w:hint="default" w:ascii="Times New Roman" w:hAnsi="Times New Roman" w:eastAsia="宋体" w:cs="Times New Roman"/>
                      <w:color w:val="auto"/>
                      <w:kern w:val="0"/>
                      <w:sz w:val="21"/>
                      <w:szCs w:val="21"/>
                      <w:lang w:val="en-US" w:eastAsia="zh-CN"/>
                    </w:rPr>
                  </w:pPr>
                  <w:r>
                    <w:rPr>
                      <w:rFonts w:hint="eastAsia" w:cs="Times New Roman"/>
                      <w:color w:val="auto"/>
                      <w:kern w:val="0"/>
                      <w:sz w:val="21"/>
                      <w:szCs w:val="21"/>
                      <w:lang w:val="en-US" w:eastAsia="zh-CN"/>
                    </w:rPr>
                    <w:t>0.2</w:t>
                  </w:r>
                </w:p>
              </w:tc>
              <w:tc>
                <w:tcPr>
                  <w:tcW w:w="935" w:type="dxa"/>
                  <w:noWrap w:val="0"/>
                  <w:vAlign w:val="center"/>
                </w:tcPr>
                <w:p w14:paraId="112F8410">
                  <w:pPr>
                    <w:autoSpaceDE w:val="0"/>
                    <w:autoSpaceDN w:val="0"/>
                    <w:adjustRightInd w:val="0"/>
                    <w:snapToGrid w:val="0"/>
                    <w:jc w:val="center"/>
                    <w:rPr>
                      <w:rFonts w:hint="default" w:ascii="Times New Roman" w:hAnsi="Times New Roman" w:eastAsia="宋体" w:cs="Times New Roman"/>
                      <w:color w:val="auto"/>
                      <w:kern w:val="0"/>
                      <w:sz w:val="21"/>
                      <w:szCs w:val="21"/>
                      <w:lang w:eastAsia="en-US"/>
                    </w:rPr>
                  </w:pPr>
                  <w:r>
                    <w:rPr>
                      <w:rFonts w:hint="default" w:ascii="Times New Roman" w:hAnsi="Times New Roman" w:eastAsia="宋体" w:cs="Times New Roman"/>
                      <w:color w:val="auto"/>
                      <w:kern w:val="0"/>
                      <w:sz w:val="21"/>
                      <w:szCs w:val="21"/>
                      <w:lang w:eastAsia="en-US"/>
                    </w:rPr>
                    <w:t>外售综合利用</w:t>
                  </w:r>
                </w:p>
              </w:tc>
            </w:tr>
            <w:tr w14:paraId="55AB6B92">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736" w:hRule="exact"/>
                <w:jc w:val="center"/>
              </w:trPr>
              <w:tc>
                <w:tcPr>
                  <w:tcW w:w="388" w:type="dxa"/>
                  <w:noWrap w:val="0"/>
                  <w:vAlign w:val="center"/>
                </w:tcPr>
                <w:p w14:paraId="6D8695C9">
                  <w:pPr>
                    <w:autoSpaceDE w:val="0"/>
                    <w:autoSpaceDN w:val="0"/>
                    <w:adjustRightInd w:val="0"/>
                    <w:snapToGrid w:val="0"/>
                    <w:jc w:val="center"/>
                    <w:rPr>
                      <w:rFonts w:hint="default" w:eastAsia="宋体"/>
                      <w:color w:val="auto"/>
                      <w:kern w:val="0"/>
                      <w:sz w:val="21"/>
                      <w:szCs w:val="21"/>
                      <w:lang w:val="en-US" w:eastAsia="zh-CN"/>
                    </w:rPr>
                  </w:pPr>
                  <w:r>
                    <w:rPr>
                      <w:rFonts w:hint="eastAsia"/>
                      <w:color w:val="auto"/>
                      <w:kern w:val="0"/>
                      <w:sz w:val="21"/>
                      <w:szCs w:val="21"/>
                      <w:lang w:val="en-US" w:eastAsia="zh-CN"/>
                    </w:rPr>
                    <w:t>15</w:t>
                  </w:r>
                </w:p>
              </w:tc>
              <w:tc>
                <w:tcPr>
                  <w:tcW w:w="1006" w:type="dxa"/>
                  <w:noWrap w:val="0"/>
                  <w:vAlign w:val="center"/>
                </w:tcPr>
                <w:p w14:paraId="1BB4C4E9">
                  <w:pPr>
                    <w:autoSpaceDE w:val="0"/>
                    <w:autoSpaceDN w:val="0"/>
                    <w:adjustRightInd w:val="0"/>
                    <w:snapToGrid w:val="0"/>
                    <w:jc w:val="center"/>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废活性炭</w:t>
                  </w:r>
                </w:p>
              </w:tc>
              <w:tc>
                <w:tcPr>
                  <w:tcW w:w="886" w:type="dxa"/>
                  <w:vMerge w:val="restart"/>
                  <w:noWrap w:val="0"/>
                  <w:vAlign w:val="center"/>
                </w:tcPr>
                <w:p w14:paraId="0C0B01DA">
                  <w:pPr>
                    <w:autoSpaceDE w:val="0"/>
                    <w:autoSpaceDN w:val="0"/>
                    <w:adjustRightInd w:val="0"/>
                    <w:snapToGrid w:val="0"/>
                    <w:jc w:val="center"/>
                    <w:rPr>
                      <w:rFonts w:ascii="Times New Roman" w:hAnsi="Times New Roman" w:eastAsia="宋体" w:cs="Times New Roman"/>
                      <w:color w:val="auto"/>
                      <w:kern w:val="0"/>
                      <w:sz w:val="21"/>
                      <w:szCs w:val="21"/>
                      <w:highlight w:val="none"/>
                      <w:lang w:val="en-US" w:eastAsia="zh-CN"/>
                    </w:rPr>
                  </w:pPr>
                  <w:r>
                    <w:rPr>
                      <w:rFonts w:ascii="Times New Roman" w:hAnsi="Times New Roman" w:eastAsia="宋体" w:cs="Times New Roman"/>
                      <w:color w:val="auto"/>
                      <w:kern w:val="0"/>
                      <w:sz w:val="21"/>
                      <w:szCs w:val="21"/>
                      <w:highlight w:val="none"/>
                    </w:rPr>
                    <w:t>危险废物</w:t>
                  </w:r>
                </w:p>
              </w:tc>
              <w:tc>
                <w:tcPr>
                  <w:tcW w:w="1837" w:type="dxa"/>
                  <w:noWrap w:val="0"/>
                  <w:vAlign w:val="center"/>
                </w:tcPr>
                <w:p w14:paraId="2E9FE65F">
                  <w:pPr>
                    <w:autoSpaceDE w:val="0"/>
                    <w:autoSpaceDN w:val="0"/>
                    <w:adjustRightInd w:val="0"/>
                    <w:snapToGrid w:val="0"/>
                    <w:jc w:val="center"/>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kern w:val="0"/>
                      <w:sz w:val="21"/>
                      <w:szCs w:val="21"/>
                      <w:highlight w:val="none"/>
                    </w:rPr>
                    <w:t>HW49</w:t>
                  </w:r>
                  <w:r>
                    <w:rPr>
                      <w:rFonts w:hint="eastAsia" w:ascii="Times New Roman" w:hAnsi="Times New Roman" w:eastAsia="宋体" w:cs="Times New Roman"/>
                      <w:color w:val="auto"/>
                      <w:kern w:val="0"/>
                      <w:sz w:val="21"/>
                      <w:szCs w:val="21"/>
                      <w:highlight w:val="none"/>
                      <w:lang w:val="en-US" w:eastAsia="zh-CN"/>
                    </w:rPr>
                    <w:t xml:space="preserve"> </w:t>
                  </w:r>
                  <w:r>
                    <w:rPr>
                      <w:rFonts w:ascii="Times New Roman" w:hAnsi="Times New Roman" w:eastAsia="宋体" w:cs="Times New Roman"/>
                      <w:color w:val="auto"/>
                      <w:kern w:val="0"/>
                      <w:sz w:val="21"/>
                      <w:szCs w:val="21"/>
                      <w:highlight w:val="none"/>
                    </w:rPr>
                    <w:t>900-</w:t>
                  </w:r>
                  <w:r>
                    <w:rPr>
                      <w:rFonts w:hint="eastAsia" w:ascii="Times New Roman" w:hAnsi="Times New Roman" w:eastAsia="宋体" w:cs="Times New Roman"/>
                      <w:color w:val="auto"/>
                      <w:kern w:val="0"/>
                      <w:sz w:val="21"/>
                      <w:szCs w:val="21"/>
                      <w:highlight w:val="none"/>
                      <w:lang w:val="en-US" w:eastAsia="zh-CN"/>
                    </w:rPr>
                    <w:t>039</w:t>
                  </w:r>
                  <w:r>
                    <w:rPr>
                      <w:rFonts w:ascii="Times New Roman" w:hAnsi="Times New Roman" w:eastAsia="宋体" w:cs="Times New Roman"/>
                      <w:color w:val="auto"/>
                      <w:kern w:val="0"/>
                      <w:sz w:val="21"/>
                      <w:szCs w:val="21"/>
                      <w:highlight w:val="none"/>
                    </w:rPr>
                    <w:t>-49</w:t>
                  </w:r>
                </w:p>
              </w:tc>
              <w:tc>
                <w:tcPr>
                  <w:tcW w:w="911" w:type="dxa"/>
                  <w:noWrap w:val="0"/>
                  <w:vAlign w:val="center"/>
                </w:tcPr>
                <w:p w14:paraId="74EA5A9C">
                  <w:pPr>
                    <w:autoSpaceDE w:val="0"/>
                    <w:autoSpaceDN w:val="0"/>
                    <w:adjustRightInd w:val="0"/>
                    <w:snapToGrid w:val="0"/>
                    <w:jc w:val="center"/>
                    <w:rPr>
                      <w:color w:val="auto"/>
                      <w:kern w:val="0"/>
                      <w:sz w:val="21"/>
                      <w:szCs w:val="21"/>
                    </w:rPr>
                  </w:pPr>
                  <w:r>
                    <w:rPr>
                      <w:color w:val="auto"/>
                      <w:kern w:val="0"/>
                      <w:sz w:val="21"/>
                      <w:szCs w:val="21"/>
                      <w:highlight w:val="none"/>
                    </w:rPr>
                    <w:t>非甲烷总烃</w:t>
                  </w:r>
                </w:p>
              </w:tc>
              <w:tc>
                <w:tcPr>
                  <w:tcW w:w="665" w:type="dxa"/>
                  <w:noWrap w:val="0"/>
                  <w:vAlign w:val="center"/>
                </w:tcPr>
                <w:p w14:paraId="0DD40ED4">
                  <w:pPr>
                    <w:autoSpaceDE w:val="0"/>
                    <w:autoSpaceDN w:val="0"/>
                    <w:adjustRightInd w:val="0"/>
                    <w:snapToGrid w:val="0"/>
                    <w:jc w:val="center"/>
                    <w:rPr>
                      <w:rFonts w:hint="eastAsia" w:eastAsia="宋体"/>
                      <w:color w:val="auto"/>
                      <w:kern w:val="0"/>
                      <w:sz w:val="21"/>
                      <w:szCs w:val="21"/>
                      <w:lang w:eastAsia="zh-CN"/>
                    </w:rPr>
                  </w:pPr>
                  <w:r>
                    <w:rPr>
                      <w:rFonts w:hint="eastAsia"/>
                      <w:color w:val="auto"/>
                      <w:kern w:val="0"/>
                      <w:sz w:val="21"/>
                      <w:szCs w:val="21"/>
                      <w:lang w:val="en-US" w:eastAsia="zh-CN"/>
                    </w:rPr>
                    <w:t>固态</w:t>
                  </w:r>
                </w:p>
              </w:tc>
              <w:tc>
                <w:tcPr>
                  <w:tcW w:w="788" w:type="dxa"/>
                  <w:shd w:val="clear" w:color="auto" w:fill="auto"/>
                  <w:noWrap w:val="0"/>
                  <w:vAlign w:val="center"/>
                </w:tcPr>
                <w:p w14:paraId="641FFB2A">
                  <w:pPr>
                    <w:autoSpaceDE w:val="0"/>
                    <w:autoSpaceDN w:val="0"/>
                    <w:adjustRightInd w:val="0"/>
                    <w:snapToGrid w:val="0"/>
                    <w:jc w:val="center"/>
                    <w:rPr>
                      <w:color w:val="auto"/>
                      <w:kern w:val="0"/>
                      <w:sz w:val="21"/>
                      <w:szCs w:val="21"/>
                    </w:rPr>
                  </w:pPr>
                  <w:r>
                    <w:rPr>
                      <w:color w:val="auto"/>
                      <w:kern w:val="0"/>
                      <w:sz w:val="21"/>
                      <w:szCs w:val="21"/>
                    </w:rPr>
                    <w:t>T</w:t>
                  </w:r>
                </w:p>
              </w:tc>
              <w:tc>
                <w:tcPr>
                  <w:tcW w:w="619" w:type="dxa"/>
                  <w:shd w:val="clear" w:color="auto" w:fill="auto"/>
                  <w:noWrap w:val="0"/>
                  <w:vAlign w:val="center"/>
                </w:tcPr>
                <w:p w14:paraId="53F27EF3">
                  <w:pPr>
                    <w:autoSpaceDE w:val="0"/>
                    <w:autoSpaceDN w:val="0"/>
                    <w:adjustRightInd w:val="0"/>
                    <w:snapToGrid w:val="0"/>
                    <w:jc w:val="center"/>
                    <w:rPr>
                      <w:rFonts w:hint="default" w:eastAsia="宋体"/>
                      <w:color w:val="auto"/>
                      <w:kern w:val="0"/>
                      <w:sz w:val="21"/>
                      <w:szCs w:val="21"/>
                      <w:lang w:val="en-US" w:eastAsia="zh-CN"/>
                    </w:rPr>
                  </w:pPr>
                  <w:r>
                    <w:rPr>
                      <w:rFonts w:hint="eastAsia"/>
                      <w:color w:val="auto"/>
                      <w:kern w:val="0"/>
                      <w:sz w:val="21"/>
                      <w:szCs w:val="21"/>
                      <w:shd w:val="clear"/>
                      <w:lang w:val="en-US" w:eastAsia="zh-CN"/>
                    </w:rPr>
                    <w:t>8.76422</w:t>
                  </w:r>
                </w:p>
              </w:tc>
              <w:tc>
                <w:tcPr>
                  <w:tcW w:w="935" w:type="dxa"/>
                  <w:vMerge w:val="restart"/>
                  <w:noWrap w:val="0"/>
                  <w:vAlign w:val="center"/>
                </w:tcPr>
                <w:p w14:paraId="6B9B908C">
                  <w:pPr>
                    <w:autoSpaceDE w:val="0"/>
                    <w:autoSpaceDN w:val="0"/>
                    <w:adjustRightInd w:val="0"/>
                    <w:snapToGrid w:val="0"/>
                    <w:jc w:val="center"/>
                    <w:rPr>
                      <w:rFonts w:hint="default" w:eastAsia="宋体"/>
                      <w:color w:val="auto"/>
                      <w:kern w:val="0"/>
                      <w:sz w:val="21"/>
                      <w:szCs w:val="21"/>
                      <w:lang w:val="en-US" w:eastAsia="zh-CN"/>
                    </w:rPr>
                  </w:pPr>
                  <w:r>
                    <w:rPr>
                      <w:rFonts w:hint="eastAsia"/>
                      <w:color w:val="auto"/>
                      <w:kern w:val="0"/>
                      <w:sz w:val="21"/>
                      <w:szCs w:val="21"/>
                      <w:lang w:val="en-US" w:eastAsia="zh-CN"/>
                    </w:rPr>
                    <w:t>交由有资质单位处理</w:t>
                  </w:r>
                </w:p>
              </w:tc>
            </w:tr>
            <w:tr w14:paraId="3F2F7663">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896" w:hRule="exact"/>
                <w:jc w:val="center"/>
              </w:trPr>
              <w:tc>
                <w:tcPr>
                  <w:tcW w:w="388" w:type="dxa"/>
                  <w:noWrap w:val="0"/>
                  <w:vAlign w:val="center"/>
                </w:tcPr>
                <w:p w14:paraId="6B0BFA63">
                  <w:pPr>
                    <w:autoSpaceDE w:val="0"/>
                    <w:autoSpaceDN w:val="0"/>
                    <w:adjustRightInd w:val="0"/>
                    <w:snapToGrid w:val="0"/>
                    <w:jc w:val="center"/>
                    <w:rPr>
                      <w:rFonts w:hint="default" w:eastAsia="宋体"/>
                      <w:color w:val="auto"/>
                      <w:kern w:val="0"/>
                      <w:sz w:val="21"/>
                      <w:szCs w:val="21"/>
                      <w:lang w:val="en-US" w:eastAsia="zh-CN"/>
                    </w:rPr>
                  </w:pPr>
                  <w:r>
                    <w:rPr>
                      <w:rFonts w:hint="eastAsia"/>
                      <w:color w:val="auto"/>
                      <w:kern w:val="0"/>
                      <w:sz w:val="21"/>
                      <w:szCs w:val="21"/>
                      <w:lang w:val="en-US" w:eastAsia="zh-CN"/>
                    </w:rPr>
                    <w:t>16</w:t>
                  </w:r>
                </w:p>
              </w:tc>
              <w:tc>
                <w:tcPr>
                  <w:tcW w:w="1006" w:type="dxa"/>
                  <w:noWrap w:val="0"/>
                  <w:vAlign w:val="center"/>
                </w:tcPr>
                <w:p w14:paraId="6DE5C103">
                  <w:pPr>
                    <w:autoSpaceDE w:val="0"/>
                    <w:autoSpaceDN w:val="0"/>
                    <w:adjustRightInd w:val="0"/>
                    <w:snapToGrid w:val="0"/>
                    <w:jc w:val="center"/>
                    <w:rPr>
                      <w:rFonts w:hint="default" w:eastAsia="宋体"/>
                      <w:color w:val="auto"/>
                      <w:kern w:val="0"/>
                      <w:sz w:val="21"/>
                      <w:szCs w:val="21"/>
                      <w:lang w:val="en-US" w:eastAsia="zh-CN"/>
                    </w:rPr>
                  </w:pPr>
                  <w:r>
                    <w:rPr>
                      <w:rFonts w:hint="eastAsia"/>
                      <w:color w:val="auto"/>
                      <w:kern w:val="0"/>
                      <w:sz w:val="21"/>
                      <w:szCs w:val="21"/>
                      <w:lang w:val="en-US" w:eastAsia="zh-CN"/>
                    </w:rPr>
                    <w:t>废水处理污泥</w:t>
                  </w:r>
                </w:p>
              </w:tc>
              <w:tc>
                <w:tcPr>
                  <w:tcW w:w="886" w:type="dxa"/>
                  <w:vMerge w:val="continue"/>
                  <w:noWrap w:val="0"/>
                  <w:vAlign w:val="center"/>
                </w:tcPr>
                <w:p w14:paraId="4D61D99B">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p>
              </w:tc>
              <w:tc>
                <w:tcPr>
                  <w:tcW w:w="1837" w:type="dxa"/>
                  <w:noWrap w:val="0"/>
                  <w:vAlign w:val="center"/>
                </w:tcPr>
                <w:p w14:paraId="5DA2B2E9">
                  <w:pPr>
                    <w:autoSpaceDE w:val="0"/>
                    <w:autoSpaceDN w:val="0"/>
                    <w:adjustRightInd w:val="0"/>
                    <w:snapToGrid w:val="0"/>
                    <w:jc w:val="center"/>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kern w:val="0"/>
                      <w:sz w:val="21"/>
                      <w:szCs w:val="21"/>
                      <w:highlight w:val="none"/>
                    </w:rPr>
                    <w:t>HW49</w:t>
                  </w:r>
                  <w:r>
                    <w:rPr>
                      <w:rFonts w:hint="eastAsia" w:ascii="Times New Roman" w:hAnsi="Times New Roman" w:eastAsia="宋体" w:cs="Times New Roman"/>
                      <w:color w:val="auto"/>
                      <w:kern w:val="0"/>
                      <w:sz w:val="21"/>
                      <w:szCs w:val="21"/>
                      <w:highlight w:val="none"/>
                      <w:lang w:val="en-US" w:eastAsia="zh-CN"/>
                    </w:rPr>
                    <w:t xml:space="preserve"> </w:t>
                  </w:r>
                  <w:r>
                    <w:rPr>
                      <w:rFonts w:hint="default" w:ascii="Times New Roman" w:hAnsi="Times New Roman" w:eastAsia="宋体" w:cs="Times New Roman"/>
                      <w:color w:val="auto"/>
                      <w:kern w:val="0"/>
                      <w:sz w:val="21"/>
                      <w:szCs w:val="21"/>
                      <w:highlight w:val="none"/>
                      <w:lang w:val="en-US" w:eastAsia="zh-CN"/>
                    </w:rPr>
                    <w:t>772-006-49</w:t>
                  </w:r>
                </w:p>
              </w:tc>
              <w:tc>
                <w:tcPr>
                  <w:tcW w:w="911" w:type="dxa"/>
                  <w:noWrap w:val="0"/>
                  <w:vAlign w:val="center"/>
                </w:tcPr>
                <w:p w14:paraId="5A167C3A">
                  <w:pPr>
                    <w:autoSpaceDE w:val="0"/>
                    <w:autoSpaceDN w:val="0"/>
                    <w:adjustRightInd w:val="0"/>
                    <w:snapToGrid w:val="0"/>
                    <w:jc w:val="center"/>
                    <w:rPr>
                      <w:color w:val="auto"/>
                      <w:kern w:val="0"/>
                      <w:sz w:val="21"/>
                      <w:szCs w:val="21"/>
                    </w:rPr>
                  </w:pPr>
                  <w:r>
                    <w:rPr>
                      <w:rFonts w:hint="default" w:ascii="Times New Roman" w:hAnsi="Times New Roman" w:cs="Times New Roman"/>
                      <w:color w:val="auto"/>
                      <w:kern w:val="2"/>
                      <w:sz w:val="21"/>
                      <w:szCs w:val="21"/>
                      <w:highlight w:val="none"/>
                      <w:lang w:val="en-US" w:eastAsia="zh-CN" w:bidi="ar-SA"/>
                    </w:rPr>
                    <w:t>污泥</w:t>
                  </w:r>
                </w:p>
              </w:tc>
              <w:tc>
                <w:tcPr>
                  <w:tcW w:w="665" w:type="dxa"/>
                  <w:noWrap w:val="0"/>
                  <w:vAlign w:val="center"/>
                </w:tcPr>
                <w:p w14:paraId="1782790F">
                  <w:pPr>
                    <w:autoSpaceDE w:val="0"/>
                    <w:autoSpaceDN w:val="0"/>
                    <w:adjustRightInd w:val="0"/>
                    <w:snapToGrid w:val="0"/>
                    <w:jc w:val="center"/>
                    <w:rPr>
                      <w:color w:val="auto"/>
                      <w:kern w:val="0"/>
                      <w:sz w:val="21"/>
                      <w:szCs w:val="21"/>
                    </w:rPr>
                  </w:pPr>
                  <w:r>
                    <w:rPr>
                      <w:color w:val="auto"/>
                      <w:kern w:val="0"/>
                      <w:sz w:val="21"/>
                      <w:szCs w:val="21"/>
                    </w:rPr>
                    <w:t>固态</w:t>
                  </w:r>
                </w:p>
              </w:tc>
              <w:tc>
                <w:tcPr>
                  <w:tcW w:w="788" w:type="dxa"/>
                  <w:noWrap w:val="0"/>
                  <w:vAlign w:val="center"/>
                </w:tcPr>
                <w:p w14:paraId="616123A8">
                  <w:pPr>
                    <w:autoSpaceDE w:val="0"/>
                    <w:autoSpaceDN w:val="0"/>
                    <w:adjustRightInd w:val="0"/>
                    <w:snapToGrid w:val="0"/>
                    <w:jc w:val="center"/>
                    <w:rPr>
                      <w:color w:val="auto"/>
                      <w:kern w:val="0"/>
                      <w:sz w:val="21"/>
                      <w:szCs w:val="21"/>
                    </w:rPr>
                  </w:pPr>
                  <w:r>
                    <w:rPr>
                      <w:color w:val="auto"/>
                      <w:kern w:val="0"/>
                      <w:sz w:val="21"/>
                      <w:szCs w:val="21"/>
                    </w:rPr>
                    <w:t>T/In</w:t>
                  </w:r>
                </w:p>
              </w:tc>
              <w:tc>
                <w:tcPr>
                  <w:tcW w:w="619" w:type="dxa"/>
                  <w:noWrap w:val="0"/>
                  <w:vAlign w:val="center"/>
                </w:tcPr>
                <w:p w14:paraId="13774289">
                  <w:pPr>
                    <w:autoSpaceDE w:val="0"/>
                    <w:autoSpaceDN w:val="0"/>
                    <w:adjustRightInd w:val="0"/>
                    <w:snapToGrid w:val="0"/>
                    <w:jc w:val="center"/>
                    <w:rPr>
                      <w:rFonts w:hint="default" w:eastAsia="宋体"/>
                      <w:color w:val="auto"/>
                      <w:kern w:val="0"/>
                      <w:sz w:val="21"/>
                      <w:szCs w:val="21"/>
                      <w:lang w:val="en-US" w:eastAsia="zh-CN"/>
                    </w:rPr>
                  </w:pPr>
                  <w:r>
                    <w:rPr>
                      <w:rFonts w:hint="eastAsia"/>
                      <w:color w:val="auto"/>
                      <w:kern w:val="0"/>
                      <w:sz w:val="21"/>
                      <w:szCs w:val="21"/>
                      <w:shd w:val="clear"/>
                      <w:lang w:val="en-US" w:eastAsia="zh-CN"/>
                    </w:rPr>
                    <w:t>0.13</w:t>
                  </w:r>
                </w:p>
              </w:tc>
              <w:tc>
                <w:tcPr>
                  <w:tcW w:w="935" w:type="dxa"/>
                  <w:vMerge w:val="continue"/>
                  <w:noWrap w:val="0"/>
                  <w:vAlign w:val="center"/>
                </w:tcPr>
                <w:p w14:paraId="3D076F1C">
                  <w:pPr>
                    <w:autoSpaceDE w:val="0"/>
                    <w:autoSpaceDN w:val="0"/>
                    <w:adjustRightInd w:val="0"/>
                    <w:snapToGrid w:val="0"/>
                    <w:jc w:val="center"/>
                    <w:rPr>
                      <w:color w:val="auto"/>
                      <w:kern w:val="0"/>
                      <w:sz w:val="21"/>
                      <w:szCs w:val="21"/>
                    </w:rPr>
                  </w:pPr>
                </w:p>
              </w:tc>
            </w:tr>
            <w:tr w14:paraId="3CFDB10F">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131" w:hRule="exact"/>
                <w:jc w:val="center"/>
              </w:trPr>
              <w:tc>
                <w:tcPr>
                  <w:tcW w:w="388" w:type="dxa"/>
                  <w:noWrap w:val="0"/>
                  <w:vAlign w:val="center"/>
                </w:tcPr>
                <w:p w14:paraId="152F2467">
                  <w:pPr>
                    <w:autoSpaceDE w:val="0"/>
                    <w:autoSpaceDN w:val="0"/>
                    <w:adjustRightInd w:val="0"/>
                    <w:snapToGrid w:val="0"/>
                    <w:jc w:val="center"/>
                    <w:rPr>
                      <w:rFonts w:hint="default" w:eastAsia="宋体"/>
                      <w:color w:val="auto"/>
                      <w:kern w:val="0"/>
                      <w:sz w:val="21"/>
                      <w:szCs w:val="21"/>
                      <w:lang w:val="en-US" w:eastAsia="zh-CN"/>
                    </w:rPr>
                  </w:pPr>
                  <w:r>
                    <w:rPr>
                      <w:rFonts w:hint="eastAsia"/>
                      <w:color w:val="auto"/>
                      <w:kern w:val="0"/>
                      <w:sz w:val="21"/>
                      <w:szCs w:val="21"/>
                      <w:lang w:val="en-US" w:eastAsia="zh-CN"/>
                    </w:rPr>
                    <w:t>17</w:t>
                  </w:r>
                </w:p>
              </w:tc>
              <w:tc>
                <w:tcPr>
                  <w:tcW w:w="1006" w:type="dxa"/>
                  <w:noWrap w:val="0"/>
                  <w:vAlign w:val="center"/>
                </w:tcPr>
                <w:p w14:paraId="619AF0BD">
                  <w:pPr>
                    <w:autoSpaceDE w:val="0"/>
                    <w:autoSpaceDN w:val="0"/>
                    <w:adjustRightInd w:val="0"/>
                    <w:snapToGrid w:val="0"/>
                    <w:jc w:val="center"/>
                    <w:rPr>
                      <w:rFonts w:hint="eastAsia" w:eastAsia="宋体"/>
                      <w:color w:val="auto"/>
                      <w:kern w:val="0"/>
                      <w:sz w:val="21"/>
                      <w:szCs w:val="21"/>
                      <w:lang w:eastAsia="zh-CN"/>
                    </w:rPr>
                  </w:pPr>
                  <w:r>
                    <w:rPr>
                      <w:rFonts w:hint="eastAsia"/>
                      <w:color w:val="auto"/>
                      <w:kern w:val="0"/>
                      <w:sz w:val="21"/>
                      <w:szCs w:val="21"/>
                      <w:lang w:val="en-US" w:eastAsia="zh-CN"/>
                    </w:rPr>
                    <w:t>废机油</w:t>
                  </w:r>
                </w:p>
              </w:tc>
              <w:tc>
                <w:tcPr>
                  <w:tcW w:w="886" w:type="dxa"/>
                  <w:vMerge w:val="continue"/>
                  <w:noWrap w:val="0"/>
                  <w:vAlign w:val="center"/>
                </w:tcPr>
                <w:p w14:paraId="09DBEC92">
                  <w:pPr>
                    <w:autoSpaceDE w:val="0"/>
                    <w:autoSpaceDN w:val="0"/>
                    <w:adjustRightInd w:val="0"/>
                    <w:snapToGrid w:val="0"/>
                    <w:jc w:val="center"/>
                    <w:rPr>
                      <w:color w:val="auto"/>
                      <w:kern w:val="0"/>
                      <w:sz w:val="21"/>
                      <w:szCs w:val="21"/>
                    </w:rPr>
                  </w:pPr>
                </w:p>
              </w:tc>
              <w:tc>
                <w:tcPr>
                  <w:tcW w:w="1837" w:type="dxa"/>
                  <w:noWrap w:val="0"/>
                  <w:vAlign w:val="center"/>
                </w:tcPr>
                <w:p w14:paraId="7CFFB0BB">
                  <w:pPr>
                    <w:autoSpaceDE w:val="0"/>
                    <w:autoSpaceDN w:val="0"/>
                    <w:adjustRightInd w:val="0"/>
                    <w:snapToGrid w:val="0"/>
                    <w:jc w:val="center"/>
                    <w:rPr>
                      <w:color w:val="auto"/>
                      <w:sz w:val="21"/>
                      <w:szCs w:val="21"/>
                    </w:rPr>
                  </w:pPr>
                  <w:r>
                    <w:rPr>
                      <w:rFonts w:hint="default" w:ascii="Times New Roman" w:hAnsi="Times New Roman" w:eastAsia="宋体" w:cs="Times New Roman"/>
                      <w:color w:val="auto"/>
                      <w:kern w:val="0"/>
                      <w:sz w:val="21"/>
                      <w:szCs w:val="21"/>
                      <w:highlight w:val="none"/>
                    </w:rPr>
                    <w:t>HW08</w:t>
                  </w:r>
                  <w:r>
                    <w:rPr>
                      <w:rFonts w:hint="eastAsia" w:ascii="Times New Roman" w:hAnsi="Times New Roman" w:eastAsia="宋体" w:cs="Times New Roman"/>
                      <w:color w:val="auto"/>
                      <w:kern w:val="0"/>
                      <w:sz w:val="21"/>
                      <w:szCs w:val="21"/>
                      <w:highlight w:val="none"/>
                      <w:lang w:val="en-US" w:eastAsia="zh-CN"/>
                    </w:rPr>
                    <w:t xml:space="preserve"> </w:t>
                  </w:r>
                  <w:r>
                    <w:rPr>
                      <w:rFonts w:hint="default" w:ascii="Times New Roman" w:hAnsi="Times New Roman" w:eastAsia="宋体" w:cs="Times New Roman"/>
                      <w:color w:val="auto"/>
                      <w:kern w:val="0"/>
                      <w:sz w:val="21"/>
                      <w:szCs w:val="21"/>
                      <w:highlight w:val="none"/>
                    </w:rPr>
                    <w:t>900-2</w:t>
                  </w:r>
                  <w:r>
                    <w:rPr>
                      <w:rFonts w:hint="eastAsia" w:ascii="Times New Roman" w:hAnsi="Times New Roman" w:eastAsia="宋体" w:cs="Times New Roman"/>
                      <w:color w:val="auto"/>
                      <w:kern w:val="0"/>
                      <w:sz w:val="21"/>
                      <w:szCs w:val="21"/>
                      <w:highlight w:val="none"/>
                      <w:lang w:val="en-US" w:eastAsia="zh-CN"/>
                    </w:rPr>
                    <w:t>49</w:t>
                  </w:r>
                  <w:r>
                    <w:rPr>
                      <w:rFonts w:hint="default" w:ascii="Times New Roman" w:hAnsi="Times New Roman" w:eastAsia="宋体" w:cs="Times New Roman"/>
                      <w:color w:val="auto"/>
                      <w:kern w:val="0"/>
                      <w:sz w:val="21"/>
                      <w:szCs w:val="21"/>
                      <w:highlight w:val="none"/>
                    </w:rPr>
                    <w:t>-08</w:t>
                  </w:r>
                </w:p>
              </w:tc>
              <w:tc>
                <w:tcPr>
                  <w:tcW w:w="911" w:type="dxa"/>
                  <w:noWrap w:val="0"/>
                  <w:vAlign w:val="center"/>
                </w:tcPr>
                <w:p w14:paraId="049E2617">
                  <w:pPr>
                    <w:autoSpaceDE w:val="0"/>
                    <w:autoSpaceDN w:val="0"/>
                    <w:adjustRightInd w:val="0"/>
                    <w:snapToGrid w:val="0"/>
                    <w:jc w:val="center"/>
                    <w:rPr>
                      <w:color w:val="auto"/>
                      <w:kern w:val="0"/>
                      <w:sz w:val="21"/>
                      <w:szCs w:val="21"/>
                    </w:rPr>
                  </w:pPr>
                  <w:r>
                    <w:rPr>
                      <w:color w:val="auto"/>
                      <w:kern w:val="0"/>
                      <w:sz w:val="21"/>
                      <w:szCs w:val="21"/>
                    </w:rPr>
                    <w:t>废矿物油</w:t>
                  </w:r>
                </w:p>
              </w:tc>
              <w:tc>
                <w:tcPr>
                  <w:tcW w:w="665" w:type="dxa"/>
                  <w:noWrap w:val="0"/>
                  <w:vAlign w:val="center"/>
                </w:tcPr>
                <w:p w14:paraId="473C5EF6">
                  <w:pPr>
                    <w:autoSpaceDE w:val="0"/>
                    <w:autoSpaceDN w:val="0"/>
                    <w:adjustRightInd w:val="0"/>
                    <w:snapToGrid w:val="0"/>
                    <w:jc w:val="center"/>
                    <w:rPr>
                      <w:rFonts w:hint="eastAsia" w:eastAsia="宋体"/>
                      <w:color w:val="auto"/>
                      <w:kern w:val="0"/>
                      <w:sz w:val="21"/>
                      <w:szCs w:val="21"/>
                      <w:lang w:eastAsia="zh-CN"/>
                    </w:rPr>
                  </w:pPr>
                  <w:r>
                    <w:rPr>
                      <w:rFonts w:hint="eastAsia"/>
                      <w:color w:val="auto"/>
                      <w:kern w:val="0"/>
                      <w:sz w:val="21"/>
                      <w:szCs w:val="21"/>
                      <w:lang w:val="en-US" w:eastAsia="zh-CN"/>
                    </w:rPr>
                    <w:t>液态</w:t>
                  </w:r>
                </w:p>
              </w:tc>
              <w:tc>
                <w:tcPr>
                  <w:tcW w:w="788" w:type="dxa"/>
                  <w:noWrap w:val="0"/>
                  <w:vAlign w:val="center"/>
                </w:tcPr>
                <w:p w14:paraId="04764552">
                  <w:pPr>
                    <w:autoSpaceDE w:val="0"/>
                    <w:autoSpaceDN w:val="0"/>
                    <w:adjustRightInd w:val="0"/>
                    <w:snapToGrid w:val="0"/>
                    <w:jc w:val="center"/>
                    <w:rPr>
                      <w:color w:val="auto"/>
                      <w:kern w:val="0"/>
                      <w:sz w:val="21"/>
                      <w:szCs w:val="21"/>
                    </w:rPr>
                  </w:pPr>
                  <w:r>
                    <w:rPr>
                      <w:color w:val="auto"/>
                      <w:kern w:val="0"/>
                      <w:sz w:val="21"/>
                      <w:szCs w:val="21"/>
                    </w:rPr>
                    <w:t>T</w:t>
                  </w:r>
                  <w:r>
                    <w:rPr>
                      <w:rFonts w:hint="eastAsia"/>
                      <w:color w:val="auto"/>
                      <w:kern w:val="0"/>
                      <w:sz w:val="21"/>
                      <w:szCs w:val="21"/>
                      <w:lang w:eastAsia="zh-CN"/>
                    </w:rPr>
                    <w:t>，</w:t>
                  </w:r>
                  <w:r>
                    <w:rPr>
                      <w:color w:val="auto"/>
                      <w:kern w:val="0"/>
                      <w:sz w:val="21"/>
                      <w:szCs w:val="21"/>
                    </w:rPr>
                    <w:t>I</w:t>
                  </w:r>
                </w:p>
              </w:tc>
              <w:tc>
                <w:tcPr>
                  <w:tcW w:w="619" w:type="dxa"/>
                  <w:noWrap w:val="0"/>
                  <w:vAlign w:val="center"/>
                </w:tcPr>
                <w:p w14:paraId="4321AB4D">
                  <w:pPr>
                    <w:autoSpaceDE w:val="0"/>
                    <w:autoSpaceDN w:val="0"/>
                    <w:adjustRightInd w:val="0"/>
                    <w:snapToGrid w:val="0"/>
                    <w:jc w:val="center"/>
                    <w:rPr>
                      <w:rFonts w:hint="default" w:eastAsia="宋体"/>
                      <w:color w:val="auto"/>
                      <w:kern w:val="0"/>
                      <w:sz w:val="21"/>
                      <w:szCs w:val="21"/>
                      <w:lang w:val="en-US" w:eastAsia="zh-CN"/>
                    </w:rPr>
                  </w:pPr>
                  <w:r>
                    <w:rPr>
                      <w:rFonts w:hint="eastAsia"/>
                      <w:color w:val="auto"/>
                      <w:kern w:val="0"/>
                      <w:sz w:val="21"/>
                      <w:szCs w:val="21"/>
                      <w:lang w:val="en-US" w:eastAsia="zh-CN"/>
                    </w:rPr>
                    <w:t>0.01</w:t>
                  </w:r>
                </w:p>
              </w:tc>
              <w:tc>
                <w:tcPr>
                  <w:tcW w:w="935" w:type="dxa"/>
                  <w:vMerge w:val="continue"/>
                  <w:noWrap w:val="0"/>
                  <w:vAlign w:val="center"/>
                </w:tcPr>
                <w:p w14:paraId="036B5309">
                  <w:pPr>
                    <w:autoSpaceDE w:val="0"/>
                    <w:autoSpaceDN w:val="0"/>
                    <w:adjustRightInd w:val="0"/>
                    <w:snapToGrid w:val="0"/>
                    <w:jc w:val="center"/>
                    <w:rPr>
                      <w:color w:val="auto"/>
                      <w:kern w:val="0"/>
                      <w:sz w:val="21"/>
                      <w:szCs w:val="21"/>
                    </w:rPr>
                  </w:pPr>
                </w:p>
              </w:tc>
            </w:tr>
            <w:tr w14:paraId="2095BDE3">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131" w:hRule="exact"/>
                <w:jc w:val="center"/>
              </w:trPr>
              <w:tc>
                <w:tcPr>
                  <w:tcW w:w="388" w:type="dxa"/>
                  <w:noWrap w:val="0"/>
                  <w:vAlign w:val="center"/>
                </w:tcPr>
                <w:p w14:paraId="631DDDE7">
                  <w:pPr>
                    <w:autoSpaceDE w:val="0"/>
                    <w:autoSpaceDN w:val="0"/>
                    <w:adjustRightInd w:val="0"/>
                    <w:snapToGrid w:val="0"/>
                    <w:jc w:val="center"/>
                    <w:rPr>
                      <w:rFonts w:hint="default"/>
                      <w:color w:val="auto"/>
                      <w:kern w:val="0"/>
                      <w:sz w:val="21"/>
                      <w:szCs w:val="21"/>
                      <w:lang w:val="en-US" w:eastAsia="zh-CN"/>
                    </w:rPr>
                  </w:pPr>
                  <w:r>
                    <w:rPr>
                      <w:rFonts w:hint="eastAsia"/>
                      <w:color w:val="auto"/>
                      <w:kern w:val="0"/>
                      <w:sz w:val="21"/>
                      <w:szCs w:val="21"/>
                      <w:lang w:val="en-US" w:eastAsia="zh-CN"/>
                    </w:rPr>
                    <w:t>18</w:t>
                  </w:r>
                </w:p>
              </w:tc>
              <w:tc>
                <w:tcPr>
                  <w:tcW w:w="1006" w:type="dxa"/>
                  <w:noWrap w:val="0"/>
                  <w:vAlign w:val="center"/>
                </w:tcPr>
                <w:p w14:paraId="5BFDE22D">
                  <w:pPr>
                    <w:autoSpaceDE w:val="0"/>
                    <w:autoSpaceDN w:val="0"/>
                    <w:adjustRightInd w:val="0"/>
                    <w:snapToGrid w:val="0"/>
                    <w:jc w:val="center"/>
                    <w:rPr>
                      <w:rFonts w:hint="default"/>
                      <w:color w:val="auto"/>
                      <w:kern w:val="0"/>
                      <w:sz w:val="21"/>
                      <w:szCs w:val="21"/>
                      <w:lang w:val="en-US" w:eastAsia="zh-CN"/>
                    </w:rPr>
                  </w:pPr>
                  <w:r>
                    <w:rPr>
                      <w:rFonts w:hint="eastAsia"/>
                      <w:color w:val="auto"/>
                      <w:kern w:val="0"/>
                      <w:sz w:val="21"/>
                      <w:szCs w:val="21"/>
                      <w:lang w:val="en-US" w:eastAsia="zh-CN"/>
                    </w:rPr>
                    <w:t>含油棉纱手套、抹布</w:t>
                  </w:r>
                </w:p>
              </w:tc>
              <w:tc>
                <w:tcPr>
                  <w:tcW w:w="886" w:type="dxa"/>
                  <w:vMerge w:val="continue"/>
                  <w:noWrap w:val="0"/>
                  <w:vAlign w:val="center"/>
                </w:tcPr>
                <w:p w14:paraId="5D17960A">
                  <w:pPr>
                    <w:autoSpaceDE w:val="0"/>
                    <w:autoSpaceDN w:val="0"/>
                    <w:adjustRightInd w:val="0"/>
                    <w:snapToGrid w:val="0"/>
                    <w:jc w:val="center"/>
                    <w:rPr>
                      <w:color w:val="auto"/>
                      <w:kern w:val="0"/>
                      <w:sz w:val="21"/>
                      <w:szCs w:val="21"/>
                    </w:rPr>
                  </w:pPr>
                </w:p>
              </w:tc>
              <w:tc>
                <w:tcPr>
                  <w:tcW w:w="1837" w:type="dxa"/>
                  <w:noWrap w:val="0"/>
                  <w:vAlign w:val="center"/>
                </w:tcPr>
                <w:p w14:paraId="7C5A0758">
                  <w:pPr>
                    <w:autoSpaceDE w:val="0"/>
                    <w:autoSpaceDN w:val="0"/>
                    <w:adjustRightInd w:val="0"/>
                    <w:snapToGrid w:val="0"/>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rPr>
                    <w:t>HW49</w:t>
                  </w:r>
                  <w:r>
                    <w:rPr>
                      <w:rFonts w:hint="eastAsia" w:ascii="Times New Roman" w:hAnsi="Times New Roman" w:eastAsia="宋体" w:cs="Times New Roman"/>
                      <w:color w:val="auto"/>
                      <w:kern w:val="0"/>
                      <w:sz w:val="21"/>
                      <w:szCs w:val="21"/>
                      <w:highlight w:val="none"/>
                      <w:lang w:val="en-US" w:eastAsia="zh-CN"/>
                    </w:rPr>
                    <w:t xml:space="preserve"> </w:t>
                  </w:r>
                  <w:r>
                    <w:rPr>
                      <w:rFonts w:hint="default" w:ascii="Times New Roman" w:hAnsi="Times New Roman" w:eastAsia="宋体" w:cs="Times New Roman"/>
                      <w:color w:val="auto"/>
                      <w:kern w:val="0"/>
                      <w:sz w:val="21"/>
                      <w:szCs w:val="21"/>
                      <w:highlight w:val="none"/>
                      <w:lang w:val="en-US" w:eastAsia="zh-CN"/>
                    </w:rPr>
                    <w:t>900-041-49</w:t>
                  </w:r>
                </w:p>
              </w:tc>
              <w:tc>
                <w:tcPr>
                  <w:tcW w:w="911" w:type="dxa"/>
                  <w:noWrap w:val="0"/>
                  <w:vAlign w:val="center"/>
                </w:tcPr>
                <w:p w14:paraId="486C8023">
                  <w:pPr>
                    <w:autoSpaceDE w:val="0"/>
                    <w:autoSpaceDN w:val="0"/>
                    <w:adjustRightInd w:val="0"/>
                    <w:snapToGrid w:val="0"/>
                    <w:jc w:val="center"/>
                    <w:rPr>
                      <w:color w:val="auto"/>
                      <w:kern w:val="0"/>
                      <w:sz w:val="21"/>
                      <w:szCs w:val="21"/>
                    </w:rPr>
                  </w:pPr>
                  <w:r>
                    <w:rPr>
                      <w:color w:val="auto"/>
                      <w:kern w:val="0"/>
                      <w:sz w:val="21"/>
                      <w:szCs w:val="21"/>
                    </w:rPr>
                    <w:t>废矿物油</w:t>
                  </w:r>
                </w:p>
              </w:tc>
              <w:tc>
                <w:tcPr>
                  <w:tcW w:w="665" w:type="dxa"/>
                  <w:noWrap w:val="0"/>
                  <w:vAlign w:val="center"/>
                </w:tcPr>
                <w:p w14:paraId="6026AA53">
                  <w:pPr>
                    <w:autoSpaceDE w:val="0"/>
                    <w:autoSpaceDN w:val="0"/>
                    <w:adjustRightInd w:val="0"/>
                    <w:snapToGrid w:val="0"/>
                    <w:jc w:val="center"/>
                    <w:rPr>
                      <w:rFonts w:hint="default"/>
                      <w:color w:val="auto"/>
                      <w:kern w:val="0"/>
                      <w:sz w:val="21"/>
                      <w:szCs w:val="21"/>
                      <w:lang w:val="en-US" w:eastAsia="zh-CN"/>
                    </w:rPr>
                  </w:pPr>
                  <w:r>
                    <w:rPr>
                      <w:rFonts w:hint="eastAsia"/>
                      <w:color w:val="auto"/>
                      <w:kern w:val="0"/>
                      <w:sz w:val="21"/>
                      <w:szCs w:val="21"/>
                      <w:lang w:val="en-US" w:eastAsia="zh-CN"/>
                    </w:rPr>
                    <w:t>固态</w:t>
                  </w:r>
                </w:p>
              </w:tc>
              <w:tc>
                <w:tcPr>
                  <w:tcW w:w="788" w:type="dxa"/>
                  <w:noWrap w:val="0"/>
                  <w:vAlign w:val="center"/>
                </w:tcPr>
                <w:p w14:paraId="5768CA3D">
                  <w:pPr>
                    <w:autoSpaceDE w:val="0"/>
                    <w:autoSpaceDN w:val="0"/>
                    <w:adjustRightInd w:val="0"/>
                    <w:snapToGrid w:val="0"/>
                    <w:jc w:val="center"/>
                    <w:rPr>
                      <w:color w:val="auto"/>
                      <w:kern w:val="0"/>
                      <w:sz w:val="21"/>
                      <w:szCs w:val="21"/>
                    </w:rPr>
                  </w:pPr>
                  <w:r>
                    <w:rPr>
                      <w:color w:val="auto"/>
                      <w:kern w:val="0"/>
                      <w:sz w:val="21"/>
                      <w:szCs w:val="21"/>
                    </w:rPr>
                    <w:t>T/In</w:t>
                  </w:r>
                </w:p>
              </w:tc>
              <w:tc>
                <w:tcPr>
                  <w:tcW w:w="619" w:type="dxa"/>
                  <w:noWrap w:val="0"/>
                  <w:vAlign w:val="center"/>
                </w:tcPr>
                <w:p w14:paraId="072768B5">
                  <w:pPr>
                    <w:autoSpaceDE w:val="0"/>
                    <w:autoSpaceDN w:val="0"/>
                    <w:adjustRightInd w:val="0"/>
                    <w:snapToGrid w:val="0"/>
                    <w:jc w:val="center"/>
                    <w:rPr>
                      <w:rFonts w:hint="default"/>
                      <w:color w:val="auto"/>
                      <w:kern w:val="0"/>
                      <w:sz w:val="21"/>
                      <w:szCs w:val="21"/>
                      <w:lang w:val="en-US" w:eastAsia="zh-CN"/>
                    </w:rPr>
                  </w:pPr>
                  <w:r>
                    <w:rPr>
                      <w:rFonts w:hint="eastAsia"/>
                      <w:color w:val="auto"/>
                      <w:kern w:val="0"/>
                      <w:sz w:val="21"/>
                      <w:szCs w:val="21"/>
                      <w:lang w:val="en-US" w:eastAsia="zh-CN"/>
                    </w:rPr>
                    <w:t>0.01</w:t>
                  </w:r>
                </w:p>
              </w:tc>
              <w:tc>
                <w:tcPr>
                  <w:tcW w:w="935" w:type="dxa"/>
                  <w:vMerge w:val="continue"/>
                  <w:noWrap w:val="0"/>
                  <w:vAlign w:val="center"/>
                </w:tcPr>
                <w:p w14:paraId="73E22C08">
                  <w:pPr>
                    <w:autoSpaceDE w:val="0"/>
                    <w:autoSpaceDN w:val="0"/>
                    <w:adjustRightInd w:val="0"/>
                    <w:snapToGrid w:val="0"/>
                    <w:jc w:val="center"/>
                    <w:rPr>
                      <w:color w:val="auto"/>
                      <w:kern w:val="0"/>
                      <w:sz w:val="21"/>
                      <w:szCs w:val="21"/>
                    </w:rPr>
                  </w:pPr>
                </w:p>
              </w:tc>
            </w:tr>
            <w:tr w14:paraId="1AB14888">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131" w:hRule="exact"/>
                <w:jc w:val="center"/>
              </w:trPr>
              <w:tc>
                <w:tcPr>
                  <w:tcW w:w="388" w:type="dxa"/>
                  <w:noWrap w:val="0"/>
                  <w:vAlign w:val="center"/>
                </w:tcPr>
                <w:p w14:paraId="5EB3141C">
                  <w:pPr>
                    <w:autoSpaceDE w:val="0"/>
                    <w:autoSpaceDN w:val="0"/>
                    <w:adjustRightInd w:val="0"/>
                    <w:snapToGrid w:val="0"/>
                    <w:jc w:val="center"/>
                    <w:rPr>
                      <w:rFonts w:hint="default"/>
                      <w:color w:val="auto"/>
                      <w:kern w:val="0"/>
                      <w:sz w:val="21"/>
                      <w:szCs w:val="21"/>
                      <w:lang w:val="en-US" w:eastAsia="zh-CN"/>
                    </w:rPr>
                  </w:pPr>
                  <w:r>
                    <w:rPr>
                      <w:rFonts w:hint="eastAsia"/>
                      <w:color w:val="auto"/>
                      <w:kern w:val="0"/>
                      <w:sz w:val="21"/>
                      <w:szCs w:val="21"/>
                      <w:lang w:val="en-US" w:eastAsia="zh-CN"/>
                    </w:rPr>
                    <w:t>19</w:t>
                  </w:r>
                </w:p>
              </w:tc>
              <w:tc>
                <w:tcPr>
                  <w:tcW w:w="1006" w:type="dxa"/>
                  <w:noWrap w:val="0"/>
                  <w:vAlign w:val="center"/>
                </w:tcPr>
                <w:p w14:paraId="01B03868">
                  <w:pPr>
                    <w:autoSpaceDE w:val="0"/>
                    <w:autoSpaceDN w:val="0"/>
                    <w:adjustRightInd w:val="0"/>
                    <w:snapToGrid w:val="0"/>
                    <w:jc w:val="center"/>
                    <w:rPr>
                      <w:rFonts w:hint="default"/>
                      <w:color w:val="auto"/>
                      <w:kern w:val="0"/>
                      <w:sz w:val="21"/>
                      <w:szCs w:val="21"/>
                      <w:lang w:val="en-US" w:eastAsia="zh-CN"/>
                    </w:rPr>
                  </w:pPr>
                  <w:r>
                    <w:rPr>
                      <w:rFonts w:hint="eastAsia" w:cs="Times New Roman"/>
                      <w:color w:val="auto"/>
                      <w:kern w:val="0"/>
                      <w:sz w:val="21"/>
                      <w:szCs w:val="21"/>
                      <w:highlight w:val="none"/>
                      <w:lang w:val="en-US" w:eastAsia="zh-CN"/>
                    </w:rPr>
                    <w:t>沾染危险物质的废包装材料</w:t>
                  </w:r>
                </w:p>
              </w:tc>
              <w:tc>
                <w:tcPr>
                  <w:tcW w:w="886" w:type="dxa"/>
                  <w:vMerge w:val="continue"/>
                  <w:noWrap w:val="0"/>
                  <w:vAlign w:val="center"/>
                </w:tcPr>
                <w:p w14:paraId="09ABFE29">
                  <w:pPr>
                    <w:autoSpaceDE w:val="0"/>
                    <w:autoSpaceDN w:val="0"/>
                    <w:adjustRightInd w:val="0"/>
                    <w:snapToGrid w:val="0"/>
                    <w:jc w:val="center"/>
                    <w:rPr>
                      <w:color w:val="auto"/>
                      <w:kern w:val="0"/>
                      <w:sz w:val="21"/>
                      <w:szCs w:val="21"/>
                    </w:rPr>
                  </w:pPr>
                </w:p>
              </w:tc>
              <w:tc>
                <w:tcPr>
                  <w:tcW w:w="1837" w:type="dxa"/>
                  <w:noWrap w:val="0"/>
                  <w:vAlign w:val="center"/>
                </w:tcPr>
                <w:p w14:paraId="6FD6A59D">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rPr>
                  </w:pPr>
                  <w:r>
                    <w:rPr>
                      <w:rFonts w:hint="default" w:ascii="Times New Roman" w:hAnsi="Times New Roman" w:eastAsia="宋体" w:cs="Times New Roman"/>
                      <w:color w:val="auto"/>
                      <w:kern w:val="0"/>
                      <w:sz w:val="21"/>
                      <w:szCs w:val="21"/>
                      <w:highlight w:val="none"/>
                      <w:lang w:val="en-US" w:eastAsia="zh-CN"/>
                    </w:rPr>
                    <w:t>HW49</w:t>
                  </w:r>
                  <w:r>
                    <w:rPr>
                      <w:rFonts w:hint="eastAsia" w:ascii="Times New Roman" w:hAnsi="Times New Roman" w:eastAsia="宋体" w:cs="Times New Roman"/>
                      <w:color w:val="auto"/>
                      <w:kern w:val="0"/>
                      <w:sz w:val="21"/>
                      <w:szCs w:val="21"/>
                      <w:highlight w:val="none"/>
                      <w:lang w:val="en-US" w:eastAsia="zh-CN"/>
                    </w:rPr>
                    <w:t xml:space="preserve"> </w:t>
                  </w:r>
                  <w:r>
                    <w:rPr>
                      <w:rFonts w:hint="default" w:ascii="Times New Roman" w:hAnsi="Times New Roman" w:eastAsia="宋体" w:cs="Times New Roman"/>
                      <w:color w:val="auto"/>
                      <w:kern w:val="0"/>
                      <w:sz w:val="21"/>
                      <w:szCs w:val="21"/>
                      <w:highlight w:val="none"/>
                      <w:lang w:val="en-US" w:eastAsia="zh-CN"/>
                    </w:rPr>
                    <w:t>900-041-49</w:t>
                  </w:r>
                </w:p>
              </w:tc>
              <w:tc>
                <w:tcPr>
                  <w:tcW w:w="911" w:type="dxa"/>
                  <w:noWrap w:val="0"/>
                  <w:vAlign w:val="center"/>
                </w:tcPr>
                <w:p w14:paraId="42513DE3">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电解液/废</w:t>
                  </w:r>
                </w:p>
                <w:p w14:paraId="43292133">
                  <w:pPr>
                    <w:autoSpaceDE w:val="0"/>
                    <w:autoSpaceDN w:val="0"/>
                    <w:adjustRightInd w:val="0"/>
                    <w:snapToGrid w:val="0"/>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rPr>
                    <w:t>机油</w:t>
                  </w:r>
                </w:p>
              </w:tc>
              <w:tc>
                <w:tcPr>
                  <w:tcW w:w="665" w:type="dxa"/>
                  <w:noWrap w:val="0"/>
                  <w:vAlign w:val="center"/>
                </w:tcPr>
                <w:p w14:paraId="1C112F63">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固态</w:t>
                  </w:r>
                </w:p>
              </w:tc>
              <w:tc>
                <w:tcPr>
                  <w:tcW w:w="788" w:type="dxa"/>
                  <w:noWrap w:val="0"/>
                  <w:vAlign w:val="center"/>
                </w:tcPr>
                <w:p w14:paraId="1CBFAC5D">
                  <w:pPr>
                    <w:autoSpaceDE w:val="0"/>
                    <w:autoSpaceDN w:val="0"/>
                    <w:adjustRightInd w:val="0"/>
                    <w:snapToGrid w:val="0"/>
                    <w:jc w:val="center"/>
                    <w:rPr>
                      <w:rFonts w:hint="default" w:ascii="Times New Roman" w:hAnsi="Times New Roman" w:eastAsia="宋体" w:cs="Times New Roman"/>
                      <w:color w:val="auto"/>
                      <w:kern w:val="0"/>
                      <w:sz w:val="21"/>
                      <w:szCs w:val="21"/>
                      <w:highlight w:val="none"/>
                    </w:rPr>
                  </w:pPr>
                  <w:r>
                    <w:rPr>
                      <w:color w:val="auto"/>
                      <w:kern w:val="0"/>
                      <w:sz w:val="21"/>
                      <w:szCs w:val="21"/>
                    </w:rPr>
                    <w:t>T/In</w:t>
                  </w:r>
                </w:p>
              </w:tc>
              <w:tc>
                <w:tcPr>
                  <w:tcW w:w="619" w:type="dxa"/>
                  <w:noWrap w:val="0"/>
                  <w:vAlign w:val="center"/>
                </w:tcPr>
                <w:p w14:paraId="69385288">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3</w:t>
                  </w:r>
                </w:p>
              </w:tc>
              <w:tc>
                <w:tcPr>
                  <w:tcW w:w="935" w:type="dxa"/>
                  <w:vMerge w:val="continue"/>
                  <w:noWrap w:val="0"/>
                  <w:vAlign w:val="center"/>
                </w:tcPr>
                <w:p w14:paraId="75A1A753">
                  <w:pPr>
                    <w:autoSpaceDE w:val="0"/>
                    <w:autoSpaceDN w:val="0"/>
                    <w:adjustRightInd w:val="0"/>
                    <w:snapToGrid w:val="0"/>
                    <w:jc w:val="center"/>
                    <w:rPr>
                      <w:color w:val="auto"/>
                      <w:kern w:val="0"/>
                      <w:sz w:val="21"/>
                      <w:szCs w:val="21"/>
                    </w:rPr>
                  </w:pPr>
                </w:p>
              </w:tc>
            </w:tr>
            <w:tr w14:paraId="0333C767">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818" w:hRule="exact"/>
                <w:jc w:val="center"/>
              </w:trPr>
              <w:tc>
                <w:tcPr>
                  <w:tcW w:w="388" w:type="dxa"/>
                  <w:noWrap w:val="0"/>
                  <w:vAlign w:val="center"/>
                </w:tcPr>
                <w:p w14:paraId="70B3A6CF">
                  <w:pPr>
                    <w:autoSpaceDE w:val="0"/>
                    <w:autoSpaceDN w:val="0"/>
                    <w:adjustRightInd w:val="0"/>
                    <w:snapToGrid w:val="0"/>
                    <w:jc w:val="center"/>
                    <w:rPr>
                      <w:rFonts w:hint="default"/>
                      <w:color w:val="auto"/>
                      <w:kern w:val="0"/>
                      <w:sz w:val="21"/>
                      <w:szCs w:val="21"/>
                      <w:highlight w:val="none"/>
                      <w:lang w:val="en-US" w:eastAsia="zh-CN"/>
                    </w:rPr>
                  </w:pPr>
                  <w:r>
                    <w:rPr>
                      <w:rFonts w:hint="eastAsia"/>
                      <w:color w:val="auto"/>
                      <w:kern w:val="0"/>
                      <w:sz w:val="21"/>
                      <w:szCs w:val="21"/>
                      <w:highlight w:val="none"/>
                      <w:lang w:val="en-US" w:eastAsia="zh-CN"/>
                    </w:rPr>
                    <w:t>20</w:t>
                  </w:r>
                </w:p>
              </w:tc>
              <w:tc>
                <w:tcPr>
                  <w:tcW w:w="1006" w:type="dxa"/>
                  <w:noWrap w:val="0"/>
                  <w:vAlign w:val="center"/>
                </w:tcPr>
                <w:p w14:paraId="3226587A">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废电解液</w:t>
                  </w:r>
                </w:p>
              </w:tc>
              <w:tc>
                <w:tcPr>
                  <w:tcW w:w="886" w:type="dxa"/>
                  <w:vMerge w:val="continue"/>
                  <w:noWrap w:val="0"/>
                  <w:vAlign w:val="center"/>
                </w:tcPr>
                <w:p w14:paraId="6F039F13">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p>
              </w:tc>
              <w:tc>
                <w:tcPr>
                  <w:tcW w:w="1837" w:type="dxa"/>
                  <w:noWrap w:val="0"/>
                  <w:vAlign w:val="center"/>
                </w:tcPr>
                <w:p w14:paraId="5BF2B7E9">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HW49</w:t>
                  </w:r>
                  <w:r>
                    <w:rPr>
                      <w:rFonts w:hint="eastAsia" w:ascii="Times New Roman" w:hAnsi="Times New Roman" w:eastAsia="宋体" w:cs="Times New Roman"/>
                      <w:color w:val="auto"/>
                      <w:kern w:val="0"/>
                      <w:sz w:val="21"/>
                      <w:szCs w:val="21"/>
                      <w:highlight w:val="none"/>
                      <w:lang w:val="en-US" w:eastAsia="zh-CN"/>
                    </w:rPr>
                    <w:t xml:space="preserve"> </w:t>
                  </w:r>
                  <w:r>
                    <w:rPr>
                      <w:rFonts w:hint="default" w:ascii="Times New Roman" w:hAnsi="Times New Roman" w:eastAsia="宋体" w:cs="Times New Roman"/>
                      <w:color w:val="auto"/>
                      <w:kern w:val="0"/>
                      <w:sz w:val="21"/>
                      <w:szCs w:val="21"/>
                      <w:highlight w:val="none"/>
                      <w:lang w:val="en-US" w:eastAsia="zh-CN"/>
                    </w:rPr>
                    <w:t>900-04</w:t>
                  </w:r>
                  <w:r>
                    <w:rPr>
                      <w:rFonts w:hint="eastAsia" w:ascii="Times New Roman" w:hAnsi="Times New Roman" w:eastAsia="宋体" w:cs="Times New Roman"/>
                      <w:color w:val="auto"/>
                      <w:kern w:val="0"/>
                      <w:sz w:val="21"/>
                      <w:szCs w:val="21"/>
                      <w:highlight w:val="none"/>
                      <w:lang w:val="en-US" w:eastAsia="zh-CN"/>
                    </w:rPr>
                    <w:t>5</w:t>
                  </w:r>
                  <w:r>
                    <w:rPr>
                      <w:rFonts w:hint="default" w:ascii="Times New Roman" w:hAnsi="Times New Roman" w:eastAsia="宋体" w:cs="Times New Roman"/>
                      <w:color w:val="auto"/>
                      <w:kern w:val="0"/>
                      <w:sz w:val="21"/>
                      <w:szCs w:val="21"/>
                      <w:highlight w:val="none"/>
                      <w:lang w:val="en-US" w:eastAsia="zh-CN"/>
                    </w:rPr>
                    <w:t>-49</w:t>
                  </w:r>
                </w:p>
              </w:tc>
              <w:tc>
                <w:tcPr>
                  <w:tcW w:w="911" w:type="dxa"/>
                  <w:noWrap w:val="0"/>
                  <w:vAlign w:val="center"/>
                </w:tcPr>
                <w:p w14:paraId="2DC1FB25">
                  <w:pPr>
                    <w:autoSpaceDE w:val="0"/>
                    <w:autoSpaceDN w:val="0"/>
                    <w:adjustRightInd w:val="0"/>
                    <w:snapToGrid w:val="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电解液</w:t>
                  </w:r>
                </w:p>
              </w:tc>
              <w:tc>
                <w:tcPr>
                  <w:tcW w:w="665" w:type="dxa"/>
                  <w:noWrap w:val="0"/>
                  <w:vAlign w:val="center"/>
                </w:tcPr>
                <w:p w14:paraId="4F857FA7">
                  <w:pPr>
                    <w:autoSpaceDE w:val="0"/>
                    <w:autoSpaceDN w:val="0"/>
                    <w:adjustRightInd w:val="0"/>
                    <w:snapToGrid w:val="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液态</w:t>
                  </w:r>
                </w:p>
              </w:tc>
              <w:tc>
                <w:tcPr>
                  <w:tcW w:w="788" w:type="dxa"/>
                  <w:noWrap w:val="0"/>
                  <w:vAlign w:val="center"/>
                </w:tcPr>
                <w:p w14:paraId="05A0FB4F">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T</w:t>
                  </w:r>
                </w:p>
              </w:tc>
              <w:tc>
                <w:tcPr>
                  <w:tcW w:w="619" w:type="dxa"/>
                  <w:noWrap w:val="0"/>
                  <w:vAlign w:val="center"/>
                </w:tcPr>
                <w:p w14:paraId="06A2FC1A">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1.2</w:t>
                  </w:r>
                </w:p>
              </w:tc>
              <w:tc>
                <w:tcPr>
                  <w:tcW w:w="935" w:type="dxa"/>
                  <w:vMerge w:val="continue"/>
                  <w:noWrap w:val="0"/>
                  <w:vAlign w:val="center"/>
                </w:tcPr>
                <w:p w14:paraId="06203AD9">
                  <w:pPr>
                    <w:autoSpaceDE w:val="0"/>
                    <w:autoSpaceDN w:val="0"/>
                    <w:adjustRightInd w:val="0"/>
                    <w:snapToGrid w:val="0"/>
                    <w:jc w:val="center"/>
                    <w:rPr>
                      <w:color w:val="auto"/>
                      <w:kern w:val="0"/>
                      <w:sz w:val="21"/>
                      <w:szCs w:val="21"/>
                    </w:rPr>
                  </w:pPr>
                </w:p>
              </w:tc>
            </w:tr>
            <w:tr w14:paraId="70A7EA2E">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818" w:hRule="exact"/>
                <w:jc w:val="center"/>
              </w:trPr>
              <w:tc>
                <w:tcPr>
                  <w:tcW w:w="388" w:type="dxa"/>
                  <w:noWrap w:val="0"/>
                  <w:vAlign w:val="center"/>
                </w:tcPr>
                <w:p w14:paraId="22A9F800">
                  <w:pPr>
                    <w:autoSpaceDE w:val="0"/>
                    <w:autoSpaceDN w:val="0"/>
                    <w:adjustRightInd w:val="0"/>
                    <w:snapToGrid w:val="0"/>
                    <w:jc w:val="center"/>
                    <w:rPr>
                      <w:rFonts w:hint="default"/>
                      <w:color w:val="auto"/>
                      <w:kern w:val="0"/>
                      <w:sz w:val="21"/>
                      <w:szCs w:val="21"/>
                      <w:highlight w:val="none"/>
                      <w:lang w:val="en-US" w:eastAsia="zh-CN"/>
                    </w:rPr>
                  </w:pPr>
                  <w:r>
                    <w:rPr>
                      <w:rFonts w:hint="eastAsia"/>
                      <w:color w:val="auto"/>
                      <w:kern w:val="0"/>
                      <w:sz w:val="21"/>
                      <w:szCs w:val="21"/>
                      <w:highlight w:val="none"/>
                      <w:lang w:val="en-US" w:eastAsia="zh-CN"/>
                    </w:rPr>
                    <w:t>21</w:t>
                  </w:r>
                </w:p>
              </w:tc>
              <w:tc>
                <w:tcPr>
                  <w:tcW w:w="1006" w:type="dxa"/>
                  <w:noWrap w:val="0"/>
                  <w:vAlign w:val="center"/>
                </w:tcPr>
                <w:p w14:paraId="787131A2">
                  <w:pPr>
                    <w:autoSpaceDE w:val="0"/>
                    <w:autoSpaceDN w:val="0"/>
                    <w:adjustRightInd w:val="0"/>
                    <w:snapToGrid w:val="0"/>
                    <w:jc w:val="center"/>
                    <w:rPr>
                      <w:rFonts w:hint="default"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废沸石转轮</w:t>
                  </w:r>
                </w:p>
              </w:tc>
              <w:tc>
                <w:tcPr>
                  <w:tcW w:w="886" w:type="dxa"/>
                  <w:vMerge w:val="continue"/>
                  <w:noWrap w:val="0"/>
                  <w:vAlign w:val="center"/>
                </w:tcPr>
                <w:p w14:paraId="4C87C869">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p>
              </w:tc>
              <w:tc>
                <w:tcPr>
                  <w:tcW w:w="1837" w:type="dxa"/>
                  <w:noWrap w:val="0"/>
                  <w:vAlign w:val="center"/>
                </w:tcPr>
                <w:p w14:paraId="1F2167C7">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HW49</w:t>
                  </w:r>
                  <w:r>
                    <w:rPr>
                      <w:rFonts w:hint="eastAsia" w:ascii="Times New Roman" w:hAnsi="Times New Roman" w:eastAsia="宋体" w:cs="Times New Roman"/>
                      <w:color w:val="auto"/>
                      <w:kern w:val="0"/>
                      <w:sz w:val="21"/>
                      <w:szCs w:val="21"/>
                      <w:highlight w:val="none"/>
                      <w:lang w:val="en-US" w:eastAsia="zh-CN"/>
                    </w:rPr>
                    <w:t xml:space="preserve"> </w:t>
                  </w:r>
                  <w:r>
                    <w:rPr>
                      <w:rFonts w:hint="default" w:ascii="Times New Roman" w:hAnsi="Times New Roman" w:eastAsia="宋体" w:cs="Times New Roman"/>
                      <w:color w:val="auto"/>
                      <w:kern w:val="0"/>
                      <w:sz w:val="21"/>
                      <w:szCs w:val="21"/>
                      <w:highlight w:val="none"/>
                      <w:lang w:val="en-US" w:eastAsia="zh-CN"/>
                    </w:rPr>
                    <w:t>900-04</w:t>
                  </w:r>
                  <w:r>
                    <w:rPr>
                      <w:rFonts w:hint="eastAsia" w:ascii="Times New Roman" w:hAnsi="Times New Roman" w:eastAsia="宋体" w:cs="Times New Roman"/>
                      <w:color w:val="auto"/>
                      <w:kern w:val="0"/>
                      <w:sz w:val="21"/>
                      <w:szCs w:val="21"/>
                      <w:highlight w:val="none"/>
                      <w:lang w:val="en-US" w:eastAsia="zh-CN"/>
                    </w:rPr>
                    <w:t>1</w:t>
                  </w:r>
                  <w:r>
                    <w:rPr>
                      <w:rFonts w:hint="default" w:ascii="Times New Roman" w:hAnsi="Times New Roman" w:eastAsia="宋体" w:cs="Times New Roman"/>
                      <w:color w:val="auto"/>
                      <w:kern w:val="0"/>
                      <w:sz w:val="21"/>
                      <w:szCs w:val="21"/>
                      <w:highlight w:val="none"/>
                      <w:lang w:val="en-US" w:eastAsia="zh-CN"/>
                    </w:rPr>
                    <w:t>-49</w:t>
                  </w:r>
                </w:p>
              </w:tc>
              <w:tc>
                <w:tcPr>
                  <w:tcW w:w="911" w:type="dxa"/>
                  <w:noWrap w:val="0"/>
                  <w:vAlign w:val="center"/>
                </w:tcPr>
                <w:p w14:paraId="11E6790D">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非甲烷总烃</w:t>
                  </w:r>
                </w:p>
              </w:tc>
              <w:tc>
                <w:tcPr>
                  <w:tcW w:w="665" w:type="dxa"/>
                  <w:noWrap w:val="0"/>
                  <w:vAlign w:val="center"/>
                </w:tcPr>
                <w:p w14:paraId="5E073201">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固态</w:t>
                  </w:r>
                </w:p>
              </w:tc>
              <w:tc>
                <w:tcPr>
                  <w:tcW w:w="788" w:type="dxa"/>
                  <w:noWrap w:val="0"/>
                  <w:vAlign w:val="center"/>
                </w:tcPr>
                <w:p w14:paraId="7D3BB8F1">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T/In</w:t>
                  </w:r>
                </w:p>
              </w:tc>
              <w:tc>
                <w:tcPr>
                  <w:tcW w:w="619" w:type="dxa"/>
                  <w:noWrap w:val="0"/>
                  <w:vAlign w:val="center"/>
                </w:tcPr>
                <w:p w14:paraId="4045E3D0">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w:t>
                  </w:r>
                </w:p>
              </w:tc>
              <w:tc>
                <w:tcPr>
                  <w:tcW w:w="935" w:type="dxa"/>
                  <w:vMerge w:val="continue"/>
                  <w:noWrap w:val="0"/>
                  <w:vAlign w:val="center"/>
                </w:tcPr>
                <w:p w14:paraId="14A3674F">
                  <w:pPr>
                    <w:autoSpaceDE w:val="0"/>
                    <w:autoSpaceDN w:val="0"/>
                    <w:adjustRightInd w:val="0"/>
                    <w:snapToGrid w:val="0"/>
                    <w:jc w:val="center"/>
                    <w:rPr>
                      <w:color w:val="auto"/>
                      <w:kern w:val="0"/>
                      <w:sz w:val="21"/>
                      <w:szCs w:val="21"/>
                    </w:rPr>
                  </w:pPr>
                </w:p>
              </w:tc>
            </w:tr>
            <w:tr w14:paraId="14A5A68F">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818" w:hRule="exact"/>
                <w:jc w:val="center"/>
              </w:trPr>
              <w:tc>
                <w:tcPr>
                  <w:tcW w:w="388" w:type="dxa"/>
                  <w:noWrap w:val="0"/>
                  <w:vAlign w:val="center"/>
                </w:tcPr>
                <w:p w14:paraId="27222023">
                  <w:pPr>
                    <w:autoSpaceDE w:val="0"/>
                    <w:autoSpaceDN w:val="0"/>
                    <w:adjustRightInd w:val="0"/>
                    <w:snapToGrid w:val="0"/>
                    <w:jc w:val="center"/>
                    <w:rPr>
                      <w:rFonts w:hint="default"/>
                      <w:color w:val="auto"/>
                      <w:kern w:val="0"/>
                      <w:sz w:val="21"/>
                      <w:szCs w:val="21"/>
                      <w:highlight w:val="none"/>
                      <w:lang w:val="en-US" w:eastAsia="zh-CN"/>
                    </w:rPr>
                  </w:pPr>
                  <w:r>
                    <w:rPr>
                      <w:rFonts w:hint="eastAsia"/>
                      <w:color w:val="auto"/>
                      <w:kern w:val="0"/>
                      <w:sz w:val="21"/>
                      <w:szCs w:val="21"/>
                      <w:highlight w:val="none"/>
                      <w:lang w:val="en-US" w:eastAsia="zh-CN"/>
                    </w:rPr>
                    <w:t>22</w:t>
                  </w:r>
                </w:p>
              </w:tc>
              <w:tc>
                <w:tcPr>
                  <w:tcW w:w="1006" w:type="dxa"/>
                  <w:noWrap w:val="0"/>
                  <w:vAlign w:val="center"/>
                </w:tcPr>
                <w:p w14:paraId="444AB0BE">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沾染危险物质的废组件</w:t>
                  </w:r>
                </w:p>
              </w:tc>
              <w:tc>
                <w:tcPr>
                  <w:tcW w:w="886" w:type="dxa"/>
                  <w:vMerge w:val="continue"/>
                  <w:noWrap w:val="0"/>
                  <w:vAlign w:val="center"/>
                </w:tcPr>
                <w:p w14:paraId="3AF7D105">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p>
              </w:tc>
              <w:tc>
                <w:tcPr>
                  <w:tcW w:w="1837" w:type="dxa"/>
                  <w:noWrap w:val="0"/>
                  <w:vAlign w:val="center"/>
                </w:tcPr>
                <w:p w14:paraId="2836BF9A">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HW49</w:t>
                  </w:r>
                  <w:r>
                    <w:rPr>
                      <w:rFonts w:hint="eastAsia" w:ascii="Times New Roman" w:hAnsi="Times New Roman" w:eastAsia="宋体" w:cs="Times New Roman"/>
                      <w:color w:val="auto"/>
                      <w:kern w:val="0"/>
                      <w:sz w:val="21"/>
                      <w:szCs w:val="21"/>
                      <w:highlight w:val="none"/>
                      <w:lang w:val="en-US" w:eastAsia="zh-CN"/>
                    </w:rPr>
                    <w:t xml:space="preserve"> </w:t>
                  </w:r>
                  <w:r>
                    <w:rPr>
                      <w:rFonts w:hint="default" w:ascii="Times New Roman" w:hAnsi="Times New Roman" w:eastAsia="宋体" w:cs="Times New Roman"/>
                      <w:color w:val="auto"/>
                      <w:kern w:val="0"/>
                      <w:sz w:val="21"/>
                      <w:szCs w:val="21"/>
                      <w:highlight w:val="none"/>
                      <w:lang w:val="en-US" w:eastAsia="zh-CN"/>
                    </w:rPr>
                    <w:t>900-04</w:t>
                  </w:r>
                  <w:r>
                    <w:rPr>
                      <w:rFonts w:hint="eastAsia" w:ascii="Times New Roman" w:hAnsi="Times New Roman" w:eastAsia="宋体" w:cs="Times New Roman"/>
                      <w:color w:val="auto"/>
                      <w:kern w:val="0"/>
                      <w:sz w:val="21"/>
                      <w:szCs w:val="21"/>
                      <w:highlight w:val="none"/>
                      <w:lang w:val="en-US" w:eastAsia="zh-CN"/>
                    </w:rPr>
                    <w:t>5</w:t>
                  </w:r>
                  <w:r>
                    <w:rPr>
                      <w:rFonts w:hint="default" w:ascii="Times New Roman" w:hAnsi="Times New Roman" w:eastAsia="宋体" w:cs="Times New Roman"/>
                      <w:color w:val="auto"/>
                      <w:kern w:val="0"/>
                      <w:sz w:val="21"/>
                      <w:szCs w:val="21"/>
                      <w:highlight w:val="none"/>
                      <w:lang w:val="en-US" w:eastAsia="zh-CN"/>
                    </w:rPr>
                    <w:t>-49</w:t>
                  </w:r>
                </w:p>
              </w:tc>
              <w:tc>
                <w:tcPr>
                  <w:tcW w:w="911" w:type="dxa"/>
                  <w:noWrap w:val="0"/>
                  <w:vAlign w:val="center"/>
                </w:tcPr>
                <w:p w14:paraId="2E55E0A3">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电解液</w:t>
                  </w:r>
                </w:p>
              </w:tc>
              <w:tc>
                <w:tcPr>
                  <w:tcW w:w="665" w:type="dxa"/>
                  <w:noWrap w:val="0"/>
                  <w:vAlign w:val="center"/>
                </w:tcPr>
                <w:p w14:paraId="4058091E">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固态</w:t>
                  </w:r>
                </w:p>
              </w:tc>
              <w:tc>
                <w:tcPr>
                  <w:tcW w:w="788" w:type="dxa"/>
                  <w:noWrap w:val="0"/>
                  <w:vAlign w:val="center"/>
                </w:tcPr>
                <w:p w14:paraId="6A03CF06">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T</w:t>
                  </w:r>
                </w:p>
              </w:tc>
              <w:tc>
                <w:tcPr>
                  <w:tcW w:w="619" w:type="dxa"/>
                  <w:noWrap w:val="0"/>
                  <w:vAlign w:val="center"/>
                </w:tcPr>
                <w:p w14:paraId="0ADB43DD">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1</w:t>
                  </w:r>
                </w:p>
              </w:tc>
              <w:tc>
                <w:tcPr>
                  <w:tcW w:w="935" w:type="dxa"/>
                  <w:vMerge w:val="continue"/>
                  <w:noWrap w:val="0"/>
                  <w:vAlign w:val="center"/>
                </w:tcPr>
                <w:p w14:paraId="5CD71614">
                  <w:pPr>
                    <w:autoSpaceDE w:val="0"/>
                    <w:autoSpaceDN w:val="0"/>
                    <w:adjustRightInd w:val="0"/>
                    <w:snapToGrid w:val="0"/>
                    <w:jc w:val="center"/>
                    <w:rPr>
                      <w:color w:val="auto"/>
                      <w:kern w:val="0"/>
                      <w:sz w:val="21"/>
                      <w:szCs w:val="21"/>
                    </w:rPr>
                  </w:pPr>
                </w:p>
              </w:tc>
            </w:tr>
          </w:tbl>
          <w:p w14:paraId="50DE51BA">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b/>
                <w:bCs/>
                <w:color w:val="auto"/>
                <w:kern w:val="0"/>
                <w:sz w:val="21"/>
                <w:szCs w:val="21"/>
                <w:highlight w:val="none"/>
                <w:lang w:val="en-US" w:eastAsia="zh-CN" w:bidi="ar-SA"/>
              </w:rPr>
              <w:t>表4-</w:t>
            </w:r>
            <w:r>
              <w:rPr>
                <w:rFonts w:hint="eastAsia" w:cs="Times New Roman"/>
                <w:b/>
                <w:bCs/>
                <w:color w:val="auto"/>
                <w:kern w:val="0"/>
                <w:sz w:val="21"/>
                <w:szCs w:val="21"/>
                <w:highlight w:val="none"/>
                <w:lang w:val="en-US" w:eastAsia="zh-CN" w:bidi="ar-SA"/>
              </w:rPr>
              <w:t>22</w:t>
            </w:r>
            <w:r>
              <w:rPr>
                <w:rFonts w:hint="default" w:ascii="Times New Roman" w:hAnsi="Times New Roman" w:eastAsia="宋体" w:cs="Times New Roman"/>
                <w:b/>
                <w:bCs/>
                <w:color w:val="auto"/>
                <w:kern w:val="0"/>
                <w:sz w:val="21"/>
                <w:szCs w:val="21"/>
                <w:highlight w:val="none"/>
                <w:lang w:val="en-US" w:eastAsia="zh-CN" w:bidi="ar-SA"/>
              </w:rPr>
              <w:t xml:space="preserve"> 危险废物汇总表</w:t>
            </w:r>
          </w:p>
          <w:tbl>
            <w:tblPr>
              <w:tblStyle w:val="41"/>
              <w:tblW w:w="4991"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23" w:type="dxa"/>
                <w:bottom w:w="0" w:type="dxa"/>
                <w:right w:w="23" w:type="dxa"/>
              </w:tblCellMar>
            </w:tblPr>
            <w:tblGrid>
              <w:gridCol w:w="1281"/>
              <w:gridCol w:w="571"/>
              <w:gridCol w:w="893"/>
              <w:gridCol w:w="686"/>
              <w:gridCol w:w="828"/>
              <w:gridCol w:w="433"/>
              <w:gridCol w:w="778"/>
              <w:gridCol w:w="686"/>
              <w:gridCol w:w="569"/>
              <w:gridCol w:w="563"/>
              <w:gridCol w:w="612"/>
            </w:tblGrid>
            <w:tr w14:paraId="3E1828E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3" w:type="dxa"/>
                  <w:bottom w:w="0" w:type="dxa"/>
                  <w:right w:w="23" w:type="dxa"/>
                </w:tblCellMar>
              </w:tblPrEx>
              <w:trPr>
                <w:trHeight w:val="340" w:hRule="atLeast"/>
                <w:jc w:val="center"/>
              </w:trPr>
              <w:tc>
                <w:tcPr>
                  <w:tcW w:w="810" w:type="pct"/>
                  <w:noWrap w:val="0"/>
                  <w:vAlign w:val="center"/>
                </w:tcPr>
                <w:p w14:paraId="6ECD37FC">
                  <w:pPr>
                    <w:autoSpaceDE w:val="0"/>
                    <w:autoSpaceDN w:val="0"/>
                    <w:adjustRightInd w:val="0"/>
                    <w:snapToGrid w:val="0"/>
                    <w:jc w:val="center"/>
                    <w:rPr>
                      <w:rFonts w:hint="default" w:ascii="Times New Roman" w:hAnsi="Times New Roman" w:eastAsia="宋体" w:cs="Times New Roman"/>
                      <w:b/>
                      <w:color w:val="auto"/>
                      <w:kern w:val="0"/>
                      <w:sz w:val="21"/>
                      <w:szCs w:val="21"/>
                      <w:lang w:val="en-US" w:eastAsia="zh-CN"/>
                    </w:rPr>
                  </w:pPr>
                  <w:r>
                    <w:rPr>
                      <w:rFonts w:hint="default" w:ascii="Times New Roman" w:hAnsi="Times New Roman" w:eastAsia="宋体" w:cs="Times New Roman"/>
                      <w:b/>
                      <w:color w:val="auto"/>
                      <w:kern w:val="0"/>
                      <w:sz w:val="21"/>
                      <w:szCs w:val="21"/>
                      <w:lang w:val="en-US" w:eastAsia="zh-CN"/>
                    </w:rPr>
                    <w:t>名称</w:t>
                  </w:r>
                </w:p>
              </w:tc>
              <w:tc>
                <w:tcPr>
                  <w:tcW w:w="361" w:type="pct"/>
                  <w:noWrap w:val="0"/>
                  <w:vAlign w:val="center"/>
                </w:tcPr>
                <w:p w14:paraId="74C09943">
                  <w:pPr>
                    <w:autoSpaceDE w:val="0"/>
                    <w:autoSpaceDN w:val="0"/>
                    <w:adjustRightInd w:val="0"/>
                    <w:snapToGrid w:val="0"/>
                    <w:jc w:val="center"/>
                    <w:rPr>
                      <w:rFonts w:hint="default" w:ascii="Times New Roman" w:hAnsi="Times New Roman" w:eastAsia="宋体" w:cs="Times New Roman"/>
                      <w:b/>
                      <w:color w:val="auto"/>
                      <w:kern w:val="0"/>
                      <w:sz w:val="21"/>
                      <w:szCs w:val="21"/>
                      <w:lang w:val="en-US" w:eastAsia="zh-CN"/>
                    </w:rPr>
                  </w:pPr>
                  <w:r>
                    <w:rPr>
                      <w:rFonts w:hint="default" w:ascii="Times New Roman" w:hAnsi="Times New Roman" w:eastAsia="宋体" w:cs="Times New Roman"/>
                      <w:b/>
                      <w:color w:val="auto"/>
                      <w:kern w:val="0"/>
                      <w:sz w:val="21"/>
                      <w:szCs w:val="21"/>
                      <w:lang w:val="en-US" w:eastAsia="zh-CN"/>
                    </w:rPr>
                    <w:t>危废类别</w:t>
                  </w:r>
                </w:p>
              </w:tc>
              <w:tc>
                <w:tcPr>
                  <w:tcW w:w="565" w:type="pct"/>
                  <w:noWrap w:val="0"/>
                  <w:vAlign w:val="center"/>
                </w:tcPr>
                <w:p w14:paraId="6F0969AD">
                  <w:pPr>
                    <w:autoSpaceDE w:val="0"/>
                    <w:autoSpaceDN w:val="0"/>
                    <w:adjustRightInd w:val="0"/>
                    <w:snapToGrid w:val="0"/>
                    <w:jc w:val="center"/>
                    <w:rPr>
                      <w:rFonts w:hint="default" w:ascii="Times New Roman" w:hAnsi="Times New Roman" w:eastAsia="宋体" w:cs="Times New Roman"/>
                      <w:b/>
                      <w:color w:val="auto"/>
                      <w:kern w:val="0"/>
                      <w:sz w:val="21"/>
                      <w:szCs w:val="21"/>
                      <w:lang w:val="en-US" w:eastAsia="zh-CN"/>
                    </w:rPr>
                  </w:pPr>
                  <w:r>
                    <w:rPr>
                      <w:rFonts w:hint="default" w:ascii="Times New Roman" w:hAnsi="Times New Roman" w:eastAsia="宋体" w:cs="Times New Roman"/>
                      <w:b/>
                      <w:color w:val="auto"/>
                      <w:kern w:val="0"/>
                      <w:sz w:val="21"/>
                      <w:szCs w:val="21"/>
                      <w:lang w:val="en-US" w:eastAsia="zh-CN"/>
                    </w:rPr>
                    <w:t>危废代码</w:t>
                  </w:r>
                </w:p>
              </w:tc>
              <w:tc>
                <w:tcPr>
                  <w:tcW w:w="434" w:type="pct"/>
                  <w:noWrap w:val="0"/>
                  <w:vAlign w:val="center"/>
                </w:tcPr>
                <w:p w14:paraId="143270C2">
                  <w:pPr>
                    <w:autoSpaceDE w:val="0"/>
                    <w:autoSpaceDN w:val="0"/>
                    <w:adjustRightInd w:val="0"/>
                    <w:snapToGrid w:val="0"/>
                    <w:jc w:val="center"/>
                    <w:rPr>
                      <w:rFonts w:hint="default" w:ascii="Times New Roman" w:hAnsi="Times New Roman" w:eastAsia="宋体" w:cs="Times New Roman"/>
                      <w:b/>
                      <w:color w:val="auto"/>
                      <w:kern w:val="0"/>
                      <w:sz w:val="21"/>
                      <w:szCs w:val="21"/>
                      <w:lang w:val="en-US" w:eastAsia="zh-CN"/>
                    </w:rPr>
                  </w:pPr>
                  <w:r>
                    <w:rPr>
                      <w:rFonts w:hint="default" w:ascii="Times New Roman" w:hAnsi="Times New Roman" w:eastAsia="宋体" w:cs="Times New Roman"/>
                      <w:b/>
                      <w:color w:val="auto"/>
                      <w:kern w:val="0"/>
                      <w:sz w:val="21"/>
                      <w:szCs w:val="21"/>
                      <w:lang w:val="en-US" w:eastAsia="zh-CN"/>
                    </w:rPr>
                    <w:t>年产量t/a</w:t>
                  </w:r>
                </w:p>
              </w:tc>
              <w:tc>
                <w:tcPr>
                  <w:tcW w:w="524" w:type="pct"/>
                  <w:noWrap w:val="0"/>
                  <w:vAlign w:val="center"/>
                </w:tcPr>
                <w:p w14:paraId="6E9A5096">
                  <w:pPr>
                    <w:autoSpaceDE w:val="0"/>
                    <w:autoSpaceDN w:val="0"/>
                    <w:adjustRightInd w:val="0"/>
                    <w:snapToGrid w:val="0"/>
                    <w:jc w:val="center"/>
                    <w:rPr>
                      <w:rFonts w:hint="default" w:ascii="Times New Roman" w:hAnsi="Times New Roman" w:eastAsia="宋体" w:cs="Times New Roman"/>
                      <w:b/>
                      <w:color w:val="auto"/>
                      <w:kern w:val="0"/>
                      <w:sz w:val="21"/>
                      <w:szCs w:val="21"/>
                      <w:lang w:val="en-US" w:eastAsia="zh-CN"/>
                    </w:rPr>
                  </w:pPr>
                  <w:r>
                    <w:rPr>
                      <w:rFonts w:hint="default" w:ascii="Times New Roman" w:hAnsi="Times New Roman" w:eastAsia="宋体" w:cs="Times New Roman"/>
                      <w:b/>
                      <w:color w:val="auto"/>
                      <w:kern w:val="0"/>
                      <w:sz w:val="21"/>
                      <w:szCs w:val="21"/>
                      <w:lang w:val="en-US" w:eastAsia="zh-CN"/>
                    </w:rPr>
                    <w:t>生产工序</w:t>
                  </w:r>
                </w:p>
              </w:tc>
              <w:tc>
                <w:tcPr>
                  <w:tcW w:w="274" w:type="pct"/>
                  <w:noWrap w:val="0"/>
                  <w:vAlign w:val="center"/>
                </w:tcPr>
                <w:p w14:paraId="36BB386B">
                  <w:pPr>
                    <w:autoSpaceDE w:val="0"/>
                    <w:autoSpaceDN w:val="0"/>
                    <w:adjustRightInd w:val="0"/>
                    <w:snapToGrid w:val="0"/>
                    <w:jc w:val="center"/>
                    <w:rPr>
                      <w:rFonts w:hint="default" w:ascii="Times New Roman" w:hAnsi="Times New Roman" w:eastAsia="宋体" w:cs="Times New Roman"/>
                      <w:b/>
                      <w:color w:val="auto"/>
                      <w:kern w:val="0"/>
                      <w:sz w:val="21"/>
                      <w:szCs w:val="21"/>
                      <w:lang w:val="en-US" w:eastAsia="zh-CN"/>
                    </w:rPr>
                  </w:pPr>
                  <w:r>
                    <w:rPr>
                      <w:rFonts w:hint="default" w:ascii="Times New Roman" w:hAnsi="Times New Roman" w:eastAsia="宋体" w:cs="Times New Roman"/>
                      <w:b/>
                      <w:color w:val="auto"/>
                      <w:kern w:val="0"/>
                      <w:sz w:val="21"/>
                      <w:szCs w:val="21"/>
                      <w:lang w:val="en-US" w:eastAsia="zh-CN"/>
                    </w:rPr>
                    <w:t>形态</w:t>
                  </w:r>
                </w:p>
              </w:tc>
              <w:tc>
                <w:tcPr>
                  <w:tcW w:w="492" w:type="pct"/>
                  <w:noWrap w:val="0"/>
                  <w:vAlign w:val="center"/>
                </w:tcPr>
                <w:p w14:paraId="43E7CF63">
                  <w:pPr>
                    <w:autoSpaceDE w:val="0"/>
                    <w:autoSpaceDN w:val="0"/>
                    <w:adjustRightInd w:val="0"/>
                    <w:snapToGrid w:val="0"/>
                    <w:jc w:val="center"/>
                    <w:rPr>
                      <w:rFonts w:hint="default" w:ascii="Times New Roman" w:hAnsi="Times New Roman" w:eastAsia="宋体" w:cs="Times New Roman"/>
                      <w:b/>
                      <w:color w:val="auto"/>
                      <w:kern w:val="0"/>
                      <w:sz w:val="21"/>
                      <w:szCs w:val="21"/>
                      <w:lang w:val="en-US" w:eastAsia="zh-CN"/>
                    </w:rPr>
                  </w:pPr>
                  <w:r>
                    <w:rPr>
                      <w:rFonts w:hint="default" w:ascii="Times New Roman" w:hAnsi="Times New Roman" w:eastAsia="宋体" w:cs="Times New Roman"/>
                      <w:b/>
                      <w:color w:val="auto"/>
                      <w:kern w:val="0"/>
                      <w:sz w:val="21"/>
                      <w:szCs w:val="21"/>
                      <w:lang w:val="en-US" w:eastAsia="zh-CN"/>
                    </w:rPr>
                    <w:t>主要成分</w:t>
                  </w:r>
                </w:p>
              </w:tc>
              <w:tc>
                <w:tcPr>
                  <w:tcW w:w="434" w:type="pct"/>
                  <w:noWrap w:val="0"/>
                  <w:vAlign w:val="center"/>
                </w:tcPr>
                <w:p w14:paraId="5B0DA96A">
                  <w:pPr>
                    <w:autoSpaceDE w:val="0"/>
                    <w:autoSpaceDN w:val="0"/>
                    <w:adjustRightInd w:val="0"/>
                    <w:snapToGrid w:val="0"/>
                    <w:jc w:val="center"/>
                    <w:rPr>
                      <w:rFonts w:hint="default" w:ascii="Times New Roman" w:hAnsi="Times New Roman" w:eastAsia="宋体" w:cs="Times New Roman"/>
                      <w:b/>
                      <w:color w:val="auto"/>
                      <w:kern w:val="0"/>
                      <w:sz w:val="21"/>
                      <w:szCs w:val="21"/>
                      <w:lang w:val="en-US" w:eastAsia="zh-CN"/>
                    </w:rPr>
                  </w:pPr>
                  <w:r>
                    <w:rPr>
                      <w:rFonts w:hint="default" w:ascii="Times New Roman" w:hAnsi="Times New Roman" w:eastAsia="宋体" w:cs="Times New Roman"/>
                      <w:b/>
                      <w:color w:val="auto"/>
                      <w:kern w:val="0"/>
                      <w:sz w:val="21"/>
                      <w:szCs w:val="21"/>
                      <w:lang w:val="en-US" w:eastAsia="zh-CN"/>
                    </w:rPr>
                    <w:t>有害成分</w:t>
                  </w:r>
                </w:p>
              </w:tc>
              <w:tc>
                <w:tcPr>
                  <w:tcW w:w="360" w:type="pct"/>
                  <w:noWrap w:val="0"/>
                  <w:vAlign w:val="center"/>
                </w:tcPr>
                <w:p w14:paraId="4F84F0CB">
                  <w:pPr>
                    <w:autoSpaceDE w:val="0"/>
                    <w:autoSpaceDN w:val="0"/>
                    <w:adjustRightInd w:val="0"/>
                    <w:snapToGrid w:val="0"/>
                    <w:jc w:val="center"/>
                    <w:rPr>
                      <w:rFonts w:hint="default" w:ascii="Times New Roman" w:hAnsi="Times New Roman" w:eastAsia="宋体" w:cs="Times New Roman"/>
                      <w:b/>
                      <w:color w:val="auto"/>
                      <w:kern w:val="0"/>
                      <w:sz w:val="21"/>
                      <w:szCs w:val="21"/>
                      <w:lang w:val="en-US" w:eastAsia="zh-CN"/>
                    </w:rPr>
                  </w:pPr>
                  <w:r>
                    <w:rPr>
                      <w:rFonts w:hint="default" w:ascii="Times New Roman" w:hAnsi="Times New Roman" w:eastAsia="宋体" w:cs="Times New Roman"/>
                      <w:b/>
                      <w:color w:val="auto"/>
                      <w:kern w:val="0"/>
                      <w:sz w:val="21"/>
                      <w:szCs w:val="21"/>
                      <w:lang w:val="en-US" w:eastAsia="zh-CN"/>
                    </w:rPr>
                    <w:t>产废周期</w:t>
                  </w:r>
                </w:p>
              </w:tc>
              <w:tc>
                <w:tcPr>
                  <w:tcW w:w="356" w:type="pct"/>
                  <w:noWrap w:val="0"/>
                  <w:vAlign w:val="center"/>
                </w:tcPr>
                <w:p w14:paraId="6F4C59BB">
                  <w:pPr>
                    <w:autoSpaceDE w:val="0"/>
                    <w:autoSpaceDN w:val="0"/>
                    <w:adjustRightInd w:val="0"/>
                    <w:snapToGrid w:val="0"/>
                    <w:jc w:val="center"/>
                    <w:rPr>
                      <w:rFonts w:hint="default" w:ascii="Times New Roman" w:hAnsi="Times New Roman" w:eastAsia="宋体" w:cs="Times New Roman"/>
                      <w:b/>
                      <w:color w:val="auto"/>
                      <w:kern w:val="0"/>
                      <w:sz w:val="21"/>
                      <w:szCs w:val="21"/>
                      <w:lang w:val="en-US" w:eastAsia="zh-CN"/>
                    </w:rPr>
                  </w:pPr>
                  <w:r>
                    <w:rPr>
                      <w:rFonts w:hint="default" w:ascii="Times New Roman" w:hAnsi="Times New Roman" w:eastAsia="宋体" w:cs="Times New Roman"/>
                      <w:b/>
                      <w:color w:val="auto"/>
                      <w:kern w:val="0"/>
                      <w:sz w:val="21"/>
                      <w:szCs w:val="21"/>
                      <w:lang w:val="en-US" w:eastAsia="zh-CN"/>
                    </w:rPr>
                    <w:t>危废特性</w:t>
                  </w:r>
                </w:p>
              </w:tc>
              <w:tc>
                <w:tcPr>
                  <w:tcW w:w="387" w:type="pct"/>
                  <w:noWrap w:val="0"/>
                  <w:vAlign w:val="center"/>
                </w:tcPr>
                <w:p w14:paraId="0BA3FB3F">
                  <w:pPr>
                    <w:autoSpaceDE w:val="0"/>
                    <w:autoSpaceDN w:val="0"/>
                    <w:adjustRightInd w:val="0"/>
                    <w:snapToGrid w:val="0"/>
                    <w:jc w:val="center"/>
                    <w:rPr>
                      <w:rFonts w:hint="default" w:ascii="Times New Roman" w:hAnsi="Times New Roman" w:eastAsia="宋体" w:cs="Times New Roman"/>
                      <w:b/>
                      <w:color w:val="auto"/>
                      <w:kern w:val="0"/>
                      <w:sz w:val="21"/>
                      <w:szCs w:val="21"/>
                      <w:lang w:val="en-US" w:eastAsia="zh-CN"/>
                    </w:rPr>
                  </w:pPr>
                  <w:r>
                    <w:rPr>
                      <w:rFonts w:hint="default" w:ascii="Times New Roman" w:hAnsi="Times New Roman" w:eastAsia="宋体" w:cs="Times New Roman"/>
                      <w:b/>
                      <w:color w:val="auto"/>
                      <w:kern w:val="0"/>
                      <w:sz w:val="21"/>
                      <w:szCs w:val="21"/>
                      <w:lang w:val="en-US" w:eastAsia="zh-CN"/>
                    </w:rPr>
                    <w:t>污染防治措施</w:t>
                  </w:r>
                </w:p>
              </w:tc>
            </w:tr>
            <w:tr w14:paraId="2400C3E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3" w:type="dxa"/>
                  <w:bottom w:w="0" w:type="dxa"/>
                  <w:right w:w="23" w:type="dxa"/>
                </w:tblCellMar>
              </w:tblPrEx>
              <w:trPr>
                <w:trHeight w:val="340" w:hRule="atLeast"/>
                <w:jc w:val="center"/>
              </w:trPr>
              <w:tc>
                <w:tcPr>
                  <w:tcW w:w="810" w:type="pct"/>
                  <w:noWrap w:val="0"/>
                  <w:vAlign w:val="center"/>
                </w:tcPr>
                <w:p w14:paraId="36D83E90">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废活性炭</w:t>
                  </w:r>
                </w:p>
              </w:tc>
              <w:tc>
                <w:tcPr>
                  <w:tcW w:w="361" w:type="pct"/>
                  <w:noWrap w:val="0"/>
                  <w:vAlign w:val="center"/>
                </w:tcPr>
                <w:p w14:paraId="2BE40D6D">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HW49</w:t>
                  </w:r>
                </w:p>
              </w:tc>
              <w:tc>
                <w:tcPr>
                  <w:tcW w:w="565" w:type="pct"/>
                  <w:shd w:val="clear" w:color="auto" w:fill="auto"/>
                  <w:noWrap w:val="0"/>
                  <w:vAlign w:val="center"/>
                </w:tcPr>
                <w:p w14:paraId="08A2F02C">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900-039-49</w:t>
                  </w:r>
                </w:p>
              </w:tc>
              <w:tc>
                <w:tcPr>
                  <w:tcW w:w="434" w:type="pct"/>
                  <w:shd w:val="clear" w:color="auto" w:fill="auto"/>
                  <w:noWrap w:val="0"/>
                  <w:vAlign w:val="center"/>
                </w:tcPr>
                <w:p w14:paraId="54CDD002">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8.76422</w:t>
                  </w:r>
                </w:p>
              </w:tc>
              <w:tc>
                <w:tcPr>
                  <w:tcW w:w="524" w:type="pct"/>
                  <w:shd w:val="clear" w:color="auto" w:fill="auto"/>
                  <w:noWrap w:val="0"/>
                  <w:vAlign w:val="center"/>
                </w:tcPr>
                <w:p w14:paraId="532FE870">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废气处理</w:t>
                  </w:r>
                </w:p>
              </w:tc>
              <w:tc>
                <w:tcPr>
                  <w:tcW w:w="274" w:type="pct"/>
                  <w:noWrap w:val="0"/>
                  <w:vAlign w:val="center"/>
                </w:tcPr>
                <w:p w14:paraId="4416C022">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固</w:t>
                  </w:r>
                  <w:r>
                    <w:rPr>
                      <w:rFonts w:hint="eastAsia" w:ascii="Times New Roman" w:hAnsi="Times New Roman" w:eastAsia="宋体" w:cs="Times New Roman"/>
                      <w:color w:val="auto"/>
                      <w:kern w:val="0"/>
                      <w:sz w:val="21"/>
                      <w:szCs w:val="21"/>
                      <w:highlight w:val="none"/>
                      <w:lang w:val="en-US" w:eastAsia="zh-CN"/>
                    </w:rPr>
                    <w:t>态</w:t>
                  </w:r>
                </w:p>
              </w:tc>
              <w:tc>
                <w:tcPr>
                  <w:tcW w:w="492" w:type="pct"/>
                  <w:noWrap w:val="0"/>
                  <w:vAlign w:val="center"/>
                </w:tcPr>
                <w:p w14:paraId="74925C5F">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废活性炭</w:t>
                  </w:r>
                </w:p>
              </w:tc>
              <w:tc>
                <w:tcPr>
                  <w:tcW w:w="434" w:type="pct"/>
                  <w:noWrap w:val="0"/>
                  <w:vAlign w:val="center"/>
                </w:tcPr>
                <w:p w14:paraId="55D6B765">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 xml:space="preserve">挥发性 </w:t>
                  </w:r>
                </w:p>
                <w:p w14:paraId="35C5B83F">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有机物</w:t>
                  </w:r>
                </w:p>
              </w:tc>
              <w:tc>
                <w:tcPr>
                  <w:tcW w:w="360" w:type="pct"/>
                  <w:noWrap w:val="0"/>
                  <w:vAlign w:val="center"/>
                </w:tcPr>
                <w:p w14:paraId="2FB41539">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3个月</w:t>
                  </w:r>
                  <w:r>
                    <w:rPr>
                      <w:rFonts w:hint="default" w:ascii="Times New Roman" w:hAnsi="Times New Roman" w:eastAsia="宋体" w:cs="Times New Roman"/>
                      <w:color w:val="auto"/>
                      <w:kern w:val="0"/>
                      <w:sz w:val="21"/>
                      <w:szCs w:val="21"/>
                      <w:highlight w:val="none"/>
                      <w:lang w:val="en-US" w:eastAsia="zh-CN"/>
                    </w:rPr>
                    <w:t>/次</w:t>
                  </w:r>
                </w:p>
              </w:tc>
              <w:tc>
                <w:tcPr>
                  <w:tcW w:w="356" w:type="pct"/>
                  <w:noWrap w:val="0"/>
                  <w:vAlign w:val="center"/>
                </w:tcPr>
                <w:p w14:paraId="71E8742E">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T</w:t>
                  </w:r>
                </w:p>
              </w:tc>
              <w:tc>
                <w:tcPr>
                  <w:tcW w:w="387" w:type="pct"/>
                  <w:vMerge w:val="restart"/>
                  <w:noWrap w:val="0"/>
                  <w:vAlign w:val="center"/>
                </w:tcPr>
                <w:p w14:paraId="64982051">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分类暂存于危废库，定期交由有资质单位处置</w:t>
                  </w:r>
                </w:p>
              </w:tc>
            </w:tr>
            <w:tr w14:paraId="2E264D1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3" w:type="dxa"/>
                  <w:bottom w:w="0" w:type="dxa"/>
                  <w:right w:w="23" w:type="dxa"/>
                </w:tblCellMar>
              </w:tblPrEx>
              <w:trPr>
                <w:trHeight w:val="340" w:hRule="atLeast"/>
                <w:jc w:val="center"/>
              </w:trPr>
              <w:tc>
                <w:tcPr>
                  <w:tcW w:w="810" w:type="pct"/>
                  <w:noWrap w:val="0"/>
                  <w:vAlign w:val="center"/>
                </w:tcPr>
                <w:p w14:paraId="07F71BD7">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废水处理污泥</w:t>
                  </w:r>
                </w:p>
              </w:tc>
              <w:tc>
                <w:tcPr>
                  <w:tcW w:w="361" w:type="pct"/>
                  <w:noWrap w:val="0"/>
                  <w:vAlign w:val="center"/>
                </w:tcPr>
                <w:p w14:paraId="2594D2D6">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HW49</w:t>
                  </w:r>
                </w:p>
              </w:tc>
              <w:tc>
                <w:tcPr>
                  <w:tcW w:w="565" w:type="pct"/>
                  <w:shd w:val="clear" w:color="auto" w:fill="auto"/>
                  <w:noWrap w:val="0"/>
                  <w:vAlign w:val="center"/>
                </w:tcPr>
                <w:p w14:paraId="740467E9">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772-006-49</w:t>
                  </w:r>
                </w:p>
              </w:tc>
              <w:tc>
                <w:tcPr>
                  <w:tcW w:w="434" w:type="pct"/>
                  <w:shd w:val="clear" w:color="auto" w:fill="auto"/>
                  <w:noWrap w:val="0"/>
                  <w:vAlign w:val="center"/>
                </w:tcPr>
                <w:p w14:paraId="049E9CF1">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0.13</w:t>
                  </w:r>
                </w:p>
              </w:tc>
              <w:tc>
                <w:tcPr>
                  <w:tcW w:w="524" w:type="pct"/>
                  <w:shd w:val="clear" w:color="auto" w:fill="auto"/>
                  <w:noWrap w:val="0"/>
                  <w:vAlign w:val="center"/>
                </w:tcPr>
                <w:p w14:paraId="20FE3067">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废水处理</w:t>
                  </w:r>
                </w:p>
              </w:tc>
              <w:tc>
                <w:tcPr>
                  <w:tcW w:w="274" w:type="pct"/>
                  <w:noWrap w:val="0"/>
                  <w:vAlign w:val="center"/>
                </w:tcPr>
                <w:p w14:paraId="7741E268">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固</w:t>
                  </w:r>
                  <w:r>
                    <w:rPr>
                      <w:rFonts w:hint="eastAsia" w:ascii="Times New Roman" w:hAnsi="Times New Roman" w:eastAsia="宋体" w:cs="Times New Roman"/>
                      <w:color w:val="auto"/>
                      <w:kern w:val="0"/>
                      <w:sz w:val="21"/>
                      <w:szCs w:val="21"/>
                      <w:highlight w:val="none"/>
                      <w:lang w:val="en-US" w:eastAsia="zh-CN"/>
                    </w:rPr>
                    <w:t>态</w:t>
                  </w:r>
                </w:p>
              </w:tc>
              <w:tc>
                <w:tcPr>
                  <w:tcW w:w="492" w:type="pct"/>
                  <w:noWrap w:val="0"/>
                  <w:vAlign w:val="center"/>
                </w:tcPr>
                <w:p w14:paraId="10F981DD">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污泥</w:t>
                  </w:r>
                </w:p>
              </w:tc>
              <w:tc>
                <w:tcPr>
                  <w:tcW w:w="434" w:type="pct"/>
                  <w:noWrap w:val="0"/>
                  <w:vAlign w:val="center"/>
                </w:tcPr>
                <w:p w14:paraId="2C87AA93">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污泥</w:t>
                  </w:r>
                </w:p>
              </w:tc>
              <w:tc>
                <w:tcPr>
                  <w:tcW w:w="360" w:type="pct"/>
                  <w:noWrap w:val="0"/>
                  <w:vAlign w:val="center"/>
                </w:tcPr>
                <w:p w14:paraId="473046C9">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月/次</w:t>
                  </w:r>
                </w:p>
              </w:tc>
              <w:tc>
                <w:tcPr>
                  <w:tcW w:w="356" w:type="pct"/>
                  <w:noWrap w:val="0"/>
                  <w:vAlign w:val="center"/>
                </w:tcPr>
                <w:p w14:paraId="2A3A7DED">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color w:val="auto"/>
                      <w:kern w:val="0"/>
                      <w:sz w:val="21"/>
                      <w:szCs w:val="21"/>
                    </w:rPr>
                    <w:t>T/In</w:t>
                  </w:r>
                </w:p>
              </w:tc>
              <w:tc>
                <w:tcPr>
                  <w:tcW w:w="387" w:type="pct"/>
                  <w:vMerge w:val="continue"/>
                  <w:noWrap w:val="0"/>
                  <w:vAlign w:val="center"/>
                </w:tcPr>
                <w:p w14:paraId="5C093EF4">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r w14:paraId="130CE9A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3" w:type="dxa"/>
                  <w:bottom w:w="0" w:type="dxa"/>
                  <w:right w:w="23" w:type="dxa"/>
                </w:tblCellMar>
              </w:tblPrEx>
              <w:trPr>
                <w:trHeight w:val="340" w:hRule="atLeast"/>
                <w:jc w:val="center"/>
              </w:trPr>
              <w:tc>
                <w:tcPr>
                  <w:tcW w:w="810" w:type="pct"/>
                  <w:noWrap w:val="0"/>
                  <w:vAlign w:val="center"/>
                </w:tcPr>
                <w:p w14:paraId="43BAF794">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废机油</w:t>
                  </w:r>
                </w:p>
              </w:tc>
              <w:tc>
                <w:tcPr>
                  <w:tcW w:w="361" w:type="pct"/>
                  <w:noWrap w:val="0"/>
                  <w:vAlign w:val="center"/>
                </w:tcPr>
                <w:p w14:paraId="4FEAE831">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HW08</w:t>
                  </w:r>
                </w:p>
              </w:tc>
              <w:tc>
                <w:tcPr>
                  <w:tcW w:w="565" w:type="pct"/>
                  <w:noWrap w:val="0"/>
                  <w:vAlign w:val="center"/>
                </w:tcPr>
                <w:p w14:paraId="0A3BF2ED">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900-2</w:t>
                  </w:r>
                  <w:r>
                    <w:rPr>
                      <w:rFonts w:hint="eastAsia" w:ascii="Times New Roman" w:hAnsi="Times New Roman" w:eastAsia="宋体" w:cs="Times New Roman"/>
                      <w:color w:val="auto"/>
                      <w:kern w:val="0"/>
                      <w:sz w:val="21"/>
                      <w:szCs w:val="21"/>
                      <w:highlight w:val="none"/>
                      <w:lang w:val="en-US" w:eastAsia="zh-CN"/>
                    </w:rPr>
                    <w:t>49</w:t>
                  </w:r>
                  <w:r>
                    <w:rPr>
                      <w:rFonts w:hint="default" w:ascii="Times New Roman" w:hAnsi="Times New Roman" w:eastAsia="宋体" w:cs="Times New Roman"/>
                      <w:color w:val="auto"/>
                      <w:kern w:val="0"/>
                      <w:sz w:val="21"/>
                      <w:szCs w:val="21"/>
                      <w:highlight w:val="none"/>
                      <w:lang w:val="en-US" w:eastAsia="zh-CN"/>
                    </w:rPr>
                    <w:t>-08</w:t>
                  </w:r>
                </w:p>
              </w:tc>
              <w:tc>
                <w:tcPr>
                  <w:tcW w:w="434" w:type="pct"/>
                  <w:noWrap w:val="0"/>
                  <w:vAlign w:val="center"/>
                </w:tcPr>
                <w:p w14:paraId="3202DDA5">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0.01</w:t>
                  </w:r>
                </w:p>
              </w:tc>
              <w:tc>
                <w:tcPr>
                  <w:tcW w:w="524" w:type="pct"/>
                  <w:vMerge w:val="restart"/>
                  <w:noWrap w:val="0"/>
                  <w:vAlign w:val="center"/>
                </w:tcPr>
                <w:p w14:paraId="576C1BB6">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设备维护</w:t>
                  </w:r>
                </w:p>
              </w:tc>
              <w:tc>
                <w:tcPr>
                  <w:tcW w:w="274" w:type="pct"/>
                  <w:noWrap w:val="0"/>
                  <w:vAlign w:val="center"/>
                </w:tcPr>
                <w:p w14:paraId="4BC2DA63">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液</w:t>
                  </w:r>
                  <w:r>
                    <w:rPr>
                      <w:rFonts w:hint="eastAsia" w:ascii="Times New Roman" w:hAnsi="Times New Roman" w:eastAsia="宋体" w:cs="Times New Roman"/>
                      <w:color w:val="auto"/>
                      <w:kern w:val="0"/>
                      <w:sz w:val="21"/>
                      <w:szCs w:val="21"/>
                      <w:highlight w:val="none"/>
                      <w:lang w:val="en-US" w:eastAsia="zh-CN"/>
                    </w:rPr>
                    <w:t>态</w:t>
                  </w:r>
                </w:p>
              </w:tc>
              <w:tc>
                <w:tcPr>
                  <w:tcW w:w="492" w:type="pct"/>
                  <w:noWrap w:val="0"/>
                  <w:vAlign w:val="center"/>
                </w:tcPr>
                <w:p w14:paraId="355C14AF">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矿物油</w:t>
                  </w:r>
                </w:p>
              </w:tc>
              <w:tc>
                <w:tcPr>
                  <w:tcW w:w="434" w:type="pct"/>
                  <w:noWrap w:val="0"/>
                  <w:vAlign w:val="center"/>
                </w:tcPr>
                <w:p w14:paraId="4023E549">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矿物油</w:t>
                  </w:r>
                </w:p>
              </w:tc>
              <w:tc>
                <w:tcPr>
                  <w:tcW w:w="360" w:type="pct"/>
                  <w:noWrap w:val="0"/>
                  <w:vAlign w:val="center"/>
                </w:tcPr>
                <w:p w14:paraId="1C447F71">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年/次</w:t>
                  </w:r>
                </w:p>
              </w:tc>
              <w:tc>
                <w:tcPr>
                  <w:tcW w:w="356" w:type="pct"/>
                  <w:noWrap w:val="0"/>
                  <w:vAlign w:val="center"/>
                </w:tcPr>
                <w:p w14:paraId="21EB6E1D">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color w:val="auto"/>
                      <w:kern w:val="0"/>
                      <w:sz w:val="21"/>
                      <w:szCs w:val="21"/>
                    </w:rPr>
                    <w:t>T</w:t>
                  </w:r>
                  <w:r>
                    <w:rPr>
                      <w:rFonts w:hint="eastAsia"/>
                      <w:color w:val="auto"/>
                      <w:kern w:val="0"/>
                      <w:sz w:val="21"/>
                      <w:szCs w:val="21"/>
                      <w:lang w:val="en-US" w:eastAsia="zh-CN"/>
                    </w:rPr>
                    <w:t>，</w:t>
                  </w:r>
                  <w:r>
                    <w:rPr>
                      <w:color w:val="auto"/>
                      <w:kern w:val="0"/>
                      <w:sz w:val="21"/>
                      <w:szCs w:val="21"/>
                    </w:rPr>
                    <w:t>I</w:t>
                  </w:r>
                </w:p>
              </w:tc>
              <w:tc>
                <w:tcPr>
                  <w:tcW w:w="387" w:type="pct"/>
                  <w:vMerge w:val="continue"/>
                  <w:noWrap w:val="0"/>
                  <w:vAlign w:val="center"/>
                </w:tcPr>
                <w:p w14:paraId="7B5BA8EA">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r w14:paraId="0EB1378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3" w:type="dxa"/>
                  <w:bottom w:w="0" w:type="dxa"/>
                  <w:right w:w="23" w:type="dxa"/>
                </w:tblCellMar>
              </w:tblPrEx>
              <w:trPr>
                <w:trHeight w:val="340" w:hRule="atLeast"/>
                <w:jc w:val="center"/>
              </w:trPr>
              <w:tc>
                <w:tcPr>
                  <w:tcW w:w="810" w:type="pct"/>
                  <w:noWrap w:val="0"/>
                  <w:vAlign w:val="center"/>
                </w:tcPr>
                <w:p w14:paraId="268E92E0">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含油棉纱手套、抹布</w:t>
                  </w:r>
                </w:p>
              </w:tc>
              <w:tc>
                <w:tcPr>
                  <w:tcW w:w="361" w:type="pct"/>
                  <w:noWrap w:val="0"/>
                  <w:vAlign w:val="center"/>
                </w:tcPr>
                <w:p w14:paraId="3C8399E8">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HW49</w:t>
                  </w:r>
                </w:p>
              </w:tc>
              <w:tc>
                <w:tcPr>
                  <w:tcW w:w="565" w:type="pct"/>
                  <w:noWrap w:val="0"/>
                  <w:vAlign w:val="center"/>
                </w:tcPr>
                <w:p w14:paraId="2011521D">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900-041-49</w:t>
                  </w:r>
                </w:p>
              </w:tc>
              <w:tc>
                <w:tcPr>
                  <w:tcW w:w="434" w:type="pct"/>
                  <w:noWrap w:val="0"/>
                  <w:vAlign w:val="center"/>
                </w:tcPr>
                <w:p w14:paraId="42313346">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0.01</w:t>
                  </w:r>
                </w:p>
              </w:tc>
              <w:tc>
                <w:tcPr>
                  <w:tcW w:w="524" w:type="pct"/>
                  <w:vMerge w:val="continue"/>
                  <w:noWrap w:val="0"/>
                  <w:vAlign w:val="center"/>
                </w:tcPr>
                <w:p w14:paraId="7BBA4C74">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p>
              </w:tc>
              <w:tc>
                <w:tcPr>
                  <w:tcW w:w="274" w:type="pct"/>
                  <w:noWrap w:val="0"/>
                  <w:vAlign w:val="center"/>
                </w:tcPr>
                <w:p w14:paraId="0E06AE22">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固</w:t>
                  </w:r>
                  <w:r>
                    <w:rPr>
                      <w:rFonts w:hint="eastAsia" w:ascii="Times New Roman" w:hAnsi="Times New Roman" w:eastAsia="宋体" w:cs="Times New Roman"/>
                      <w:color w:val="auto"/>
                      <w:kern w:val="0"/>
                      <w:sz w:val="21"/>
                      <w:szCs w:val="21"/>
                      <w:highlight w:val="none"/>
                      <w:lang w:val="en-US" w:eastAsia="zh-CN"/>
                    </w:rPr>
                    <w:t>态</w:t>
                  </w:r>
                </w:p>
              </w:tc>
              <w:tc>
                <w:tcPr>
                  <w:tcW w:w="492" w:type="pct"/>
                  <w:noWrap w:val="0"/>
                  <w:vAlign w:val="center"/>
                </w:tcPr>
                <w:p w14:paraId="5EEEE9D1">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手套、抹布</w:t>
                  </w:r>
                </w:p>
              </w:tc>
              <w:tc>
                <w:tcPr>
                  <w:tcW w:w="434" w:type="pct"/>
                  <w:noWrap w:val="0"/>
                  <w:vAlign w:val="center"/>
                </w:tcPr>
                <w:p w14:paraId="28379239">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矿物油</w:t>
                  </w:r>
                </w:p>
              </w:tc>
              <w:tc>
                <w:tcPr>
                  <w:tcW w:w="360" w:type="pct"/>
                  <w:noWrap w:val="0"/>
                  <w:vAlign w:val="center"/>
                </w:tcPr>
                <w:p w14:paraId="3360CE52">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年/次</w:t>
                  </w:r>
                </w:p>
              </w:tc>
              <w:tc>
                <w:tcPr>
                  <w:tcW w:w="356" w:type="pct"/>
                  <w:noWrap w:val="0"/>
                  <w:vAlign w:val="center"/>
                </w:tcPr>
                <w:p w14:paraId="64BE83DD">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color w:val="auto"/>
                      <w:kern w:val="0"/>
                      <w:sz w:val="21"/>
                      <w:szCs w:val="21"/>
                    </w:rPr>
                    <w:t>T/In</w:t>
                  </w:r>
                </w:p>
              </w:tc>
              <w:tc>
                <w:tcPr>
                  <w:tcW w:w="387" w:type="pct"/>
                  <w:vMerge w:val="continue"/>
                  <w:noWrap w:val="0"/>
                  <w:vAlign w:val="center"/>
                </w:tcPr>
                <w:p w14:paraId="3D87E70B">
                  <w:pPr>
                    <w:keepNext w:val="0"/>
                    <w:keepLines w:val="0"/>
                    <w:pageBreakBefore w:val="0"/>
                    <w:widowControl w:val="0"/>
                    <w:kinsoku/>
                    <w:wordWrap/>
                    <w:overflowPunct/>
                    <w:topLinePunct w:val="0"/>
                    <w:autoSpaceDE w:val="0"/>
                    <w:autoSpaceDN w:val="0"/>
                    <w:bidi w:val="0"/>
                    <w:adjustRightInd w:val="0"/>
                    <w:spacing w:line="360" w:lineRule="auto"/>
                    <w:ind w:left="0" w:right="0" w:firstLine="420" w:firstLineChars="200"/>
                    <w:jc w:val="both"/>
                    <w:textAlignment w:val="auto"/>
                    <w:rPr>
                      <w:rFonts w:hint="default" w:ascii="Times New Roman" w:hAnsi="Times New Roman" w:eastAsia="宋体" w:cs="Times New Roman"/>
                      <w:color w:val="auto"/>
                      <w:kern w:val="2"/>
                      <w:sz w:val="21"/>
                      <w:szCs w:val="21"/>
                      <w:highlight w:val="none"/>
                      <w:lang w:val="en-US" w:eastAsia="zh-CN" w:bidi="ar-SA"/>
                    </w:rPr>
                  </w:pPr>
                </w:p>
              </w:tc>
            </w:tr>
            <w:tr w14:paraId="00D4FE7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3" w:type="dxa"/>
                  <w:bottom w:w="0" w:type="dxa"/>
                  <w:right w:w="23" w:type="dxa"/>
                </w:tblCellMar>
              </w:tblPrEx>
              <w:trPr>
                <w:trHeight w:val="340" w:hRule="atLeast"/>
                <w:jc w:val="center"/>
              </w:trPr>
              <w:tc>
                <w:tcPr>
                  <w:tcW w:w="810" w:type="pct"/>
                  <w:noWrap w:val="0"/>
                  <w:vAlign w:val="center"/>
                </w:tcPr>
                <w:p w14:paraId="045B8D60">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沾染危险物质的废包装材料</w:t>
                  </w:r>
                </w:p>
              </w:tc>
              <w:tc>
                <w:tcPr>
                  <w:tcW w:w="361" w:type="pct"/>
                  <w:noWrap w:val="0"/>
                  <w:vAlign w:val="center"/>
                </w:tcPr>
                <w:p w14:paraId="01ADF6E2">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HW49</w:t>
                  </w:r>
                </w:p>
              </w:tc>
              <w:tc>
                <w:tcPr>
                  <w:tcW w:w="565" w:type="pct"/>
                  <w:noWrap w:val="0"/>
                  <w:vAlign w:val="center"/>
                </w:tcPr>
                <w:p w14:paraId="4969E55C">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900-041-49</w:t>
                  </w:r>
                </w:p>
              </w:tc>
              <w:tc>
                <w:tcPr>
                  <w:tcW w:w="434" w:type="pct"/>
                  <w:noWrap w:val="0"/>
                  <w:vAlign w:val="center"/>
                </w:tcPr>
                <w:p w14:paraId="59FFBFE6">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0.0</w:t>
                  </w:r>
                  <w:r>
                    <w:rPr>
                      <w:rFonts w:hint="eastAsia" w:ascii="Times New Roman" w:hAnsi="Times New Roman" w:eastAsia="宋体" w:cs="Times New Roman"/>
                      <w:color w:val="auto"/>
                      <w:kern w:val="0"/>
                      <w:sz w:val="21"/>
                      <w:szCs w:val="21"/>
                      <w:highlight w:val="none"/>
                      <w:lang w:val="en-US" w:eastAsia="zh-CN"/>
                    </w:rPr>
                    <w:t>1</w:t>
                  </w:r>
                </w:p>
              </w:tc>
              <w:tc>
                <w:tcPr>
                  <w:tcW w:w="524" w:type="pct"/>
                  <w:noWrap w:val="0"/>
                  <w:vAlign w:val="center"/>
                </w:tcPr>
                <w:p w14:paraId="6FB172A0">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原辅材料使用</w:t>
                  </w:r>
                </w:p>
              </w:tc>
              <w:tc>
                <w:tcPr>
                  <w:tcW w:w="274" w:type="pct"/>
                  <w:noWrap w:val="0"/>
                  <w:vAlign w:val="center"/>
                </w:tcPr>
                <w:p w14:paraId="07A8933E">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固</w:t>
                  </w:r>
                  <w:r>
                    <w:rPr>
                      <w:rFonts w:hint="eastAsia" w:ascii="Times New Roman" w:hAnsi="Times New Roman" w:eastAsia="宋体" w:cs="Times New Roman"/>
                      <w:color w:val="auto"/>
                      <w:kern w:val="0"/>
                      <w:sz w:val="21"/>
                      <w:szCs w:val="21"/>
                      <w:highlight w:val="none"/>
                      <w:lang w:val="en-US" w:eastAsia="zh-CN"/>
                    </w:rPr>
                    <w:t>态</w:t>
                  </w:r>
                </w:p>
              </w:tc>
              <w:tc>
                <w:tcPr>
                  <w:tcW w:w="492" w:type="pct"/>
                  <w:noWrap w:val="0"/>
                  <w:vAlign w:val="center"/>
                </w:tcPr>
                <w:p w14:paraId="4C366D58">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c>
                <w:tcPr>
                  <w:tcW w:w="434" w:type="pct"/>
                  <w:noWrap w:val="0"/>
                  <w:vAlign w:val="center"/>
                </w:tcPr>
                <w:p w14:paraId="27233841">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电解液/废机油</w:t>
                  </w:r>
                </w:p>
              </w:tc>
              <w:tc>
                <w:tcPr>
                  <w:tcW w:w="360" w:type="pct"/>
                  <w:noWrap w:val="0"/>
                  <w:vAlign w:val="center"/>
                </w:tcPr>
                <w:p w14:paraId="69AE1661">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周/次</w:t>
                  </w:r>
                </w:p>
              </w:tc>
              <w:tc>
                <w:tcPr>
                  <w:tcW w:w="356" w:type="pct"/>
                  <w:noWrap w:val="0"/>
                  <w:vAlign w:val="center"/>
                </w:tcPr>
                <w:p w14:paraId="6E3370C7">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color w:val="auto"/>
                      <w:kern w:val="0"/>
                      <w:sz w:val="21"/>
                      <w:szCs w:val="21"/>
                    </w:rPr>
                    <w:t>T/In</w:t>
                  </w:r>
                </w:p>
              </w:tc>
              <w:tc>
                <w:tcPr>
                  <w:tcW w:w="387" w:type="pct"/>
                  <w:vMerge w:val="continue"/>
                  <w:noWrap w:val="0"/>
                  <w:vAlign w:val="center"/>
                </w:tcPr>
                <w:p w14:paraId="3265407F">
                  <w:pPr>
                    <w:keepNext w:val="0"/>
                    <w:keepLines w:val="0"/>
                    <w:pageBreakBefore w:val="0"/>
                    <w:widowControl w:val="0"/>
                    <w:kinsoku/>
                    <w:wordWrap/>
                    <w:overflowPunct/>
                    <w:topLinePunct w:val="0"/>
                    <w:autoSpaceDE w:val="0"/>
                    <w:autoSpaceDN w:val="0"/>
                    <w:bidi w:val="0"/>
                    <w:adjustRightInd w:val="0"/>
                    <w:spacing w:line="360" w:lineRule="auto"/>
                    <w:ind w:left="0" w:right="0" w:firstLine="420" w:firstLineChars="200"/>
                    <w:jc w:val="both"/>
                    <w:textAlignment w:val="auto"/>
                    <w:rPr>
                      <w:rFonts w:hint="default" w:ascii="Times New Roman" w:hAnsi="Times New Roman" w:eastAsia="宋体" w:cs="Times New Roman"/>
                      <w:color w:val="auto"/>
                      <w:kern w:val="2"/>
                      <w:sz w:val="21"/>
                      <w:szCs w:val="21"/>
                      <w:highlight w:val="none"/>
                      <w:lang w:val="en-US" w:eastAsia="zh-CN" w:bidi="ar-SA"/>
                    </w:rPr>
                  </w:pPr>
                </w:p>
              </w:tc>
            </w:tr>
            <w:tr w14:paraId="68534FE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3" w:type="dxa"/>
                  <w:bottom w:w="0" w:type="dxa"/>
                  <w:right w:w="23" w:type="dxa"/>
                </w:tblCellMar>
              </w:tblPrEx>
              <w:trPr>
                <w:trHeight w:val="340" w:hRule="atLeast"/>
                <w:jc w:val="center"/>
              </w:trPr>
              <w:tc>
                <w:tcPr>
                  <w:tcW w:w="810" w:type="pct"/>
                  <w:noWrap w:val="0"/>
                  <w:vAlign w:val="center"/>
                </w:tcPr>
                <w:p w14:paraId="47D74F0A">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废电解液</w:t>
                  </w:r>
                </w:p>
              </w:tc>
              <w:tc>
                <w:tcPr>
                  <w:tcW w:w="361" w:type="pct"/>
                  <w:noWrap w:val="0"/>
                  <w:vAlign w:val="center"/>
                </w:tcPr>
                <w:p w14:paraId="0D0CCF7B">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HW49</w:t>
                  </w:r>
                </w:p>
              </w:tc>
              <w:tc>
                <w:tcPr>
                  <w:tcW w:w="565" w:type="pct"/>
                  <w:noWrap w:val="0"/>
                  <w:vAlign w:val="center"/>
                </w:tcPr>
                <w:p w14:paraId="1608B960">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900-04</w:t>
                  </w:r>
                  <w:r>
                    <w:rPr>
                      <w:rFonts w:hint="eastAsia" w:ascii="Times New Roman" w:hAnsi="Times New Roman" w:eastAsia="宋体" w:cs="Times New Roman"/>
                      <w:color w:val="auto"/>
                      <w:kern w:val="0"/>
                      <w:sz w:val="21"/>
                      <w:szCs w:val="21"/>
                      <w:highlight w:val="none"/>
                      <w:lang w:val="en-US" w:eastAsia="zh-CN"/>
                    </w:rPr>
                    <w:t>5</w:t>
                  </w:r>
                  <w:r>
                    <w:rPr>
                      <w:rFonts w:hint="default" w:ascii="Times New Roman" w:hAnsi="Times New Roman" w:eastAsia="宋体" w:cs="Times New Roman"/>
                      <w:color w:val="auto"/>
                      <w:kern w:val="0"/>
                      <w:sz w:val="21"/>
                      <w:szCs w:val="21"/>
                      <w:highlight w:val="none"/>
                      <w:lang w:val="en-US" w:eastAsia="zh-CN"/>
                    </w:rPr>
                    <w:t>-49</w:t>
                  </w:r>
                </w:p>
              </w:tc>
              <w:tc>
                <w:tcPr>
                  <w:tcW w:w="434" w:type="pct"/>
                  <w:noWrap w:val="0"/>
                  <w:vAlign w:val="center"/>
                </w:tcPr>
                <w:p w14:paraId="44C0B4F9">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0.004</w:t>
                  </w:r>
                </w:p>
              </w:tc>
              <w:tc>
                <w:tcPr>
                  <w:tcW w:w="524" w:type="pct"/>
                  <w:noWrap w:val="0"/>
                  <w:vAlign w:val="center"/>
                </w:tcPr>
                <w:p w14:paraId="6003ACAB">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注液</w:t>
                  </w:r>
                  <w:r>
                    <w:rPr>
                      <w:rFonts w:hint="eastAsia" w:cs="Times New Roman"/>
                      <w:color w:val="auto"/>
                      <w:kern w:val="0"/>
                      <w:sz w:val="21"/>
                      <w:szCs w:val="21"/>
                      <w:highlight w:val="none"/>
                      <w:lang w:val="en-US" w:eastAsia="zh-CN"/>
                    </w:rPr>
                    <w:t>、拆解</w:t>
                  </w:r>
                </w:p>
              </w:tc>
              <w:tc>
                <w:tcPr>
                  <w:tcW w:w="274" w:type="pct"/>
                  <w:noWrap w:val="0"/>
                  <w:vAlign w:val="center"/>
                </w:tcPr>
                <w:p w14:paraId="31387416">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液</w:t>
                  </w:r>
                  <w:r>
                    <w:rPr>
                      <w:rFonts w:hint="eastAsia" w:ascii="Times New Roman" w:hAnsi="Times New Roman" w:eastAsia="宋体" w:cs="Times New Roman"/>
                      <w:color w:val="auto"/>
                      <w:kern w:val="0"/>
                      <w:sz w:val="21"/>
                      <w:szCs w:val="21"/>
                      <w:highlight w:val="none"/>
                      <w:lang w:val="en-US" w:eastAsia="zh-CN"/>
                    </w:rPr>
                    <w:t>态</w:t>
                  </w:r>
                </w:p>
              </w:tc>
              <w:tc>
                <w:tcPr>
                  <w:tcW w:w="492" w:type="pct"/>
                  <w:noWrap w:val="0"/>
                  <w:vAlign w:val="center"/>
                </w:tcPr>
                <w:p w14:paraId="195D4AFD">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c>
                <w:tcPr>
                  <w:tcW w:w="434" w:type="pct"/>
                  <w:noWrap w:val="0"/>
                  <w:vAlign w:val="center"/>
                </w:tcPr>
                <w:p w14:paraId="24526F9B">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电解液</w:t>
                  </w:r>
                </w:p>
              </w:tc>
              <w:tc>
                <w:tcPr>
                  <w:tcW w:w="360" w:type="pct"/>
                  <w:noWrap w:val="0"/>
                  <w:vAlign w:val="center"/>
                </w:tcPr>
                <w:p w14:paraId="12A3ABFA">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周/次</w:t>
                  </w:r>
                </w:p>
              </w:tc>
              <w:tc>
                <w:tcPr>
                  <w:tcW w:w="356" w:type="pct"/>
                  <w:noWrap w:val="0"/>
                  <w:vAlign w:val="center"/>
                </w:tcPr>
                <w:p w14:paraId="6575E1BD">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T</w:t>
                  </w:r>
                </w:p>
              </w:tc>
              <w:tc>
                <w:tcPr>
                  <w:tcW w:w="387" w:type="pct"/>
                  <w:vMerge w:val="continue"/>
                  <w:noWrap w:val="0"/>
                  <w:vAlign w:val="center"/>
                </w:tcPr>
                <w:p w14:paraId="6F610692">
                  <w:pPr>
                    <w:keepNext w:val="0"/>
                    <w:keepLines w:val="0"/>
                    <w:pageBreakBefore w:val="0"/>
                    <w:widowControl w:val="0"/>
                    <w:kinsoku/>
                    <w:wordWrap/>
                    <w:overflowPunct/>
                    <w:topLinePunct w:val="0"/>
                    <w:autoSpaceDE w:val="0"/>
                    <w:autoSpaceDN w:val="0"/>
                    <w:bidi w:val="0"/>
                    <w:adjustRightInd w:val="0"/>
                    <w:spacing w:line="360" w:lineRule="auto"/>
                    <w:ind w:left="0" w:right="0" w:firstLine="420" w:firstLineChars="200"/>
                    <w:jc w:val="both"/>
                    <w:textAlignment w:val="auto"/>
                    <w:rPr>
                      <w:rFonts w:hint="default" w:ascii="Times New Roman" w:hAnsi="Times New Roman" w:eastAsia="宋体" w:cs="Times New Roman"/>
                      <w:color w:val="auto"/>
                      <w:kern w:val="2"/>
                      <w:sz w:val="21"/>
                      <w:szCs w:val="21"/>
                      <w:highlight w:val="none"/>
                      <w:lang w:val="en-US" w:eastAsia="zh-CN" w:bidi="ar-SA"/>
                    </w:rPr>
                  </w:pPr>
                </w:p>
              </w:tc>
            </w:tr>
            <w:tr w14:paraId="55468CD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3" w:type="dxa"/>
                  <w:bottom w:w="0" w:type="dxa"/>
                  <w:right w:w="23" w:type="dxa"/>
                </w:tblCellMar>
              </w:tblPrEx>
              <w:trPr>
                <w:trHeight w:val="340" w:hRule="atLeast"/>
                <w:jc w:val="center"/>
              </w:trPr>
              <w:tc>
                <w:tcPr>
                  <w:tcW w:w="810" w:type="pct"/>
                  <w:noWrap w:val="0"/>
                  <w:vAlign w:val="center"/>
                </w:tcPr>
                <w:p w14:paraId="79127B30">
                  <w:pPr>
                    <w:autoSpaceDE w:val="0"/>
                    <w:autoSpaceDN w:val="0"/>
                    <w:adjustRightInd w:val="0"/>
                    <w:snapToGrid w:val="0"/>
                    <w:jc w:val="center"/>
                    <w:rPr>
                      <w:rFonts w:hint="default"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废沸石转轮</w:t>
                  </w:r>
                </w:p>
              </w:tc>
              <w:tc>
                <w:tcPr>
                  <w:tcW w:w="361" w:type="pct"/>
                  <w:noWrap w:val="0"/>
                  <w:vAlign w:val="center"/>
                </w:tcPr>
                <w:p w14:paraId="59D0EBC6">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HW49</w:t>
                  </w:r>
                </w:p>
              </w:tc>
              <w:tc>
                <w:tcPr>
                  <w:tcW w:w="565" w:type="pct"/>
                  <w:noWrap w:val="0"/>
                  <w:vAlign w:val="center"/>
                </w:tcPr>
                <w:p w14:paraId="588D5961">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900-04</w:t>
                  </w:r>
                  <w:r>
                    <w:rPr>
                      <w:rFonts w:hint="eastAsia" w:ascii="Times New Roman" w:hAnsi="Times New Roman" w:eastAsia="宋体" w:cs="Times New Roman"/>
                      <w:color w:val="auto"/>
                      <w:kern w:val="0"/>
                      <w:sz w:val="21"/>
                      <w:szCs w:val="21"/>
                      <w:highlight w:val="none"/>
                      <w:lang w:val="en-US" w:eastAsia="zh-CN"/>
                    </w:rPr>
                    <w:t>1</w:t>
                  </w:r>
                  <w:r>
                    <w:rPr>
                      <w:rFonts w:hint="default" w:ascii="Times New Roman" w:hAnsi="Times New Roman" w:eastAsia="宋体" w:cs="Times New Roman"/>
                      <w:color w:val="auto"/>
                      <w:kern w:val="0"/>
                      <w:sz w:val="21"/>
                      <w:szCs w:val="21"/>
                      <w:highlight w:val="none"/>
                      <w:lang w:val="en-US" w:eastAsia="zh-CN"/>
                    </w:rPr>
                    <w:t>-49</w:t>
                  </w:r>
                </w:p>
              </w:tc>
              <w:tc>
                <w:tcPr>
                  <w:tcW w:w="434" w:type="pct"/>
                  <w:noWrap w:val="0"/>
                  <w:vAlign w:val="center"/>
                </w:tcPr>
                <w:p w14:paraId="32300CD7">
                  <w:pPr>
                    <w:autoSpaceDE w:val="0"/>
                    <w:autoSpaceDN w:val="0"/>
                    <w:adjustRightInd w:val="0"/>
                    <w:snapToGrid w:val="0"/>
                    <w:jc w:val="center"/>
                    <w:rPr>
                      <w:rFonts w:hint="default"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1</w:t>
                  </w:r>
                </w:p>
              </w:tc>
              <w:tc>
                <w:tcPr>
                  <w:tcW w:w="524" w:type="pct"/>
                  <w:noWrap w:val="0"/>
                  <w:vAlign w:val="center"/>
                </w:tcPr>
                <w:p w14:paraId="0269A997">
                  <w:pPr>
                    <w:autoSpaceDE w:val="0"/>
                    <w:autoSpaceDN w:val="0"/>
                    <w:adjustRightInd w:val="0"/>
                    <w:snapToGrid w:val="0"/>
                    <w:jc w:val="center"/>
                    <w:rPr>
                      <w:rFonts w:hint="default"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NMP回收</w:t>
                  </w:r>
                </w:p>
              </w:tc>
              <w:tc>
                <w:tcPr>
                  <w:tcW w:w="274" w:type="pct"/>
                  <w:noWrap w:val="0"/>
                  <w:vAlign w:val="center"/>
                </w:tcPr>
                <w:p w14:paraId="2EA330B1">
                  <w:pPr>
                    <w:autoSpaceDE w:val="0"/>
                    <w:autoSpaceDN w:val="0"/>
                    <w:adjustRightInd w:val="0"/>
                    <w:snapToGrid w:val="0"/>
                    <w:jc w:val="center"/>
                    <w:rPr>
                      <w:rFonts w:hint="default"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固态</w:t>
                  </w:r>
                </w:p>
              </w:tc>
              <w:tc>
                <w:tcPr>
                  <w:tcW w:w="492" w:type="pct"/>
                  <w:noWrap w:val="0"/>
                  <w:vAlign w:val="center"/>
                </w:tcPr>
                <w:p w14:paraId="6F92C363">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w:t>
                  </w:r>
                </w:p>
              </w:tc>
              <w:tc>
                <w:tcPr>
                  <w:tcW w:w="434" w:type="pct"/>
                  <w:noWrap w:val="0"/>
                  <w:vAlign w:val="center"/>
                </w:tcPr>
                <w:p w14:paraId="4F91C839">
                  <w:pPr>
                    <w:autoSpaceDE w:val="0"/>
                    <w:autoSpaceDN w:val="0"/>
                    <w:adjustRightInd w:val="0"/>
                    <w:snapToGrid w:val="0"/>
                    <w:jc w:val="center"/>
                    <w:rPr>
                      <w:rFonts w:hint="eastAsia"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非甲烷总烃</w:t>
                  </w:r>
                </w:p>
              </w:tc>
              <w:tc>
                <w:tcPr>
                  <w:tcW w:w="360" w:type="pct"/>
                  <w:noWrap w:val="0"/>
                  <w:vAlign w:val="center"/>
                </w:tcPr>
                <w:p w14:paraId="6B8D0E69">
                  <w:pPr>
                    <w:autoSpaceDE w:val="0"/>
                    <w:autoSpaceDN w:val="0"/>
                    <w:adjustRightInd w:val="0"/>
                    <w:snapToGrid w:val="0"/>
                    <w:jc w:val="center"/>
                    <w:rPr>
                      <w:rFonts w:hint="default"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2年/次</w:t>
                  </w:r>
                </w:p>
              </w:tc>
              <w:tc>
                <w:tcPr>
                  <w:tcW w:w="356" w:type="pct"/>
                  <w:noWrap w:val="0"/>
                  <w:vAlign w:val="center"/>
                </w:tcPr>
                <w:p w14:paraId="2B87FE03">
                  <w:pPr>
                    <w:autoSpaceDE w:val="0"/>
                    <w:autoSpaceDN w:val="0"/>
                    <w:adjustRightInd w:val="0"/>
                    <w:snapToGrid w:val="0"/>
                    <w:jc w:val="center"/>
                    <w:rPr>
                      <w:rFonts w:hint="eastAsia"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T</w:t>
                  </w:r>
                </w:p>
              </w:tc>
              <w:tc>
                <w:tcPr>
                  <w:tcW w:w="387" w:type="pct"/>
                  <w:vMerge w:val="continue"/>
                  <w:noWrap w:val="0"/>
                  <w:vAlign w:val="center"/>
                </w:tcPr>
                <w:p w14:paraId="4CEAECE1">
                  <w:pPr>
                    <w:keepNext w:val="0"/>
                    <w:keepLines w:val="0"/>
                    <w:pageBreakBefore w:val="0"/>
                    <w:widowControl w:val="0"/>
                    <w:kinsoku/>
                    <w:wordWrap/>
                    <w:overflowPunct/>
                    <w:topLinePunct w:val="0"/>
                    <w:autoSpaceDE w:val="0"/>
                    <w:autoSpaceDN w:val="0"/>
                    <w:bidi w:val="0"/>
                    <w:adjustRightInd w:val="0"/>
                    <w:spacing w:line="360" w:lineRule="auto"/>
                    <w:ind w:left="0" w:right="0" w:firstLine="420" w:firstLineChars="200"/>
                    <w:jc w:val="both"/>
                    <w:textAlignment w:val="auto"/>
                    <w:rPr>
                      <w:rFonts w:hint="default" w:ascii="Times New Roman" w:hAnsi="Times New Roman" w:eastAsia="宋体" w:cs="Times New Roman"/>
                      <w:color w:val="auto"/>
                      <w:kern w:val="2"/>
                      <w:sz w:val="21"/>
                      <w:szCs w:val="21"/>
                      <w:highlight w:val="none"/>
                      <w:lang w:val="en-US" w:eastAsia="zh-CN" w:bidi="ar-SA"/>
                    </w:rPr>
                  </w:pPr>
                </w:p>
              </w:tc>
            </w:tr>
            <w:tr w14:paraId="556C5DC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3" w:type="dxa"/>
                  <w:bottom w:w="0" w:type="dxa"/>
                  <w:right w:w="23" w:type="dxa"/>
                </w:tblCellMar>
              </w:tblPrEx>
              <w:trPr>
                <w:trHeight w:val="340" w:hRule="atLeast"/>
                <w:jc w:val="center"/>
              </w:trPr>
              <w:tc>
                <w:tcPr>
                  <w:tcW w:w="810" w:type="pct"/>
                  <w:noWrap w:val="0"/>
                  <w:vAlign w:val="center"/>
                </w:tcPr>
                <w:p w14:paraId="3DC5E356">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沾染危险物质的废组件</w:t>
                  </w:r>
                </w:p>
              </w:tc>
              <w:tc>
                <w:tcPr>
                  <w:tcW w:w="361" w:type="pct"/>
                  <w:noWrap w:val="0"/>
                  <w:vAlign w:val="center"/>
                </w:tcPr>
                <w:p w14:paraId="7B6215D8">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HW49</w:t>
                  </w:r>
                </w:p>
              </w:tc>
              <w:tc>
                <w:tcPr>
                  <w:tcW w:w="565" w:type="pct"/>
                  <w:noWrap w:val="0"/>
                  <w:vAlign w:val="center"/>
                </w:tcPr>
                <w:p w14:paraId="712F1C5B">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900-04</w:t>
                  </w:r>
                  <w:r>
                    <w:rPr>
                      <w:rFonts w:hint="eastAsia" w:ascii="Times New Roman" w:hAnsi="Times New Roman" w:eastAsia="宋体" w:cs="Times New Roman"/>
                      <w:color w:val="auto"/>
                      <w:kern w:val="0"/>
                      <w:sz w:val="21"/>
                      <w:szCs w:val="21"/>
                      <w:highlight w:val="none"/>
                      <w:lang w:val="en-US" w:eastAsia="zh-CN"/>
                    </w:rPr>
                    <w:t>5</w:t>
                  </w:r>
                  <w:r>
                    <w:rPr>
                      <w:rFonts w:hint="default" w:ascii="Times New Roman" w:hAnsi="Times New Roman" w:eastAsia="宋体" w:cs="Times New Roman"/>
                      <w:color w:val="auto"/>
                      <w:kern w:val="0"/>
                      <w:sz w:val="21"/>
                      <w:szCs w:val="21"/>
                      <w:highlight w:val="none"/>
                      <w:lang w:val="en-US" w:eastAsia="zh-CN"/>
                    </w:rPr>
                    <w:t>-49</w:t>
                  </w:r>
                </w:p>
              </w:tc>
              <w:tc>
                <w:tcPr>
                  <w:tcW w:w="434" w:type="pct"/>
                  <w:noWrap w:val="0"/>
                  <w:vAlign w:val="center"/>
                </w:tcPr>
                <w:p w14:paraId="3AEE83E9">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0.003</w:t>
                  </w:r>
                </w:p>
              </w:tc>
              <w:tc>
                <w:tcPr>
                  <w:tcW w:w="524" w:type="pct"/>
                  <w:noWrap w:val="0"/>
                  <w:vAlign w:val="center"/>
                </w:tcPr>
                <w:p w14:paraId="31DE7067">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拆解</w:t>
                  </w:r>
                </w:p>
              </w:tc>
              <w:tc>
                <w:tcPr>
                  <w:tcW w:w="274" w:type="pct"/>
                  <w:noWrap w:val="0"/>
                  <w:vAlign w:val="center"/>
                </w:tcPr>
                <w:p w14:paraId="6F93D9D1">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固态</w:t>
                  </w:r>
                </w:p>
              </w:tc>
              <w:tc>
                <w:tcPr>
                  <w:tcW w:w="492" w:type="pct"/>
                  <w:noWrap w:val="0"/>
                  <w:vAlign w:val="center"/>
                </w:tcPr>
                <w:p w14:paraId="3C941949">
                  <w:pPr>
                    <w:autoSpaceDE w:val="0"/>
                    <w:autoSpaceDN w:val="0"/>
                    <w:adjustRightInd w:val="0"/>
                    <w:snapToGrid w:val="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p>
              </w:tc>
              <w:tc>
                <w:tcPr>
                  <w:tcW w:w="434" w:type="pct"/>
                  <w:noWrap w:val="0"/>
                  <w:vAlign w:val="center"/>
                </w:tcPr>
                <w:p w14:paraId="1855AE97">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电解液</w:t>
                  </w:r>
                </w:p>
              </w:tc>
              <w:tc>
                <w:tcPr>
                  <w:tcW w:w="360" w:type="pct"/>
                  <w:noWrap w:val="0"/>
                  <w:vAlign w:val="center"/>
                </w:tcPr>
                <w:p w14:paraId="3F86B998">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周/次</w:t>
                  </w:r>
                </w:p>
              </w:tc>
              <w:tc>
                <w:tcPr>
                  <w:tcW w:w="356" w:type="pct"/>
                  <w:noWrap w:val="0"/>
                  <w:vAlign w:val="center"/>
                </w:tcPr>
                <w:p w14:paraId="50728C44">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T</w:t>
                  </w:r>
                </w:p>
              </w:tc>
              <w:tc>
                <w:tcPr>
                  <w:tcW w:w="387" w:type="pct"/>
                  <w:vMerge w:val="continue"/>
                  <w:noWrap w:val="0"/>
                  <w:vAlign w:val="center"/>
                </w:tcPr>
                <w:p w14:paraId="12C9726C">
                  <w:pPr>
                    <w:keepNext w:val="0"/>
                    <w:keepLines w:val="0"/>
                    <w:pageBreakBefore w:val="0"/>
                    <w:widowControl w:val="0"/>
                    <w:kinsoku/>
                    <w:wordWrap/>
                    <w:overflowPunct/>
                    <w:topLinePunct w:val="0"/>
                    <w:autoSpaceDE w:val="0"/>
                    <w:autoSpaceDN w:val="0"/>
                    <w:bidi w:val="0"/>
                    <w:adjustRightInd w:val="0"/>
                    <w:spacing w:line="360" w:lineRule="auto"/>
                    <w:ind w:left="0" w:right="0" w:firstLine="420" w:firstLineChars="200"/>
                    <w:jc w:val="both"/>
                    <w:textAlignment w:val="auto"/>
                    <w:rPr>
                      <w:rFonts w:hint="default" w:ascii="Times New Roman" w:hAnsi="Times New Roman" w:eastAsia="宋体" w:cs="Times New Roman"/>
                      <w:color w:val="auto"/>
                      <w:kern w:val="2"/>
                      <w:sz w:val="21"/>
                      <w:szCs w:val="21"/>
                      <w:highlight w:val="none"/>
                      <w:lang w:val="en-US" w:eastAsia="zh-CN" w:bidi="ar-SA"/>
                    </w:rPr>
                  </w:pPr>
                </w:p>
              </w:tc>
            </w:tr>
          </w:tbl>
          <w:p w14:paraId="5AC5AB1C">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b/>
                <w:bCs/>
                <w:color w:val="auto"/>
                <w:kern w:val="0"/>
                <w:sz w:val="21"/>
                <w:szCs w:val="21"/>
                <w:highlight w:val="none"/>
                <w:lang w:val="en-US" w:eastAsia="zh-CN" w:bidi="ar-SA"/>
              </w:rPr>
              <w:t>表4-</w:t>
            </w:r>
            <w:r>
              <w:rPr>
                <w:rFonts w:hint="eastAsia" w:cs="Times New Roman"/>
                <w:b/>
                <w:bCs/>
                <w:color w:val="auto"/>
                <w:kern w:val="0"/>
                <w:sz w:val="21"/>
                <w:szCs w:val="21"/>
                <w:highlight w:val="none"/>
                <w:lang w:val="en-US" w:eastAsia="zh-CN" w:bidi="ar-SA"/>
              </w:rPr>
              <w:t>23</w:t>
            </w:r>
            <w:r>
              <w:rPr>
                <w:rFonts w:hint="default" w:ascii="Times New Roman" w:hAnsi="Times New Roman" w:eastAsia="宋体" w:cs="Times New Roman"/>
                <w:b/>
                <w:bCs/>
                <w:color w:val="auto"/>
                <w:kern w:val="0"/>
                <w:sz w:val="21"/>
                <w:szCs w:val="21"/>
                <w:highlight w:val="none"/>
                <w:lang w:val="en-US" w:eastAsia="zh-CN" w:bidi="ar-SA"/>
              </w:rPr>
              <w:t xml:space="preserve"> 危险废物贮存场所（设施）基本情况表</w:t>
            </w:r>
          </w:p>
          <w:tbl>
            <w:tblPr>
              <w:tblStyle w:val="41"/>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23" w:type="dxa"/>
                <w:bottom w:w="0" w:type="dxa"/>
                <w:right w:w="23" w:type="dxa"/>
              </w:tblCellMar>
            </w:tblPr>
            <w:tblGrid>
              <w:gridCol w:w="791"/>
              <w:gridCol w:w="1882"/>
              <w:gridCol w:w="812"/>
              <w:gridCol w:w="1161"/>
              <w:gridCol w:w="657"/>
              <w:gridCol w:w="678"/>
              <w:gridCol w:w="586"/>
              <w:gridCol w:w="645"/>
              <w:gridCol w:w="702"/>
            </w:tblGrid>
            <w:tr w14:paraId="541F219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3" w:type="dxa"/>
                  <w:bottom w:w="0" w:type="dxa"/>
                  <w:right w:w="23" w:type="dxa"/>
                </w:tblCellMar>
              </w:tblPrEx>
              <w:trPr>
                <w:trHeight w:val="340" w:hRule="atLeast"/>
                <w:jc w:val="center"/>
              </w:trPr>
              <w:tc>
                <w:tcPr>
                  <w:tcW w:w="499" w:type="pct"/>
                  <w:noWrap w:val="0"/>
                  <w:vAlign w:val="center"/>
                </w:tcPr>
                <w:p w14:paraId="44349DAC">
                  <w:pPr>
                    <w:autoSpaceDE w:val="0"/>
                    <w:autoSpaceDN w:val="0"/>
                    <w:adjustRightInd w:val="0"/>
                    <w:snapToGrid w:val="0"/>
                    <w:jc w:val="center"/>
                    <w:rPr>
                      <w:rFonts w:hint="default" w:ascii="Times New Roman" w:hAnsi="Times New Roman" w:eastAsia="宋体" w:cs="Times New Roman"/>
                      <w:b/>
                      <w:color w:val="auto"/>
                      <w:kern w:val="0"/>
                      <w:sz w:val="21"/>
                      <w:szCs w:val="21"/>
                      <w:lang w:val="en-US" w:eastAsia="zh-CN"/>
                    </w:rPr>
                  </w:pPr>
                  <w:r>
                    <w:rPr>
                      <w:rFonts w:hint="default" w:ascii="Times New Roman" w:hAnsi="Times New Roman" w:eastAsia="宋体" w:cs="Times New Roman"/>
                      <w:b/>
                      <w:color w:val="auto"/>
                      <w:kern w:val="0"/>
                      <w:sz w:val="21"/>
                      <w:szCs w:val="21"/>
                      <w:lang w:val="en-US" w:eastAsia="zh-CN"/>
                    </w:rPr>
                    <w:t>贮存场所</w:t>
                  </w:r>
                </w:p>
              </w:tc>
              <w:tc>
                <w:tcPr>
                  <w:tcW w:w="1189" w:type="pct"/>
                  <w:noWrap w:val="0"/>
                  <w:vAlign w:val="center"/>
                </w:tcPr>
                <w:p w14:paraId="0148B279">
                  <w:pPr>
                    <w:autoSpaceDE w:val="0"/>
                    <w:autoSpaceDN w:val="0"/>
                    <w:adjustRightInd w:val="0"/>
                    <w:snapToGrid w:val="0"/>
                    <w:jc w:val="center"/>
                    <w:rPr>
                      <w:rFonts w:hint="default" w:ascii="Times New Roman" w:hAnsi="Times New Roman" w:eastAsia="宋体" w:cs="Times New Roman"/>
                      <w:b/>
                      <w:color w:val="auto"/>
                      <w:kern w:val="0"/>
                      <w:sz w:val="21"/>
                      <w:szCs w:val="21"/>
                      <w:lang w:val="en-US" w:eastAsia="zh-CN"/>
                    </w:rPr>
                  </w:pPr>
                  <w:r>
                    <w:rPr>
                      <w:rFonts w:hint="default" w:ascii="Times New Roman" w:hAnsi="Times New Roman" w:eastAsia="宋体" w:cs="Times New Roman"/>
                      <w:b/>
                      <w:color w:val="auto"/>
                      <w:kern w:val="0"/>
                      <w:sz w:val="21"/>
                      <w:szCs w:val="21"/>
                      <w:lang w:val="en-US" w:eastAsia="zh-CN"/>
                    </w:rPr>
                    <w:t>名称</w:t>
                  </w:r>
                </w:p>
              </w:tc>
              <w:tc>
                <w:tcPr>
                  <w:tcW w:w="513" w:type="pct"/>
                  <w:noWrap w:val="0"/>
                  <w:vAlign w:val="center"/>
                </w:tcPr>
                <w:p w14:paraId="15EFA7AF">
                  <w:pPr>
                    <w:autoSpaceDE w:val="0"/>
                    <w:autoSpaceDN w:val="0"/>
                    <w:adjustRightInd w:val="0"/>
                    <w:snapToGrid w:val="0"/>
                    <w:jc w:val="center"/>
                    <w:rPr>
                      <w:rFonts w:hint="default" w:ascii="Times New Roman" w:hAnsi="Times New Roman" w:eastAsia="宋体" w:cs="Times New Roman"/>
                      <w:b/>
                      <w:color w:val="auto"/>
                      <w:kern w:val="0"/>
                      <w:sz w:val="21"/>
                      <w:szCs w:val="21"/>
                      <w:lang w:val="en-US" w:eastAsia="zh-CN"/>
                    </w:rPr>
                  </w:pPr>
                  <w:r>
                    <w:rPr>
                      <w:rFonts w:hint="default" w:ascii="Times New Roman" w:hAnsi="Times New Roman" w:eastAsia="宋体" w:cs="Times New Roman"/>
                      <w:b/>
                      <w:color w:val="auto"/>
                      <w:kern w:val="0"/>
                      <w:sz w:val="21"/>
                      <w:szCs w:val="21"/>
                      <w:lang w:val="en-US" w:eastAsia="zh-CN"/>
                    </w:rPr>
                    <w:t>危废类别</w:t>
                  </w:r>
                </w:p>
              </w:tc>
              <w:tc>
                <w:tcPr>
                  <w:tcW w:w="733" w:type="pct"/>
                  <w:noWrap w:val="0"/>
                  <w:vAlign w:val="center"/>
                </w:tcPr>
                <w:p w14:paraId="5AE11767">
                  <w:pPr>
                    <w:autoSpaceDE w:val="0"/>
                    <w:autoSpaceDN w:val="0"/>
                    <w:adjustRightInd w:val="0"/>
                    <w:snapToGrid w:val="0"/>
                    <w:jc w:val="center"/>
                    <w:rPr>
                      <w:rFonts w:hint="default" w:ascii="Times New Roman" w:hAnsi="Times New Roman" w:eastAsia="宋体" w:cs="Times New Roman"/>
                      <w:b/>
                      <w:color w:val="auto"/>
                      <w:kern w:val="0"/>
                      <w:sz w:val="21"/>
                      <w:szCs w:val="21"/>
                      <w:lang w:val="en-US" w:eastAsia="zh-CN"/>
                    </w:rPr>
                  </w:pPr>
                  <w:r>
                    <w:rPr>
                      <w:rFonts w:hint="default" w:ascii="Times New Roman" w:hAnsi="Times New Roman" w:eastAsia="宋体" w:cs="Times New Roman"/>
                      <w:b/>
                      <w:color w:val="auto"/>
                      <w:kern w:val="0"/>
                      <w:sz w:val="21"/>
                      <w:szCs w:val="21"/>
                      <w:lang w:val="en-US" w:eastAsia="zh-CN"/>
                    </w:rPr>
                    <w:t>危废代码</w:t>
                  </w:r>
                </w:p>
              </w:tc>
              <w:tc>
                <w:tcPr>
                  <w:tcW w:w="415" w:type="pct"/>
                  <w:noWrap w:val="0"/>
                  <w:vAlign w:val="center"/>
                </w:tcPr>
                <w:p w14:paraId="1361636E">
                  <w:pPr>
                    <w:autoSpaceDE w:val="0"/>
                    <w:autoSpaceDN w:val="0"/>
                    <w:adjustRightInd w:val="0"/>
                    <w:snapToGrid w:val="0"/>
                    <w:jc w:val="center"/>
                    <w:rPr>
                      <w:rFonts w:hint="default" w:ascii="Times New Roman" w:hAnsi="Times New Roman" w:eastAsia="宋体" w:cs="Times New Roman"/>
                      <w:b/>
                      <w:color w:val="auto"/>
                      <w:kern w:val="0"/>
                      <w:sz w:val="21"/>
                      <w:szCs w:val="21"/>
                      <w:lang w:val="en-US" w:eastAsia="zh-CN"/>
                    </w:rPr>
                  </w:pPr>
                  <w:r>
                    <w:rPr>
                      <w:rFonts w:hint="default" w:ascii="Times New Roman" w:hAnsi="Times New Roman" w:eastAsia="宋体" w:cs="Times New Roman"/>
                      <w:b/>
                      <w:color w:val="auto"/>
                      <w:kern w:val="0"/>
                      <w:sz w:val="21"/>
                      <w:szCs w:val="21"/>
                      <w:lang w:val="en-US" w:eastAsia="zh-CN"/>
                    </w:rPr>
                    <w:t>位置</w:t>
                  </w:r>
                </w:p>
              </w:tc>
              <w:tc>
                <w:tcPr>
                  <w:tcW w:w="428" w:type="pct"/>
                  <w:noWrap w:val="0"/>
                  <w:vAlign w:val="center"/>
                </w:tcPr>
                <w:p w14:paraId="65334FB6">
                  <w:pPr>
                    <w:autoSpaceDE w:val="0"/>
                    <w:autoSpaceDN w:val="0"/>
                    <w:adjustRightInd w:val="0"/>
                    <w:snapToGrid w:val="0"/>
                    <w:jc w:val="center"/>
                    <w:rPr>
                      <w:rFonts w:hint="default" w:ascii="Times New Roman" w:hAnsi="Times New Roman" w:eastAsia="宋体" w:cs="Times New Roman"/>
                      <w:b/>
                      <w:color w:val="auto"/>
                      <w:kern w:val="0"/>
                      <w:sz w:val="21"/>
                      <w:szCs w:val="21"/>
                      <w:lang w:val="en-US" w:eastAsia="zh-CN"/>
                    </w:rPr>
                  </w:pPr>
                  <w:r>
                    <w:rPr>
                      <w:rFonts w:hint="default" w:ascii="Times New Roman" w:hAnsi="Times New Roman" w:eastAsia="宋体" w:cs="Times New Roman"/>
                      <w:b/>
                      <w:color w:val="auto"/>
                      <w:kern w:val="0"/>
                      <w:sz w:val="21"/>
                      <w:szCs w:val="21"/>
                      <w:lang w:val="en-US" w:eastAsia="zh-CN"/>
                    </w:rPr>
                    <w:t>占地面积</w:t>
                  </w:r>
                </w:p>
              </w:tc>
              <w:tc>
                <w:tcPr>
                  <w:tcW w:w="370" w:type="pct"/>
                  <w:noWrap w:val="0"/>
                  <w:vAlign w:val="center"/>
                </w:tcPr>
                <w:p w14:paraId="22708623">
                  <w:pPr>
                    <w:autoSpaceDE w:val="0"/>
                    <w:autoSpaceDN w:val="0"/>
                    <w:adjustRightInd w:val="0"/>
                    <w:snapToGrid w:val="0"/>
                    <w:jc w:val="center"/>
                    <w:rPr>
                      <w:rFonts w:hint="default" w:ascii="Times New Roman" w:hAnsi="Times New Roman" w:eastAsia="宋体" w:cs="Times New Roman"/>
                      <w:b/>
                      <w:color w:val="auto"/>
                      <w:kern w:val="0"/>
                      <w:sz w:val="21"/>
                      <w:szCs w:val="21"/>
                      <w:lang w:val="en-US" w:eastAsia="zh-CN"/>
                    </w:rPr>
                  </w:pPr>
                  <w:r>
                    <w:rPr>
                      <w:rFonts w:hint="default" w:ascii="Times New Roman" w:hAnsi="Times New Roman" w:eastAsia="宋体" w:cs="Times New Roman"/>
                      <w:b/>
                      <w:color w:val="auto"/>
                      <w:kern w:val="0"/>
                      <w:sz w:val="21"/>
                      <w:szCs w:val="21"/>
                      <w:lang w:val="en-US" w:eastAsia="zh-CN"/>
                    </w:rPr>
                    <w:t>贮存方式</w:t>
                  </w:r>
                </w:p>
              </w:tc>
              <w:tc>
                <w:tcPr>
                  <w:tcW w:w="407" w:type="pct"/>
                  <w:noWrap w:val="0"/>
                  <w:vAlign w:val="center"/>
                </w:tcPr>
                <w:p w14:paraId="7C05CFCD">
                  <w:pPr>
                    <w:autoSpaceDE w:val="0"/>
                    <w:autoSpaceDN w:val="0"/>
                    <w:adjustRightInd w:val="0"/>
                    <w:snapToGrid w:val="0"/>
                    <w:jc w:val="center"/>
                    <w:rPr>
                      <w:rFonts w:hint="default" w:ascii="Times New Roman" w:hAnsi="Times New Roman" w:eastAsia="宋体" w:cs="Times New Roman"/>
                      <w:b/>
                      <w:color w:val="auto"/>
                      <w:kern w:val="0"/>
                      <w:sz w:val="21"/>
                      <w:szCs w:val="21"/>
                      <w:lang w:val="en-US" w:eastAsia="zh-CN"/>
                    </w:rPr>
                  </w:pPr>
                  <w:r>
                    <w:rPr>
                      <w:rFonts w:hint="default" w:ascii="Times New Roman" w:hAnsi="Times New Roman" w:eastAsia="宋体" w:cs="Times New Roman"/>
                      <w:b/>
                      <w:color w:val="auto"/>
                      <w:kern w:val="0"/>
                      <w:sz w:val="21"/>
                      <w:szCs w:val="21"/>
                      <w:lang w:val="en-US" w:eastAsia="zh-CN"/>
                    </w:rPr>
                    <w:t>贮存能力</w:t>
                  </w:r>
                </w:p>
              </w:tc>
              <w:tc>
                <w:tcPr>
                  <w:tcW w:w="443" w:type="pct"/>
                  <w:noWrap w:val="0"/>
                  <w:vAlign w:val="center"/>
                </w:tcPr>
                <w:p w14:paraId="45B3BE47">
                  <w:pPr>
                    <w:autoSpaceDE w:val="0"/>
                    <w:autoSpaceDN w:val="0"/>
                    <w:adjustRightInd w:val="0"/>
                    <w:snapToGrid w:val="0"/>
                    <w:jc w:val="center"/>
                    <w:rPr>
                      <w:rFonts w:hint="default" w:ascii="Times New Roman" w:hAnsi="Times New Roman" w:eastAsia="宋体" w:cs="Times New Roman"/>
                      <w:b/>
                      <w:color w:val="auto"/>
                      <w:kern w:val="0"/>
                      <w:sz w:val="21"/>
                      <w:szCs w:val="21"/>
                      <w:lang w:val="en-US" w:eastAsia="zh-CN"/>
                    </w:rPr>
                  </w:pPr>
                  <w:r>
                    <w:rPr>
                      <w:rFonts w:hint="default" w:ascii="Times New Roman" w:hAnsi="Times New Roman" w:eastAsia="宋体" w:cs="Times New Roman"/>
                      <w:b/>
                      <w:color w:val="auto"/>
                      <w:kern w:val="0"/>
                      <w:sz w:val="21"/>
                      <w:szCs w:val="21"/>
                      <w:lang w:val="en-US" w:eastAsia="zh-CN"/>
                    </w:rPr>
                    <w:t>贮存周期</w:t>
                  </w:r>
                </w:p>
              </w:tc>
            </w:tr>
            <w:tr w14:paraId="2AD766A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3" w:type="dxa"/>
                  <w:bottom w:w="0" w:type="dxa"/>
                  <w:right w:w="23" w:type="dxa"/>
                </w:tblCellMar>
              </w:tblPrEx>
              <w:trPr>
                <w:trHeight w:val="340" w:hRule="atLeast"/>
                <w:jc w:val="center"/>
              </w:trPr>
              <w:tc>
                <w:tcPr>
                  <w:tcW w:w="499" w:type="pct"/>
                  <w:vMerge w:val="restart"/>
                  <w:noWrap w:val="0"/>
                  <w:vAlign w:val="center"/>
                </w:tcPr>
                <w:p w14:paraId="661925D4">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危废库</w:t>
                  </w:r>
                </w:p>
              </w:tc>
              <w:tc>
                <w:tcPr>
                  <w:tcW w:w="1189" w:type="pct"/>
                  <w:shd w:val="clear" w:color="auto" w:fill="auto"/>
                  <w:noWrap w:val="0"/>
                  <w:vAlign w:val="center"/>
                </w:tcPr>
                <w:p w14:paraId="34EC1A22">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废活性炭</w:t>
                  </w:r>
                </w:p>
              </w:tc>
              <w:tc>
                <w:tcPr>
                  <w:tcW w:w="513" w:type="pct"/>
                  <w:shd w:val="clear" w:color="auto" w:fill="auto"/>
                  <w:noWrap w:val="0"/>
                  <w:vAlign w:val="center"/>
                </w:tcPr>
                <w:p w14:paraId="47D5B04E">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ascii="Times New Roman" w:hAnsi="Times New Roman" w:eastAsia="宋体" w:cs="Times New Roman"/>
                      <w:color w:val="auto"/>
                      <w:kern w:val="0"/>
                      <w:sz w:val="21"/>
                      <w:szCs w:val="21"/>
                      <w:highlight w:val="none"/>
                    </w:rPr>
                    <w:t>HW49</w:t>
                  </w:r>
                </w:p>
              </w:tc>
              <w:tc>
                <w:tcPr>
                  <w:tcW w:w="733" w:type="pct"/>
                  <w:shd w:val="clear" w:color="auto" w:fill="auto"/>
                  <w:noWrap w:val="0"/>
                  <w:vAlign w:val="center"/>
                </w:tcPr>
                <w:p w14:paraId="5A51F464">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ascii="Times New Roman" w:hAnsi="Times New Roman" w:eastAsia="宋体" w:cs="Times New Roman"/>
                      <w:color w:val="auto"/>
                      <w:kern w:val="0"/>
                      <w:sz w:val="21"/>
                      <w:szCs w:val="21"/>
                      <w:highlight w:val="none"/>
                    </w:rPr>
                    <w:t>900-</w:t>
                  </w:r>
                  <w:r>
                    <w:rPr>
                      <w:rFonts w:hint="eastAsia" w:ascii="Times New Roman" w:hAnsi="Times New Roman" w:eastAsia="宋体" w:cs="Times New Roman"/>
                      <w:color w:val="auto"/>
                      <w:kern w:val="0"/>
                      <w:sz w:val="21"/>
                      <w:szCs w:val="21"/>
                      <w:highlight w:val="none"/>
                      <w:lang w:val="en-US" w:eastAsia="zh-CN"/>
                    </w:rPr>
                    <w:t>039</w:t>
                  </w:r>
                  <w:r>
                    <w:rPr>
                      <w:rFonts w:ascii="Times New Roman" w:hAnsi="Times New Roman" w:eastAsia="宋体" w:cs="Times New Roman"/>
                      <w:color w:val="auto"/>
                      <w:kern w:val="0"/>
                      <w:sz w:val="21"/>
                      <w:szCs w:val="21"/>
                      <w:highlight w:val="none"/>
                    </w:rPr>
                    <w:t>-49</w:t>
                  </w:r>
                </w:p>
              </w:tc>
              <w:tc>
                <w:tcPr>
                  <w:tcW w:w="415" w:type="pct"/>
                  <w:vMerge w:val="restart"/>
                  <w:noWrap w:val="0"/>
                  <w:vAlign w:val="center"/>
                </w:tcPr>
                <w:p w14:paraId="68B38EF4">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危废库</w:t>
                  </w:r>
                </w:p>
              </w:tc>
              <w:tc>
                <w:tcPr>
                  <w:tcW w:w="428" w:type="pct"/>
                  <w:vMerge w:val="restart"/>
                  <w:noWrap w:val="0"/>
                  <w:vAlign w:val="center"/>
                </w:tcPr>
                <w:p w14:paraId="4B49A688">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111.99m</w:t>
                  </w:r>
                  <w:r>
                    <w:rPr>
                      <w:rFonts w:hint="eastAsia" w:cs="Times New Roman"/>
                      <w:color w:val="auto"/>
                      <w:kern w:val="2"/>
                      <w:sz w:val="21"/>
                      <w:szCs w:val="21"/>
                      <w:highlight w:val="none"/>
                      <w:vertAlign w:val="superscript"/>
                      <w:lang w:val="en-US" w:eastAsia="zh-CN" w:bidi="ar-SA"/>
                    </w:rPr>
                    <w:t>2</w:t>
                  </w:r>
                </w:p>
              </w:tc>
              <w:tc>
                <w:tcPr>
                  <w:tcW w:w="370" w:type="pct"/>
                  <w:vMerge w:val="restart"/>
                  <w:noWrap w:val="0"/>
                  <w:vAlign w:val="center"/>
                </w:tcPr>
                <w:p w14:paraId="3D85E5CE">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分类放置，密闭容器/包装储存</w:t>
                  </w:r>
                </w:p>
              </w:tc>
              <w:tc>
                <w:tcPr>
                  <w:tcW w:w="407" w:type="pct"/>
                  <w:vMerge w:val="restart"/>
                  <w:noWrap w:val="0"/>
                  <w:vAlign w:val="center"/>
                </w:tcPr>
                <w:p w14:paraId="56689C03">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60</w:t>
                  </w:r>
                  <w:r>
                    <w:rPr>
                      <w:rFonts w:hint="default" w:ascii="Times New Roman" w:hAnsi="Times New Roman" w:eastAsia="宋体" w:cs="Times New Roman"/>
                      <w:color w:val="auto"/>
                      <w:kern w:val="2"/>
                      <w:sz w:val="21"/>
                      <w:szCs w:val="21"/>
                      <w:highlight w:val="none"/>
                      <w:lang w:val="en-US" w:eastAsia="zh-CN" w:bidi="ar-SA"/>
                    </w:rPr>
                    <w:t>t</w:t>
                  </w:r>
                </w:p>
              </w:tc>
              <w:tc>
                <w:tcPr>
                  <w:tcW w:w="443" w:type="pct"/>
                  <w:vMerge w:val="restart"/>
                  <w:noWrap w:val="0"/>
                  <w:vAlign w:val="center"/>
                </w:tcPr>
                <w:p w14:paraId="539DEEC3">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3</w:t>
                  </w:r>
                  <w:r>
                    <w:rPr>
                      <w:rFonts w:hint="default" w:ascii="Times New Roman" w:hAnsi="Times New Roman" w:eastAsia="宋体" w:cs="Times New Roman"/>
                      <w:color w:val="auto"/>
                      <w:kern w:val="2"/>
                      <w:sz w:val="21"/>
                      <w:szCs w:val="21"/>
                      <w:highlight w:val="none"/>
                      <w:lang w:val="en-US" w:eastAsia="zh-CN" w:bidi="ar-SA"/>
                    </w:rPr>
                    <w:t>个月</w:t>
                  </w:r>
                </w:p>
              </w:tc>
            </w:tr>
            <w:tr w14:paraId="574A704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3" w:type="dxa"/>
                  <w:bottom w:w="0" w:type="dxa"/>
                  <w:right w:w="23" w:type="dxa"/>
                </w:tblCellMar>
              </w:tblPrEx>
              <w:trPr>
                <w:trHeight w:val="340" w:hRule="atLeast"/>
                <w:jc w:val="center"/>
              </w:trPr>
              <w:tc>
                <w:tcPr>
                  <w:tcW w:w="499" w:type="pct"/>
                  <w:vMerge w:val="continue"/>
                  <w:noWrap w:val="0"/>
                  <w:vAlign w:val="center"/>
                </w:tcPr>
                <w:p w14:paraId="2A0866B3">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1189" w:type="pct"/>
                  <w:noWrap w:val="0"/>
                  <w:vAlign w:val="center"/>
                </w:tcPr>
                <w:p w14:paraId="3D34ADFA">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废水处理污泥</w:t>
                  </w:r>
                </w:p>
              </w:tc>
              <w:tc>
                <w:tcPr>
                  <w:tcW w:w="513" w:type="pct"/>
                  <w:noWrap w:val="0"/>
                  <w:vAlign w:val="center"/>
                </w:tcPr>
                <w:p w14:paraId="71ABFB40">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HW49</w:t>
                  </w:r>
                </w:p>
              </w:tc>
              <w:tc>
                <w:tcPr>
                  <w:tcW w:w="733" w:type="pct"/>
                  <w:noWrap w:val="0"/>
                  <w:vAlign w:val="center"/>
                </w:tcPr>
                <w:p w14:paraId="12BC1008">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772-006-49</w:t>
                  </w:r>
                </w:p>
              </w:tc>
              <w:tc>
                <w:tcPr>
                  <w:tcW w:w="415" w:type="pct"/>
                  <w:vMerge w:val="continue"/>
                  <w:noWrap w:val="0"/>
                  <w:vAlign w:val="center"/>
                </w:tcPr>
                <w:p w14:paraId="0165F250">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428" w:type="pct"/>
                  <w:vMerge w:val="continue"/>
                  <w:noWrap w:val="0"/>
                  <w:vAlign w:val="center"/>
                </w:tcPr>
                <w:p w14:paraId="1A88C4B1">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370" w:type="pct"/>
                  <w:vMerge w:val="continue"/>
                  <w:noWrap w:val="0"/>
                  <w:vAlign w:val="center"/>
                </w:tcPr>
                <w:p w14:paraId="7ECD0BCF">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407" w:type="pct"/>
                  <w:vMerge w:val="continue"/>
                  <w:noWrap w:val="0"/>
                  <w:vAlign w:val="center"/>
                </w:tcPr>
                <w:p w14:paraId="1217B270">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443" w:type="pct"/>
                  <w:vMerge w:val="continue"/>
                  <w:noWrap w:val="0"/>
                  <w:vAlign w:val="center"/>
                </w:tcPr>
                <w:p w14:paraId="04D60BB5">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r w14:paraId="75D8CA4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3" w:type="dxa"/>
                  <w:bottom w:w="0" w:type="dxa"/>
                  <w:right w:w="23" w:type="dxa"/>
                </w:tblCellMar>
              </w:tblPrEx>
              <w:trPr>
                <w:trHeight w:val="340" w:hRule="atLeast"/>
                <w:jc w:val="center"/>
              </w:trPr>
              <w:tc>
                <w:tcPr>
                  <w:tcW w:w="499" w:type="pct"/>
                  <w:vMerge w:val="continue"/>
                  <w:noWrap w:val="0"/>
                  <w:vAlign w:val="center"/>
                </w:tcPr>
                <w:p w14:paraId="7100E243">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1189" w:type="pct"/>
                  <w:noWrap w:val="0"/>
                  <w:vAlign w:val="center"/>
                </w:tcPr>
                <w:p w14:paraId="455A66FD">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废机油</w:t>
                  </w:r>
                </w:p>
              </w:tc>
              <w:tc>
                <w:tcPr>
                  <w:tcW w:w="513" w:type="pct"/>
                  <w:noWrap w:val="0"/>
                  <w:vAlign w:val="center"/>
                </w:tcPr>
                <w:p w14:paraId="38F897DF">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HW08</w:t>
                  </w:r>
                </w:p>
              </w:tc>
              <w:tc>
                <w:tcPr>
                  <w:tcW w:w="733" w:type="pct"/>
                  <w:noWrap w:val="0"/>
                  <w:vAlign w:val="center"/>
                </w:tcPr>
                <w:p w14:paraId="6DDBADAE">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rPr>
                    <w:t>900-2</w:t>
                  </w:r>
                  <w:r>
                    <w:rPr>
                      <w:rFonts w:hint="eastAsia" w:ascii="Times New Roman" w:hAnsi="Times New Roman" w:eastAsia="宋体" w:cs="Times New Roman"/>
                      <w:color w:val="auto"/>
                      <w:kern w:val="0"/>
                      <w:sz w:val="21"/>
                      <w:szCs w:val="21"/>
                      <w:highlight w:val="none"/>
                      <w:lang w:val="en-US" w:eastAsia="zh-CN"/>
                    </w:rPr>
                    <w:t>49</w:t>
                  </w:r>
                  <w:r>
                    <w:rPr>
                      <w:rFonts w:hint="default" w:ascii="Times New Roman" w:hAnsi="Times New Roman" w:eastAsia="宋体" w:cs="Times New Roman"/>
                      <w:color w:val="auto"/>
                      <w:kern w:val="0"/>
                      <w:sz w:val="21"/>
                      <w:szCs w:val="21"/>
                      <w:highlight w:val="none"/>
                    </w:rPr>
                    <w:t>-08</w:t>
                  </w:r>
                </w:p>
              </w:tc>
              <w:tc>
                <w:tcPr>
                  <w:tcW w:w="415" w:type="pct"/>
                  <w:vMerge w:val="continue"/>
                  <w:noWrap w:val="0"/>
                  <w:vAlign w:val="center"/>
                </w:tcPr>
                <w:p w14:paraId="5637CE2D">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428" w:type="pct"/>
                  <w:vMerge w:val="continue"/>
                  <w:noWrap w:val="0"/>
                  <w:vAlign w:val="center"/>
                </w:tcPr>
                <w:p w14:paraId="43603036">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370" w:type="pct"/>
                  <w:vMerge w:val="continue"/>
                  <w:noWrap w:val="0"/>
                  <w:vAlign w:val="center"/>
                </w:tcPr>
                <w:p w14:paraId="56DF66B3">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407" w:type="pct"/>
                  <w:vMerge w:val="continue"/>
                  <w:noWrap w:val="0"/>
                  <w:vAlign w:val="center"/>
                </w:tcPr>
                <w:p w14:paraId="479649CE">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443" w:type="pct"/>
                  <w:vMerge w:val="continue"/>
                  <w:noWrap w:val="0"/>
                  <w:vAlign w:val="center"/>
                </w:tcPr>
                <w:p w14:paraId="60C2D3D1">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r w14:paraId="7679011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3" w:type="dxa"/>
                  <w:bottom w:w="0" w:type="dxa"/>
                  <w:right w:w="23" w:type="dxa"/>
                </w:tblCellMar>
              </w:tblPrEx>
              <w:trPr>
                <w:trHeight w:val="340" w:hRule="atLeast"/>
                <w:jc w:val="center"/>
              </w:trPr>
              <w:tc>
                <w:tcPr>
                  <w:tcW w:w="499" w:type="pct"/>
                  <w:vMerge w:val="continue"/>
                  <w:noWrap w:val="0"/>
                  <w:vAlign w:val="center"/>
                </w:tcPr>
                <w:p w14:paraId="3C2A39AE">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1189" w:type="pct"/>
                  <w:noWrap w:val="0"/>
                  <w:vAlign w:val="center"/>
                </w:tcPr>
                <w:p w14:paraId="3D4C721D">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含油棉纱手套、抹布</w:t>
                  </w:r>
                </w:p>
              </w:tc>
              <w:tc>
                <w:tcPr>
                  <w:tcW w:w="513" w:type="pct"/>
                  <w:noWrap w:val="0"/>
                  <w:vAlign w:val="center"/>
                </w:tcPr>
                <w:p w14:paraId="6A4195B1">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HW49</w:t>
                  </w:r>
                </w:p>
              </w:tc>
              <w:tc>
                <w:tcPr>
                  <w:tcW w:w="733" w:type="pct"/>
                  <w:noWrap w:val="0"/>
                  <w:vAlign w:val="center"/>
                </w:tcPr>
                <w:p w14:paraId="3B9577D7">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900-041-49</w:t>
                  </w:r>
                </w:p>
              </w:tc>
              <w:tc>
                <w:tcPr>
                  <w:tcW w:w="415" w:type="pct"/>
                  <w:vMerge w:val="continue"/>
                  <w:noWrap w:val="0"/>
                  <w:vAlign w:val="center"/>
                </w:tcPr>
                <w:p w14:paraId="21E7CEE8">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428" w:type="pct"/>
                  <w:vMerge w:val="continue"/>
                  <w:noWrap w:val="0"/>
                  <w:vAlign w:val="center"/>
                </w:tcPr>
                <w:p w14:paraId="6A0433E5">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370" w:type="pct"/>
                  <w:vMerge w:val="continue"/>
                  <w:noWrap w:val="0"/>
                  <w:vAlign w:val="center"/>
                </w:tcPr>
                <w:p w14:paraId="35E653A1">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407" w:type="pct"/>
                  <w:vMerge w:val="continue"/>
                  <w:noWrap w:val="0"/>
                  <w:vAlign w:val="center"/>
                </w:tcPr>
                <w:p w14:paraId="21AE7803">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443" w:type="pct"/>
                  <w:vMerge w:val="continue"/>
                  <w:noWrap w:val="0"/>
                  <w:vAlign w:val="center"/>
                </w:tcPr>
                <w:p w14:paraId="25CB0DCA">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r w14:paraId="65E4D71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3" w:type="dxa"/>
                  <w:bottom w:w="0" w:type="dxa"/>
                  <w:right w:w="23" w:type="dxa"/>
                </w:tblCellMar>
              </w:tblPrEx>
              <w:trPr>
                <w:trHeight w:val="340" w:hRule="atLeast"/>
                <w:jc w:val="center"/>
              </w:trPr>
              <w:tc>
                <w:tcPr>
                  <w:tcW w:w="499" w:type="pct"/>
                  <w:vMerge w:val="continue"/>
                  <w:noWrap w:val="0"/>
                  <w:vAlign w:val="center"/>
                </w:tcPr>
                <w:p w14:paraId="1E5A98B0">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1882" w:type="dxa"/>
                  <w:noWrap w:val="0"/>
                  <w:vAlign w:val="center"/>
                </w:tcPr>
                <w:p w14:paraId="3E1BDB08">
                  <w:pPr>
                    <w:autoSpaceDE w:val="0"/>
                    <w:autoSpaceDN w:val="0"/>
                    <w:adjustRightInd w:val="0"/>
                    <w:snapToGrid w:val="0"/>
                    <w:jc w:val="center"/>
                    <w:rPr>
                      <w:rFonts w:hint="eastAsia"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废沸石转轮</w:t>
                  </w:r>
                </w:p>
              </w:tc>
              <w:tc>
                <w:tcPr>
                  <w:tcW w:w="812" w:type="dxa"/>
                  <w:noWrap w:val="0"/>
                  <w:vAlign w:val="center"/>
                </w:tcPr>
                <w:p w14:paraId="6679D8E3">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HW49</w:t>
                  </w:r>
                </w:p>
              </w:tc>
              <w:tc>
                <w:tcPr>
                  <w:tcW w:w="1161" w:type="dxa"/>
                  <w:noWrap w:val="0"/>
                  <w:vAlign w:val="center"/>
                </w:tcPr>
                <w:p w14:paraId="556D3458">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900-04</w:t>
                  </w:r>
                  <w:r>
                    <w:rPr>
                      <w:rFonts w:hint="eastAsia" w:ascii="Times New Roman" w:hAnsi="Times New Roman" w:eastAsia="宋体" w:cs="Times New Roman"/>
                      <w:color w:val="auto"/>
                      <w:kern w:val="0"/>
                      <w:sz w:val="21"/>
                      <w:szCs w:val="21"/>
                      <w:highlight w:val="none"/>
                      <w:lang w:val="en-US" w:eastAsia="zh-CN"/>
                    </w:rPr>
                    <w:t>1</w:t>
                  </w:r>
                  <w:r>
                    <w:rPr>
                      <w:rFonts w:hint="default" w:ascii="Times New Roman" w:hAnsi="Times New Roman" w:eastAsia="宋体" w:cs="Times New Roman"/>
                      <w:color w:val="auto"/>
                      <w:kern w:val="0"/>
                      <w:sz w:val="21"/>
                      <w:szCs w:val="21"/>
                      <w:highlight w:val="none"/>
                      <w:lang w:val="en-US" w:eastAsia="zh-CN"/>
                    </w:rPr>
                    <w:t>-49</w:t>
                  </w:r>
                </w:p>
              </w:tc>
              <w:tc>
                <w:tcPr>
                  <w:tcW w:w="415" w:type="pct"/>
                  <w:vMerge w:val="continue"/>
                  <w:noWrap w:val="0"/>
                  <w:vAlign w:val="center"/>
                </w:tcPr>
                <w:p w14:paraId="65F8F631">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428" w:type="pct"/>
                  <w:vMerge w:val="continue"/>
                  <w:noWrap w:val="0"/>
                  <w:vAlign w:val="center"/>
                </w:tcPr>
                <w:p w14:paraId="3212D49C">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370" w:type="pct"/>
                  <w:vMerge w:val="continue"/>
                  <w:noWrap w:val="0"/>
                  <w:vAlign w:val="center"/>
                </w:tcPr>
                <w:p w14:paraId="2BA04731">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407" w:type="pct"/>
                  <w:vMerge w:val="continue"/>
                  <w:noWrap w:val="0"/>
                  <w:vAlign w:val="center"/>
                </w:tcPr>
                <w:p w14:paraId="6B732EC7">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443" w:type="pct"/>
                  <w:vMerge w:val="continue"/>
                  <w:noWrap w:val="0"/>
                  <w:vAlign w:val="center"/>
                </w:tcPr>
                <w:p w14:paraId="0F87F1E9">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r w14:paraId="30A0D7C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3" w:type="dxa"/>
                  <w:bottom w:w="0" w:type="dxa"/>
                  <w:right w:w="23" w:type="dxa"/>
                </w:tblCellMar>
              </w:tblPrEx>
              <w:trPr>
                <w:trHeight w:val="340" w:hRule="atLeast"/>
                <w:jc w:val="center"/>
              </w:trPr>
              <w:tc>
                <w:tcPr>
                  <w:tcW w:w="499" w:type="pct"/>
                  <w:vMerge w:val="continue"/>
                  <w:noWrap w:val="0"/>
                  <w:vAlign w:val="center"/>
                </w:tcPr>
                <w:p w14:paraId="234AA6BA">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1189" w:type="pct"/>
                  <w:noWrap w:val="0"/>
                  <w:vAlign w:val="center"/>
                </w:tcPr>
                <w:p w14:paraId="76E70C37">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沾染危险物质的废包装材料</w:t>
                  </w:r>
                </w:p>
              </w:tc>
              <w:tc>
                <w:tcPr>
                  <w:tcW w:w="513" w:type="pct"/>
                  <w:noWrap w:val="0"/>
                  <w:vAlign w:val="center"/>
                </w:tcPr>
                <w:p w14:paraId="2F2F7AAC">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HW49</w:t>
                  </w:r>
                </w:p>
              </w:tc>
              <w:tc>
                <w:tcPr>
                  <w:tcW w:w="733" w:type="pct"/>
                  <w:noWrap w:val="0"/>
                  <w:vAlign w:val="center"/>
                </w:tcPr>
                <w:p w14:paraId="5136A1B6">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900-041-49</w:t>
                  </w:r>
                </w:p>
              </w:tc>
              <w:tc>
                <w:tcPr>
                  <w:tcW w:w="415" w:type="pct"/>
                  <w:vMerge w:val="continue"/>
                  <w:noWrap w:val="0"/>
                  <w:vAlign w:val="center"/>
                </w:tcPr>
                <w:p w14:paraId="02F08C83">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428" w:type="pct"/>
                  <w:vMerge w:val="continue"/>
                  <w:noWrap w:val="0"/>
                  <w:vAlign w:val="center"/>
                </w:tcPr>
                <w:p w14:paraId="74E83E83">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370" w:type="pct"/>
                  <w:vMerge w:val="continue"/>
                  <w:noWrap w:val="0"/>
                  <w:vAlign w:val="center"/>
                </w:tcPr>
                <w:p w14:paraId="7AF93076">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407" w:type="pct"/>
                  <w:vMerge w:val="continue"/>
                  <w:noWrap w:val="0"/>
                  <w:vAlign w:val="center"/>
                </w:tcPr>
                <w:p w14:paraId="6DAD5785">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443" w:type="pct"/>
                  <w:vMerge w:val="continue"/>
                  <w:noWrap w:val="0"/>
                  <w:vAlign w:val="center"/>
                </w:tcPr>
                <w:p w14:paraId="20C13938">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r w14:paraId="027FF68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3" w:type="dxa"/>
                  <w:bottom w:w="0" w:type="dxa"/>
                  <w:right w:w="23" w:type="dxa"/>
                </w:tblCellMar>
              </w:tblPrEx>
              <w:trPr>
                <w:trHeight w:val="340" w:hRule="atLeast"/>
                <w:jc w:val="center"/>
              </w:trPr>
              <w:tc>
                <w:tcPr>
                  <w:tcW w:w="499" w:type="pct"/>
                  <w:vMerge w:val="continue"/>
                  <w:noWrap w:val="0"/>
                  <w:vAlign w:val="center"/>
                </w:tcPr>
                <w:p w14:paraId="2C7ACD92">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1189" w:type="pct"/>
                  <w:noWrap w:val="0"/>
                  <w:vAlign w:val="center"/>
                </w:tcPr>
                <w:p w14:paraId="739062CB">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废电解液</w:t>
                  </w:r>
                </w:p>
              </w:tc>
              <w:tc>
                <w:tcPr>
                  <w:tcW w:w="513" w:type="pct"/>
                  <w:noWrap w:val="0"/>
                  <w:vAlign w:val="center"/>
                </w:tcPr>
                <w:p w14:paraId="057185D7">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HW49</w:t>
                  </w:r>
                </w:p>
              </w:tc>
              <w:tc>
                <w:tcPr>
                  <w:tcW w:w="733" w:type="pct"/>
                  <w:noWrap w:val="0"/>
                  <w:vAlign w:val="center"/>
                </w:tcPr>
                <w:p w14:paraId="647D3074">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900-04</w:t>
                  </w:r>
                  <w:r>
                    <w:rPr>
                      <w:rFonts w:hint="eastAsia" w:ascii="Times New Roman" w:hAnsi="Times New Roman" w:eastAsia="宋体" w:cs="Times New Roman"/>
                      <w:color w:val="auto"/>
                      <w:kern w:val="0"/>
                      <w:sz w:val="21"/>
                      <w:szCs w:val="21"/>
                      <w:highlight w:val="none"/>
                      <w:lang w:val="en-US" w:eastAsia="zh-CN"/>
                    </w:rPr>
                    <w:t>5</w:t>
                  </w:r>
                  <w:r>
                    <w:rPr>
                      <w:rFonts w:hint="default" w:ascii="Times New Roman" w:hAnsi="Times New Roman" w:eastAsia="宋体" w:cs="Times New Roman"/>
                      <w:color w:val="auto"/>
                      <w:kern w:val="0"/>
                      <w:sz w:val="21"/>
                      <w:szCs w:val="21"/>
                      <w:highlight w:val="none"/>
                      <w:lang w:val="en-US" w:eastAsia="zh-CN"/>
                    </w:rPr>
                    <w:t>-49</w:t>
                  </w:r>
                </w:p>
              </w:tc>
              <w:tc>
                <w:tcPr>
                  <w:tcW w:w="415" w:type="pct"/>
                  <w:vMerge w:val="continue"/>
                  <w:noWrap w:val="0"/>
                  <w:vAlign w:val="center"/>
                </w:tcPr>
                <w:p w14:paraId="2DBA8722">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428" w:type="pct"/>
                  <w:vMerge w:val="continue"/>
                  <w:noWrap w:val="0"/>
                  <w:vAlign w:val="center"/>
                </w:tcPr>
                <w:p w14:paraId="5373B1A4">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370" w:type="pct"/>
                  <w:vMerge w:val="continue"/>
                  <w:noWrap w:val="0"/>
                  <w:vAlign w:val="center"/>
                </w:tcPr>
                <w:p w14:paraId="42AE0E99">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407" w:type="pct"/>
                  <w:vMerge w:val="continue"/>
                  <w:noWrap w:val="0"/>
                  <w:vAlign w:val="center"/>
                </w:tcPr>
                <w:p w14:paraId="6315AF71">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443" w:type="pct"/>
                  <w:vMerge w:val="continue"/>
                  <w:noWrap w:val="0"/>
                  <w:vAlign w:val="center"/>
                </w:tcPr>
                <w:p w14:paraId="79C53C3E">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r w14:paraId="676CEB0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3" w:type="dxa"/>
                  <w:bottom w:w="0" w:type="dxa"/>
                  <w:right w:w="23" w:type="dxa"/>
                </w:tblCellMar>
              </w:tblPrEx>
              <w:trPr>
                <w:trHeight w:val="340" w:hRule="atLeast"/>
                <w:jc w:val="center"/>
              </w:trPr>
              <w:tc>
                <w:tcPr>
                  <w:tcW w:w="499" w:type="pct"/>
                  <w:vMerge w:val="continue"/>
                  <w:noWrap w:val="0"/>
                  <w:vAlign w:val="center"/>
                </w:tcPr>
                <w:p w14:paraId="7B9258D6">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1189" w:type="pct"/>
                  <w:noWrap w:val="0"/>
                  <w:vAlign w:val="center"/>
                </w:tcPr>
                <w:p w14:paraId="406E7820">
                  <w:pPr>
                    <w:autoSpaceDE w:val="0"/>
                    <w:autoSpaceDN w:val="0"/>
                    <w:adjustRightInd w:val="0"/>
                    <w:snapToGrid w:val="0"/>
                    <w:jc w:val="center"/>
                    <w:rPr>
                      <w:rFonts w:hint="eastAsia"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沾染危险物质的废组件</w:t>
                  </w:r>
                </w:p>
              </w:tc>
              <w:tc>
                <w:tcPr>
                  <w:tcW w:w="513" w:type="pct"/>
                  <w:noWrap w:val="0"/>
                  <w:vAlign w:val="center"/>
                </w:tcPr>
                <w:p w14:paraId="423CFA80">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HW49</w:t>
                  </w:r>
                </w:p>
              </w:tc>
              <w:tc>
                <w:tcPr>
                  <w:tcW w:w="733" w:type="pct"/>
                  <w:noWrap w:val="0"/>
                  <w:vAlign w:val="center"/>
                </w:tcPr>
                <w:p w14:paraId="1CE20E97">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900-04</w:t>
                  </w:r>
                  <w:r>
                    <w:rPr>
                      <w:rFonts w:hint="eastAsia" w:ascii="Times New Roman" w:hAnsi="Times New Roman" w:eastAsia="宋体" w:cs="Times New Roman"/>
                      <w:color w:val="auto"/>
                      <w:kern w:val="0"/>
                      <w:sz w:val="21"/>
                      <w:szCs w:val="21"/>
                      <w:highlight w:val="none"/>
                      <w:lang w:val="en-US" w:eastAsia="zh-CN"/>
                    </w:rPr>
                    <w:t>5</w:t>
                  </w:r>
                  <w:r>
                    <w:rPr>
                      <w:rFonts w:hint="default" w:ascii="Times New Roman" w:hAnsi="Times New Roman" w:eastAsia="宋体" w:cs="Times New Roman"/>
                      <w:color w:val="auto"/>
                      <w:kern w:val="0"/>
                      <w:sz w:val="21"/>
                      <w:szCs w:val="21"/>
                      <w:highlight w:val="none"/>
                      <w:lang w:val="en-US" w:eastAsia="zh-CN"/>
                    </w:rPr>
                    <w:t>-49</w:t>
                  </w:r>
                </w:p>
              </w:tc>
              <w:tc>
                <w:tcPr>
                  <w:tcW w:w="415" w:type="pct"/>
                  <w:vMerge w:val="continue"/>
                  <w:noWrap w:val="0"/>
                  <w:vAlign w:val="center"/>
                </w:tcPr>
                <w:p w14:paraId="5E06167D">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428" w:type="pct"/>
                  <w:vMerge w:val="continue"/>
                  <w:noWrap w:val="0"/>
                  <w:vAlign w:val="center"/>
                </w:tcPr>
                <w:p w14:paraId="2C2648FD">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370" w:type="pct"/>
                  <w:vMerge w:val="continue"/>
                  <w:noWrap w:val="0"/>
                  <w:vAlign w:val="center"/>
                </w:tcPr>
                <w:p w14:paraId="5238970D">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407" w:type="pct"/>
                  <w:vMerge w:val="continue"/>
                  <w:noWrap w:val="0"/>
                  <w:vAlign w:val="center"/>
                </w:tcPr>
                <w:p w14:paraId="094BDEA1">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443" w:type="pct"/>
                  <w:vMerge w:val="continue"/>
                  <w:noWrap w:val="0"/>
                  <w:vAlign w:val="center"/>
                </w:tcPr>
                <w:p w14:paraId="74699AE5">
                  <w:pPr>
                    <w:keepNext w:val="0"/>
                    <w:keepLines w:val="0"/>
                    <w:pageBreakBefore w:val="0"/>
                    <w:widowControl w:val="0"/>
                    <w:kinsoku/>
                    <w:wordWrap/>
                    <w:overflowPunct/>
                    <w:topLinePunct w:val="0"/>
                    <w:autoSpaceDE w:val="0"/>
                    <w:autoSpaceDN w:val="0"/>
                    <w:bidi w:val="0"/>
                    <w:adjustRightIn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bl>
          <w:p w14:paraId="6EF06CA8">
            <w:pPr>
              <w:autoSpaceDE w:val="0"/>
              <w:autoSpaceDN w:val="0"/>
              <w:spacing w:line="360" w:lineRule="auto"/>
              <w:ind w:firstLine="480" w:firstLineChars="200"/>
              <w:jc w:val="both"/>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lang w:val="en-US" w:eastAsia="zh-CN"/>
              </w:rPr>
              <w:t>2</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lang w:val="en-US" w:eastAsia="zh-CN"/>
              </w:rPr>
              <w:t>固体废物管理措施</w:t>
            </w:r>
          </w:p>
          <w:p w14:paraId="40012665">
            <w:pPr>
              <w:spacing w:line="360" w:lineRule="auto"/>
              <w:ind w:firstLine="480" w:firstLineChars="200"/>
              <w:jc w:val="both"/>
              <w:rPr>
                <w:rFonts w:hint="eastAsia"/>
                <w:b w:val="0"/>
                <w:bCs w:val="0"/>
                <w:color w:val="auto"/>
                <w:sz w:val="24"/>
                <w:lang w:eastAsia="zh-CN"/>
              </w:rPr>
            </w:pPr>
            <w:r>
              <w:rPr>
                <w:rFonts w:hint="eastAsia"/>
                <w:b w:val="0"/>
                <w:bCs w:val="0"/>
                <w:color w:val="auto"/>
                <w:sz w:val="24"/>
                <w:lang w:eastAsia="zh-CN"/>
              </w:rPr>
              <w:t>环评要求建设单位在后期运行中加强固体废物管理，针对不同类型固体废物按照相关要求进行存储和转运。</w:t>
            </w:r>
          </w:p>
          <w:p w14:paraId="01BB211A">
            <w:pPr>
              <w:numPr>
                <w:ilvl w:val="0"/>
                <w:numId w:val="5"/>
              </w:numPr>
              <w:autoSpaceDE w:val="0"/>
              <w:autoSpaceDN w:val="0"/>
              <w:spacing w:line="360" w:lineRule="auto"/>
              <w:ind w:firstLine="480" w:firstLineChars="200"/>
              <w:jc w:val="both"/>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一般固废管理措施</w:t>
            </w:r>
          </w:p>
          <w:p w14:paraId="17335E69">
            <w:pPr>
              <w:keepNext w:val="0"/>
              <w:keepLines w:val="0"/>
              <w:pageBreakBefore w:val="0"/>
              <w:widowControl w:val="0"/>
              <w:kinsoku/>
              <w:wordWrap/>
              <w:overflowPunct/>
              <w:topLinePunct w:val="0"/>
              <w:bidi w:val="0"/>
              <w:adjustRightInd/>
              <w:snapToGrid/>
              <w:spacing w:line="360" w:lineRule="auto"/>
              <w:ind w:firstLine="480" w:firstLineChars="200"/>
              <w:jc w:val="both"/>
              <w:textAlignment w:val="auto"/>
              <w:rPr>
                <w:rFonts w:hint="eastAsia" w:ascii="宋体" w:hAnsi="宋体" w:eastAsia="宋体" w:cs="Times New Roman"/>
                <w:color w:val="auto"/>
                <w:sz w:val="24"/>
                <w:szCs w:val="24"/>
                <w:lang w:eastAsia="zh-CN"/>
              </w:rPr>
            </w:pPr>
            <w:r>
              <w:rPr>
                <w:rFonts w:hint="eastAsia" w:ascii="宋体" w:hAnsi="宋体" w:eastAsia="宋体" w:cs="Times New Roman"/>
                <w:color w:val="auto"/>
                <w:sz w:val="24"/>
                <w:szCs w:val="24"/>
                <w:lang w:eastAsia="zh-CN"/>
              </w:rPr>
              <w:t>①建设单位对项目产生的固体废物进行分类收集和暂存，设置垃圾桶对厂区生活垃圾进行收集，由环卫部门清运处理。</w:t>
            </w:r>
          </w:p>
          <w:p w14:paraId="36762326">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80" w:firstLineChars="200"/>
              <w:jc w:val="both"/>
              <w:textAlignment w:val="auto"/>
              <w:rPr>
                <w:rFonts w:hint="default" w:ascii="Times New Roman" w:hAnsi="Times New Roman" w:eastAsia="宋体" w:cs="Times New Roman"/>
                <w:color w:val="auto"/>
                <w:sz w:val="24"/>
                <w:lang w:val="en-US" w:eastAsia="zh-CN"/>
              </w:rPr>
            </w:pPr>
            <w:r>
              <w:rPr>
                <w:rFonts w:hint="eastAsia" w:ascii="宋体" w:hAnsi="宋体" w:eastAsia="宋体" w:cs="Times New Roman"/>
                <w:color w:val="auto"/>
                <w:sz w:val="24"/>
                <w:szCs w:val="24"/>
                <w:lang w:eastAsia="zh-CN"/>
              </w:rPr>
              <w:t>②针对厂区产生的一般固体废物应及时分类收集，外售资源回收公司或由环卫部门清运处理。</w:t>
            </w:r>
          </w:p>
          <w:p w14:paraId="23134CE2">
            <w:pPr>
              <w:spacing w:line="360" w:lineRule="auto"/>
              <w:ind w:firstLine="482" w:firstLineChars="200"/>
              <w:rPr>
                <w:rFonts w:hint="eastAsia"/>
                <w:b/>
                <w:bCs/>
                <w:color w:val="auto"/>
                <w:sz w:val="24"/>
                <w:lang w:val="en-US" w:eastAsia="zh-CN"/>
              </w:rPr>
            </w:pPr>
            <w:r>
              <w:rPr>
                <w:rFonts w:hint="eastAsia"/>
                <w:b/>
                <w:bCs/>
                <w:color w:val="auto"/>
                <w:sz w:val="24"/>
                <w:lang w:val="en-US" w:eastAsia="zh-CN"/>
              </w:rPr>
              <w:t>2）危废库相关管理要求</w:t>
            </w:r>
          </w:p>
          <w:p w14:paraId="39DDE870">
            <w:pPr>
              <w:spacing w:line="360" w:lineRule="auto"/>
              <w:ind w:firstLine="480" w:firstLineChars="200"/>
              <w:rPr>
                <w:rFonts w:ascii="宋体" w:hAnsi="宋体" w:eastAsia="宋体" w:cs="宋体"/>
                <w:color w:val="auto"/>
                <w:sz w:val="24"/>
                <w:szCs w:val="24"/>
              </w:rPr>
            </w:pPr>
            <w:r>
              <w:rPr>
                <w:rFonts w:ascii="宋体" w:hAnsi="宋体" w:eastAsia="宋体" w:cs="宋体"/>
                <w:color w:val="auto"/>
                <w:sz w:val="24"/>
                <w:szCs w:val="24"/>
                <w:shd w:val="clear"/>
              </w:rPr>
              <w:t>本项目</w:t>
            </w:r>
            <w:r>
              <w:rPr>
                <w:rFonts w:hint="eastAsia" w:ascii="Times New Roman" w:hAnsi="Times New Roman" w:eastAsia="宋体" w:cs="Times New Roman"/>
                <w:color w:val="auto"/>
                <w:kern w:val="2"/>
                <w:sz w:val="24"/>
                <w:szCs w:val="24"/>
                <w:shd w:val="clear"/>
                <w:lang w:val="en-US" w:eastAsia="zh-CN" w:bidi="ar-SA"/>
              </w:rPr>
              <w:t>在</w:t>
            </w:r>
            <w:r>
              <w:rPr>
                <w:rFonts w:hint="eastAsia" w:cs="Times New Roman"/>
                <w:color w:val="auto"/>
                <w:kern w:val="2"/>
                <w:sz w:val="24"/>
                <w:szCs w:val="24"/>
                <w:shd w:val="clear"/>
                <w:lang w:val="en-US" w:eastAsia="zh-CN" w:bidi="ar-SA"/>
              </w:rPr>
              <w:t>电芯</w:t>
            </w:r>
            <w:r>
              <w:rPr>
                <w:rFonts w:hint="eastAsia" w:ascii="Times New Roman" w:hAnsi="Times New Roman" w:eastAsia="宋体" w:cs="Times New Roman"/>
                <w:color w:val="auto"/>
                <w:kern w:val="2"/>
                <w:sz w:val="24"/>
                <w:szCs w:val="24"/>
                <w:shd w:val="clear"/>
                <w:lang w:val="en-US" w:eastAsia="zh-CN" w:bidi="ar-SA"/>
              </w:rPr>
              <w:t>车间</w:t>
            </w:r>
            <w:r>
              <w:rPr>
                <w:rFonts w:hint="eastAsia" w:cs="Times New Roman"/>
                <w:color w:val="auto"/>
                <w:kern w:val="2"/>
                <w:sz w:val="24"/>
                <w:szCs w:val="24"/>
                <w:shd w:val="clear"/>
                <w:lang w:val="en-US" w:eastAsia="zh-CN" w:bidi="ar-SA"/>
              </w:rPr>
              <w:t>外</w:t>
            </w:r>
            <w:r>
              <w:rPr>
                <w:rFonts w:hint="eastAsia" w:ascii="Times New Roman" w:hAnsi="Times New Roman" w:eastAsia="宋体" w:cs="Times New Roman"/>
                <w:color w:val="auto"/>
                <w:kern w:val="2"/>
                <w:sz w:val="24"/>
                <w:szCs w:val="24"/>
                <w:shd w:val="clear"/>
                <w:lang w:val="en-US" w:eastAsia="zh-CN" w:bidi="ar-SA"/>
              </w:rPr>
              <w:t>南侧设置1间</w:t>
            </w:r>
            <w:r>
              <w:rPr>
                <w:rFonts w:hint="eastAsia" w:cs="Times New Roman"/>
                <w:color w:val="auto"/>
                <w:kern w:val="2"/>
                <w:sz w:val="24"/>
                <w:szCs w:val="24"/>
                <w:shd w:val="clear"/>
                <w:lang w:val="en-US" w:eastAsia="zh-CN" w:bidi="ar-SA"/>
              </w:rPr>
              <w:t>危废库</w:t>
            </w:r>
            <w:r>
              <w:rPr>
                <w:rFonts w:hint="eastAsia" w:ascii="Times New Roman" w:hAnsi="Times New Roman" w:eastAsia="宋体" w:cs="Times New Roman"/>
                <w:color w:val="auto"/>
                <w:kern w:val="2"/>
                <w:sz w:val="24"/>
                <w:szCs w:val="24"/>
                <w:shd w:val="clear"/>
                <w:lang w:val="en-US" w:eastAsia="zh-CN" w:bidi="ar-SA"/>
              </w:rPr>
              <w:t>（</w:t>
            </w:r>
            <w:r>
              <w:rPr>
                <w:rFonts w:hint="eastAsia" w:cs="Times New Roman"/>
                <w:color w:val="auto"/>
                <w:kern w:val="2"/>
                <w:sz w:val="24"/>
                <w:szCs w:val="24"/>
                <w:shd w:val="clear"/>
                <w:lang w:val="en-US" w:eastAsia="zh-CN" w:bidi="ar-SA"/>
              </w:rPr>
              <w:t>111.99</w:t>
            </w:r>
            <w:r>
              <w:rPr>
                <w:rFonts w:hint="eastAsia" w:ascii="Times New Roman" w:hAnsi="Times New Roman" w:eastAsia="宋体" w:cs="Times New Roman"/>
                <w:color w:val="auto"/>
                <w:kern w:val="2"/>
                <w:sz w:val="24"/>
                <w:szCs w:val="24"/>
                <w:shd w:val="clear"/>
                <w:lang w:val="en-US" w:eastAsia="zh-CN" w:bidi="ar-SA"/>
              </w:rPr>
              <w:t>m</w:t>
            </w:r>
            <w:r>
              <w:rPr>
                <w:rFonts w:hint="eastAsia" w:ascii="Times New Roman" w:hAnsi="Times New Roman" w:eastAsia="宋体" w:cs="Times New Roman"/>
                <w:color w:val="auto"/>
                <w:kern w:val="2"/>
                <w:sz w:val="24"/>
                <w:szCs w:val="24"/>
                <w:shd w:val="clear"/>
                <w:vertAlign w:val="superscript"/>
                <w:lang w:val="en-US" w:eastAsia="zh-CN" w:bidi="ar-SA"/>
              </w:rPr>
              <w:t>2</w:t>
            </w:r>
            <w:r>
              <w:rPr>
                <w:rFonts w:hint="eastAsia" w:ascii="Times New Roman" w:hAnsi="Times New Roman" w:eastAsia="宋体" w:cs="Times New Roman"/>
                <w:color w:val="auto"/>
                <w:kern w:val="2"/>
                <w:sz w:val="24"/>
                <w:szCs w:val="24"/>
                <w:shd w:val="clear"/>
                <w:lang w:val="en-US" w:eastAsia="zh-CN" w:bidi="ar-SA"/>
              </w:rPr>
              <w:t>），用于暂存项目所产生的危</w:t>
            </w:r>
            <w:r>
              <w:rPr>
                <w:rFonts w:hint="default" w:ascii="Times New Roman" w:hAnsi="Times New Roman" w:eastAsia="宋体" w:cs="Times New Roman"/>
                <w:color w:val="auto"/>
                <w:kern w:val="2"/>
                <w:sz w:val="24"/>
                <w:szCs w:val="24"/>
                <w:shd w:val="clear"/>
                <w:lang w:val="en-US" w:eastAsia="zh-CN" w:bidi="ar-SA"/>
              </w:rPr>
              <w:t>险废物</w:t>
            </w:r>
            <w:r>
              <w:rPr>
                <w:rFonts w:hint="eastAsia" w:ascii="Times New Roman" w:hAnsi="Times New Roman" w:eastAsia="宋体" w:cs="Times New Roman"/>
                <w:color w:val="auto"/>
                <w:kern w:val="2"/>
                <w:sz w:val="24"/>
                <w:szCs w:val="24"/>
                <w:shd w:val="clear"/>
                <w:lang w:val="en-US" w:eastAsia="zh-CN" w:bidi="ar-SA"/>
              </w:rPr>
              <w:t>，</w:t>
            </w:r>
            <w:r>
              <w:rPr>
                <w:rFonts w:hint="eastAsia" w:cs="Times New Roman"/>
                <w:color w:val="auto"/>
                <w:sz w:val="24"/>
                <w:szCs w:val="24"/>
                <w:shd w:val="clear"/>
                <w:lang w:val="en-US" w:eastAsia="zh-CN"/>
              </w:rPr>
              <w:t>危废库</w:t>
            </w:r>
            <w:r>
              <w:rPr>
                <w:rFonts w:hint="default" w:ascii="Times New Roman" w:hAnsi="Times New Roman" w:eastAsia="宋体" w:cs="Times New Roman"/>
                <w:color w:val="auto"/>
                <w:sz w:val="24"/>
                <w:szCs w:val="24"/>
              </w:rPr>
              <w:t>必须按照《危险废物贮存污染控制标准》（GB18597-2023）要求执行；危废处置过程必须按照国家《危险废物转移管理办法》（2022年1月1</w:t>
            </w:r>
            <w:r>
              <w:rPr>
                <w:rFonts w:hint="default" w:ascii="宋体" w:hAnsi="宋体" w:eastAsia="宋体" w:cs="宋体"/>
                <w:color w:val="auto"/>
                <w:sz w:val="24"/>
                <w:szCs w:val="24"/>
              </w:rPr>
              <w:t>日）</w:t>
            </w:r>
            <w:r>
              <w:rPr>
                <w:rFonts w:ascii="宋体" w:hAnsi="宋体" w:eastAsia="宋体" w:cs="宋体"/>
                <w:color w:val="auto"/>
                <w:sz w:val="24"/>
                <w:szCs w:val="24"/>
              </w:rPr>
              <w:t>执行。</w:t>
            </w:r>
          </w:p>
          <w:p w14:paraId="379D434C">
            <w:pPr>
              <w:spacing w:line="360" w:lineRule="auto"/>
              <w:ind w:firstLine="480" w:firstLineChars="200"/>
              <w:rPr>
                <w:rFonts w:hint="default" w:ascii="宋体" w:hAnsi="宋体" w:eastAsia="宋体" w:cs="宋体"/>
                <w:color w:val="auto"/>
                <w:sz w:val="24"/>
                <w:szCs w:val="24"/>
                <w:lang w:val="en-US" w:eastAsia="zh-CN"/>
              </w:rPr>
            </w:pPr>
            <w:r>
              <w:rPr>
                <w:rFonts w:hint="eastAsia" w:ascii="Times New Roman" w:hAnsi="Times New Roman" w:eastAsia="宋体" w:cs="Times New Roman"/>
                <w:color w:val="auto"/>
                <w:sz w:val="24"/>
                <w:szCs w:val="24"/>
                <w:lang w:val="en-US" w:eastAsia="zh-CN"/>
              </w:rPr>
              <w:t>A、</w:t>
            </w:r>
            <w:r>
              <w:rPr>
                <w:rFonts w:hint="eastAsia" w:cs="Times New Roman"/>
                <w:color w:val="auto"/>
                <w:sz w:val="24"/>
                <w:szCs w:val="24"/>
                <w:lang w:val="en-US" w:eastAsia="zh-CN"/>
              </w:rPr>
              <w:t>危废库</w:t>
            </w:r>
            <w:r>
              <w:rPr>
                <w:rFonts w:hint="eastAsia" w:ascii="Times New Roman" w:hAnsi="Times New Roman" w:eastAsia="宋体" w:cs="Times New Roman"/>
                <w:color w:val="auto"/>
                <w:sz w:val="24"/>
                <w:szCs w:val="24"/>
                <w:lang w:val="en-US" w:eastAsia="zh-CN"/>
              </w:rPr>
              <w:t>区域设置要求</w:t>
            </w:r>
          </w:p>
          <w:p w14:paraId="75C0F9AB">
            <w:pPr>
              <w:spacing w:line="360" w:lineRule="auto"/>
              <w:ind w:firstLine="480" w:firstLineChars="200"/>
              <w:rPr>
                <w:rFonts w:hint="eastAsia" w:ascii="宋体" w:hAnsi="宋体" w:eastAsia="宋体"/>
                <w:color w:val="auto"/>
                <w:sz w:val="24"/>
                <w:szCs w:val="24"/>
                <w:lang w:eastAsia="zh-CN"/>
              </w:rPr>
            </w:pPr>
            <w:r>
              <w:rPr>
                <w:rFonts w:hint="eastAsia" w:ascii="Times New Roman" w:hAnsi="Times New Roman" w:eastAsia="宋体" w:cs="Times New Roman"/>
                <w:color w:val="auto"/>
                <w:sz w:val="24"/>
                <w:szCs w:val="24"/>
                <w:lang w:val="en-US" w:eastAsia="zh-CN"/>
              </w:rPr>
              <w:t>①贮存设施应根据危险废物的形态、物理化学性质、包装形式和污染物迁移途径，采取必要的</w:t>
            </w:r>
            <w:r>
              <w:rPr>
                <w:rFonts w:hint="eastAsia" w:ascii="宋体" w:hAnsi="宋体" w:eastAsia="宋体"/>
                <w:color w:val="auto"/>
                <w:sz w:val="24"/>
                <w:szCs w:val="24"/>
              </w:rPr>
              <w:t>防风、防晒、防雨、防漏、防渗、防腐以及其他环境污染防治措施，不应露天堆放危险废物</w:t>
            </w:r>
            <w:r>
              <w:rPr>
                <w:rFonts w:hint="eastAsia" w:ascii="宋体" w:hAnsi="宋体" w:eastAsia="宋体"/>
                <w:color w:val="auto"/>
                <w:sz w:val="24"/>
                <w:szCs w:val="24"/>
                <w:lang w:eastAsia="zh-CN"/>
              </w:rPr>
              <w:t>。</w:t>
            </w:r>
          </w:p>
          <w:p w14:paraId="7287149A">
            <w:pPr>
              <w:spacing w:line="360" w:lineRule="auto"/>
              <w:ind w:firstLine="480" w:firstLineChars="200"/>
              <w:rPr>
                <w:rFonts w:hint="eastAsia" w:ascii="宋体" w:hAnsi="宋体" w:eastAsia="宋体"/>
                <w:color w:val="auto"/>
                <w:sz w:val="24"/>
                <w:szCs w:val="24"/>
                <w:lang w:eastAsia="zh-CN"/>
              </w:rPr>
            </w:pPr>
            <w:r>
              <w:rPr>
                <w:rFonts w:hint="eastAsia" w:ascii="宋体" w:hAnsi="宋体" w:eastAsia="宋体"/>
                <w:color w:val="auto"/>
                <w:sz w:val="24"/>
                <w:szCs w:val="24"/>
              </w:rPr>
              <w:t>②贮存设施应根据危险废物的类别、数量、形态、物理化学性质和污染防治等要求设置必要的贮存分区，避免不相容的危险废物接触、混合</w:t>
            </w:r>
            <w:r>
              <w:rPr>
                <w:rFonts w:hint="eastAsia" w:ascii="宋体" w:hAnsi="宋体" w:eastAsia="宋体"/>
                <w:color w:val="auto"/>
                <w:sz w:val="24"/>
                <w:szCs w:val="24"/>
                <w:lang w:eastAsia="zh-CN"/>
              </w:rPr>
              <w:t>。</w:t>
            </w:r>
          </w:p>
          <w:p w14:paraId="4E6ADE73">
            <w:pPr>
              <w:spacing w:line="360" w:lineRule="auto"/>
              <w:ind w:firstLine="480" w:firstLineChars="200"/>
              <w:rPr>
                <w:rFonts w:hint="eastAsia" w:ascii="宋体" w:hAnsi="宋体" w:eastAsia="宋体"/>
                <w:color w:val="auto"/>
                <w:sz w:val="24"/>
                <w:szCs w:val="24"/>
              </w:rPr>
            </w:pPr>
            <w:r>
              <w:rPr>
                <w:rFonts w:hint="eastAsia" w:ascii="宋体" w:hAnsi="宋体" w:eastAsia="宋体"/>
                <w:color w:val="auto"/>
                <w:sz w:val="24"/>
                <w:szCs w:val="24"/>
              </w:rPr>
              <w:t>③贮存设施或贮存分区内地面、墙面裙脚、堵截泄漏的围堰、接触危险废物的隔板和墙体等应采用坚固的材料建造，表面无裂缝。</w:t>
            </w:r>
          </w:p>
          <w:p w14:paraId="1CFDC38D">
            <w:pPr>
              <w:spacing w:line="360" w:lineRule="auto"/>
              <w:ind w:firstLine="480" w:firstLineChars="200"/>
              <w:rPr>
                <w:rFonts w:hint="eastAsia" w:ascii="宋体" w:hAnsi="宋体" w:eastAsia="宋体"/>
                <w:color w:val="auto"/>
                <w:sz w:val="24"/>
                <w:szCs w:val="24"/>
                <w:lang w:eastAsia="zh-CN"/>
              </w:rPr>
            </w:pPr>
            <w:r>
              <w:rPr>
                <w:rFonts w:hint="default" w:ascii="Times New Roman" w:hAnsi="Times New Roman" w:eastAsia="宋体" w:cs="Times New Roman"/>
                <w:color w:val="auto"/>
                <w:sz w:val="24"/>
                <w:szCs w:val="24"/>
              </w:rPr>
              <w:t>④</w:t>
            </w:r>
            <w:r>
              <w:rPr>
                <w:rFonts w:hint="eastAsia" w:ascii="宋体" w:hAnsi="宋体" w:eastAsia="宋体"/>
                <w:color w:val="auto"/>
                <w:sz w:val="24"/>
                <w:szCs w:val="24"/>
              </w:rPr>
              <w:t>贮存设施地面与裙脚应采取表面防渗措施；表面防渗材料应与所接触的物料或污染物相容，可采用抗渗混凝土、高密度聚乙烯膜、钠基膨润土防水毯或其他防渗性能等效的材料。贮存的危险废物直接接触地面的，还应进行基础防渗，防渗层为至少</w:t>
            </w:r>
            <w:r>
              <w:rPr>
                <w:rFonts w:hint="eastAsia" w:ascii="TimesNewRomanPSMT" w:hAnsi="TimesNewRomanPSMT" w:eastAsia="TimesNewRomanPSMT"/>
                <w:color w:val="auto"/>
                <w:sz w:val="24"/>
                <w:szCs w:val="24"/>
              </w:rPr>
              <w:t>1m</w:t>
            </w:r>
            <w:r>
              <w:rPr>
                <w:rFonts w:hint="eastAsia" w:ascii="宋体" w:hAnsi="宋体" w:eastAsia="宋体"/>
                <w:color w:val="auto"/>
                <w:sz w:val="24"/>
                <w:szCs w:val="24"/>
              </w:rPr>
              <w:t>厚黏土层（渗透系数不大于</w:t>
            </w:r>
            <w:r>
              <w:rPr>
                <w:rFonts w:hint="eastAsia" w:ascii="TimesNewRomanPSMT" w:hAnsi="TimesNewRomanPSMT" w:eastAsia="TimesNewRomanPSMT"/>
                <w:color w:val="auto"/>
                <w:sz w:val="24"/>
                <w:szCs w:val="24"/>
              </w:rPr>
              <w:t>10</w:t>
            </w:r>
            <w:r>
              <w:rPr>
                <w:rFonts w:hint="eastAsia" w:ascii="TimesNewRomanPSMT" w:hAnsi="TimesNewRomanPSMT" w:eastAsia="TimesNewRomanPSMT"/>
                <w:color w:val="auto"/>
                <w:sz w:val="24"/>
                <w:szCs w:val="24"/>
                <w:vertAlign w:val="superscript"/>
              </w:rPr>
              <w:t>-7</w:t>
            </w:r>
            <w:r>
              <w:rPr>
                <w:rFonts w:hint="eastAsia" w:ascii="TimesNewRomanPSMT" w:hAnsi="TimesNewRomanPSMT" w:eastAsia="TimesNewRomanPSMT"/>
                <w:color w:val="auto"/>
                <w:sz w:val="24"/>
                <w:szCs w:val="24"/>
              </w:rPr>
              <w:t>cm/s</w:t>
            </w:r>
            <w:r>
              <w:rPr>
                <w:rFonts w:hint="eastAsia" w:ascii="宋体" w:hAnsi="宋体" w:eastAsia="宋体"/>
                <w:color w:val="auto"/>
                <w:sz w:val="24"/>
                <w:szCs w:val="24"/>
              </w:rPr>
              <w:t>），或至少</w:t>
            </w:r>
            <w:r>
              <w:rPr>
                <w:rFonts w:hint="eastAsia" w:ascii="TimesNewRomanPSMT" w:hAnsi="TimesNewRomanPSMT" w:eastAsia="TimesNewRomanPSMT"/>
                <w:color w:val="auto"/>
                <w:sz w:val="24"/>
                <w:szCs w:val="24"/>
              </w:rPr>
              <w:t>2mm</w:t>
            </w:r>
            <w:r>
              <w:rPr>
                <w:rFonts w:hint="eastAsia" w:ascii="宋体" w:hAnsi="宋体" w:eastAsia="宋体"/>
                <w:color w:val="auto"/>
                <w:sz w:val="24"/>
                <w:szCs w:val="24"/>
              </w:rPr>
              <w:t>厚高密度聚乙烯膜等人工防渗材料（渗透系数不大于</w:t>
            </w:r>
            <w:r>
              <w:rPr>
                <w:rFonts w:hint="eastAsia" w:ascii="TimesNewRomanPSMT" w:hAnsi="TimesNewRomanPSMT" w:eastAsia="TimesNewRomanPSMT"/>
                <w:color w:val="auto"/>
                <w:sz w:val="24"/>
                <w:szCs w:val="24"/>
              </w:rPr>
              <w:t>10</w:t>
            </w:r>
            <w:r>
              <w:rPr>
                <w:rFonts w:hint="eastAsia" w:ascii="TimesNewRomanPSMT" w:hAnsi="TimesNewRomanPSMT" w:eastAsia="TimesNewRomanPSMT"/>
                <w:color w:val="auto"/>
                <w:sz w:val="24"/>
                <w:szCs w:val="24"/>
                <w:vertAlign w:val="superscript"/>
              </w:rPr>
              <w:t>-10</w:t>
            </w:r>
            <w:r>
              <w:rPr>
                <w:rFonts w:hint="eastAsia" w:ascii="TimesNewRomanPSMT" w:hAnsi="TimesNewRomanPSMT" w:eastAsia="TimesNewRomanPSMT"/>
                <w:color w:val="auto"/>
                <w:sz w:val="24"/>
                <w:szCs w:val="24"/>
              </w:rPr>
              <w:t>cm/s</w:t>
            </w:r>
            <w:r>
              <w:rPr>
                <w:rFonts w:hint="eastAsia" w:ascii="宋体" w:hAnsi="宋体" w:eastAsia="宋体"/>
                <w:color w:val="auto"/>
                <w:sz w:val="24"/>
                <w:szCs w:val="24"/>
              </w:rPr>
              <w:t>），或其他防渗性能等效的材料</w:t>
            </w:r>
            <w:r>
              <w:rPr>
                <w:rFonts w:hint="eastAsia" w:ascii="宋体" w:hAnsi="宋体" w:eastAsia="宋体"/>
                <w:color w:val="auto"/>
                <w:sz w:val="24"/>
                <w:szCs w:val="24"/>
                <w:lang w:eastAsia="zh-CN"/>
              </w:rPr>
              <w:t>。</w:t>
            </w:r>
          </w:p>
          <w:p w14:paraId="2370CA5F">
            <w:pPr>
              <w:spacing w:line="360" w:lineRule="auto"/>
              <w:ind w:firstLine="480" w:firstLineChars="200"/>
              <w:rPr>
                <w:rFonts w:hint="eastAsia" w:ascii="宋体" w:hAnsi="宋体" w:eastAsia="宋体" w:cs="Times New Roman"/>
                <w:color w:val="auto"/>
                <w:sz w:val="24"/>
                <w:szCs w:val="24"/>
              </w:rPr>
            </w:pPr>
            <w:r>
              <w:rPr>
                <w:rFonts w:hint="eastAsia" w:ascii="宋体" w:hAnsi="宋体" w:eastAsia="宋体" w:cs="Times New Roman"/>
                <w:color w:val="auto"/>
                <w:sz w:val="24"/>
                <w:szCs w:val="24"/>
              </w:rPr>
              <w:t>⑤贮存设施应采取技术和管理措施防止无关人员进入。</w:t>
            </w:r>
          </w:p>
          <w:p w14:paraId="5694A07F">
            <w:pPr>
              <w:spacing w:line="360" w:lineRule="auto"/>
              <w:ind w:firstLine="480" w:firstLineChars="200"/>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B、容器和包装物污染控制要求</w:t>
            </w:r>
          </w:p>
          <w:p w14:paraId="52D336F9">
            <w:pPr>
              <w:spacing w:line="360" w:lineRule="auto"/>
              <w:ind w:firstLine="480" w:firstLineChars="200"/>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①盛装危废的容器必须符合《危险废物贮存污染控制标准》（GB18597-2023）中附录A中的相关标准；</w:t>
            </w:r>
          </w:p>
          <w:p w14:paraId="2B265BEA">
            <w:pPr>
              <w:spacing w:line="360" w:lineRule="auto"/>
              <w:ind w:firstLine="480" w:firstLineChars="200"/>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②盛装危险废物的容器及材质要满足相应的强度要求；</w:t>
            </w:r>
          </w:p>
          <w:p w14:paraId="2F579B7A">
            <w:pPr>
              <w:spacing w:line="360" w:lineRule="auto"/>
              <w:ind w:firstLine="480" w:firstLineChars="200"/>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③盛装危险废物的容器必须完好无损；</w:t>
            </w:r>
          </w:p>
          <w:p w14:paraId="68F731A4">
            <w:pPr>
              <w:spacing w:line="360" w:lineRule="auto"/>
              <w:ind w:firstLine="480" w:firstLineChars="200"/>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④盛装危险废物的容器材质和衬里要与危险废物相容（不相互反应）；</w:t>
            </w:r>
          </w:p>
          <w:p w14:paraId="694883A2">
            <w:pPr>
              <w:spacing w:line="360" w:lineRule="auto"/>
              <w:ind w:firstLine="480" w:firstLineChars="200"/>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⑤盛装危险废物的容器须加上标签。</w:t>
            </w:r>
          </w:p>
          <w:p w14:paraId="3A8B5704">
            <w:pPr>
              <w:spacing w:line="360" w:lineRule="auto"/>
              <w:ind w:firstLine="480" w:firstLineChars="200"/>
              <w:rPr>
                <w:rFonts w:hint="eastAsia" w:ascii="宋体" w:hAnsi="宋体" w:eastAsia="宋体"/>
                <w:color w:val="auto"/>
                <w:sz w:val="24"/>
                <w:szCs w:val="24"/>
              </w:rPr>
            </w:pPr>
            <w:r>
              <w:rPr>
                <w:rFonts w:hint="eastAsia" w:ascii="Times New Roman" w:hAnsi="Times New Roman" w:eastAsia="宋体" w:cs="Times New Roman"/>
                <w:color w:val="auto"/>
                <w:sz w:val="24"/>
                <w:szCs w:val="24"/>
                <w:lang w:val="en-US" w:eastAsia="zh-CN"/>
              </w:rPr>
              <w:t>C、</w:t>
            </w:r>
            <w:r>
              <w:rPr>
                <w:rFonts w:hint="eastAsia" w:ascii="宋体" w:hAnsi="宋体" w:eastAsia="宋体"/>
                <w:color w:val="auto"/>
                <w:sz w:val="24"/>
                <w:szCs w:val="24"/>
              </w:rPr>
              <w:t>贮存过程污染控制要求</w:t>
            </w:r>
          </w:p>
          <w:p w14:paraId="14B7DF89">
            <w:pPr>
              <w:spacing w:line="360" w:lineRule="auto"/>
              <w:ind w:firstLine="480" w:firstLineChars="200"/>
              <w:rPr>
                <w:rFonts w:hint="eastAsia" w:ascii="宋体" w:hAnsi="宋体" w:eastAsia="宋体" w:cs="Times New Roman"/>
                <w:color w:val="auto"/>
                <w:sz w:val="24"/>
                <w:szCs w:val="24"/>
              </w:rPr>
            </w:pPr>
            <w:r>
              <w:rPr>
                <w:rFonts w:hint="eastAsia" w:ascii="宋体" w:hAnsi="宋体" w:eastAsia="宋体"/>
                <w:color w:val="auto"/>
                <w:sz w:val="24"/>
                <w:szCs w:val="24"/>
              </w:rPr>
              <w:t>项目危险废物的贮存包括两个方面，一是在危险废物产生节点将危险废物集中</w:t>
            </w:r>
            <w:r>
              <w:rPr>
                <w:rFonts w:hint="eastAsia" w:ascii="宋体" w:hAnsi="宋体" w:eastAsia="宋体" w:cs="Times New Roman"/>
                <w:color w:val="auto"/>
                <w:sz w:val="24"/>
                <w:szCs w:val="24"/>
              </w:rPr>
              <w:t>到包装桶或包装袋中，二是将已包装的危险废物集中到危废库内。在危险废物的收集贮存过程中，项目应采取如下污染防治措施；</w:t>
            </w:r>
          </w:p>
          <w:p w14:paraId="4B91E7D8">
            <w:pPr>
              <w:spacing w:line="360" w:lineRule="auto"/>
              <w:ind w:firstLine="480" w:firstLineChars="200"/>
              <w:rPr>
                <w:rFonts w:hint="eastAsia" w:ascii="宋体" w:hAnsi="宋体" w:eastAsia="宋体" w:cs="Times New Roman"/>
                <w:color w:val="auto"/>
                <w:sz w:val="24"/>
                <w:szCs w:val="24"/>
              </w:rPr>
            </w:pPr>
            <w:r>
              <w:rPr>
                <w:rFonts w:hint="eastAsia" w:ascii="宋体" w:hAnsi="宋体" w:eastAsia="宋体" w:cs="Times New Roman"/>
                <w:color w:val="auto"/>
                <w:sz w:val="24"/>
                <w:szCs w:val="24"/>
              </w:rPr>
              <w:t>①在常温常压下不易水解、不易挥发的固态危险废物可分类堆放贮存，其他固态危险废物应装入容器或包装物内贮存。</w:t>
            </w:r>
          </w:p>
          <w:p w14:paraId="7B5A0D91">
            <w:pPr>
              <w:spacing w:line="360" w:lineRule="auto"/>
              <w:ind w:firstLine="480" w:firstLineChars="200"/>
              <w:rPr>
                <w:rFonts w:hint="eastAsia" w:ascii="宋体" w:hAnsi="宋体" w:eastAsia="宋体" w:cs="Times New Roman"/>
                <w:color w:val="auto"/>
                <w:sz w:val="24"/>
                <w:szCs w:val="24"/>
              </w:rPr>
            </w:pPr>
            <w:r>
              <w:rPr>
                <w:rFonts w:hint="eastAsia" w:ascii="宋体" w:hAnsi="宋体" w:eastAsia="宋体" w:cs="Times New Roman"/>
                <w:color w:val="auto"/>
                <w:sz w:val="24"/>
                <w:szCs w:val="24"/>
              </w:rPr>
              <w:t>②液态危险废物应装入容器内贮存，或直接采用贮存池、贮存罐区贮存。</w:t>
            </w:r>
          </w:p>
          <w:p w14:paraId="282D7023">
            <w:pPr>
              <w:spacing w:line="360" w:lineRule="auto"/>
              <w:ind w:firstLine="480" w:firstLineChars="200"/>
              <w:rPr>
                <w:rFonts w:hint="eastAsia" w:ascii="宋体" w:hAnsi="宋体" w:eastAsia="宋体" w:cs="Times New Roman"/>
                <w:color w:val="auto"/>
                <w:sz w:val="24"/>
                <w:szCs w:val="24"/>
              </w:rPr>
            </w:pPr>
            <w:r>
              <w:rPr>
                <w:rFonts w:hint="eastAsia" w:ascii="宋体" w:hAnsi="宋体" w:eastAsia="宋体" w:cs="Times New Roman"/>
                <w:color w:val="auto"/>
                <w:sz w:val="24"/>
                <w:szCs w:val="24"/>
              </w:rPr>
              <w:t>③易产生</w:t>
            </w:r>
            <w:r>
              <w:rPr>
                <w:rFonts w:hint="default" w:ascii="Times New Roman" w:hAnsi="Times New Roman" w:eastAsia="宋体" w:cs="Times New Roman"/>
                <w:color w:val="auto"/>
                <w:sz w:val="24"/>
                <w:szCs w:val="24"/>
              </w:rPr>
              <w:t>VOCs</w:t>
            </w:r>
            <w:r>
              <w:rPr>
                <w:rFonts w:hint="eastAsia" w:ascii="宋体" w:hAnsi="宋体" w:eastAsia="宋体" w:cs="Times New Roman"/>
                <w:color w:val="auto"/>
                <w:sz w:val="24"/>
                <w:szCs w:val="24"/>
              </w:rPr>
              <w:t>大气污染物和刺激性气味气体的危险废物应装入闭口容器或包装物内贮存。</w:t>
            </w:r>
          </w:p>
          <w:p w14:paraId="2914C2A4">
            <w:pPr>
              <w:keepNext w:val="0"/>
              <w:keepLines w:val="0"/>
              <w:pageBreakBefore w:val="0"/>
              <w:widowControl/>
              <w:kinsoku/>
              <w:wordWrap/>
              <w:overflowPunct/>
              <w:topLinePunct w:val="0"/>
              <w:autoSpaceDE/>
              <w:autoSpaceDN/>
              <w:bidi w:val="0"/>
              <w:adjustRightInd/>
              <w:snapToGrid/>
              <w:spacing w:line="348" w:lineRule="auto"/>
              <w:ind w:firstLine="480" w:firstLineChars="200"/>
              <w:contextualSpacing/>
              <w:jc w:val="left"/>
              <w:textAlignment w:val="auto"/>
              <w:rPr>
                <w:rFonts w:hint="eastAsia" w:ascii="Times New Roman" w:hAnsi="Times New Roman" w:eastAsia="宋体" w:cs="Times New Roman"/>
                <w:color w:val="auto"/>
                <w:sz w:val="24"/>
                <w:szCs w:val="24"/>
                <w:lang w:val="en-US" w:eastAsia="zh-CN"/>
              </w:rPr>
            </w:pPr>
            <w:r>
              <w:rPr>
                <w:rFonts w:hint="eastAsia" w:ascii="宋体" w:hAnsi="宋体" w:eastAsia="宋体" w:cs="Times New Roman"/>
                <w:color w:val="auto"/>
                <w:sz w:val="24"/>
                <w:szCs w:val="24"/>
                <w:lang w:eastAsia="zh-CN"/>
              </w:rPr>
              <w:t>⑤</w:t>
            </w:r>
            <w:r>
              <w:rPr>
                <w:rFonts w:hint="eastAsia" w:ascii="Times New Roman" w:hAnsi="Times New Roman" w:eastAsia="宋体" w:cs="Times New Roman"/>
                <w:color w:val="auto"/>
                <w:sz w:val="24"/>
                <w:szCs w:val="24"/>
                <w:lang w:val="en-US" w:eastAsia="zh-CN"/>
              </w:rPr>
              <w:t>危险废物的收集应根据危险废物产生工艺特征、排放周期、危险废物特性、废物管理计划等因素制定收集计划。收集计划应包括收集任务概述、收集目标及原则、危险废物特性评估、危险废物收集量估算、收集作业范围和方法、收集设备与包装容器、安全生产与个人防护、工程防护与事故应急、进度安排与组织管理等。</w:t>
            </w:r>
          </w:p>
          <w:p w14:paraId="2FB97949">
            <w:pPr>
              <w:spacing w:line="360" w:lineRule="auto"/>
              <w:ind w:firstLine="480" w:firstLineChars="200"/>
              <w:rPr>
                <w:rFonts w:hint="eastAsia" w:ascii="宋体" w:hAnsi="宋体" w:eastAsia="宋体"/>
                <w:color w:val="auto"/>
                <w:sz w:val="24"/>
                <w:szCs w:val="24"/>
              </w:rPr>
            </w:pPr>
            <w:r>
              <w:rPr>
                <w:rFonts w:hint="eastAsia" w:ascii="Times New Roman" w:hAnsi="Times New Roman" w:eastAsia="宋体" w:cs="Times New Roman"/>
                <w:color w:val="auto"/>
                <w:sz w:val="24"/>
                <w:szCs w:val="24"/>
                <w:lang w:val="en-US" w:eastAsia="zh-CN"/>
              </w:rPr>
              <w:t>4）</w:t>
            </w:r>
            <w:r>
              <w:rPr>
                <w:rFonts w:hint="eastAsia" w:ascii="宋体" w:hAnsi="宋体" w:eastAsia="宋体"/>
                <w:color w:val="auto"/>
                <w:sz w:val="24"/>
                <w:szCs w:val="24"/>
              </w:rPr>
              <w:t>危险废物标签要求</w:t>
            </w:r>
          </w:p>
          <w:p w14:paraId="0D3ABAD4">
            <w:pPr>
              <w:spacing w:line="360" w:lineRule="auto"/>
              <w:ind w:firstLine="480" w:firstLineChars="200"/>
              <w:rPr>
                <w:rFonts w:hint="eastAsia" w:ascii="宋体" w:hAnsi="宋体" w:eastAsia="宋体"/>
                <w:color w:val="auto"/>
                <w:sz w:val="24"/>
                <w:szCs w:val="24"/>
              </w:rPr>
            </w:pPr>
            <w:r>
              <w:rPr>
                <w:rFonts w:hint="eastAsia" w:ascii="宋体" w:hAnsi="宋体" w:eastAsia="宋体"/>
                <w:color w:val="auto"/>
                <w:sz w:val="24"/>
                <w:szCs w:val="24"/>
              </w:rPr>
              <w:t>①危险废物标签应以醒目的字样标注“危险废物”。</w:t>
            </w:r>
          </w:p>
          <w:p w14:paraId="7A008041">
            <w:pPr>
              <w:spacing w:line="360" w:lineRule="auto"/>
              <w:ind w:firstLine="480" w:firstLineChars="200"/>
              <w:rPr>
                <w:rFonts w:hint="eastAsia" w:ascii="宋体" w:hAnsi="宋体" w:eastAsia="宋体"/>
                <w:color w:val="auto"/>
                <w:sz w:val="24"/>
                <w:szCs w:val="24"/>
              </w:rPr>
            </w:pPr>
            <w:r>
              <w:rPr>
                <w:rFonts w:hint="eastAsia" w:ascii="宋体" w:hAnsi="宋体" w:eastAsia="宋体"/>
                <w:color w:val="auto"/>
                <w:sz w:val="24"/>
                <w:szCs w:val="24"/>
              </w:rPr>
              <w:t>②危险废物标签应包含废物名称、废物类别、废物代码、废物形态、危险特性、主要成分、有害成分、注意事项、产生</w:t>
            </w:r>
            <w:r>
              <w:rPr>
                <w:rFonts w:hint="eastAsia" w:ascii="TimesNewRomanPSMT" w:hAnsi="TimesNewRomanPSMT" w:eastAsia="TimesNewRomanPSMT"/>
                <w:color w:val="auto"/>
                <w:sz w:val="24"/>
                <w:szCs w:val="24"/>
              </w:rPr>
              <w:t>/</w:t>
            </w:r>
            <w:r>
              <w:rPr>
                <w:rFonts w:hint="eastAsia" w:ascii="宋体" w:hAnsi="宋体" w:eastAsia="宋体"/>
                <w:color w:val="auto"/>
                <w:sz w:val="24"/>
                <w:szCs w:val="24"/>
              </w:rPr>
              <w:t>收集单位名称、联系人、联系方式、产生日期、废物重量和备注。</w:t>
            </w:r>
          </w:p>
          <w:p w14:paraId="43CA25BC">
            <w:pPr>
              <w:spacing w:line="360" w:lineRule="auto"/>
              <w:ind w:firstLine="480" w:firstLineChars="200"/>
              <w:rPr>
                <w:rFonts w:hint="eastAsia" w:ascii="宋体" w:hAnsi="宋体" w:eastAsia="宋体"/>
                <w:color w:val="auto"/>
                <w:sz w:val="24"/>
                <w:szCs w:val="24"/>
              </w:rPr>
            </w:pPr>
            <w:r>
              <w:rPr>
                <w:rFonts w:hint="eastAsia" w:ascii="宋体" w:hAnsi="宋体" w:eastAsia="宋体"/>
                <w:color w:val="auto"/>
                <w:sz w:val="24"/>
                <w:szCs w:val="24"/>
              </w:rPr>
              <w:t>③危险废物标签宜设置危险废物数字识别码和二维码。</w:t>
            </w:r>
          </w:p>
          <w:tbl>
            <w:tblPr>
              <w:tblStyle w:val="42"/>
              <w:tblW w:w="71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99"/>
              <w:gridCol w:w="3611"/>
            </w:tblGrid>
            <w:tr w14:paraId="5FF23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99" w:type="dxa"/>
                  <w:noWrap w:val="0"/>
                  <w:vAlign w:val="center"/>
                </w:tcPr>
                <w:p w14:paraId="02CCBC54">
                  <w:pPr>
                    <w:spacing w:line="360" w:lineRule="auto"/>
                    <w:rPr>
                      <w:rFonts w:hint="eastAsia" w:ascii="宋体" w:hAnsi="宋体" w:eastAsia="宋体"/>
                      <w:color w:val="auto"/>
                      <w:sz w:val="24"/>
                      <w:szCs w:val="24"/>
                      <w:vertAlign w:val="baseline"/>
                      <w:lang w:val="en-US" w:eastAsia="zh-CN"/>
                    </w:rPr>
                  </w:pPr>
                  <w:r>
                    <w:rPr>
                      <w:rFonts w:hint="eastAsia"/>
                      <w:color w:val="auto"/>
                      <w:lang w:val="en-US" w:eastAsia="zh-CN"/>
                    </w:rPr>
                    <w:t xml:space="preserve">  </w:t>
                  </w:r>
                  <w:r>
                    <w:rPr>
                      <w:color w:val="auto"/>
                    </w:rPr>
                    <w:drawing>
                      <wp:inline distT="0" distB="0" distL="114300" distR="114300">
                        <wp:extent cx="1799590" cy="1529715"/>
                        <wp:effectExtent l="0" t="0" r="10160" b="13335"/>
                        <wp:docPr id="1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8"/>
                                <pic:cNvPicPr>
                                  <a:picLocks noChangeAspect="1"/>
                                </pic:cNvPicPr>
                              </pic:nvPicPr>
                              <pic:blipFill>
                                <a:blip r:embed="rId42"/>
                                <a:stretch>
                                  <a:fillRect/>
                                </a:stretch>
                              </pic:blipFill>
                              <pic:spPr>
                                <a:xfrm>
                                  <a:off x="0" y="0"/>
                                  <a:ext cx="1799590" cy="1529715"/>
                                </a:xfrm>
                                <a:prstGeom prst="rect">
                                  <a:avLst/>
                                </a:prstGeom>
                                <a:noFill/>
                                <a:ln>
                                  <a:noFill/>
                                </a:ln>
                              </pic:spPr>
                            </pic:pic>
                          </a:graphicData>
                        </a:graphic>
                      </wp:inline>
                    </w:drawing>
                  </w:r>
                </w:p>
              </w:tc>
              <w:tc>
                <w:tcPr>
                  <w:tcW w:w="3611" w:type="dxa"/>
                  <w:noWrap w:val="0"/>
                  <w:vAlign w:val="center"/>
                </w:tcPr>
                <w:p w14:paraId="5A91B20E">
                  <w:pPr>
                    <w:spacing w:line="360" w:lineRule="auto"/>
                    <w:rPr>
                      <w:rFonts w:hint="eastAsia" w:ascii="宋体" w:hAnsi="宋体" w:eastAsia="宋体"/>
                      <w:color w:val="auto"/>
                      <w:sz w:val="24"/>
                      <w:szCs w:val="24"/>
                      <w:vertAlign w:val="baseline"/>
                      <w:lang w:val="en-US" w:eastAsia="zh-CN"/>
                    </w:rPr>
                  </w:pPr>
                  <w:r>
                    <w:rPr>
                      <w:rFonts w:hint="eastAsia"/>
                      <w:color w:val="auto"/>
                      <w:lang w:val="en-US" w:eastAsia="zh-CN"/>
                    </w:rPr>
                    <w:t xml:space="preserve">     </w:t>
                  </w:r>
                  <w:r>
                    <w:rPr>
                      <w:color w:val="auto"/>
                    </w:rPr>
                    <w:drawing>
                      <wp:inline distT="0" distB="0" distL="114300" distR="114300">
                        <wp:extent cx="1666875" cy="1655445"/>
                        <wp:effectExtent l="0" t="0" r="9525" b="190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43"/>
                                <a:stretch>
                                  <a:fillRect/>
                                </a:stretch>
                              </pic:blipFill>
                              <pic:spPr>
                                <a:xfrm>
                                  <a:off x="0" y="0"/>
                                  <a:ext cx="1666875" cy="1655445"/>
                                </a:xfrm>
                                <a:prstGeom prst="rect">
                                  <a:avLst/>
                                </a:prstGeom>
                                <a:noFill/>
                                <a:ln>
                                  <a:noFill/>
                                </a:ln>
                              </pic:spPr>
                            </pic:pic>
                          </a:graphicData>
                        </a:graphic>
                      </wp:inline>
                    </w:drawing>
                  </w:r>
                </w:p>
              </w:tc>
            </w:tr>
            <w:tr w14:paraId="47739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99" w:type="dxa"/>
                  <w:noWrap w:val="0"/>
                  <w:vAlign w:val="center"/>
                </w:tcPr>
                <w:p w14:paraId="234EA18A">
                  <w:pPr>
                    <w:autoSpaceDE w:val="0"/>
                    <w:autoSpaceDN w:val="0"/>
                    <w:adjustRightInd w:val="0"/>
                    <w:snapToGrid w:val="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危险废物标识</w:t>
                  </w:r>
                </w:p>
              </w:tc>
              <w:tc>
                <w:tcPr>
                  <w:tcW w:w="3611" w:type="dxa"/>
                  <w:noWrap w:val="0"/>
                  <w:vAlign w:val="center"/>
                </w:tcPr>
                <w:p w14:paraId="05539D25">
                  <w:pPr>
                    <w:autoSpaceDE w:val="0"/>
                    <w:autoSpaceDN w:val="0"/>
                    <w:adjustRightInd w:val="0"/>
                    <w:snapToGrid w:val="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危险废物标签样式示意图</w:t>
                  </w:r>
                </w:p>
              </w:tc>
            </w:tr>
            <w:tr w14:paraId="00053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99" w:type="dxa"/>
                  <w:noWrap w:val="0"/>
                  <w:vAlign w:val="center"/>
                </w:tcPr>
                <w:p w14:paraId="021964F7">
                  <w:pPr>
                    <w:spacing w:line="360" w:lineRule="auto"/>
                    <w:rPr>
                      <w:rFonts w:hint="eastAsia" w:ascii="宋体" w:hAnsi="宋体" w:eastAsia="宋体"/>
                      <w:color w:val="auto"/>
                      <w:sz w:val="24"/>
                      <w:szCs w:val="24"/>
                      <w:vertAlign w:val="baseline"/>
                      <w:lang w:val="en-US" w:eastAsia="zh-CN"/>
                    </w:rPr>
                  </w:pPr>
                  <w:r>
                    <w:rPr>
                      <w:rFonts w:hint="eastAsia"/>
                      <w:color w:val="auto"/>
                      <w:lang w:val="en-US" w:eastAsia="zh-CN"/>
                    </w:rPr>
                    <w:t xml:space="preserve">     </w:t>
                  </w:r>
                  <w:r>
                    <w:rPr>
                      <w:color w:val="auto"/>
                    </w:rPr>
                    <w:drawing>
                      <wp:inline distT="0" distB="0" distL="114300" distR="114300">
                        <wp:extent cx="1485900" cy="1152525"/>
                        <wp:effectExtent l="0" t="0" r="0" b="952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44"/>
                                <a:stretch>
                                  <a:fillRect/>
                                </a:stretch>
                              </pic:blipFill>
                              <pic:spPr>
                                <a:xfrm>
                                  <a:off x="0" y="0"/>
                                  <a:ext cx="1485900" cy="1152525"/>
                                </a:xfrm>
                                <a:prstGeom prst="rect">
                                  <a:avLst/>
                                </a:prstGeom>
                                <a:noFill/>
                                <a:ln>
                                  <a:noFill/>
                                </a:ln>
                              </pic:spPr>
                            </pic:pic>
                          </a:graphicData>
                        </a:graphic>
                      </wp:inline>
                    </w:drawing>
                  </w:r>
                </w:p>
              </w:tc>
              <w:tc>
                <w:tcPr>
                  <w:tcW w:w="3611" w:type="dxa"/>
                  <w:noWrap w:val="0"/>
                  <w:vAlign w:val="center"/>
                </w:tcPr>
                <w:p w14:paraId="577DF4F5">
                  <w:pPr>
                    <w:spacing w:line="360" w:lineRule="auto"/>
                    <w:rPr>
                      <w:rFonts w:hint="eastAsia" w:ascii="宋体" w:hAnsi="宋体" w:eastAsia="宋体"/>
                      <w:color w:val="auto"/>
                      <w:sz w:val="24"/>
                      <w:szCs w:val="24"/>
                      <w:vertAlign w:val="baseline"/>
                      <w:lang w:val="en-US" w:eastAsia="zh-CN"/>
                    </w:rPr>
                  </w:pPr>
                  <w:r>
                    <w:rPr>
                      <w:rFonts w:hint="eastAsia"/>
                      <w:color w:val="auto"/>
                      <w:lang w:val="en-US" w:eastAsia="zh-CN"/>
                    </w:rPr>
                    <w:t xml:space="preserve">    </w:t>
                  </w:r>
                  <w:r>
                    <w:rPr>
                      <w:color w:val="auto"/>
                    </w:rPr>
                    <w:drawing>
                      <wp:inline distT="0" distB="0" distL="114300" distR="114300">
                        <wp:extent cx="1885950" cy="1171575"/>
                        <wp:effectExtent l="0" t="0" r="0" b="9525"/>
                        <wp:docPr id="1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1"/>
                                <pic:cNvPicPr>
                                  <a:picLocks noChangeAspect="1"/>
                                </pic:cNvPicPr>
                              </pic:nvPicPr>
                              <pic:blipFill>
                                <a:blip r:embed="rId45"/>
                                <a:stretch>
                                  <a:fillRect/>
                                </a:stretch>
                              </pic:blipFill>
                              <pic:spPr>
                                <a:xfrm>
                                  <a:off x="0" y="0"/>
                                  <a:ext cx="1885950" cy="1171575"/>
                                </a:xfrm>
                                <a:prstGeom prst="rect">
                                  <a:avLst/>
                                </a:prstGeom>
                                <a:noFill/>
                                <a:ln>
                                  <a:noFill/>
                                </a:ln>
                              </pic:spPr>
                            </pic:pic>
                          </a:graphicData>
                        </a:graphic>
                      </wp:inline>
                    </w:drawing>
                  </w:r>
                </w:p>
              </w:tc>
            </w:tr>
            <w:tr w14:paraId="3C029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99" w:type="dxa"/>
                  <w:noWrap w:val="0"/>
                  <w:vAlign w:val="center"/>
                </w:tcPr>
                <w:p w14:paraId="27BDD450">
                  <w:pPr>
                    <w:autoSpaceDE w:val="0"/>
                    <w:autoSpaceDN w:val="0"/>
                    <w:adjustRightInd w:val="0"/>
                    <w:snapToGrid w:val="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危险废物贮存分区标志样式示意图</w:t>
                  </w:r>
                </w:p>
              </w:tc>
              <w:tc>
                <w:tcPr>
                  <w:tcW w:w="3611" w:type="dxa"/>
                  <w:noWrap w:val="0"/>
                  <w:vAlign w:val="center"/>
                </w:tcPr>
                <w:p w14:paraId="6854CE6F">
                  <w:pPr>
                    <w:autoSpaceDE w:val="0"/>
                    <w:autoSpaceDN w:val="0"/>
                    <w:adjustRightInd w:val="0"/>
                    <w:snapToGrid w:val="0"/>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贮存设施标志</w:t>
                  </w:r>
                </w:p>
              </w:tc>
            </w:tr>
          </w:tbl>
          <w:p w14:paraId="6986BC4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5）</w:t>
            </w:r>
            <w:r>
              <w:rPr>
                <w:rFonts w:hint="default" w:ascii="Times New Roman" w:hAnsi="Times New Roman" w:eastAsia="宋体" w:cs="Times New Roman"/>
                <w:color w:val="auto"/>
                <w:sz w:val="24"/>
                <w:szCs w:val="24"/>
              </w:rPr>
              <w:t>危险废物运输污染防治措施</w:t>
            </w:r>
          </w:p>
          <w:p w14:paraId="3A9D563B">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①危险废物运输由持有危险废物经营许可证的单位按照其许可证的经营范围组织实施，承担危险废物运输的单位应获得交通运输部门颁发的危险货物运输资质。</w:t>
            </w:r>
          </w:p>
          <w:p w14:paraId="45A1CF18">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②运输单位承运危险废物时，应在危险废物包装上设置标志。</w:t>
            </w:r>
          </w:p>
          <w:p w14:paraId="2F52A60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③危险废物运输时的中转、装卸过程应遵守如下技术要求：</w:t>
            </w:r>
          </w:p>
          <w:p w14:paraId="58368BF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val="en-US" w:eastAsia="zh-CN"/>
              </w:rPr>
              <w:t>a、</w:t>
            </w:r>
            <w:r>
              <w:rPr>
                <w:rFonts w:hint="default" w:ascii="Times New Roman" w:hAnsi="Times New Roman" w:eastAsia="宋体" w:cs="Times New Roman"/>
                <w:color w:val="auto"/>
                <w:sz w:val="24"/>
                <w:szCs w:val="24"/>
              </w:rPr>
              <w:t>工作人员应熟悉废物的危险特性，并配备适当个人防护装备；</w:t>
            </w:r>
          </w:p>
          <w:p w14:paraId="643BE36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b、</w:t>
            </w:r>
            <w:r>
              <w:rPr>
                <w:rFonts w:hint="default" w:ascii="Times New Roman" w:hAnsi="Times New Roman" w:eastAsia="宋体" w:cs="Times New Roman"/>
                <w:color w:val="auto"/>
                <w:sz w:val="24"/>
                <w:szCs w:val="24"/>
              </w:rPr>
              <w:t>配备必要消防设备和设施，并设置明显的指示标志；</w:t>
            </w:r>
          </w:p>
          <w:p w14:paraId="78FF286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c、</w:t>
            </w:r>
            <w:r>
              <w:rPr>
                <w:rFonts w:hint="default" w:ascii="Times New Roman" w:hAnsi="Times New Roman" w:eastAsia="宋体" w:cs="Times New Roman"/>
                <w:color w:val="auto"/>
                <w:sz w:val="24"/>
                <w:szCs w:val="24"/>
              </w:rPr>
              <w:t>危险废物装卸区应设置隔离设施；</w:t>
            </w:r>
          </w:p>
          <w:p w14:paraId="56EBCD43">
            <w:pPr>
              <w:spacing w:line="360" w:lineRule="auto"/>
              <w:ind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rPr>
              <w:t>项目对各类固体废弃物进行分类暂存，对危废库做</w:t>
            </w:r>
            <w:r>
              <w:rPr>
                <w:rFonts w:hint="eastAsia" w:ascii="宋体" w:hAnsi="宋体" w:eastAsia="宋体" w:cs="宋体"/>
                <w:color w:val="auto"/>
                <w:sz w:val="24"/>
                <w:szCs w:val="24"/>
              </w:rPr>
              <w:t>好“六防”（</w:t>
            </w:r>
            <w:r>
              <w:rPr>
                <w:rFonts w:hint="default" w:ascii="Times New Roman" w:hAnsi="Times New Roman" w:eastAsia="宋体" w:cs="Times New Roman"/>
                <w:color w:val="auto"/>
                <w:sz w:val="24"/>
                <w:szCs w:val="24"/>
              </w:rPr>
              <w:t>防风、防雨、防晒、防渗、防漏、防腐）措施，避免造成二次污染；危险废物必须严格参照《危险废物收集、贮存、运输技术规范》和《危险废物贮存污染控制标准》中的相关要求执行；</w:t>
            </w:r>
            <w:r>
              <w:rPr>
                <w:rFonts w:hint="eastAsia" w:ascii="Times New Roman" w:hAnsi="Times New Roman" w:eastAsia="宋体" w:cs="Times New Roman"/>
                <w:color w:val="auto"/>
                <w:sz w:val="24"/>
                <w:szCs w:val="24"/>
                <w:lang w:eastAsia="zh-CN"/>
              </w:rPr>
              <w:t>贮存</w:t>
            </w:r>
            <w:r>
              <w:rPr>
                <w:rFonts w:hint="default" w:ascii="Times New Roman" w:hAnsi="Times New Roman" w:eastAsia="宋体" w:cs="Times New Roman"/>
                <w:color w:val="auto"/>
                <w:sz w:val="24"/>
                <w:szCs w:val="24"/>
              </w:rPr>
              <w:t>库平时锁闭，待有出库和</w:t>
            </w:r>
            <w:r>
              <w:rPr>
                <w:rFonts w:hint="eastAsia" w:ascii="宋体" w:hAnsi="宋体" w:eastAsia="宋体"/>
                <w:color w:val="auto"/>
                <w:sz w:val="24"/>
                <w:szCs w:val="24"/>
              </w:rPr>
              <w:t>入库的情况下才开启，在有贮存的情况下应定期检查；在入口处应设置明显的危险废物标志。</w:t>
            </w:r>
          </w:p>
          <w:p w14:paraId="70A9AB23">
            <w:pPr>
              <w:spacing w:line="360" w:lineRule="auto"/>
              <w:ind w:firstLine="480" w:firstLineChars="200"/>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6）</w:t>
            </w:r>
            <w:r>
              <w:rPr>
                <w:rFonts w:hint="eastAsia" w:ascii="宋体" w:hAnsi="宋体" w:eastAsia="宋体"/>
                <w:color w:val="auto"/>
                <w:sz w:val="24"/>
                <w:szCs w:val="24"/>
              </w:rPr>
              <w:t>危险废物转移管理要求</w:t>
            </w:r>
          </w:p>
          <w:p w14:paraId="7B2B5D8C">
            <w:pPr>
              <w:spacing w:line="360" w:lineRule="auto"/>
              <w:ind w:firstLine="480" w:firstLineChars="200"/>
              <w:rPr>
                <w:rFonts w:hint="eastAsia" w:ascii="宋体" w:hAnsi="宋体" w:eastAsia="宋体"/>
                <w:color w:val="auto"/>
                <w:sz w:val="24"/>
                <w:szCs w:val="24"/>
                <w:lang w:eastAsia="zh-CN"/>
              </w:rPr>
            </w:pPr>
            <w:r>
              <w:rPr>
                <w:rFonts w:hint="eastAsia" w:ascii="宋体" w:hAnsi="宋体" w:eastAsia="宋体"/>
                <w:color w:val="auto"/>
                <w:sz w:val="24"/>
                <w:szCs w:val="24"/>
              </w:rPr>
              <w:t>转移危险废物的应当执行危险废物转移联单制度，应当通过国家危险废物信息系统填写、运行危险废物电子转移联单，并依照国家有关规定公开危险废物转移相关污染环境防治信息</w:t>
            </w:r>
            <w:r>
              <w:rPr>
                <w:rFonts w:hint="eastAsia" w:ascii="宋体" w:hAnsi="宋体" w:eastAsia="宋体"/>
                <w:color w:val="auto"/>
                <w:sz w:val="24"/>
                <w:szCs w:val="24"/>
                <w:lang w:eastAsia="zh-CN"/>
              </w:rPr>
              <w:t>。</w:t>
            </w:r>
          </w:p>
          <w:p w14:paraId="23257799">
            <w:pPr>
              <w:spacing w:line="360" w:lineRule="auto"/>
              <w:ind w:firstLine="480" w:firstLineChars="200"/>
              <w:rPr>
                <w:rFonts w:hint="eastAsia" w:ascii="宋体" w:hAnsi="宋体" w:eastAsia="宋体"/>
                <w:color w:val="auto"/>
                <w:sz w:val="24"/>
                <w:szCs w:val="24"/>
              </w:rPr>
            </w:pPr>
            <w:r>
              <w:rPr>
                <w:rFonts w:hint="eastAsia" w:ascii="宋体" w:hAnsi="宋体" w:eastAsia="宋体"/>
                <w:color w:val="auto"/>
                <w:sz w:val="24"/>
                <w:szCs w:val="24"/>
              </w:rPr>
              <w:t>危险废物移出人、危险废物承运人、危险废物接收人（以下分别简称移出人、承运人和</w:t>
            </w:r>
            <w:r>
              <w:rPr>
                <w:rFonts w:hint="eastAsia" w:ascii="宋体" w:hAnsi="宋体"/>
                <w:color w:val="auto"/>
                <w:sz w:val="24"/>
                <w:szCs w:val="24"/>
                <w:lang w:eastAsia="zh-CN"/>
              </w:rPr>
              <w:t>接收</w:t>
            </w:r>
            <w:r>
              <w:rPr>
                <w:rFonts w:hint="eastAsia" w:ascii="宋体" w:hAnsi="宋体" w:eastAsia="宋体"/>
                <w:color w:val="auto"/>
                <w:sz w:val="24"/>
                <w:szCs w:val="24"/>
              </w:rPr>
              <w:t>人）在危险废物转移过程中应当采取防扬散、防流失、防渗漏或者其他防止污染环境的措施，不得擅自倾倒、堆放、丢弃、遗撒危险废物，并对所造成的环境污染及生态破坏依法承担责任。移出人、承运人、接收人应当依法制定突发环境事件的防范措施和应急预案，并报有关部门备案；发生危险废物突发环境事件时，应当立即采取有效措施消除或者减轻对环境的污染危害，并按相关规定向事故发生地有关部门报告，接受调查处理。</w:t>
            </w:r>
          </w:p>
          <w:p w14:paraId="2C3A251A">
            <w:pPr>
              <w:spacing w:line="360" w:lineRule="auto"/>
              <w:ind w:firstLine="480" w:firstLineChars="200"/>
              <w:rPr>
                <w:rFonts w:hint="eastAsia" w:ascii="宋体" w:hAnsi="宋体" w:eastAsia="宋体"/>
                <w:color w:val="auto"/>
                <w:sz w:val="24"/>
                <w:szCs w:val="24"/>
              </w:rPr>
            </w:pPr>
            <w:r>
              <w:rPr>
                <w:rFonts w:hint="eastAsia" w:ascii="宋体" w:hAnsi="宋体" w:eastAsia="宋体"/>
                <w:color w:val="auto"/>
                <w:sz w:val="24"/>
                <w:szCs w:val="24"/>
              </w:rPr>
              <w:t>本项目建设单位应当履行以下义务：</w:t>
            </w:r>
          </w:p>
          <w:p w14:paraId="55FA886D">
            <w:pPr>
              <w:spacing w:line="360" w:lineRule="auto"/>
              <w:ind w:firstLine="480" w:firstLineChars="200"/>
              <w:rPr>
                <w:rFonts w:hint="eastAsia" w:ascii="宋体" w:hAnsi="宋体" w:eastAsia="宋体"/>
                <w:color w:val="auto"/>
                <w:sz w:val="24"/>
                <w:szCs w:val="24"/>
              </w:rPr>
            </w:pPr>
            <w:r>
              <w:rPr>
                <w:rFonts w:hint="eastAsia" w:ascii="宋体" w:hAnsi="宋体" w:eastAsia="宋体"/>
                <w:color w:val="auto"/>
                <w:sz w:val="24"/>
                <w:szCs w:val="24"/>
              </w:rPr>
              <w:t>①对承运人或者</w:t>
            </w:r>
            <w:r>
              <w:rPr>
                <w:rFonts w:hint="eastAsia" w:ascii="宋体" w:hAnsi="宋体"/>
                <w:color w:val="auto"/>
                <w:sz w:val="24"/>
                <w:szCs w:val="24"/>
                <w:lang w:val="en-US" w:eastAsia="zh-CN"/>
              </w:rPr>
              <w:t>接收</w:t>
            </w:r>
            <w:r>
              <w:rPr>
                <w:rFonts w:hint="eastAsia" w:ascii="宋体" w:hAnsi="宋体" w:eastAsia="宋体"/>
                <w:color w:val="auto"/>
                <w:sz w:val="24"/>
                <w:szCs w:val="24"/>
              </w:rPr>
              <w:t>人的主体资格和技术能力进行核实，依法签订书面合同，并在合同中约定运输、贮存、利用、处置危险废物的污染防治要求及相关责任；</w:t>
            </w:r>
          </w:p>
          <w:p w14:paraId="656D2973">
            <w:pPr>
              <w:spacing w:line="360" w:lineRule="auto"/>
              <w:ind w:firstLine="480" w:firstLineChars="200"/>
              <w:rPr>
                <w:rFonts w:hint="eastAsia" w:ascii="宋体" w:hAnsi="宋体" w:eastAsia="宋体"/>
                <w:color w:val="auto"/>
                <w:sz w:val="24"/>
                <w:szCs w:val="24"/>
              </w:rPr>
            </w:pPr>
            <w:r>
              <w:rPr>
                <w:rFonts w:hint="eastAsia" w:ascii="宋体" w:hAnsi="宋体" w:eastAsia="宋体"/>
                <w:color w:val="auto"/>
                <w:sz w:val="24"/>
                <w:szCs w:val="24"/>
              </w:rPr>
              <w:t>②制定危险废物管理计划，明确拟转移危险废物的种类、重量（数量）和流向等信息；</w:t>
            </w:r>
          </w:p>
          <w:p w14:paraId="1FE30F62">
            <w:pPr>
              <w:spacing w:line="360" w:lineRule="auto"/>
              <w:ind w:firstLine="480" w:firstLineChars="200"/>
              <w:rPr>
                <w:rFonts w:hint="eastAsia" w:ascii="宋体" w:hAnsi="宋体" w:eastAsia="宋体"/>
                <w:color w:val="auto"/>
                <w:sz w:val="24"/>
                <w:szCs w:val="24"/>
              </w:rPr>
            </w:pPr>
            <w:r>
              <w:rPr>
                <w:rFonts w:hint="eastAsia" w:ascii="宋体" w:hAnsi="宋体" w:eastAsia="宋体"/>
                <w:color w:val="auto"/>
                <w:sz w:val="24"/>
                <w:szCs w:val="24"/>
              </w:rPr>
              <w:t>③建立危险废物管理台账，对转移的危险废物进行计量称重，如实记录、妥善保管转移危险废物的种类、重量（数量）和接收人等相关信息；</w:t>
            </w:r>
          </w:p>
          <w:p w14:paraId="644A7A20">
            <w:pPr>
              <w:spacing w:line="360" w:lineRule="auto"/>
              <w:ind w:firstLine="480" w:firstLineChars="200"/>
              <w:rPr>
                <w:rFonts w:hint="eastAsia" w:ascii="宋体" w:hAnsi="宋体" w:eastAsia="宋体"/>
                <w:color w:val="auto"/>
                <w:sz w:val="24"/>
                <w:szCs w:val="24"/>
              </w:rPr>
            </w:pPr>
            <w:r>
              <w:rPr>
                <w:rFonts w:hint="eastAsia" w:ascii="宋体" w:hAnsi="宋体" w:eastAsia="宋体"/>
                <w:color w:val="auto"/>
                <w:sz w:val="24"/>
                <w:szCs w:val="24"/>
              </w:rPr>
              <w:t>④填写、运行危险废物转移联单，在危险废物转移联单中如实填写移出人、承运人、</w:t>
            </w:r>
            <w:r>
              <w:rPr>
                <w:rFonts w:hint="eastAsia" w:ascii="宋体" w:hAnsi="宋体"/>
                <w:color w:val="auto"/>
                <w:sz w:val="24"/>
                <w:szCs w:val="24"/>
                <w:lang w:eastAsia="zh-CN"/>
              </w:rPr>
              <w:t>接收</w:t>
            </w:r>
            <w:r>
              <w:rPr>
                <w:rFonts w:hint="eastAsia" w:ascii="宋体" w:hAnsi="宋体" w:eastAsia="宋体"/>
                <w:color w:val="auto"/>
                <w:sz w:val="24"/>
                <w:szCs w:val="24"/>
              </w:rPr>
              <w:t>人信息，转移危险废物的种类、重量（数量）、危险特性等信息，以及突发环境事件的防范措施等；</w:t>
            </w:r>
          </w:p>
          <w:p w14:paraId="0AEA4367">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⑤及时核实接收人贮存、利用或者处置相关危险废物情况；</w:t>
            </w:r>
          </w:p>
          <w:p w14:paraId="4EA2FC21">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⑥法律法规规定的其他义务。</w:t>
            </w:r>
          </w:p>
          <w:p w14:paraId="5CE31021">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移出人应当按照国家有关要求开展危险废物鉴别。禁止将危险废物以副产品等名义提供或者委托给无危险废物经营许可证的单位或者其他生产经营者从事收集、贮存、利用、处置活动。</w:t>
            </w:r>
          </w:p>
          <w:p w14:paraId="608E18F0">
            <w:pPr>
              <w:keepNext w:val="0"/>
              <w:keepLines w:val="0"/>
              <w:pageBreakBefore w:val="0"/>
              <w:widowControl/>
              <w:kinsoku/>
              <w:wordWrap/>
              <w:overflowPunct/>
              <w:topLinePunct w:val="0"/>
              <w:autoSpaceDE/>
              <w:autoSpaceDN/>
              <w:bidi w:val="0"/>
              <w:adjustRightInd/>
              <w:snapToGrid/>
              <w:spacing w:line="348" w:lineRule="auto"/>
              <w:ind w:firstLine="480" w:firstLineChars="200"/>
              <w:contextualSpacing/>
              <w:jc w:val="left"/>
              <w:textAlignment w:val="auto"/>
              <w:rPr>
                <w:rFonts w:hint="eastAsia"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rPr>
              <w:t>综上所述，项目各类固废去</w:t>
            </w:r>
            <w:r>
              <w:rPr>
                <w:rFonts w:hint="eastAsia" w:ascii="宋体" w:hAnsi="宋体" w:eastAsia="宋体"/>
                <w:color w:val="auto"/>
                <w:sz w:val="24"/>
                <w:szCs w:val="24"/>
              </w:rPr>
              <w:t>向明确，暂存妥当，可确保不造成二次污染</w:t>
            </w:r>
            <w:r>
              <w:rPr>
                <w:rFonts w:hint="eastAsia" w:ascii="宋体" w:hAnsi="宋体" w:eastAsia="宋体"/>
                <w:color w:val="auto"/>
                <w:sz w:val="24"/>
                <w:szCs w:val="24"/>
                <w:lang w:eastAsia="zh-CN"/>
              </w:rPr>
              <w:t>。</w:t>
            </w:r>
          </w:p>
          <w:p w14:paraId="554D6571">
            <w:pPr>
              <w:keepNext w:val="0"/>
              <w:keepLines w:val="0"/>
              <w:pageBreakBefore w:val="0"/>
              <w:kinsoku/>
              <w:wordWrap/>
              <w:overflowPunct/>
              <w:topLinePunct w:val="0"/>
              <w:autoSpaceDE/>
              <w:autoSpaceDN/>
              <w:bidi w:val="0"/>
              <w:adjustRightInd/>
              <w:snapToGrid/>
              <w:spacing w:line="348" w:lineRule="auto"/>
              <w:ind w:firstLine="482" w:firstLineChars="200"/>
              <w:contextualSpacing/>
              <w:jc w:val="left"/>
              <w:textAlignment w:val="auto"/>
              <w:rPr>
                <w:rFonts w:hint="default" w:ascii="Times New Roman" w:hAnsi="Times New Roman" w:eastAsia="宋体" w:cs="Times New Roman"/>
                <w:b/>
                <w:bCs/>
                <w:color w:val="auto"/>
                <w:sz w:val="24"/>
                <w:lang w:val="en-US" w:eastAsia="zh-CN"/>
              </w:rPr>
            </w:pPr>
            <w:r>
              <w:rPr>
                <w:rFonts w:hint="default" w:ascii="Times New Roman" w:hAnsi="Times New Roman" w:eastAsia="宋体" w:cs="Times New Roman"/>
                <w:b/>
                <w:bCs/>
                <w:color w:val="auto"/>
                <w:sz w:val="24"/>
              </w:rPr>
              <w:t>5、地下水</w:t>
            </w:r>
            <w:r>
              <w:rPr>
                <w:rFonts w:hint="default" w:ascii="Times New Roman" w:hAnsi="Times New Roman" w:eastAsia="宋体" w:cs="Times New Roman"/>
                <w:b/>
                <w:bCs/>
                <w:color w:val="auto"/>
                <w:sz w:val="24"/>
                <w:lang w:eastAsia="zh-CN"/>
              </w:rPr>
              <w:t>、</w:t>
            </w:r>
            <w:r>
              <w:rPr>
                <w:rFonts w:hint="default" w:ascii="Times New Roman" w:hAnsi="Times New Roman" w:eastAsia="宋体" w:cs="Times New Roman"/>
                <w:b/>
                <w:bCs/>
                <w:color w:val="auto"/>
                <w:sz w:val="24"/>
                <w:lang w:val="en-US" w:eastAsia="zh-CN"/>
              </w:rPr>
              <w:t>土壤</w:t>
            </w:r>
          </w:p>
          <w:p w14:paraId="0170838B">
            <w:pPr>
              <w:spacing w:line="360" w:lineRule="auto"/>
              <w:ind w:firstLine="480" w:firstLineChars="200"/>
              <w:rPr>
                <w:rFonts w:hint="default" w:ascii="Times New Roman" w:hAnsi="Times New Roman" w:eastAsia="宋体" w:cs="Times New Roman"/>
                <w:color w:val="auto"/>
                <w:sz w:val="24"/>
                <w:szCs w:val="24"/>
              </w:rPr>
            </w:pPr>
            <w:r>
              <w:rPr>
                <w:rFonts w:hint="eastAsia" w:ascii="宋体" w:hAnsi="宋体" w:eastAsia="宋体"/>
                <w:color w:val="auto"/>
                <w:sz w:val="24"/>
                <w:szCs w:val="24"/>
              </w:rPr>
              <w:t>本项目营运期可能存在的地下水污染的途径包括：污水排水管管理不善，有跑、冒、滴、漏现象而污染地下水；</w:t>
            </w:r>
            <w:r>
              <w:rPr>
                <w:rFonts w:hint="eastAsia" w:ascii="TimesNewRomanPSMT" w:hAnsi="TimesNewRomanPSMT" w:eastAsia="TimesNewRomanPSMT"/>
                <w:color w:val="auto"/>
                <w:sz w:val="24"/>
                <w:szCs w:val="24"/>
              </w:rPr>
              <w:t>NMP</w:t>
            </w:r>
            <w:r>
              <w:rPr>
                <w:rFonts w:hint="eastAsia" w:ascii="宋体" w:hAnsi="宋体" w:eastAsia="宋体"/>
                <w:color w:val="auto"/>
                <w:sz w:val="24"/>
                <w:szCs w:val="24"/>
              </w:rPr>
              <w:t>废液收集罐或</w:t>
            </w:r>
            <w:r>
              <w:rPr>
                <w:rFonts w:hint="eastAsia" w:ascii="TimesNewRomanPSMT" w:hAnsi="TimesNewRomanPSMT" w:eastAsia="TimesNewRomanPSMT"/>
                <w:color w:val="auto"/>
                <w:sz w:val="24"/>
                <w:szCs w:val="24"/>
              </w:rPr>
              <w:t>NMP</w:t>
            </w:r>
            <w:r>
              <w:rPr>
                <w:rFonts w:hint="eastAsia" w:ascii="宋体" w:hAnsi="宋体" w:eastAsia="宋体"/>
                <w:color w:val="auto"/>
                <w:sz w:val="24"/>
                <w:szCs w:val="24"/>
              </w:rPr>
              <w:t>、电解液、机油、废机油其中一种或多种泄漏污染地下水。</w:t>
            </w:r>
          </w:p>
          <w:p w14:paraId="4960AE40">
            <w:pPr>
              <w:spacing w:line="360" w:lineRule="auto"/>
              <w:ind w:firstLine="480" w:firstLineChars="200"/>
              <w:rPr>
                <w:rFonts w:hint="default" w:ascii="宋体" w:hAnsi="宋体" w:eastAsia="宋体" w:cs="Times New Roman"/>
                <w:color w:val="auto"/>
                <w:sz w:val="24"/>
                <w:szCs w:val="24"/>
              </w:rPr>
            </w:pPr>
            <w:r>
              <w:rPr>
                <w:rFonts w:hint="default" w:ascii="Times New Roman" w:hAnsi="Times New Roman" w:eastAsia="宋体" w:cs="Times New Roman"/>
                <w:color w:val="auto"/>
                <w:sz w:val="24"/>
                <w:szCs w:val="24"/>
              </w:rPr>
              <w:t>项目的地下水污染预防措施应按照</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源头控制、分区控制、污染监控、应急响应</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的主动与被动防渗相结合的防渗原则。在做好防止和减少</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跑、冒、滴、漏</w:t>
            </w:r>
            <w:r>
              <w:rPr>
                <w:rFonts w:hint="eastAsia" w:ascii="Times New Roman" w:hAnsi="Times New Roman" w:eastAsia="宋体" w:cs="Times New Roman"/>
                <w:color w:val="auto"/>
                <w:sz w:val="24"/>
                <w:szCs w:val="24"/>
                <w:lang w:eastAsia="zh-CN"/>
              </w:rPr>
              <w:t>”</w:t>
            </w:r>
            <w:r>
              <w:rPr>
                <w:rFonts w:hint="default" w:ascii="宋体" w:hAnsi="宋体" w:eastAsia="宋体" w:cs="Times New Roman"/>
                <w:color w:val="auto"/>
                <w:sz w:val="24"/>
                <w:szCs w:val="24"/>
              </w:rPr>
              <w:t>等源头防污措施的基础上，对厂区内各单元进行分区防渗处理。</w:t>
            </w:r>
          </w:p>
          <w:p w14:paraId="0285E21D">
            <w:pPr>
              <w:spacing w:line="360" w:lineRule="auto"/>
              <w:ind w:firstLine="480" w:firstLineChars="200"/>
              <w:rPr>
                <w:rFonts w:hint="default" w:ascii="宋体" w:hAnsi="宋体" w:eastAsia="宋体" w:cs="Times New Roman"/>
                <w:color w:val="auto"/>
                <w:sz w:val="24"/>
                <w:szCs w:val="24"/>
              </w:rPr>
            </w:pPr>
            <w:r>
              <w:rPr>
                <w:rFonts w:hint="default" w:ascii="宋体" w:hAnsi="宋体" w:eastAsia="宋体" w:cs="Times New Roman"/>
                <w:color w:val="auto"/>
                <w:sz w:val="24"/>
                <w:szCs w:val="24"/>
              </w:rPr>
              <w:t>（</w:t>
            </w:r>
            <w:r>
              <w:rPr>
                <w:rFonts w:hint="eastAsia" w:ascii="Times New Roman" w:hAnsi="Times New Roman" w:eastAsia="宋体" w:cs="Times New Roman"/>
                <w:color w:val="auto"/>
                <w:sz w:val="24"/>
                <w:szCs w:val="24"/>
                <w:lang w:val="en-US" w:eastAsia="zh-CN"/>
              </w:rPr>
              <w:t>1</w:t>
            </w:r>
            <w:r>
              <w:rPr>
                <w:rFonts w:hint="default" w:ascii="宋体" w:hAnsi="宋体" w:eastAsia="宋体" w:cs="Times New Roman"/>
                <w:color w:val="auto"/>
                <w:sz w:val="24"/>
                <w:szCs w:val="24"/>
              </w:rPr>
              <w:t>）源头控制措施</w:t>
            </w:r>
          </w:p>
          <w:p w14:paraId="39E2ECE0">
            <w:pPr>
              <w:spacing w:line="360" w:lineRule="auto"/>
              <w:ind w:firstLine="480" w:firstLineChars="200"/>
              <w:rPr>
                <w:rFonts w:hint="eastAsia" w:ascii="宋体" w:hAnsi="宋体" w:eastAsia="宋体"/>
                <w:color w:val="auto"/>
                <w:sz w:val="24"/>
                <w:szCs w:val="24"/>
                <w:lang w:val="en-US" w:eastAsia="zh-CN"/>
              </w:rPr>
            </w:pPr>
            <w:r>
              <w:rPr>
                <w:rFonts w:hint="eastAsia" w:ascii="宋体" w:hAnsi="宋体" w:eastAsia="宋体"/>
                <w:color w:val="auto"/>
                <w:sz w:val="24"/>
                <w:szCs w:val="24"/>
              </w:rPr>
              <w:t>①项目应根据国家现行相关规范加强环境管理，采取防止和降低污染物</w:t>
            </w:r>
            <w:r>
              <w:rPr>
                <w:rFonts w:hint="eastAsia" w:ascii="宋体" w:hAnsi="宋体" w:eastAsia="宋体"/>
                <w:color w:val="auto"/>
                <w:sz w:val="24"/>
                <w:szCs w:val="24"/>
                <w:lang w:eastAsia="zh-CN"/>
              </w:rPr>
              <w:t>“</w:t>
            </w:r>
            <w:r>
              <w:rPr>
                <w:rFonts w:hint="eastAsia" w:ascii="宋体" w:hAnsi="宋体" w:eastAsia="宋体"/>
                <w:color w:val="auto"/>
                <w:sz w:val="24"/>
                <w:szCs w:val="24"/>
              </w:rPr>
              <w:t>跑、冒、滴、漏</w:t>
            </w:r>
            <w:r>
              <w:rPr>
                <w:rFonts w:hint="eastAsia" w:ascii="宋体" w:hAnsi="宋体" w:eastAsia="宋体"/>
                <w:color w:val="auto"/>
                <w:sz w:val="24"/>
                <w:szCs w:val="24"/>
                <w:lang w:eastAsia="zh-CN"/>
              </w:rPr>
              <w:t>”</w:t>
            </w:r>
            <w:r>
              <w:rPr>
                <w:rFonts w:hint="eastAsia" w:ascii="宋体" w:hAnsi="宋体" w:eastAsia="宋体"/>
                <w:color w:val="auto"/>
                <w:sz w:val="24"/>
                <w:szCs w:val="24"/>
              </w:rPr>
              <w:t>的措施。正常运营过程中应加强巡检及时处理污染物</w:t>
            </w:r>
            <w:r>
              <w:rPr>
                <w:rFonts w:hint="eastAsia" w:ascii="宋体" w:hAnsi="宋体" w:eastAsia="宋体"/>
                <w:color w:val="auto"/>
                <w:sz w:val="24"/>
                <w:szCs w:val="24"/>
                <w:lang w:eastAsia="zh-CN"/>
              </w:rPr>
              <w:t>“</w:t>
            </w:r>
            <w:r>
              <w:rPr>
                <w:rFonts w:hint="eastAsia" w:ascii="宋体" w:hAnsi="宋体" w:eastAsia="宋体"/>
                <w:color w:val="auto"/>
                <w:sz w:val="24"/>
                <w:szCs w:val="24"/>
              </w:rPr>
              <w:t>跑、冒、滴、漏</w:t>
            </w:r>
            <w:r>
              <w:rPr>
                <w:rFonts w:hint="eastAsia" w:ascii="宋体" w:hAnsi="宋体" w:eastAsia="宋体"/>
                <w:color w:val="auto"/>
                <w:sz w:val="24"/>
                <w:szCs w:val="24"/>
                <w:lang w:eastAsia="zh-CN"/>
              </w:rPr>
              <w:t>”</w:t>
            </w:r>
            <w:r>
              <w:rPr>
                <w:rFonts w:hint="eastAsia" w:ascii="宋体" w:hAnsi="宋体" w:eastAsia="宋体"/>
                <w:color w:val="auto"/>
                <w:sz w:val="24"/>
                <w:szCs w:val="24"/>
              </w:rPr>
              <w:t>，同时应加强对防渗工程的检查，若发现防渗密封材料老化或损坏，应及时</w:t>
            </w:r>
            <w:r>
              <w:rPr>
                <w:rFonts w:hint="eastAsia" w:ascii="宋体" w:hAnsi="宋体" w:eastAsia="宋体"/>
                <w:color w:val="auto"/>
                <w:sz w:val="24"/>
                <w:szCs w:val="24"/>
                <w:lang w:val="en-US" w:eastAsia="zh-CN"/>
              </w:rPr>
              <w:t>维修更换；</w:t>
            </w:r>
          </w:p>
          <w:p w14:paraId="149C161F">
            <w:pPr>
              <w:spacing w:line="360" w:lineRule="auto"/>
              <w:ind w:firstLine="480" w:firstLineChars="200"/>
              <w:rPr>
                <w:rFonts w:hint="default" w:ascii="宋体" w:hAnsi="宋体" w:eastAsia="宋体" w:cs="Times New Roman"/>
                <w:color w:val="auto"/>
                <w:sz w:val="24"/>
                <w:szCs w:val="24"/>
                <w:lang w:val="en-US" w:eastAsia="zh-CN"/>
              </w:rPr>
            </w:pPr>
            <w:r>
              <w:rPr>
                <w:rFonts w:hint="eastAsia" w:ascii="宋体" w:hAnsi="宋体" w:eastAsia="宋体"/>
                <w:color w:val="auto"/>
                <w:sz w:val="24"/>
                <w:szCs w:val="24"/>
              </w:rPr>
              <w:t>②对工艺</w:t>
            </w:r>
            <w:r>
              <w:rPr>
                <w:rFonts w:hint="eastAsia" w:ascii="宋体" w:hAnsi="宋体" w:eastAsia="宋体" w:cs="Times New Roman"/>
                <w:color w:val="auto"/>
                <w:sz w:val="24"/>
                <w:szCs w:val="24"/>
              </w:rPr>
              <w:t>、管道、设备、污水储存及处理构筑物采取控制措施，防止污染物的</w:t>
            </w:r>
            <w:r>
              <w:rPr>
                <w:rFonts w:hint="eastAsia" w:ascii="宋体" w:hAnsi="宋体" w:eastAsia="宋体" w:cs="Times New Roman"/>
                <w:color w:val="auto"/>
                <w:sz w:val="24"/>
                <w:szCs w:val="24"/>
                <w:lang w:eastAsia="zh-CN"/>
              </w:rPr>
              <w:t>“</w:t>
            </w:r>
            <w:r>
              <w:rPr>
                <w:rFonts w:hint="eastAsia" w:ascii="宋体" w:hAnsi="宋体" w:eastAsia="宋体" w:cs="Times New Roman"/>
                <w:color w:val="auto"/>
                <w:sz w:val="24"/>
                <w:szCs w:val="24"/>
              </w:rPr>
              <w:t>跑、冒、滴、漏</w:t>
            </w:r>
            <w:r>
              <w:rPr>
                <w:rFonts w:hint="eastAsia" w:ascii="宋体" w:hAnsi="宋体" w:eastAsia="宋体" w:cs="Times New Roman"/>
                <w:color w:val="auto"/>
                <w:sz w:val="24"/>
                <w:szCs w:val="24"/>
                <w:lang w:eastAsia="zh-CN"/>
              </w:rPr>
              <w:t>”</w:t>
            </w:r>
            <w:r>
              <w:rPr>
                <w:rFonts w:hint="eastAsia" w:ascii="宋体" w:hAnsi="宋体" w:eastAsia="宋体" w:cs="Times New Roman"/>
                <w:color w:val="auto"/>
                <w:sz w:val="24"/>
                <w:szCs w:val="24"/>
              </w:rPr>
              <w:t>，将污染物泄漏的环境风险事故降到最低限度。</w:t>
            </w:r>
          </w:p>
          <w:p w14:paraId="3571BDA6">
            <w:pPr>
              <w:spacing w:line="360" w:lineRule="auto"/>
              <w:ind w:firstLine="480" w:firstLineChars="200"/>
              <w:rPr>
                <w:rFonts w:hint="default" w:ascii="宋体" w:hAnsi="宋体" w:eastAsia="宋体" w:cs="Times New Roman"/>
                <w:color w:val="auto"/>
                <w:sz w:val="24"/>
                <w:szCs w:val="24"/>
              </w:rPr>
            </w:pPr>
            <w:r>
              <w:rPr>
                <w:rFonts w:hint="default" w:ascii="宋体" w:hAnsi="宋体" w:eastAsia="宋体" w:cs="Times New Roman"/>
                <w:color w:val="auto"/>
                <w:sz w:val="24"/>
                <w:szCs w:val="24"/>
              </w:rPr>
              <w:t>（</w:t>
            </w:r>
            <w:r>
              <w:rPr>
                <w:rFonts w:hint="default" w:ascii="Times New Roman" w:hAnsi="Times New Roman" w:eastAsia="宋体" w:cs="Times New Roman"/>
                <w:color w:val="auto"/>
                <w:sz w:val="24"/>
                <w:szCs w:val="24"/>
              </w:rPr>
              <w:t>2</w:t>
            </w:r>
            <w:r>
              <w:rPr>
                <w:rFonts w:hint="default" w:ascii="宋体" w:hAnsi="宋体" w:eastAsia="宋体" w:cs="Times New Roman"/>
                <w:color w:val="auto"/>
                <w:sz w:val="24"/>
                <w:szCs w:val="24"/>
              </w:rPr>
              <w:t>）分区防控措施</w:t>
            </w:r>
          </w:p>
          <w:p w14:paraId="78925CC9">
            <w:pPr>
              <w:spacing w:line="360" w:lineRule="auto"/>
              <w:ind w:firstLine="480" w:firstLineChars="200"/>
              <w:rPr>
                <w:rFonts w:hint="eastAsia" w:ascii="宋体" w:hAnsi="宋体" w:eastAsia="宋体"/>
                <w:color w:val="auto"/>
                <w:sz w:val="24"/>
                <w:szCs w:val="24"/>
              </w:rPr>
            </w:pPr>
            <w:r>
              <w:rPr>
                <w:rFonts w:hint="eastAsia" w:ascii="宋体" w:hAnsi="宋体" w:eastAsia="宋体"/>
                <w:color w:val="auto"/>
                <w:sz w:val="24"/>
                <w:szCs w:val="24"/>
              </w:rPr>
              <w:t>为了防止项目运营期对周围地下水、土壤的污染，企业将严格按照《环境影响评价技术导则地下水环境》（</w:t>
            </w:r>
            <w:r>
              <w:rPr>
                <w:rFonts w:hint="eastAsia" w:ascii="TimesNewRomanPSMT" w:hAnsi="TimesNewRomanPSMT" w:eastAsia="TimesNewRomanPSMT"/>
                <w:color w:val="auto"/>
                <w:sz w:val="24"/>
                <w:szCs w:val="24"/>
              </w:rPr>
              <w:t>HJ610-2016</w:t>
            </w:r>
            <w:r>
              <w:rPr>
                <w:rFonts w:hint="eastAsia" w:ascii="宋体" w:hAnsi="宋体" w:eastAsia="宋体"/>
                <w:color w:val="auto"/>
                <w:sz w:val="24"/>
                <w:szCs w:val="24"/>
              </w:rPr>
              <w:t>）的要求防渗分区原则， 按各功能单元所处的位置划分为重点防渗区、一般防渗区以及简单防渗区三类地下水污染防治区域，具体分区如下：</w:t>
            </w:r>
          </w:p>
          <w:p w14:paraId="22AEA852">
            <w:pPr>
              <w:pStyle w:val="40"/>
              <w:spacing w:after="0"/>
              <w:ind w:left="0" w:leftChars="0" w:firstLine="0" w:firstLineChars="0"/>
              <w:jc w:val="center"/>
              <w:rPr>
                <w:rFonts w:hint="default" w:ascii="Times New Roman" w:hAnsi="Times New Roman" w:eastAsia="黑体" w:cs="Times New Roman"/>
                <w:color w:val="auto"/>
                <w:sz w:val="24"/>
              </w:rPr>
            </w:pPr>
            <w:r>
              <w:rPr>
                <w:rFonts w:hint="default" w:ascii="Times New Roman" w:hAnsi="Times New Roman" w:eastAsia="宋体" w:cs="Times New Roman"/>
                <w:b/>
                <w:bCs/>
                <w:color w:val="auto"/>
                <w:sz w:val="21"/>
                <w:szCs w:val="21"/>
              </w:rPr>
              <w:t>表4-</w:t>
            </w:r>
            <w:r>
              <w:rPr>
                <w:rFonts w:hint="eastAsia" w:cs="Times New Roman"/>
                <w:b/>
                <w:bCs/>
                <w:color w:val="auto"/>
                <w:sz w:val="21"/>
                <w:szCs w:val="21"/>
                <w:lang w:val="en-US" w:eastAsia="zh-CN"/>
              </w:rPr>
              <w:t>24</w:t>
            </w:r>
            <w:r>
              <w:rPr>
                <w:rFonts w:hint="default" w:ascii="Times New Roman" w:hAnsi="Times New Roman" w:eastAsia="宋体" w:cs="Times New Roman"/>
                <w:b/>
                <w:bCs/>
                <w:color w:val="auto"/>
                <w:sz w:val="21"/>
                <w:szCs w:val="21"/>
                <w:lang w:val="en-US" w:eastAsia="zh-CN"/>
              </w:rPr>
              <w:t xml:space="preserve"> </w:t>
            </w:r>
            <w:r>
              <w:rPr>
                <w:rFonts w:hint="default" w:ascii="Times New Roman" w:hAnsi="Times New Roman" w:eastAsia="宋体" w:cs="Times New Roman"/>
                <w:b/>
                <w:bCs/>
                <w:color w:val="auto"/>
                <w:sz w:val="21"/>
                <w:szCs w:val="21"/>
              </w:rPr>
              <w:t>项目防渗分区表</w:t>
            </w:r>
          </w:p>
          <w:tbl>
            <w:tblPr>
              <w:tblStyle w:val="41"/>
              <w:tblW w:w="801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3" w:type="dxa"/>
                <w:bottom w:w="0" w:type="dxa"/>
                <w:right w:w="23" w:type="dxa"/>
              </w:tblCellMar>
            </w:tblPr>
            <w:tblGrid>
              <w:gridCol w:w="968"/>
              <w:gridCol w:w="2058"/>
              <w:gridCol w:w="2520"/>
              <w:gridCol w:w="2472"/>
            </w:tblGrid>
            <w:tr w14:paraId="53B4CE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449" w:hRule="atLeast"/>
                <w:jc w:val="center"/>
              </w:trPr>
              <w:tc>
                <w:tcPr>
                  <w:tcW w:w="968" w:type="dxa"/>
                  <w:noWrap w:val="0"/>
                  <w:vAlign w:val="center"/>
                </w:tcPr>
                <w:p w14:paraId="60933BE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防渗分区</w:t>
                  </w:r>
                </w:p>
              </w:tc>
              <w:tc>
                <w:tcPr>
                  <w:tcW w:w="2058" w:type="dxa"/>
                  <w:noWrap w:val="0"/>
                  <w:vAlign w:val="center"/>
                </w:tcPr>
                <w:p w14:paraId="391AD6F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分区内容</w:t>
                  </w:r>
                </w:p>
              </w:tc>
              <w:tc>
                <w:tcPr>
                  <w:tcW w:w="2520" w:type="dxa"/>
                  <w:noWrap w:val="0"/>
                  <w:vAlign w:val="center"/>
                </w:tcPr>
                <w:p w14:paraId="0607EE1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sz w:val="21"/>
                      <w:szCs w:val="21"/>
                    </w:rPr>
                  </w:pPr>
                  <w:r>
                    <w:rPr>
                      <w:rFonts w:hint="eastAsia" w:ascii="Times New Roman" w:hAnsi="Times New Roman" w:eastAsia="宋体" w:cs="Times New Roman"/>
                      <w:b/>
                      <w:bCs/>
                      <w:color w:val="auto"/>
                      <w:sz w:val="21"/>
                      <w:szCs w:val="21"/>
                      <w:lang w:val="en-US" w:eastAsia="zh-CN"/>
                    </w:rPr>
                    <w:t>防渗</w:t>
                  </w:r>
                  <w:r>
                    <w:rPr>
                      <w:rFonts w:hint="default" w:ascii="Times New Roman" w:hAnsi="Times New Roman" w:eastAsia="宋体" w:cs="Times New Roman"/>
                      <w:b/>
                      <w:bCs/>
                      <w:color w:val="auto"/>
                      <w:sz w:val="21"/>
                      <w:szCs w:val="21"/>
                    </w:rPr>
                    <w:t>措施</w:t>
                  </w:r>
                </w:p>
              </w:tc>
              <w:tc>
                <w:tcPr>
                  <w:tcW w:w="2472" w:type="dxa"/>
                  <w:noWrap w:val="0"/>
                  <w:vAlign w:val="center"/>
                </w:tcPr>
                <w:p w14:paraId="66A0217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防渗要求</w:t>
                  </w:r>
                </w:p>
              </w:tc>
            </w:tr>
            <w:tr w14:paraId="56A71F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1101" w:hRule="atLeast"/>
                <w:jc w:val="center"/>
              </w:trPr>
              <w:tc>
                <w:tcPr>
                  <w:tcW w:w="968" w:type="dxa"/>
                  <w:vMerge w:val="restart"/>
                  <w:noWrap w:val="0"/>
                  <w:vAlign w:val="center"/>
                </w:tcPr>
                <w:p w14:paraId="68B1D87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重点防渗区</w:t>
                  </w:r>
                </w:p>
              </w:tc>
              <w:tc>
                <w:tcPr>
                  <w:tcW w:w="2058" w:type="dxa"/>
                  <w:noWrap w:val="0"/>
                  <w:vAlign w:val="center"/>
                </w:tcPr>
                <w:p w14:paraId="6612BB5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低温电解液仓库、危废库</w:t>
                  </w:r>
                </w:p>
              </w:tc>
              <w:tc>
                <w:tcPr>
                  <w:tcW w:w="2520" w:type="dxa"/>
                  <w:noWrap w:val="0"/>
                  <w:vAlign w:val="center"/>
                </w:tcPr>
                <w:p w14:paraId="184E2FC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lang w:eastAsia="zh-CN"/>
                    </w:rPr>
                    <w:t>防渗混凝土+2mm厚HDPE膜，且每个</w:t>
                  </w:r>
                  <w:r>
                    <w:rPr>
                      <w:rFonts w:hint="eastAsia" w:ascii="Times New Roman" w:hAnsi="Times New Roman" w:eastAsia="宋体" w:cs="Times New Roman"/>
                      <w:color w:val="auto"/>
                      <w:sz w:val="21"/>
                      <w:szCs w:val="21"/>
                      <w:lang w:val="en-US" w:eastAsia="zh-CN"/>
                    </w:rPr>
                    <w:t>液态</w:t>
                  </w:r>
                  <w:r>
                    <w:rPr>
                      <w:rFonts w:hint="eastAsia" w:ascii="Times New Roman" w:hAnsi="Times New Roman" w:eastAsia="宋体" w:cs="Times New Roman"/>
                      <w:color w:val="auto"/>
                      <w:sz w:val="21"/>
                      <w:szCs w:val="21"/>
                      <w:lang w:eastAsia="zh-CN"/>
                    </w:rPr>
                    <w:t>危险废物收集桶下方分别设置1个不锈钢托盘</w:t>
                  </w:r>
                </w:p>
              </w:tc>
              <w:tc>
                <w:tcPr>
                  <w:tcW w:w="2472" w:type="dxa"/>
                  <w:noWrap w:val="0"/>
                  <w:vAlign w:val="center"/>
                </w:tcPr>
                <w:p w14:paraId="381C128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eastAsia" w:ascii="宋体" w:hAnsi="宋体" w:eastAsia="宋体"/>
                      <w:color w:val="auto"/>
                      <w:sz w:val="21"/>
                      <w:szCs w:val="24"/>
                    </w:rPr>
                    <w:t>防渗系数</w:t>
                  </w:r>
                  <w:r>
                    <w:rPr>
                      <w:rFonts w:hint="eastAsia" w:ascii="TimesNewRomanPSMT" w:hAnsi="TimesNewRomanPSMT" w:eastAsia="TimesNewRomanPSMT"/>
                      <w:color w:val="auto"/>
                      <w:sz w:val="21"/>
                      <w:szCs w:val="24"/>
                    </w:rPr>
                    <w:t>K≤10</w:t>
                  </w:r>
                  <w:r>
                    <w:rPr>
                      <w:rFonts w:hint="eastAsia" w:ascii="TimesNewRomanPSMT" w:hAnsi="TimesNewRomanPSMT" w:eastAsia="TimesNewRomanPSMT"/>
                      <w:color w:val="auto"/>
                      <w:sz w:val="21"/>
                      <w:szCs w:val="21"/>
                      <w:vertAlign w:val="superscript"/>
                    </w:rPr>
                    <w:t>-10</w:t>
                  </w:r>
                  <w:r>
                    <w:rPr>
                      <w:rFonts w:hint="eastAsia" w:ascii="TimesNewRomanPSMT" w:hAnsi="TimesNewRomanPSMT" w:eastAsia="TimesNewRomanPSMT"/>
                      <w:color w:val="auto"/>
                      <w:sz w:val="21"/>
                      <w:szCs w:val="24"/>
                    </w:rPr>
                    <w:t>cm/s</w:t>
                  </w:r>
                </w:p>
              </w:tc>
            </w:tr>
            <w:tr w14:paraId="29A53C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560" w:hRule="atLeast"/>
                <w:jc w:val="center"/>
              </w:trPr>
              <w:tc>
                <w:tcPr>
                  <w:tcW w:w="968" w:type="dxa"/>
                  <w:vMerge w:val="continue"/>
                  <w:noWrap w:val="0"/>
                  <w:vAlign w:val="center"/>
                </w:tcPr>
                <w:p w14:paraId="0E5EBB6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p>
              </w:tc>
              <w:tc>
                <w:tcPr>
                  <w:tcW w:w="2058" w:type="dxa"/>
                  <w:noWrap w:val="0"/>
                  <w:vAlign w:val="center"/>
                </w:tcPr>
                <w:p w14:paraId="4F4830C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shd w:val="clear"/>
                    </w:rPr>
                    <w:t>NMP储罐区</w:t>
                  </w:r>
                </w:p>
              </w:tc>
              <w:tc>
                <w:tcPr>
                  <w:tcW w:w="2520" w:type="dxa"/>
                  <w:noWrap w:val="0"/>
                  <w:vAlign w:val="center"/>
                </w:tcPr>
                <w:p w14:paraId="4BC5847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eastAsia="zh-CN"/>
                    </w:rPr>
                    <w:t>防渗混凝土+2mm厚HDPE膜</w:t>
                  </w:r>
                </w:p>
              </w:tc>
              <w:tc>
                <w:tcPr>
                  <w:tcW w:w="2472" w:type="dxa"/>
                  <w:vMerge w:val="restart"/>
                  <w:noWrap w:val="0"/>
                  <w:vAlign w:val="center"/>
                </w:tcPr>
                <w:p w14:paraId="5F2E978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rPr>
                    <w:t>等效黏土防渗层Mb≥6.0m，K≤10</w:t>
                  </w:r>
                  <w:r>
                    <w:rPr>
                      <w:rFonts w:hint="default" w:ascii="Times New Roman" w:hAnsi="Times New Roman" w:eastAsia="宋体" w:cs="Times New Roman"/>
                      <w:color w:val="auto"/>
                      <w:sz w:val="21"/>
                      <w:szCs w:val="21"/>
                      <w:vertAlign w:val="superscript"/>
                    </w:rPr>
                    <w:t>-7</w:t>
                  </w:r>
                  <w:r>
                    <w:rPr>
                      <w:rFonts w:hint="default" w:ascii="Times New Roman" w:hAnsi="Times New Roman" w:eastAsia="宋体" w:cs="Times New Roman"/>
                      <w:color w:val="auto"/>
                      <w:sz w:val="21"/>
                      <w:szCs w:val="21"/>
                    </w:rPr>
                    <w:t>cm/s</w:t>
                  </w:r>
                  <w:r>
                    <w:rPr>
                      <w:rFonts w:hint="default" w:ascii="Times New Roman" w:hAnsi="Times New Roman" w:eastAsia="宋体" w:cs="Times New Roman"/>
                      <w:bCs/>
                      <w:color w:val="auto"/>
                      <w:sz w:val="21"/>
                      <w:szCs w:val="21"/>
                      <w:highlight w:val="none"/>
                    </w:rPr>
                    <w:t>；或参照GB18598执行</w:t>
                  </w:r>
                </w:p>
              </w:tc>
            </w:tr>
            <w:tr w14:paraId="22BA62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560" w:hRule="atLeast"/>
                <w:jc w:val="center"/>
              </w:trPr>
              <w:tc>
                <w:tcPr>
                  <w:tcW w:w="968" w:type="dxa"/>
                  <w:vMerge w:val="continue"/>
                  <w:noWrap w:val="0"/>
                  <w:vAlign w:val="center"/>
                </w:tcPr>
                <w:p w14:paraId="29C4B25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p>
              </w:tc>
              <w:tc>
                <w:tcPr>
                  <w:tcW w:w="2058" w:type="dxa"/>
                  <w:noWrap w:val="0"/>
                  <w:vAlign w:val="center"/>
                </w:tcPr>
                <w:p w14:paraId="5A6DC21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shd w:val="clear"/>
                    </w:rPr>
                    <w:t>污水处理设施</w:t>
                  </w:r>
                </w:p>
              </w:tc>
              <w:tc>
                <w:tcPr>
                  <w:tcW w:w="2520" w:type="dxa"/>
                  <w:noWrap w:val="0"/>
                  <w:vAlign w:val="center"/>
                </w:tcPr>
                <w:p w14:paraId="249E3BF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池底、池壁采用抗渗混凝土+2mm厚HDPE膜</w:t>
                  </w:r>
                </w:p>
              </w:tc>
              <w:tc>
                <w:tcPr>
                  <w:tcW w:w="2472" w:type="dxa"/>
                  <w:vMerge w:val="continue"/>
                  <w:noWrap w:val="0"/>
                  <w:vAlign w:val="center"/>
                </w:tcPr>
                <w:p w14:paraId="16A25B0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rPr>
                  </w:pPr>
                </w:p>
              </w:tc>
            </w:tr>
            <w:tr w14:paraId="719FC3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831" w:hRule="atLeast"/>
                <w:jc w:val="center"/>
              </w:trPr>
              <w:tc>
                <w:tcPr>
                  <w:tcW w:w="968" w:type="dxa"/>
                  <w:noWrap w:val="0"/>
                  <w:vAlign w:val="center"/>
                </w:tcPr>
                <w:p w14:paraId="1E42B04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一般防渗区</w:t>
                  </w:r>
                </w:p>
              </w:tc>
              <w:tc>
                <w:tcPr>
                  <w:tcW w:w="2058" w:type="dxa"/>
                  <w:noWrap w:val="0"/>
                  <w:vAlign w:val="center"/>
                </w:tcPr>
                <w:p w14:paraId="76FDCEA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除重点防渗、简单防渗外的其他区域</w:t>
                  </w:r>
                </w:p>
              </w:tc>
              <w:tc>
                <w:tcPr>
                  <w:tcW w:w="2520" w:type="dxa"/>
                  <w:noWrap w:val="0"/>
                  <w:vAlign w:val="center"/>
                </w:tcPr>
                <w:p w14:paraId="1ADB3F5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防渗混凝土</w:t>
                  </w:r>
                </w:p>
              </w:tc>
              <w:tc>
                <w:tcPr>
                  <w:tcW w:w="2472" w:type="dxa"/>
                  <w:noWrap w:val="0"/>
                  <w:vAlign w:val="center"/>
                </w:tcPr>
                <w:p w14:paraId="6237F32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等效黏土防渗层Mb≥1.5m，K≤10</w:t>
                  </w:r>
                  <w:r>
                    <w:rPr>
                      <w:rFonts w:hint="default" w:ascii="Times New Roman" w:hAnsi="Times New Roman" w:eastAsia="宋体" w:cs="Times New Roman"/>
                      <w:color w:val="auto"/>
                      <w:sz w:val="21"/>
                      <w:szCs w:val="21"/>
                      <w:vertAlign w:val="superscript"/>
                    </w:rPr>
                    <w:t>-7</w:t>
                  </w:r>
                  <w:r>
                    <w:rPr>
                      <w:rFonts w:hint="default" w:ascii="Times New Roman" w:hAnsi="Times New Roman" w:eastAsia="宋体" w:cs="Times New Roman"/>
                      <w:color w:val="auto"/>
                      <w:sz w:val="21"/>
                      <w:szCs w:val="21"/>
                    </w:rPr>
                    <w:t>cm/s；或参照GB18598执行</w:t>
                  </w:r>
                </w:p>
              </w:tc>
            </w:tr>
            <w:tr w14:paraId="320E41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620" w:hRule="atLeast"/>
                <w:jc w:val="center"/>
              </w:trPr>
              <w:tc>
                <w:tcPr>
                  <w:tcW w:w="968" w:type="dxa"/>
                  <w:noWrap w:val="0"/>
                  <w:vAlign w:val="center"/>
                </w:tcPr>
                <w:p w14:paraId="74703C9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简单防渗区</w:t>
                  </w:r>
                </w:p>
              </w:tc>
              <w:tc>
                <w:tcPr>
                  <w:tcW w:w="2058" w:type="dxa"/>
                  <w:noWrap w:val="0"/>
                  <w:vAlign w:val="center"/>
                </w:tcPr>
                <w:p w14:paraId="031067F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门卫室</w:t>
                  </w:r>
                  <w:r>
                    <w:rPr>
                      <w:rFonts w:hint="eastAsia" w:cs="Times New Roman"/>
                      <w:color w:val="auto"/>
                      <w:sz w:val="21"/>
                      <w:szCs w:val="21"/>
                      <w:lang w:val="en-US" w:eastAsia="zh-CN"/>
                    </w:rPr>
                    <w:t>、研发办公区</w:t>
                  </w:r>
                </w:p>
              </w:tc>
              <w:tc>
                <w:tcPr>
                  <w:tcW w:w="2520" w:type="dxa"/>
                  <w:noWrap w:val="0"/>
                  <w:vAlign w:val="center"/>
                </w:tcPr>
                <w:p w14:paraId="30F5CF4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水泥地面硬化</w:t>
                  </w:r>
                </w:p>
              </w:tc>
              <w:tc>
                <w:tcPr>
                  <w:tcW w:w="2472" w:type="dxa"/>
                  <w:noWrap w:val="0"/>
                  <w:vAlign w:val="center"/>
                </w:tcPr>
                <w:p w14:paraId="11F96B5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r>
          </w:tbl>
          <w:p w14:paraId="1DC963B2">
            <w:pPr>
              <w:keepNext w:val="0"/>
              <w:keepLines w:val="0"/>
              <w:pageBreakBefore w:val="0"/>
              <w:widowControl w:val="0"/>
              <w:kinsoku/>
              <w:wordWrap/>
              <w:overflowPunct/>
              <w:topLinePunct w:val="0"/>
              <w:bidi w:val="0"/>
              <w:adjustRightInd/>
              <w:snapToGrid/>
              <w:spacing w:line="360" w:lineRule="auto"/>
              <w:ind w:firstLine="480" w:firstLineChars="200"/>
              <w:contextualSpacing/>
              <w:jc w:val="left"/>
              <w:textAlignment w:val="auto"/>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sz w:val="24"/>
              </w:rPr>
              <w:t>（3）</w:t>
            </w:r>
            <w:r>
              <w:rPr>
                <w:rFonts w:hint="eastAsia" w:cs="Times New Roman"/>
                <w:color w:val="auto"/>
                <w:sz w:val="24"/>
                <w:lang w:val="en-US" w:eastAsia="zh-CN"/>
              </w:rPr>
              <w:t>地下水污染监控</w:t>
            </w:r>
          </w:p>
          <w:p w14:paraId="6132C379">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rPr>
                <w:rFonts w:hint="default" w:ascii="Times New Roman" w:hAnsi="Times New Roman" w:cs="Times New Roman"/>
                <w:color w:val="auto"/>
                <w:sz w:val="24"/>
              </w:rPr>
            </w:pPr>
            <w:r>
              <w:rPr>
                <w:rFonts w:hint="eastAsia" w:ascii="宋体" w:hAnsi="宋体" w:eastAsia="宋体"/>
                <w:color w:val="auto"/>
                <w:sz w:val="24"/>
                <w:szCs w:val="24"/>
              </w:rPr>
              <w:t>建设单位应设置专人负责企业危险废物管理，作为企业环境管理的重要组成部分，主要负责危险固废的收集、暂存、管理及处置，按月统计企业危险废物种类、产生量、暂存时间、交由处置时间等</w:t>
            </w:r>
            <w:r>
              <w:rPr>
                <w:rFonts w:hint="default" w:ascii="Times New Roman" w:hAnsi="Times New Roman" w:cs="Times New Roman"/>
                <w:color w:val="auto"/>
                <w:sz w:val="24"/>
              </w:rPr>
              <w:t>。</w:t>
            </w:r>
          </w:p>
          <w:p w14:paraId="231508FE">
            <w:pPr>
              <w:autoSpaceDE w:val="0"/>
              <w:autoSpaceDN w:val="0"/>
              <w:spacing w:line="360" w:lineRule="auto"/>
              <w:ind w:firstLine="480" w:firstLineChars="200"/>
              <w:jc w:val="both"/>
              <w:rPr>
                <w:rFonts w:hint="eastAsia" w:ascii="宋体" w:hAnsi="宋体" w:eastAsia="宋体"/>
                <w:color w:val="auto"/>
                <w:sz w:val="24"/>
                <w:szCs w:val="24"/>
              </w:rPr>
            </w:pPr>
            <w:r>
              <w:rPr>
                <w:rFonts w:hint="eastAsia" w:ascii="宋体" w:hAnsi="宋体" w:eastAsia="宋体"/>
                <w:color w:val="auto"/>
                <w:sz w:val="24"/>
                <w:szCs w:val="24"/>
              </w:rPr>
              <w:t>若发现</w:t>
            </w:r>
            <w:r>
              <w:rPr>
                <w:rFonts w:hint="eastAsia" w:ascii="宋体" w:hAnsi="宋体" w:eastAsia="宋体"/>
                <w:color w:val="auto"/>
                <w:sz w:val="24"/>
                <w:szCs w:val="24"/>
                <w:lang w:val="en-US" w:eastAsia="zh-CN"/>
              </w:rPr>
              <w:t>危险</w:t>
            </w:r>
            <w:r>
              <w:rPr>
                <w:rFonts w:hint="eastAsia" w:ascii="宋体" w:hAnsi="宋体" w:eastAsia="宋体"/>
                <w:color w:val="auto"/>
                <w:sz w:val="24"/>
                <w:szCs w:val="24"/>
              </w:rPr>
              <w:t>物质泄漏，厂区需启动环境预警和开展应急响应。应急响应措施主要包括阻隔、清除措施。</w:t>
            </w:r>
          </w:p>
          <w:p w14:paraId="62C8CCAD">
            <w:pPr>
              <w:autoSpaceDE w:val="0"/>
              <w:autoSpaceDN w:val="0"/>
              <w:spacing w:line="360" w:lineRule="auto"/>
              <w:ind w:firstLine="480" w:firstLineChars="200"/>
              <w:jc w:val="both"/>
              <w:rPr>
                <w:rFonts w:hint="default" w:ascii="宋体" w:hAnsi="宋体" w:eastAsia="宋体"/>
                <w:color w:val="auto"/>
                <w:sz w:val="24"/>
                <w:szCs w:val="24"/>
              </w:rPr>
            </w:pPr>
            <w:r>
              <w:rPr>
                <w:rFonts w:hint="eastAsia" w:ascii="宋体" w:hAnsi="宋体" w:eastAsia="宋体"/>
                <w:color w:val="auto"/>
                <w:sz w:val="24"/>
                <w:szCs w:val="24"/>
              </w:rPr>
              <w:t>综上所述，在确保各项防渗措施得以落实，并加强维护和厂区环境管理的前提下，可有效控制厂区内的污染物下渗现象，避免污染地下水、土壤环境，因此项目不会对区域地下水环境、土壤环境产生明显影响。</w:t>
            </w:r>
          </w:p>
          <w:p w14:paraId="54490021">
            <w:pPr>
              <w:spacing w:line="360" w:lineRule="auto"/>
              <w:ind w:firstLine="482" w:firstLineChars="200"/>
              <w:jc w:val="both"/>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lang w:val="en-US" w:eastAsia="zh-CN"/>
              </w:rPr>
              <w:t>6</w:t>
            </w:r>
            <w:r>
              <w:rPr>
                <w:rFonts w:hint="default" w:ascii="Times New Roman" w:hAnsi="Times New Roman" w:eastAsia="宋体" w:cs="Times New Roman"/>
                <w:b/>
                <w:bCs/>
                <w:color w:val="auto"/>
                <w:sz w:val="24"/>
              </w:rPr>
              <w:t>、生态环境</w:t>
            </w:r>
          </w:p>
          <w:p w14:paraId="770BF70B">
            <w:pPr>
              <w:spacing w:line="360" w:lineRule="auto"/>
              <w:ind w:firstLine="480" w:firstLineChars="200"/>
              <w:jc w:val="both"/>
              <w:rPr>
                <w:rFonts w:hint="default" w:ascii="Times New Roman" w:hAnsi="Times New Roman" w:cs="Times New Roman"/>
                <w:color w:val="auto"/>
                <w:sz w:val="24"/>
              </w:rPr>
            </w:pPr>
            <w:r>
              <w:rPr>
                <w:rFonts w:hint="default" w:ascii="Times New Roman" w:hAnsi="Times New Roman" w:cs="Times New Roman"/>
                <w:color w:val="auto"/>
                <w:sz w:val="24"/>
              </w:rPr>
              <w:t>本项目位于</w:t>
            </w:r>
            <w:r>
              <w:rPr>
                <w:rFonts w:hint="eastAsia" w:cs="Times New Roman"/>
                <w:color w:val="auto"/>
                <w:sz w:val="24"/>
                <w:szCs w:val="24"/>
                <w:highlight w:val="none"/>
                <w:lang w:val="en-US" w:eastAsia="zh-CN"/>
              </w:rPr>
              <w:t>工业园区</w:t>
            </w:r>
            <w:r>
              <w:rPr>
                <w:rFonts w:hint="default" w:ascii="Times New Roman" w:hAnsi="Times New Roman" w:cs="Times New Roman"/>
                <w:color w:val="auto"/>
                <w:kern w:val="0"/>
                <w:sz w:val="24"/>
              </w:rPr>
              <w:t>内，不涉及</w:t>
            </w:r>
            <w:r>
              <w:rPr>
                <w:rFonts w:hint="default" w:ascii="Times New Roman" w:hAnsi="Times New Roman" w:cs="Times New Roman"/>
                <w:color w:val="auto"/>
                <w:kern w:val="0"/>
                <w:sz w:val="24"/>
                <w:lang w:eastAsia="zh-CN"/>
              </w:rPr>
              <w:t>生态</w:t>
            </w:r>
            <w:r>
              <w:rPr>
                <w:rFonts w:hint="default" w:ascii="Times New Roman" w:hAnsi="Times New Roman" w:cs="Times New Roman"/>
                <w:color w:val="auto"/>
                <w:kern w:val="0"/>
                <w:sz w:val="24"/>
              </w:rPr>
              <w:t>都市</w:t>
            </w:r>
            <w:r>
              <w:rPr>
                <w:rFonts w:hint="default" w:ascii="Times New Roman" w:hAnsi="Times New Roman" w:cs="Times New Roman"/>
                <w:color w:val="auto"/>
                <w:sz w:val="24"/>
              </w:rPr>
              <w:t>生态红线。同时，项目区域内无自然保护区、风景名胜区、文物古迹、饮用水源保护区，无列入国家和地方保护名录的</w:t>
            </w:r>
            <w:r>
              <w:rPr>
                <w:rFonts w:hint="default" w:ascii="Times New Roman" w:hAnsi="Times New Roman" w:cs="Times New Roman"/>
                <w:color w:val="auto"/>
                <w:sz w:val="24"/>
                <w:lang w:eastAsia="zh-CN"/>
              </w:rPr>
              <w:t>珍稀</w:t>
            </w:r>
            <w:r>
              <w:rPr>
                <w:rFonts w:hint="default" w:ascii="Times New Roman" w:hAnsi="Times New Roman" w:cs="Times New Roman"/>
                <w:color w:val="auto"/>
                <w:sz w:val="24"/>
              </w:rPr>
              <w:t>濒危动植物及古、大、珍树木分布。</w:t>
            </w:r>
          </w:p>
          <w:p w14:paraId="6276A96E">
            <w:pPr>
              <w:spacing w:line="360" w:lineRule="auto"/>
              <w:ind w:firstLine="480" w:firstLineChars="200"/>
              <w:jc w:val="both"/>
              <w:rPr>
                <w:rFonts w:hint="default" w:ascii="Times New Roman" w:hAnsi="Times New Roman" w:cs="Times New Roman"/>
                <w:color w:val="auto"/>
              </w:rPr>
            </w:pPr>
            <w:r>
              <w:rPr>
                <w:rFonts w:hint="default" w:ascii="Times New Roman" w:hAnsi="Times New Roman" w:cs="Times New Roman"/>
                <w:color w:val="auto"/>
                <w:sz w:val="24"/>
              </w:rPr>
              <w:t>本项目不改变项目所在地的土地利用性质，不会对区域生态环境造成明显影响</w:t>
            </w:r>
            <w:r>
              <w:rPr>
                <w:rFonts w:hint="default" w:ascii="Times New Roman" w:hAnsi="Times New Roman" w:cs="Times New Roman"/>
                <w:color w:val="auto"/>
              </w:rPr>
              <w:t>，因此不需生态环境保护措施。</w:t>
            </w:r>
          </w:p>
          <w:p w14:paraId="1C1F5BDB">
            <w:pPr>
              <w:spacing w:line="360" w:lineRule="auto"/>
              <w:ind w:firstLine="482" w:firstLineChars="200"/>
              <w:jc w:val="both"/>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7</w:t>
            </w:r>
            <w:r>
              <w:rPr>
                <w:rFonts w:hint="default" w:ascii="Times New Roman" w:hAnsi="Times New Roman" w:eastAsia="宋体" w:cs="Times New Roman"/>
                <w:b/>
                <w:bCs/>
                <w:color w:val="auto"/>
                <w:sz w:val="24"/>
              </w:rPr>
              <w:t>、环境风险</w:t>
            </w:r>
          </w:p>
          <w:p w14:paraId="6988314E">
            <w:pPr>
              <w:spacing w:line="360" w:lineRule="auto"/>
              <w:ind w:firstLine="480" w:firstLineChars="200"/>
              <w:jc w:val="both"/>
              <w:rPr>
                <w:rFonts w:hint="eastAsia" w:ascii="Times New Roman" w:hAnsi="Times New Roman" w:eastAsia="宋体" w:cs="Times New Roman"/>
                <w:b/>
                <w:bCs/>
                <w:color w:val="auto"/>
                <w:sz w:val="24"/>
                <w:lang w:val="en-US" w:eastAsia="zh-CN"/>
              </w:rPr>
            </w:pPr>
            <w:r>
              <w:rPr>
                <w:rFonts w:ascii="宋体" w:hAnsi="宋体" w:eastAsia="宋体" w:cs="宋体"/>
                <w:color w:val="auto"/>
                <w:sz w:val="24"/>
                <w:szCs w:val="24"/>
              </w:rPr>
              <w:t>建设单位</w:t>
            </w:r>
            <w:r>
              <w:rPr>
                <w:rFonts w:hint="eastAsia" w:ascii="宋体" w:hAnsi="宋体" w:eastAsia="宋体" w:cs="宋体"/>
                <w:color w:val="auto"/>
                <w:sz w:val="24"/>
                <w:szCs w:val="24"/>
                <w:lang w:val="en-US" w:eastAsia="zh-CN"/>
              </w:rPr>
              <w:t>严格</w:t>
            </w:r>
            <w:r>
              <w:rPr>
                <w:rFonts w:ascii="宋体" w:hAnsi="宋体" w:eastAsia="宋体" w:cs="宋体"/>
                <w:color w:val="auto"/>
                <w:sz w:val="24"/>
                <w:szCs w:val="24"/>
              </w:rPr>
              <w:t>落实各项预防与应急管控措施，防范泄漏事故发生</w:t>
            </w:r>
            <w:r>
              <w:rPr>
                <w:rFonts w:hint="eastAsia" w:ascii="宋体" w:hAnsi="宋体" w:eastAsia="宋体" w:cs="宋体"/>
                <w:color w:val="auto"/>
                <w:sz w:val="24"/>
                <w:szCs w:val="24"/>
                <w:lang w:eastAsia="zh-CN"/>
              </w:rPr>
              <w:t>，</w:t>
            </w:r>
            <w:r>
              <w:rPr>
                <w:rFonts w:ascii="宋体" w:hAnsi="宋体" w:eastAsia="宋体" w:cs="宋体"/>
                <w:color w:val="auto"/>
                <w:sz w:val="24"/>
                <w:szCs w:val="24"/>
              </w:rPr>
              <w:t>保障污水处理设施稳定运行、污染物达标排放。项目编制环境风险应急预案，建立有效的应急响应机制并定期组织演练。一旦发生突发环境事件，可及时启动应急体系，通过工程应急手段有效管控事故影响，降低环境损害。综上，本项目突发环境风险可控，环境风险水平可接受，详细分析内容详见环境风险专项评价</w:t>
            </w:r>
            <w:r>
              <w:rPr>
                <w:rFonts w:hint="eastAsia" w:ascii="宋体" w:hAnsi="宋体" w:eastAsia="宋体" w:cs="宋体"/>
                <w:color w:val="auto"/>
                <w:sz w:val="24"/>
                <w:szCs w:val="24"/>
                <w:lang w:eastAsia="zh-CN"/>
              </w:rPr>
              <w:t>。</w:t>
            </w:r>
          </w:p>
          <w:p w14:paraId="4C999827">
            <w:pPr>
              <w:spacing w:line="360" w:lineRule="auto"/>
              <w:ind w:firstLine="482" w:firstLineChars="200"/>
              <w:jc w:val="left"/>
              <w:rPr>
                <w:rFonts w:hint="default" w:ascii="Times New Roman" w:hAnsi="Times New Roman" w:eastAsia="宋体" w:cs="Times New Roman"/>
                <w:b/>
                <w:bCs/>
                <w:color w:val="auto"/>
                <w:sz w:val="24"/>
                <w:lang w:val="en-US" w:eastAsia="zh-CN"/>
              </w:rPr>
            </w:pPr>
            <w:r>
              <w:rPr>
                <w:rFonts w:hint="default" w:ascii="Times New Roman" w:hAnsi="Times New Roman" w:eastAsia="宋体" w:cs="Times New Roman"/>
                <w:b/>
                <w:bCs/>
                <w:color w:val="auto"/>
                <w:sz w:val="24"/>
                <w:lang w:val="en-US" w:eastAsia="zh-CN"/>
              </w:rPr>
              <w:t>8、</w:t>
            </w:r>
            <w:r>
              <w:rPr>
                <w:rFonts w:hint="eastAsia" w:ascii="Times New Roman" w:hAnsi="Times New Roman" w:eastAsia="宋体" w:cs="Times New Roman"/>
                <w:b/>
                <w:bCs/>
                <w:color w:val="auto"/>
                <w:sz w:val="24"/>
                <w:lang w:val="en-US" w:eastAsia="zh-CN"/>
              </w:rPr>
              <w:t>环保措施及投资</w:t>
            </w:r>
          </w:p>
          <w:p w14:paraId="4CD3557E">
            <w:pPr>
              <w:spacing w:line="360" w:lineRule="auto"/>
              <w:ind w:firstLine="480" w:firstLineChars="200"/>
              <w:rPr>
                <w:rFonts w:hint="default" w:ascii="Times New Roman" w:hAnsi="Times New Roman" w:cs="Times New Roman"/>
                <w:color w:val="auto"/>
                <w:sz w:val="24"/>
              </w:rPr>
            </w:pPr>
            <w:r>
              <w:rPr>
                <w:rFonts w:ascii="Times New Roman" w:hAnsi="Times New Roman"/>
                <w:color w:val="auto"/>
                <w:sz w:val="24"/>
                <w:highlight w:val="none"/>
                <w:shd w:val="clear"/>
              </w:rPr>
              <w:t>本项目总投资</w:t>
            </w:r>
            <w:r>
              <w:rPr>
                <w:rFonts w:hint="eastAsia"/>
                <w:color w:val="auto"/>
                <w:sz w:val="24"/>
                <w:highlight w:val="none"/>
                <w:shd w:val="clear"/>
                <w:lang w:val="en-US" w:eastAsia="zh-CN"/>
              </w:rPr>
              <w:t>30000</w:t>
            </w:r>
            <w:r>
              <w:rPr>
                <w:rFonts w:ascii="Times New Roman" w:hAnsi="Times New Roman"/>
                <w:color w:val="auto"/>
                <w:sz w:val="24"/>
                <w:highlight w:val="none"/>
                <w:shd w:val="clear"/>
              </w:rPr>
              <w:t>万元，环保投资估算约</w:t>
            </w:r>
            <w:r>
              <w:rPr>
                <w:rFonts w:hint="eastAsia"/>
                <w:color w:val="auto"/>
                <w:sz w:val="24"/>
                <w:highlight w:val="none"/>
                <w:shd w:val="clear"/>
                <w:lang w:val="en-US" w:eastAsia="zh-CN"/>
              </w:rPr>
              <w:t>600</w:t>
            </w:r>
            <w:r>
              <w:rPr>
                <w:rFonts w:ascii="Times New Roman" w:hAnsi="Times New Roman"/>
                <w:color w:val="auto"/>
                <w:sz w:val="24"/>
                <w:highlight w:val="none"/>
                <w:shd w:val="clear"/>
              </w:rPr>
              <w:t>万元，约占总投资的</w:t>
            </w:r>
            <w:r>
              <w:rPr>
                <w:rFonts w:hint="eastAsia"/>
                <w:color w:val="auto"/>
                <w:sz w:val="24"/>
                <w:highlight w:val="none"/>
                <w:shd w:val="clear"/>
                <w:lang w:val="en-US" w:eastAsia="zh-CN"/>
              </w:rPr>
              <w:t>2</w:t>
            </w:r>
            <w:r>
              <w:rPr>
                <w:rFonts w:ascii="Times New Roman" w:hAnsi="Times New Roman"/>
                <w:color w:val="auto"/>
                <w:sz w:val="24"/>
                <w:highlight w:val="none"/>
                <w:shd w:val="clear"/>
              </w:rPr>
              <w:t>%。</w:t>
            </w:r>
            <w:r>
              <w:rPr>
                <w:rFonts w:ascii="Times New Roman" w:hAnsi="Times New Roman"/>
                <w:color w:val="auto"/>
                <w:sz w:val="24"/>
                <w:highlight w:val="none"/>
              </w:rPr>
              <w:t>本项目环保措施情况见</w:t>
            </w:r>
            <w:r>
              <w:rPr>
                <w:rFonts w:hint="eastAsia" w:ascii="Times New Roman" w:hAnsi="Times New Roman"/>
                <w:color w:val="auto"/>
                <w:sz w:val="24"/>
                <w:highlight w:val="none"/>
              </w:rPr>
              <w:t>下表</w:t>
            </w:r>
            <w:r>
              <w:rPr>
                <w:rFonts w:hint="default" w:ascii="Times New Roman" w:hAnsi="Times New Roman" w:cs="Times New Roman"/>
                <w:color w:val="auto"/>
                <w:sz w:val="24"/>
              </w:rPr>
              <w:t>。</w:t>
            </w:r>
          </w:p>
          <w:p w14:paraId="3257A42F">
            <w:pPr>
              <w:pStyle w:val="12"/>
              <w:bidi w:val="0"/>
              <w:rPr>
                <w:rFonts w:hint="default" w:ascii="Times New Roman" w:hAnsi="Times New Roman" w:cs="Times New Roman"/>
                <w:color w:val="auto"/>
              </w:rPr>
            </w:pPr>
            <w:r>
              <w:rPr>
                <w:rFonts w:hint="default" w:ascii="Times New Roman" w:hAnsi="Times New Roman" w:eastAsia="宋体" w:cs="Times New Roman"/>
                <w:b/>
                <w:bCs/>
                <w:color w:val="auto"/>
              </w:rPr>
              <w:t>表4-</w:t>
            </w:r>
            <w:r>
              <w:rPr>
                <w:rFonts w:hint="eastAsia" w:eastAsia="宋体" w:cs="Times New Roman"/>
                <w:b/>
                <w:bCs/>
                <w:color w:val="auto"/>
                <w:lang w:val="en-US" w:eastAsia="zh-CN"/>
              </w:rPr>
              <w:t>25</w:t>
            </w:r>
            <w:r>
              <w:rPr>
                <w:rFonts w:hint="default" w:ascii="Times New Roman" w:hAnsi="Times New Roman" w:eastAsia="宋体" w:cs="Times New Roman"/>
                <w:b/>
                <w:bCs/>
                <w:color w:val="auto"/>
                <w:lang w:val="en-US" w:eastAsia="zh-CN"/>
              </w:rPr>
              <w:t xml:space="preserve"> </w:t>
            </w:r>
            <w:r>
              <w:rPr>
                <w:rFonts w:hint="eastAsia" w:ascii="Times New Roman" w:hAnsi="Times New Roman" w:eastAsia="宋体" w:cs="Times New Roman"/>
                <w:b/>
                <w:bCs/>
                <w:color w:val="auto"/>
                <w:lang w:val="en-US" w:eastAsia="zh-CN"/>
              </w:rPr>
              <w:t>本项目环保措施及投资</w:t>
            </w:r>
            <w:r>
              <w:rPr>
                <w:rFonts w:hint="default" w:ascii="Times New Roman" w:hAnsi="Times New Roman" w:eastAsia="宋体" w:cs="Times New Roman"/>
                <w:b/>
                <w:bCs/>
                <w:color w:val="auto"/>
              </w:rPr>
              <w:t>一览表</w:t>
            </w:r>
          </w:p>
          <w:tbl>
            <w:tblPr>
              <w:tblStyle w:val="41"/>
              <w:tblW w:w="788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674"/>
              <w:gridCol w:w="900"/>
              <w:gridCol w:w="1750"/>
              <w:gridCol w:w="2717"/>
              <w:gridCol w:w="1087"/>
              <w:gridCol w:w="759"/>
            </w:tblGrid>
            <w:tr w14:paraId="37E461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8" w:hRule="atLeast"/>
                <w:jc w:val="center"/>
              </w:trPr>
              <w:tc>
                <w:tcPr>
                  <w:tcW w:w="1574" w:type="dxa"/>
                  <w:gridSpan w:val="2"/>
                  <w:shd w:val="clear" w:color="auto" w:fill="auto"/>
                  <w:noWrap w:val="0"/>
                  <w:vAlign w:val="center"/>
                </w:tcPr>
                <w:p w14:paraId="7CD0801B">
                  <w:pPr>
                    <w:adjustRightInd w:val="0"/>
                    <w:snapToGrid w:val="0"/>
                    <w:spacing w:line="280" w:lineRule="exact"/>
                    <w:jc w:val="center"/>
                    <w:rPr>
                      <w:rFonts w:ascii="Times New Roman" w:hAnsi="Times New Roman"/>
                      <w:b/>
                      <w:bCs/>
                      <w:color w:val="auto"/>
                      <w:kern w:val="0"/>
                      <w:szCs w:val="21"/>
                      <w:highlight w:val="none"/>
                    </w:rPr>
                  </w:pPr>
                  <w:r>
                    <w:rPr>
                      <w:rFonts w:hint="eastAsia" w:ascii="Times New Roman" w:hAnsi="Times New Roman"/>
                      <w:b/>
                      <w:bCs/>
                      <w:color w:val="auto"/>
                      <w:kern w:val="0"/>
                      <w:szCs w:val="21"/>
                      <w:highlight w:val="none"/>
                    </w:rPr>
                    <w:t>项目</w:t>
                  </w:r>
                </w:p>
              </w:tc>
              <w:tc>
                <w:tcPr>
                  <w:tcW w:w="1750" w:type="dxa"/>
                  <w:shd w:val="clear" w:color="auto" w:fill="auto"/>
                  <w:noWrap w:val="0"/>
                  <w:vAlign w:val="center"/>
                </w:tcPr>
                <w:p w14:paraId="08675FD2">
                  <w:pPr>
                    <w:adjustRightInd w:val="0"/>
                    <w:snapToGrid w:val="0"/>
                    <w:spacing w:line="280" w:lineRule="exact"/>
                    <w:jc w:val="center"/>
                    <w:rPr>
                      <w:rFonts w:ascii="Times New Roman" w:hAnsi="Times New Roman"/>
                      <w:b/>
                      <w:bCs/>
                      <w:color w:val="auto"/>
                      <w:kern w:val="0"/>
                      <w:szCs w:val="21"/>
                      <w:highlight w:val="none"/>
                    </w:rPr>
                  </w:pPr>
                  <w:r>
                    <w:rPr>
                      <w:rFonts w:hint="eastAsia" w:ascii="Times New Roman" w:hAnsi="Times New Roman"/>
                      <w:b/>
                      <w:bCs/>
                      <w:color w:val="auto"/>
                      <w:kern w:val="0"/>
                      <w:szCs w:val="21"/>
                      <w:highlight w:val="none"/>
                    </w:rPr>
                    <w:t>治理内容</w:t>
                  </w:r>
                </w:p>
              </w:tc>
              <w:tc>
                <w:tcPr>
                  <w:tcW w:w="2717" w:type="dxa"/>
                  <w:shd w:val="clear" w:color="auto" w:fill="auto"/>
                  <w:noWrap w:val="0"/>
                  <w:vAlign w:val="center"/>
                </w:tcPr>
                <w:p w14:paraId="2A4F003F">
                  <w:pPr>
                    <w:adjustRightInd w:val="0"/>
                    <w:snapToGrid w:val="0"/>
                    <w:spacing w:line="280" w:lineRule="exact"/>
                    <w:jc w:val="center"/>
                    <w:rPr>
                      <w:rFonts w:ascii="Times New Roman" w:hAnsi="Times New Roman"/>
                      <w:b/>
                      <w:bCs/>
                      <w:color w:val="auto"/>
                      <w:kern w:val="0"/>
                      <w:szCs w:val="21"/>
                      <w:highlight w:val="none"/>
                    </w:rPr>
                  </w:pPr>
                  <w:r>
                    <w:rPr>
                      <w:rFonts w:hint="eastAsia" w:ascii="Times New Roman" w:hAnsi="Times New Roman"/>
                      <w:b/>
                      <w:bCs/>
                      <w:color w:val="auto"/>
                      <w:kern w:val="0"/>
                      <w:szCs w:val="21"/>
                      <w:highlight w:val="none"/>
                    </w:rPr>
                    <w:t>内容</w:t>
                  </w:r>
                </w:p>
              </w:tc>
              <w:tc>
                <w:tcPr>
                  <w:tcW w:w="1087" w:type="dxa"/>
                  <w:shd w:val="clear" w:color="auto" w:fill="auto"/>
                  <w:noWrap w:val="0"/>
                  <w:vAlign w:val="center"/>
                </w:tcPr>
                <w:p w14:paraId="178C8E12">
                  <w:pPr>
                    <w:adjustRightInd w:val="0"/>
                    <w:snapToGrid w:val="0"/>
                    <w:spacing w:line="280" w:lineRule="exact"/>
                    <w:jc w:val="center"/>
                    <w:rPr>
                      <w:rFonts w:ascii="Times New Roman" w:hAnsi="Times New Roman"/>
                      <w:b/>
                      <w:bCs/>
                      <w:color w:val="auto"/>
                      <w:kern w:val="0"/>
                      <w:szCs w:val="21"/>
                      <w:highlight w:val="none"/>
                    </w:rPr>
                  </w:pPr>
                  <w:r>
                    <w:rPr>
                      <w:rFonts w:hint="eastAsia" w:ascii="Times New Roman" w:hAnsi="Times New Roman"/>
                      <w:b/>
                      <w:bCs/>
                      <w:color w:val="auto"/>
                      <w:kern w:val="0"/>
                      <w:szCs w:val="21"/>
                      <w:highlight w:val="none"/>
                    </w:rPr>
                    <w:t>投资（万元）</w:t>
                  </w:r>
                </w:p>
              </w:tc>
              <w:tc>
                <w:tcPr>
                  <w:tcW w:w="759" w:type="dxa"/>
                  <w:shd w:val="clear" w:color="auto" w:fill="auto"/>
                  <w:noWrap w:val="0"/>
                  <w:vAlign w:val="center"/>
                </w:tcPr>
                <w:p w14:paraId="7280CB76">
                  <w:pPr>
                    <w:adjustRightInd w:val="0"/>
                    <w:snapToGrid w:val="0"/>
                    <w:spacing w:line="280" w:lineRule="exact"/>
                    <w:jc w:val="center"/>
                    <w:rPr>
                      <w:rFonts w:ascii="Times New Roman" w:hAnsi="Times New Roman"/>
                      <w:b/>
                      <w:bCs/>
                      <w:color w:val="auto"/>
                      <w:kern w:val="0"/>
                      <w:szCs w:val="21"/>
                      <w:highlight w:val="none"/>
                    </w:rPr>
                  </w:pPr>
                  <w:r>
                    <w:rPr>
                      <w:rFonts w:hint="eastAsia" w:ascii="Times New Roman" w:hAnsi="Times New Roman"/>
                      <w:b/>
                      <w:bCs/>
                      <w:color w:val="auto"/>
                      <w:kern w:val="0"/>
                      <w:szCs w:val="21"/>
                      <w:highlight w:val="none"/>
                    </w:rPr>
                    <w:t>备注</w:t>
                  </w:r>
                </w:p>
              </w:tc>
            </w:tr>
            <w:tr w14:paraId="75CBF4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56" w:hRule="atLeast"/>
                <w:jc w:val="center"/>
              </w:trPr>
              <w:tc>
                <w:tcPr>
                  <w:tcW w:w="674" w:type="dxa"/>
                  <w:vMerge w:val="restart"/>
                  <w:shd w:val="clear" w:color="auto" w:fill="auto"/>
                  <w:noWrap w:val="0"/>
                  <w:vAlign w:val="center"/>
                </w:tcPr>
                <w:p w14:paraId="38A8A639">
                  <w:pPr>
                    <w:adjustRightInd w:val="0"/>
                    <w:snapToGrid w:val="0"/>
                    <w:spacing w:line="280" w:lineRule="exact"/>
                    <w:jc w:val="center"/>
                    <w:rPr>
                      <w:rFonts w:hint="eastAsia"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营运期</w:t>
                  </w:r>
                </w:p>
              </w:tc>
              <w:tc>
                <w:tcPr>
                  <w:tcW w:w="900" w:type="dxa"/>
                  <w:vMerge w:val="restart"/>
                  <w:shd w:val="clear" w:color="auto" w:fill="auto"/>
                  <w:noWrap w:val="0"/>
                  <w:vAlign w:val="center"/>
                </w:tcPr>
                <w:p w14:paraId="02AD32AD">
                  <w:pPr>
                    <w:adjustRightInd w:val="0"/>
                    <w:snapToGrid w:val="0"/>
                    <w:spacing w:line="280" w:lineRule="exact"/>
                    <w:jc w:val="center"/>
                    <w:rPr>
                      <w:rFonts w:ascii="Times New Roman" w:hAnsi="Times New Roman"/>
                      <w:color w:val="auto"/>
                      <w:kern w:val="0"/>
                      <w:szCs w:val="21"/>
                      <w:highlight w:val="none"/>
                    </w:rPr>
                  </w:pPr>
                  <w:r>
                    <w:rPr>
                      <w:rFonts w:hint="eastAsia" w:ascii="Times New Roman" w:hAnsi="Times New Roman"/>
                      <w:color w:val="auto"/>
                      <w:kern w:val="0"/>
                      <w:szCs w:val="21"/>
                      <w:highlight w:val="none"/>
                    </w:rPr>
                    <w:t>废气</w:t>
                  </w:r>
                </w:p>
              </w:tc>
              <w:tc>
                <w:tcPr>
                  <w:tcW w:w="1750" w:type="dxa"/>
                  <w:shd w:val="clear" w:color="auto" w:fill="auto"/>
                  <w:noWrap w:val="0"/>
                  <w:vAlign w:val="center"/>
                </w:tcPr>
                <w:p w14:paraId="4B7D181E">
                  <w:pPr>
                    <w:adjustRightInd w:val="0"/>
                    <w:snapToGrid w:val="0"/>
                    <w:spacing w:line="280" w:lineRule="exact"/>
                    <w:jc w:val="center"/>
                    <w:rPr>
                      <w:rFonts w:hint="default" w:ascii="Times New Roman" w:hAnsi="Times New Roman" w:eastAsia="宋体"/>
                      <w:color w:val="auto"/>
                      <w:kern w:val="0"/>
                      <w:szCs w:val="21"/>
                      <w:highlight w:val="none"/>
                      <w:lang w:val="en-US" w:eastAsia="zh-CN"/>
                    </w:rPr>
                  </w:pPr>
                  <w:r>
                    <w:rPr>
                      <w:rFonts w:hint="eastAsia"/>
                      <w:color w:val="auto"/>
                      <w:kern w:val="0"/>
                      <w:szCs w:val="21"/>
                      <w:highlight w:val="none"/>
                      <w:lang w:val="en-US" w:eastAsia="zh-CN"/>
                    </w:rPr>
                    <w:t>投料粉尘</w:t>
                  </w:r>
                </w:p>
              </w:tc>
              <w:tc>
                <w:tcPr>
                  <w:tcW w:w="2717" w:type="dxa"/>
                  <w:shd w:val="clear" w:color="auto" w:fill="auto"/>
                  <w:noWrap w:val="0"/>
                  <w:vAlign w:val="center"/>
                </w:tcPr>
                <w:p w14:paraId="08159D91">
                  <w:pPr>
                    <w:adjustRightInd w:val="0"/>
                    <w:snapToGrid w:val="0"/>
                    <w:spacing w:line="280" w:lineRule="exact"/>
                    <w:jc w:val="center"/>
                    <w:rPr>
                      <w:rFonts w:hint="default" w:ascii="Times New Roman" w:hAnsi="Times New Roman"/>
                      <w:color w:val="auto"/>
                      <w:kern w:val="0"/>
                      <w:szCs w:val="21"/>
                      <w:highlight w:val="none"/>
                      <w:lang w:val="en-US" w:eastAsia="zh-CN"/>
                    </w:rPr>
                  </w:pPr>
                  <w:r>
                    <w:rPr>
                      <w:rFonts w:hint="eastAsia"/>
                      <w:color w:val="auto"/>
                      <w:kern w:val="0"/>
                      <w:szCs w:val="21"/>
                      <w:highlight w:val="none"/>
                      <w:lang w:val="en-US" w:eastAsia="zh-CN"/>
                    </w:rPr>
                    <w:t>投料时，投料间密闭，</w:t>
                  </w:r>
                  <w:r>
                    <w:rPr>
                      <w:rFonts w:hint="default" w:ascii="Times New Roman" w:hAnsi="Times New Roman" w:cs="Times New Roman"/>
                      <w:color w:val="auto"/>
                      <w:lang w:val="en-US" w:eastAsia="zh-CN"/>
                    </w:rPr>
                    <w:t>投料产生的颗粒物通过真空上料系统自带滤芯除尘器</w:t>
                  </w:r>
                  <w:r>
                    <w:rPr>
                      <w:rFonts w:hint="eastAsia" w:cs="Times New Roman"/>
                      <w:color w:val="auto"/>
                      <w:lang w:val="en-US" w:eastAsia="zh-CN"/>
                    </w:rPr>
                    <w:t>（TA001）+车间洁净系统</w:t>
                  </w:r>
                  <w:r>
                    <w:rPr>
                      <w:rFonts w:hint="default" w:ascii="Times New Roman" w:hAnsi="Times New Roman" w:cs="Times New Roman"/>
                      <w:color w:val="auto"/>
                      <w:lang w:val="en-US" w:eastAsia="zh-CN"/>
                    </w:rPr>
                    <w:t>收集</w:t>
                  </w:r>
                  <w:r>
                    <w:rPr>
                      <w:rFonts w:hint="eastAsia" w:cs="Times New Roman"/>
                      <w:color w:val="auto"/>
                      <w:lang w:val="en-US" w:eastAsia="zh-CN"/>
                    </w:rPr>
                    <w:t>后，无组织排放</w:t>
                  </w:r>
                </w:p>
              </w:tc>
              <w:tc>
                <w:tcPr>
                  <w:tcW w:w="1087" w:type="dxa"/>
                  <w:shd w:val="clear" w:color="auto" w:fill="auto"/>
                  <w:noWrap w:val="0"/>
                  <w:vAlign w:val="center"/>
                </w:tcPr>
                <w:p w14:paraId="1B36B06B">
                  <w:pPr>
                    <w:adjustRightInd w:val="0"/>
                    <w:snapToGrid w:val="0"/>
                    <w:spacing w:line="280" w:lineRule="exact"/>
                    <w:jc w:val="center"/>
                    <w:rPr>
                      <w:rFonts w:hint="default" w:ascii="Times New Roman" w:hAnsi="Times New Roman" w:eastAsia="宋体"/>
                      <w:color w:val="auto"/>
                      <w:kern w:val="0"/>
                      <w:szCs w:val="21"/>
                      <w:highlight w:val="none"/>
                      <w:lang w:val="en-US" w:eastAsia="zh-CN"/>
                    </w:rPr>
                  </w:pPr>
                  <w:r>
                    <w:rPr>
                      <w:rFonts w:hint="eastAsia"/>
                      <w:color w:val="auto"/>
                      <w:kern w:val="0"/>
                      <w:szCs w:val="21"/>
                      <w:highlight w:val="none"/>
                      <w:lang w:val="en-US" w:eastAsia="zh-CN"/>
                    </w:rPr>
                    <w:t>/</w:t>
                  </w:r>
                </w:p>
              </w:tc>
              <w:tc>
                <w:tcPr>
                  <w:tcW w:w="759" w:type="dxa"/>
                  <w:shd w:val="clear" w:color="auto" w:fill="auto"/>
                  <w:noWrap w:val="0"/>
                  <w:vAlign w:val="center"/>
                </w:tcPr>
                <w:p w14:paraId="584C279C">
                  <w:pPr>
                    <w:adjustRightInd w:val="0"/>
                    <w:snapToGrid w:val="0"/>
                    <w:spacing w:line="280" w:lineRule="exact"/>
                    <w:jc w:val="center"/>
                    <w:rPr>
                      <w:rFonts w:ascii="Times New Roman" w:hAnsi="Times New Roman"/>
                      <w:color w:val="auto"/>
                      <w:kern w:val="0"/>
                      <w:szCs w:val="21"/>
                      <w:highlight w:val="none"/>
                    </w:rPr>
                  </w:pPr>
                  <w:r>
                    <w:rPr>
                      <w:rFonts w:hint="eastAsia" w:ascii="Times New Roman" w:hAnsi="Times New Roman"/>
                      <w:color w:val="auto"/>
                      <w:kern w:val="0"/>
                      <w:szCs w:val="21"/>
                      <w:highlight w:val="none"/>
                    </w:rPr>
                    <w:t>新建</w:t>
                  </w:r>
                </w:p>
              </w:tc>
            </w:tr>
            <w:tr w14:paraId="26272B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674" w:type="dxa"/>
                  <w:vMerge w:val="continue"/>
                  <w:shd w:val="clear" w:color="auto" w:fill="auto"/>
                  <w:noWrap w:val="0"/>
                  <w:vAlign w:val="center"/>
                </w:tcPr>
                <w:p w14:paraId="05C7E938">
                  <w:pPr>
                    <w:adjustRightInd w:val="0"/>
                    <w:snapToGrid w:val="0"/>
                    <w:spacing w:line="280" w:lineRule="exact"/>
                    <w:jc w:val="center"/>
                    <w:rPr>
                      <w:rFonts w:hint="eastAsia" w:ascii="Times New Roman" w:hAnsi="Times New Roman"/>
                      <w:color w:val="auto"/>
                      <w:kern w:val="0"/>
                      <w:szCs w:val="21"/>
                      <w:highlight w:val="none"/>
                    </w:rPr>
                  </w:pPr>
                </w:p>
              </w:tc>
              <w:tc>
                <w:tcPr>
                  <w:tcW w:w="900" w:type="dxa"/>
                  <w:vMerge w:val="continue"/>
                  <w:shd w:val="clear" w:color="auto" w:fill="auto"/>
                  <w:noWrap w:val="0"/>
                  <w:vAlign w:val="center"/>
                </w:tcPr>
                <w:p w14:paraId="6BEB51C8">
                  <w:pPr>
                    <w:adjustRightInd w:val="0"/>
                    <w:snapToGrid w:val="0"/>
                    <w:spacing w:line="280" w:lineRule="exact"/>
                    <w:jc w:val="center"/>
                    <w:rPr>
                      <w:rFonts w:hint="eastAsia" w:ascii="Times New Roman" w:hAnsi="Times New Roman"/>
                      <w:color w:val="auto"/>
                      <w:kern w:val="0"/>
                      <w:szCs w:val="21"/>
                      <w:highlight w:val="none"/>
                    </w:rPr>
                  </w:pPr>
                </w:p>
              </w:tc>
              <w:tc>
                <w:tcPr>
                  <w:tcW w:w="1750" w:type="dxa"/>
                  <w:shd w:val="clear" w:color="auto" w:fill="auto"/>
                  <w:noWrap w:val="0"/>
                  <w:vAlign w:val="center"/>
                </w:tcPr>
                <w:p w14:paraId="3C637F9E">
                  <w:pPr>
                    <w:adjustRightInd w:val="0"/>
                    <w:snapToGrid w:val="0"/>
                    <w:spacing w:line="280" w:lineRule="exact"/>
                    <w:jc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涂布</w:t>
                  </w:r>
                  <w:r>
                    <w:rPr>
                      <w:rFonts w:hint="eastAsia" w:cs="Times New Roman"/>
                      <w:color w:val="auto"/>
                      <w:lang w:val="en-US" w:eastAsia="zh-CN"/>
                    </w:rPr>
                    <w:t>烘干</w:t>
                  </w:r>
                  <w:r>
                    <w:rPr>
                      <w:rFonts w:hint="eastAsia" w:ascii="Times New Roman" w:hAnsi="Times New Roman" w:eastAsia="宋体" w:cs="Times New Roman"/>
                      <w:color w:val="auto"/>
                      <w:lang w:val="en-US" w:eastAsia="zh-CN"/>
                    </w:rPr>
                    <w:t>废气</w:t>
                  </w:r>
                </w:p>
              </w:tc>
              <w:tc>
                <w:tcPr>
                  <w:tcW w:w="2717" w:type="dxa"/>
                  <w:shd w:val="clear" w:color="auto" w:fill="auto"/>
                  <w:noWrap w:val="0"/>
                  <w:vAlign w:val="center"/>
                </w:tcPr>
                <w:p w14:paraId="2B10902A">
                  <w:pPr>
                    <w:adjustRightInd w:val="0"/>
                    <w:snapToGrid w:val="0"/>
                    <w:spacing w:line="280" w:lineRule="exact"/>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NMP回收处理系统（TA00</w:t>
                  </w:r>
                  <w:r>
                    <w:rPr>
                      <w:rFonts w:hint="eastAsia" w:cs="Times New Roman"/>
                      <w:color w:val="auto"/>
                      <w:lang w:val="en-US" w:eastAsia="zh-CN"/>
                    </w:rPr>
                    <w:t>2</w:t>
                  </w:r>
                  <w:r>
                    <w:rPr>
                      <w:rFonts w:hint="default" w:ascii="Times New Roman" w:hAnsi="Times New Roman" w:eastAsia="宋体" w:cs="Times New Roman"/>
                      <w:color w:val="auto"/>
                      <w:lang w:val="en-US" w:eastAsia="zh-CN"/>
                    </w:rPr>
                    <w:t>）</w:t>
                  </w:r>
                  <w:r>
                    <w:rPr>
                      <w:rFonts w:hint="eastAsia" w:ascii="Times New Roman" w:hAnsi="Times New Roman" w:eastAsia="宋体" w:cs="Times New Roman"/>
                      <w:color w:val="auto"/>
                      <w:lang w:val="en-US" w:eastAsia="zh-CN"/>
                    </w:rPr>
                    <w:t>+</w:t>
                  </w:r>
                  <w:r>
                    <w:rPr>
                      <w:rFonts w:hint="eastAsia" w:cs="Times New Roman"/>
                      <w:color w:val="auto"/>
                      <w:lang w:val="en-US" w:eastAsia="zh-CN"/>
                    </w:rPr>
                    <w:t>25</w:t>
                  </w:r>
                  <w:r>
                    <w:rPr>
                      <w:rFonts w:hint="eastAsia" w:ascii="Times New Roman" w:hAnsi="Times New Roman" w:eastAsia="宋体" w:cs="Times New Roman"/>
                      <w:color w:val="auto"/>
                      <w:lang w:val="en-US" w:eastAsia="zh-CN"/>
                    </w:rPr>
                    <w:t>m排气筒（DA00</w:t>
                  </w:r>
                  <w:r>
                    <w:rPr>
                      <w:rFonts w:hint="eastAsia" w:cs="Times New Roman"/>
                      <w:color w:val="auto"/>
                      <w:lang w:val="en-US" w:eastAsia="zh-CN"/>
                    </w:rPr>
                    <w:t>1</w:t>
                  </w:r>
                  <w:r>
                    <w:rPr>
                      <w:rFonts w:hint="eastAsia" w:ascii="Times New Roman" w:hAnsi="Times New Roman" w:eastAsia="宋体" w:cs="Times New Roman"/>
                      <w:color w:val="auto"/>
                      <w:lang w:val="en-US" w:eastAsia="zh-CN"/>
                    </w:rPr>
                    <w:t>）</w:t>
                  </w:r>
                </w:p>
              </w:tc>
              <w:tc>
                <w:tcPr>
                  <w:tcW w:w="1087" w:type="dxa"/>
                  <w:shd w:val="clear" w:color="auto" w:fill="auto"/>
                  <w:noWrap w:val="0"/>
                  <w:vAlign w:val="center"/>
                </w:tcPr>
                <w:p w14:paraId="7B7CDDCE">
                  <w:pPr>
                    <w:adjustRightInd w:val="0"/>
                    <w:snapToGrid w:val="0"/>
                    <w:spacing w:line="280" w:lineRule="exact"/>
                    <w:jc w:val="center"/>
                    <w:rPr>
                      <w:rFonts w:hint="default" w:ascii="Times New Roman" w:hAnsi="Times New Roman" w:eastAsia="宋体" w:cs="Times New Roman"/>
                      <w:color w:val="auto"/>
                      <w:lang w:val="en-US" w:eastAsia="zh-CN"/>
                    </w:rPr>
                  </w:pPr>
                  <w:r>
                    <w:rPr>
                      <w:rFonts w:hint="eastAsia" w:cs="Times New Roman"/>
                      <w:color w:val="auto"/>
                      <w:lang w:val="en-US" w:eastAsia="zh-CN"/>
                    </w:rPr>
                    <w:t>200.0</w:t>
                  </w:r>
                </w:p>
              </w:tc>
              <w:tc>
                <w:tcPr>
                  <w:tcW w:w="759" w:type="dxa"/>
                  <w:shd w:val="clear" w:color="auto" w:fill="auto"/>
                  <w:noWrap w:val="0"/>
                  <w:vAlign w:val="center"/>
                </w:tcPr>
                <w:p w14:paraId="2E0383B7">
                  <w:pPr>
                    <w:adjustRightInd w:val="0"/>
                    <w:snapToGrid w:val="0"/>
                    <w:spacing w:line="280" w:lineRule="exact"/>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新建</w:t>
                  </w:r>
                </w:p>
              </w:tc>
            </w:tr>
            <w:tr w14:paraId="4C6659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674" w:type="dxa"/>
                  <w:vMerge w:val="continue"/>
                  <w:shd w:val="clear" w:color="auto" w:fill="auto"/>
                  <w:noWrap w:val="0"/>
                  <w:vAlign w:val="center"/>
                </w:tcPr>
                <w:p w14:paraId="5B1BE116">
                  <w:pPr>
                    <w:adjustRightInd w:val="0"/>
                    <w:snapToGrid w:val="0"/>
                    <w:spacing w:line="280" w:lineRule="exact"/>
                    <w:jc w:val="center"/>
                    <w:rPr>
                      <w:rFonts w:hint="eastAsia" w:ascii="Times New Roman" w:hAnsi="Times New Roman"/>
                      <w:color w:val="auto"/>
                      <w:kern w:val="0"/>
                      <w:szCs w:val="21"/>
                      <w:highlight w:val="none"/>
                    </w:rPr>
                  </w:pPr>
                </w:p>
              </w:tc>
              <w:tc>
                <w:tcPr>
                  <w:tcW w:w="900" w:type="dxa"/>
                  <w:vMerge w:val="continue"/>
                  <w:shd w:val="clear" w:color="auto" w:fill="auto"/>
                  <w:noWrap w:val="0"/>
                  <w:vAlign w:val="center"/>
                </w:tcPr>
                <w:p w14:paraId="3BBFC895">
                  <w:pPr>
                    <w:adjustRightInd w:val="0"/>
                    <w:snapToGrid w:val="0"/>
                    <w:spacing w:line="280" w:lineRule="exact"/>
                    <w:jc w:val="center"/>
                    <w:rPr>
                      <w:rFonts w:hint="eastAsia" w:ascii="Times New Roman" w:hAnsi="Times New Roman"/>
                      <w:color w:val="auto"/>
                      <w:kern w:val="0"/>
                      <w:szCs w:val="21"/>
                      <w:highlight w:val="none"/>
                    </w:rPr>
                  </w:pPr>
                </w:p>
              </w:tc>
              <w:tc>
                <w:tcPr>
                  <w:tcW w:w="1750" w:type="dxa"/>
                  <w:shd w:val="clear" w:color="auto" w:fill="auto"/>
                  <w:noWrap w:val="0"/>
                  <w:vAlign w:val="center"/>
                </w:tcPr>
                <w:p w14:paraId="448943D2">
                  <w:pPr>
                    <w:adjustRightInd w:val="0"/>
                    <w:snapToGrid w:val="0"/>
                    <w:spacing w:line="280" w:lineRule="exact"/>
                    <w:jc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注液废气</w:t>
                  </w:r>
                </w:p>
              </w:tc>
              <w:tc>
                <w:tcPr>
                  <w:tcW w:w="2717" w:type="dxa"/>
                  <w:vMerge w:val="restart"/>
                  <w:shd w:val="clear" w:color="auto" w:fill="auto"/>
                  <w:noWrap w:val="0"/>
                  <w:vAlign w:val="center"/>
                </w:tcPr>
                <w:p w14:paraId="7B14551B">
                  <w:pPr>
                    <w:adjustRightInd w:val="0"/>
                    <w:snapToGrid w:val="0"/>
                    <w:spacing w:line="280" w:lineRule="exact"/>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二级活性炭吸附装置（TA00</w:t>
                  </w:r>
                  <w:r>
                    <w:rPr>
                      <w:rFonts w:hint="eastAsia" w:cs="Times New Roman"/>
                      <w:color w:val="auto"/>
                      <w:lang w:val="en-US" w:eastAsia="zh-CN"/>
                    </w:rPr>
                    <w:t>3</w:t>
                  </w:r>
                  <w:r>
                    <w:rPr>
                      <w:rFonts w:hint="default" w:ascii="Times New Roman" w:hAnsi="Times New Roman" w:eastAsia="宋体" w:cs="Times New Roman"/>
                      <w:color w:val="auto"/>
                      <w:lang w:val="en-US" w:eastAsia="zh-CN"/>
                    </w:rPr>
                    <w:t>）</w:t>
                  </w:r>
                  <w:r>
                    <w:rPr>
                      <w:rFonts w:hint="eastAsia" w:ascii="Times New Roman" w:hAnsi="Times New Roman" w:eastAsia="宋体" w:cs="Times New Roman"/>
                      <w:color w:val="auto"/>
                      <w:lang w:val="en-US" w:eastAsia="zh-CN"/>
                    </w:rPr>
                    <w:t>+</w:t>
                  </w:r>
                  <w:r>
                    <w:rPr>
                      <w:rFonts w:hint="eastAsia" w:cs="Times New Roman"/>
                      <w:color w:val="auto"/>
                      <w:lang w:val="en-US" w:eastAsia="zh-CN"/>
                    </w:rPr>
                    <w:t>25</w:t>
                  </w:r>
                  <w:r>
                    <w:rPr>
                      <w:rFonts w:hint="eastAsia" w:ascii="Times New Roman" w:hAnsi="Times New Roman" w:eastAsia="宋体" w:cs="Times New Roman"/>
                      <w:color w:val="auto"/>
                      <w:lang w:val="en-US" w:eastAsia="zh-CN"/>
                    </w:rPr>
                    <w:t>m排气筒（DA002）</w:t>
                  </w:r>
                </w:p>
              </w:tc>
              <w:tc>
                <w:tcPr>
                  <w:tcW w:w="1087" w:type="dxa"/>
                  <w:vMerge w:val="restart"/>
                  <w:shd w:val="clear" w:color="auto" w:fill="auto"/>
                  <w:noWrap w:val="0"/>
                  <w:vAlign w:val="center"/>
                </w:tcPr>
                <w:p w14:paraId="55A2EC12">
                  <w:pPr>
                    <w:adjustRightInd w:val="0"/>
                    <w:snapToGrid w:val="0"/>
                    <w:spacing w:line="280" w:lineRule="exact"/>
                    <w:jc w:val="center"/>
                    <w:rPr>
                      <w:rFonts w:hint="default" w:ascii="Times New Roman" w:hAnsi="Times New Roman" w:eastAsia="宋体" w:cs="Times New Roman"/>
                      <w:color w:val="auto"/>
                      <w:lang w:val="en-US" w:eastAsia="zh-CN"/>
                    </w:rPr>
                  </w:pPr>
                  <w:r>
                    <w:rPr>
                      <w:rFonts w:hint="eastAsia" w:cs="Times New Roman"/>
                      <w:color w:val="auto"/>
                      <w:lang w:val="en-US" w:eastAsia="zh-CN"/>
                    </w:rPr>
                    <w:t>120.0</w:t>
                  </w:r>
                </w:p>
              </w:tc>
              <w:tc>
                <w:tcPr>
                  <w:tcW w:w="759" w:type="dxa"/>
                  <w:shd w:val="clear" w:color="auto" w:fill="auto"/>
                  <w:noWrap w:val="0"/>
                  <w:vAlign w:val="center"/>
                </w:tcPr>
                <w:p w14:paraId="36C9878C">
                  <w:pPr>
                    <w:adjustRightInd w:val="0"/>
                    <w:snapToGrid w:val="0"/>
                    <w:spacing w:line="280" w:lineRule="exact"/>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新建</w:t>
                  </w:r>
                </w:p>
              </w:tc>
            </w:tr>
            <w:tr w14:paraId="7AC19E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674" w:type="dxa"/>
                  <w:vMerge w:val="continue"/>
                  <w:shd w:val="clear" w:color="auto" w:fill="auto"/>
                  <w:noWrap w:val="0"/>
                  <w:vAlign w:val="center"/>
                </w:tcPr>
                <w:p w14:paraId="222EF3D8">
                  <w:pPr>
                    <w:adjustRightInd w:val="0"/>
                    <w:snapToGrid w:val="0"/>
                    <w:spacing w:line="280" w:lineRule="exact"/>
                    <w:jc w:val="center"/>
                    <w:rPr>
                      <w:rFonts w:hint="eastAsia" w:ascii="Times New Roman" w:hAnsi="Times New Roman"/>
                      <w:color w:val="auto"/>
                      <w:kern w:val="0"/>
                      <w:szCs w:val="21"/>
                      <w:highlight w:val="none"/>
                    </w:rPr>
                  </w:pPr>
                </w:p>
              </w:tc>
              <w:tc>
                <w:tcPr>
                  <w:tcW w:w="900" w:type="dxa"/>
                  <w:vMerge w:val="continue"/>
                  <w:shd w:val="clear" w:color="auto" w:fill="auto"/>
                  <w:noWrap w:val="0"/>
                  <w:vAlign w:val="center"/>
                </w:tcPr>
                <w:p w14:paraId="3DC96EDA">
                  <w:pPr>
                    <w:adjustRightInd w:val="0"/>
                    <w:snapToGrid w:val="0"/>
                    <w:spacing w:line="280" w:lineRule="exact"/>
                    <w:jc w:val="center"/>
                    <w:rPr>
                      <w:rFonts w:hint="eastAsia" w:ascii="Times New Roman" w:hAnsi="Times New Roman"/>
                      <w:color w:val="auto"/>
                      <w:kern w:val="0"/>
                      <w:szCs w:val="21"/>
                      <w:highlight w:val="none"/>
                    </w:rPr>
                  </w:pPr>
                </w:p>
              </w:tc>
              <w:tc>
                <w:tcPr>
                  <w:tcW w:w="1750" w:type="dxa"/>
                  <w:shd w:val="clear" w:color="auto" w:fill="auto"/>
                  <w:noWrap w:val="0"/>
                  <w:vAlign w:val="center"/>
                </w:tcPr>
                <w:p w14:paraId="06D89776">
                  <w:pPr>
                    <w:keepNext w:val="0"/>
                    <w:keepLines w:val="0"/>
                    <w:pageBreakBefore w:val="0"/>
                    <w:widowControl w:val="0"/>
                    <w:kinsoku/>
                    <w:wordWrap/>
                    <w:overflowPunct/>
                    <w:topLinePunct w:val="0"/>
                    <w:bidi w:val="0"/>
                    <w:adjustRightInd/>
                    <w:snapToGrid/>
                    <w:spacing w:line="240" w:lineRule="auto"/>
                    <w:ind w:firstLine="0" w:firstLineChars="0"/>
                    <w:jc w:val="center"/>
                    <w:rPr>
                      <w:rFonts w:hint="eastAsia" w:ascii="Times New Roman" w:hAnsi="Times New Roman" w:eastAsia="宋体" w:cs="Times New Roman"/>
                      <w:color w:val="auto"/>
                      <w:lang w:val="en-US" w:eastAsia="zh-CN"/>
                    </w:rPr>
                  </w:pPr>
                  <w:r>
                    <w:rPr>
                      <w:rFonts w:hint="eastAsia" w:cs="Times New Roman"/>
                      <w:color w:val="auto"/>
                      <w:kern w:val="0"/>
                      <w:sz w:val="21"/>
                      <w:szCs w:val="21"/>
                      <w:lang w:val="en-US" w:eastAsia="zh-CN" w:bidi="ar-SA"/>
                    </w:rPr>
                    <w:t>二封废气</w:t>
                  </w:r>
                </w:p>
              </w:tc>
              <w:tc>
                <w:tcPr>
                  <w:tcW w:w="2717" w:type="dxa"/>
                  <w:vMerge w:val="continue"/>
                  <w:shd w:val="clear" w:color="auto" w:fill="auto"/>
                  <w:noWrap w:val="0"/>
                  <w:vAlign w:val="center"/>
                </w:tcPr>
                <w:p w14:paraId="369C240C">
                  <w:pPr>
                    <w:adjustRightInd w:val="0"/>
                    <w:snapToGrid w:val="0"/>
                    <w:spacing w:line="280" w:lineRule="exact"/>
                    <w:jc w:val="center"/>
                    <w:rPr>
                      <w:rFonts w:hint="default" w:ascii="Times New Roman" w:hAnsi="Times New Roman" w:eastAsia="宋体" w:cs="Times New Roman"/>
                      <w:color w:val="auto"/>
                      <w:lang w:val="en-US" w:eastAsia="zh-CN"/>
                    </w:rPr>
                  </w:pPr>
                </w:p>
              </w:tc>
              <w:tc>
                <w:tcPr>
                  <w:tcW w:w="1087" w:type="dxa"/>
                  <w:vMerge w:val="continue"/>
                  <w:shd w:val="clear" w:color="auto" w:fill="auto"/>
                  <w:noWrap w:val="0"/>
                  <w:vAlign w:val="center"/>
                </w:tcPr>
                <w:p w14:paraId="1BD63FC4">
                  <w:pPr>
                    <w:adjustRightInd w:val="0"/>
                    <w:snapToGrid w:val="0"/>
                    <w:spacing w:line="280" w:lineRule="exact"/>
                    <w:jc w:val="center"/>
                    <w:rPr>
                      <w:rFonts w:hint="eastAsia" w:ascii="Times New Roman" w:hAnsi="Times New Roman" w:eastAsia="宋体" w:cs="Times New Roman"/>
                      <w:color w:val="auto"/>
                      <w:lang w:val="en-US" w:eastAsia="zh-CN"/>
                    </w:rPr>
                  </w:pPr>
                </w:p>
              </w:tc>
              <w:tc>
                <w:tcPr>
                  <w:tcW w:w="759" w:type="dxa"/>
                  <w:shd w:val="clear" w:color="auto" w:fill="auto"/>
                  <w:noWrap w:val="0"/>
                  <w:vAlign w:val="center"/>
                </w:tcPr>
                <w:p w14:paraId="0265BB37">
                  <w:pPr>
                    <w:adjustRightInd w:val="0"/>
                    <w:snapToGrid w:val="0"/>
                    <w:spacing w:line="280" w:lineRule="exact"/>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新建</w:t>
                  </w:r>
                </w:p>
              </w:tc>
            </w:tr>
            <w:tr w14:paraId="0A06AF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674" w:type="dxa"/>
                  <w:vMerge w:val="continue"/>
                  <w:shd w:val="clear" w:color="auto" w:fill="auto"/>
                  <w:noWrap w:val="0"/>
                  <w:vAlign w:val="center"/>
                </w:tcPr>
                <w:p w14:paraId="60B50E97">
                  <w:pPr>
                    <w:adjustRightInd w:val="0"/>
                    <w:snapToGrid w:val="0"/>
                    <w:spacing w:line="280" w:lineRule="exact"/>
                    <w:jc w:val="center"/>
                    <w:rPr>
                      <w:rFonts w:hint="eastAsia" w:ascii="Times New Roman" w:hAnsi="Times New Roman"/>
                      <w:color w:val="auto"/>
                      <w:kern w:val="0"/>
                      <w:szCs w:val="21"/>
                      <w:highlight w:val="none"/>
                    </w:rPr>
                  </w:pPr>
                </w:p>
              </w:tc>
              <w:tc>
                <w:tcPr>
                  <w:tcW w:w="900" w:type="dxa"/>
                  <w:vMerge w:val="continue"/>
                  <w:shd w:val="clear" w:color="auto" w:fill="auto"/>
                  <w:noWrap w:val="0"/>
                  <w:vAlign w:val="center"/>
                </w:tcPr>
                <w:p w14:paraId="23C13FCA">
                  <w:pPr>
                    <w:adjustRightInd w:val="0"/>
                    <w:snapToGrid w:val="0"/>
                    <w:spacing w:line="280" w:lineRule="exact"/>
                    <w:jc w:val="center"/>
                    <w:rPr>
                      <w:rFonts w:hint="eastAsia" w:ascii="Times New Roman" w:hAnsi="Times New Roman"/>
                      <w:color w:val="auto"/>
                      <w:kern w:val="0"/>
                      <w:szCs w:val="21"/>
                      <w:highlight w:val="none"/>
                    </w:rPr>
                  </w:pPr>
                </w:p>
              </w:tc>
              <w:tc>
                <w:tcPr>
                  <w:tcW w:w="1750" w:type="dxa"/>
                  <w:shd w:val="clear" w:color="auto" w:fill="auto"/>
                  <w:noWrap w:val="0"/>
                  <w:vAlign w:val="center"/>
                </w:tcPr>
                <w:p w14:paraId="69619F23">
                  <w:pPr>
                    <w:keepNext w:val="0"/>
                    <w:keepLines w:val="0"/>
                    <w:pageBreakBefore w:val="0"/>
                    <w:widowControl w:val="0"/>
                    <w:kinsoku/>
                    <w:wordWrap/>
                    <w:overflowPunct/>
                    <w:topLinePunct w:val="0"/>
                    <w:bidi w:val="0"/>
                    <w:adjustRightInd/>
                    <w:snapToGrid/>
                    <w:spacing w:line="240" w:lineRule="auto"/>
                    <w:ind w:firstLine="0" w:firstLineChars="0"/>
                    <w:jc w:val="center"/>
                    <w:rPr>
                      <w:rFonts w:hint="eastAsia" w:ascii="Times New Roman" w:hAnsi="Times New Roman" w:eastAsia="宋体" w:cs="Times New Roman"/>
                      <w:color w:val="auto"/>
                      <w:lang w:val="en-US" w:eastAsia="zh-CN"/>
                    </w:rPr>
                  </w:pPr>
                  <w:r>
                    <w:rPr>
                      <w:rFonts w:hint="eastAsia" w:cs="Times New Roman"/>
                      <w:color w:val="auto"/>
                      <w:kern w:val="0"/>
                      <w:sz w:val="21"/>
                      <w:szCs w:val="21"/>
                      <w:lang w:val="en-US" w:eastAsia="zh-CN" w:bidi="ar-SA"/>
                    </w:rPr>
                    <w:t>拆解废气</w:t>
                  </w:r>
                </w:p>
              </w:tc>
              <w:tc>
                <w:tcPr>
                  <w:tcW w:w="2717" w:type="dxa"/>
                  <w:vMerge w:val="continue"/>
                  <w:shd w:val="clear" w:color="auto" w:fill="auto"/>
                  <w:noWrap w:val="0"/>
                  <w:vAlign w:val="center"/>
                </w:tcPr>
                <w:p w14:paraId="31E58345">
                  <w:pPr>
                    <w:adjustRightInd w:val="0"/>
                    <w:snapToGrid w:val="0"/>
                    <w:spacing w:line="280" w:lineRule="exact"/>
                    <w:jc w:val="center"/>
                    <w:rPr>
                      <w:rFonts w:hint="default" w:ascii="Times New Roman" w:hAnsi="Times New Roman" w:eastAsia="宋体" w:cs="Times New Roman"/>
                      <w:color w:val="auto"/>
                      <w:lang w:val="en-US" w:eastAsia="zh-CN"/>
                    </w:rPr>
                  </w:pPr>
                </w:p>
              </w:tc>
              <w:tc>
                <w:tcPr>
                  <w:tcW w:w="1087" w:type="dxa"/>
                  <w:vMerge w:val="continue"/>
                  <w:shd w:val="clear" w:color="auto" w:fill="auto"/>
                  <w:noWrap w:val="0"/>
                  <w:vAlign w:val="center"/>
                </w:tcPr>
                <w:p w14:paraId="36BB8AC6">
                  <w:pPr>
                    <w:adjustRightInd w:val="0"/>
                    <w:snapToGrid w:val="0"/>
                    <w:spacing w:line="280" w:lineRule="exact"/>
                    <w:jc w:val="center"/>
                    <w:rPr>
                      <w:rFonts w:hint="eastAsia" w:ascii="Times New Roman" w:hAnsi="Times New Roman" w:eastAsia="宋体" w:cs="Times New Roman"/>
                      <w:color w:val="auto"/>
                      <w:lang w:val="en-US" w:eastAsia="zh-CN"/>
                    </w:rPr>
                  </w:pPr>
                </w:p>
              </w:tc>
              <w:tc>
                <w:tcPr>
                  <w:tcW w:w="759" w:type="dxa"/>
                  <w:shd w:val="clear" w:color="auto" w:fill="auto"/>
                  <w:noWrap w:val="0"/>
                  <w:vAlign w:val="center"/>
                </w:tcPr>
                <w:p w14:paraId="7765DD59">
                  <w:pPr>
                    <w:adjustRightInd w:val="0"/>
                    <w:snapToGrid w:val="0"/>
                    <w:spacing w:line="280" w:lineRule="exact"/>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新建</w:t>
                  </w:r>
                </w:p>
              </w:tc>
            </w:tr>
            <w:tr w14:paraId="2FF623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674" w:type="dxa"/>
                  <w:vMerge w:val="continue"/>
                  <w:shd w:val="clear" w:color="auto" w:fill="auto"/>
                  <w:noWrap w:val="0"/>
                  <w:vAlign w:val="center"/>
                </w:tcPr>
                <w:p w14:paraId="5594C1CD">
                  <w:pPr>
                    <w:adjustRightInd w:val="0"/>
                    <w:snapToGrid w:val="0"/>
                    <w:spacing w:line="280" w:lineRule="exact"/>
                    <w:jc w:val="center"/>
                    <w:rPr>
                      <w:rFonts w:hint="eastAsia" w:ascii="Times New Roman" w:hAnsi="Times New Roman"/>
                      <w:color w:val="auto"/>
                      <w:kern w:val="0"/>
                      <w:szCs w:val="21"/>
                      <w:highlight w:val="none"/>
                    </w:rPr>
                  </w:pPr>
                </w:p>
              </w:tc>
              <w:tc>
                <w:tcPr>
                  <w:tcW w:w="900" w:type="dxa"/>
                  <w:vMerge w:val="continue"/>
                  <w:shd w:val="clear" w:color="auto" w:fill="auto"/>
                  <w:noWrap w:val="0"/>
                  <w:vAlign w:val="center"/>
                </w:tcPr>
                <w:p w14:paraId="3BE4FC85">
                  <w:pPr>
                    <w:adjustRightInd w:val="0"/>
                    <w:snapToGrid w:val="0"/>
                    <w:spacing w:line="280" w:lineRule="exact"/>
                    <w:jc w:val="center"/>
                    <w:rPr>
                      <w:rFonts w:hint="eastAsia" w:ascii="Times New Roman" w:hAnsi="Times New Roman"/>
                      <w:color w:val="auto"/>
                      <w:kern w:val="0"/>
                      <w:szCs w:val="21"/>
                      <w:highlight w:val="none"/>
                    </w:rPr>
                  </w:pPr>
                </w:p>
              </w:tc>
              <w:tc>
                <w:tcPr>
                  <w:tcW w:w="1750" w:type="dxa"/>
                  <w:shd w:val="clear" w:color="auto" w:fill="auto"/>
                  <w:noWrap w:val="0"/>
                  <w:vAlign w:val="center"/>
                </w:tcPr>
                <w:p w14:paraId="17723223">
                  <w:pPr>
                    <w:adjustRightInd w:val="0"/>
                    <w:snapToGrid w:val="0"/>
                    <w:spacing w:line="280" w:lineRule="exact"/>
                    <w:jc w:val="center"/>
                    <w:rPr>
                      <w:rFonts w:hint="default" w:cs="Times New Roman"/>
                      <w:color w:val="auto"/>
                      <w:lang w:val="en-US" w:eastAsia="zh-CN"/>
                    </w:rPr>
                  </w:pPr>
                  <w:r>
                    <w:rPr>
                      <w:rFonts w:hint="eastAsia" w:cs="Times New Roman"/>
                      <w:color w:val="auto"/>
                      <w:lang w:val="en-US" w:eastAsia="zh-CN"/>
                    </w:rPr>
                    <w:t>危废库废气</w:t>
                  </w:r>
                </w:p>
              </w:tc>
              <w:tc>
                <w:tcPr>
                  <w:tcW w:w="2717" w:type="dxa"/>
                  <w:shd w:val="clear" w:color="auto" w:fill="auto"/>
                  <w:noWrap w:val="0"/>
                  <w:vAlign w:val="center"/>
                </w:tcPr>
                <w:p w14:paraId="550A3A70">
                  <w:pPr>
                    <w:adjustRightInd w:val="0"/>
                    <w:snapToGrid w:val="0"/>
                    <w:spacing w:line="280" w:lineRule="exact"/>
                    <w:jc w:val="center"/>
                    <w:rPr>
                      <w:rFonts w:hint="default" w:ascii="Times New Roman" w:hAnsi="Times New Roman" w:eastAsia="宋体" w:cs="Times New Roman"/>
                      <w:color w:val="auto"/>
                      <w:lang w:val="en-US" w:eastAsia="zh-CN"/>
                    </w:rPr>
                  </w:pPr>
                  <w:r>
                    <w:rPr>
                      <w:rFonts w:hint="eastAsia" w:cs="Times New Roman"/>
                      <w:color w:val="auto"/>
                      <w:lang w:val="en-US" w:eastAsia="zh-CN"/>
                    </w:rPr>
                    <w:t>活性炭吸附装置（TA004）处理后，无组织排放</w:t>
                  </w:r>
                </w:p>
              </w:tc>
              <w:tc>
                <w:tcPr>
                  <w:tcW w:w="1087" w:type="dxa"/>
                  <w:vMerge w:val="continue"/>
                  <w:shd w:val="clear" w:color="auto" w:fill="auto"/>
                  <w:noWrap w:val="0"/>
                  <w:vAlign w:val="center"/>
                </w:tcPr>
                <w:p w14:paraId="1CBA17E1">
                  <w:pPr>
                    <w:adjustRightInd w:val="0"/>
                    <w:snapToGrid w:val="0"/>
                    <w:spacing w:line="280" w:lineRule="exact"/>
                    <w:jc w:val="center"/>
                    <w:rPr>
                      <w:rFonts w:hint="eastAsia" w:ascii="Times New Roman" w:hAnsi="Times New Roman" w:eastAsia="宋体" w:cs="Times New Roman"/>
                      <w:color w:val="auto"/>
                      <w:lang w:val="en-US" w:eastAsia="zh-CN"/>
                    </w:rPr>
                  </w:pPr>
                </w:p>
              </w:tc>
              <w:tc>
                <w:tcPr>
                  <w:tcW w:w="759" w:type="dxa"/>
                  <w:shd w:val="clear" w:color="auto" w:fill="auto"/>
                  <w:noWrap w:val="0"/>
                  <w:vAlign w:val="center"/>
                </w:tcPr>
                <w:p w14:paraId="0DC57C05">
                  <w:pPr>
                    <w:adjustRightInd w:val="0"/>
                    <w:snapToGrid w:val="0"/>
                    <w:spacing w:line="280" w:lineRule="exact"/>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新建</w:t>
                  </w:r>
                </w:p>
              </w:tc>
            </w:tr>
            <w:tr w14:paraId="0FAB2B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674" w:type="dxa"/>
                  <w:vMerge w:val="continue"/>
                  <w:shd w:val="clear" w:color="auto" w:fill="auto"/>
                  <w:noWrap w:val="0"/>
                  <w:vAlign w:val="center"/>
                </w:tcPr>
                <w:p w14:paraId="2857D71B">
                  <w:pPr>
                    <w:adjustRightInd w:val="0"/>
                    <w:snapToGrid w:val="0"/>
                    <w:spacing w:line="280" w:lineRule="exact"/>
                    <w:jc w:val="center"/>
                    <w:rPr>
                      <w:rFonts w:hint="eastAsia" w:ascii="Times New Roman" w:hAnsi="Times New Roman"/>
                      <w:color w:val="auto"/>
                      <w:kern w:val="0"/>
                      <w:szCs w:val="21"/>
                      <w:highlight w:val="none"/>
                    </w:rPr>
                  </w:pPr>
                </w:p>
              </w:tc>
              <w:tc>
                <w:tcPr>
                  <w:tcW w:w="900" w:type="dxa"/>
                  <w:vMerge w:val="continue"/>
                  <w:shd w:val="clear" w:color="auto" w:fill="auto"/>
                  <w:noWrap w:val="0"/>
                  <w:vAlign w:val="center"/>
                </w:tcPr>
                <w:p w14:paraId="626193CA">
                  <w:pPr>
                    <w:adjustRightInd w:val="0"/>
                    <w:snapToGrid w:val="0"/>
                    <w:spacing w:line="280" w:lineRule="exact"/>
                    <w:jc w:val="center"/>
                    <w:rPr>
                      <w:rFonts w:hint="eastAsia" w:ascii="Times New Roman" w:hAnsi="Times New Roman"/>
                      <w:color w:val="auto"/>
                      <w:kern w:val="0"/>
                      <w:szCs w:val="21"/>
                      <w:highlight w:val="none"/>
                    </w:rPr>
                  </w:pPr>
                </w:p>
              </w:tc>
              <w:tc>
                <w:tcPr>
                  <w:tcW w:w="1750" w:type="dxa"/>
                  <w:shd w:val="clear" w:color="auto" w:fill="auto"/>
                  <w:noWrap w:val="0"/>
                  <w:vAlign w:val="center"/>
                </w:tcPr>
                <w:p w14:paraId="78992065">
                  <w:pPr>
                    <w:adjustRightInd w:val="0"/>
                    <w:snapToGrid w:val="0"/>
                    <w:spacing w:line="280" w:lineRule="exact"/>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NMP储罐呼吸废气</w:t>
                  </w:r>
                </w:p>
              </w:tc>
              <w:tc>
                <w:tcPr>
                  <w:tcW w:w="2717" w:type="dxa"/>
                  <w:shd w:val="clear" w:color="auto" w:fill="auto"/>
                  <w:noWrap w:val="0"/>
                  <w:vAlign w:val="center"/>
                </w:tcPr>
                <w:p w14:paraId="3241522E">
                  <w:pPr>
                    <w:adjustRightInd w:val="0"/>
                    <w:snapToGrid w:val="0"/>
                    <w:spacing w:line="280" w:lineRule="exact"/>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无组织排放</w:t>
                  </w:r>
                </w:p>
              </w:tc>
              <w:tc>
                <w:tcPr>
                  <w:tcW w:w="1087" w:type="dxa"/>
                  <w:shd w:val="clear" w:color="auto" w:fill="auto"/>
                  <w:noWrap w:val="0"/>
                  <w:vAlign w:val="center"/>
                </w:tcPr>
                <w:p w14:paraId="7F45A853">
                  <w:pPr>
                    <w:adjustRightInd w:val="0"/>
                    <w:snapToGrid w:val="0"/>
                    <w:spacing w:line="280" w:lineRule="exact"/>
                    <w:jc w:val="center"/>
                    <w:rPr>
                      <w:rFonts w:hint="default" w:ascii="Times New Roman" w:hAnsi="Times New Roman" w:eastAsia="宋体" w:cs="Times New Roman"/>
                      <w:color w:val="auto"/>
                      <w:lang w:val="en-US" w:eastAsia="zh-CN"/>
                    </w:rPr>
                  </w:pPr>
                  <w:r>
                    <w:rPr>
                      <w:rFonts w:hint="eastAsia" w:cs="Times New Roman"/>
                      <w:color w:val="auto"/>
                      <w:lang w:val="en-US" w:eastAsia="zh-CN"/>
                    </w:rPr>
                    <w:t>/</w:t>
                  </w:r>
                </w:p>
              </w:tc>
              <w:tc>
                <w:tcPr>
                  <w:tcW w:w="759" w:type="dxa"/>
                  <w:shd w:val="clear" w:color="auto" w:fill="auto"/>
                  <w:noWrap w:val="0"/>
                  <w:vAlign w:val="center"/>
                </w:tcPr>
                <w:p w14:paraId="6D721E05">
                  <w:pPr>
                    <w:adjustRightInd w:val="0"/>
                    <w:snapToGrid w:val="0"/>
                    <w:spacing w:line="280" w:lineRule="exact"/>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新建</w:t>
                  </w:r>
                </w:p>
              </w:tc>
            </w:tr>
            <w:tr w14:paraId="5A5AC3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674" w:type="dxa"/>
                  <w:vMerge w:val="continue"/>
                  <w:shd w:val="clear" w:color="auto" w:fill="auto"/>
                  <w:noWrap w:val="0"/>
                  <w:vAlign w:val="center"/>
                </w:tcPr>
                <w:p w14:paraId="48B36D31">
                  <w:pPr>
                    <w:adjustRightInd w:val="0"/>
                    <w:snapToGrid w:val="0"/>
                    <w:spacing w:line="280" w:lineRule="exact"/>
                    <w:jc w:val="center"/>
                    <w:rPr>
                      <w:rFonts w:hint="eastAsia" w:ascii="Times New Roman" w:hAnsi="Times New Roman"/>
                      <w:color w:val="auto"/>
                      <w:kern w:val="0"/>
                      <w:szCs w:val="21"/>
                      <w:highlight w:val="none"/>
                    </w:rPr>
                  </w:pPr>
                </w:p>
              </w:tc>
              <w:tc>
                <w:tcPr>
                  <w:tcW w:w="900" w:type="dxa"/>
                  <w:vMerge w:val="continue"/>
                  <w:shd w:val="clear" w:color="auto" w:fill="auto"/>
                  <w:noWrap w:val="0"/>
                  <w:vAlign w:val="center"/>
                </w:tcPr>
                <w:p w14:paraId="7FCFA2B1">
                  <w:pPr>
                    <w:adjustRightInd w:val="0"/>
                    <w:snapToGrid w:val="0"/>
                    <w:spacing w:line="280" w:lineRule="exact"/>
                    <w:jc w:val="center"/>
                    <w:rPr>
                      <w:rFonts w:hint="eastAsia" w:ascii="Times New Roman" w:hAnsi="Times New Roman"/>
                      <w:color w:val="auto"/>
                      <w:kern w:val="0"/>
                      <w:szCs w:val="21"/>
                      <w:highlight w:val="none"/>
                    </w:rPr>
                  </w:pPr>
                </w:p>
              </w:tc>
              <w:tc>
                <w:tcPr>
                  <w:tcW w:w="1750" w:type="dxa"/>
                  <w:shd w:val="clear" w:color="auto" w:fill="auto"/>
                  <w:noWrap w:val="0"/>
                  <w:vAlign w:val="center"/>
                </w:tcPr>
                <w:p w14:paraId="12A2CEC5">
                  <w:pPr>
                    <w:keepNext w:val="0"/>
                    <w:keepLines w:val="0"/>
                    <w:pageBreakBefore w:val="0"/>
                    <w:widowControl w:val="0"/>
                    <w:kinsoku/>
                    <w:wordWrap/>
                    <w:overflowPunct/>
                    <w:topLinePunct w:val="0"/>
                    <w:bidi w:val="0"/>
                    <w:adjustRightInd/>
                    <w:snapToGrid/>
                    <w:spacing w:line="240" w:lineRule="auto"/>
                    <w:ind w:firstLine="0" w:firstLineChars="0"/>
                    <w:jc w:val="center"/>
                    <w:rPr>
                      <w:rFonts w:hint="eastAsia" w:ascii="Times New Roman" w:hAnsi="Times New Roman" w:eastAsia="宋体" w:cs="Times New Roman"/>
                      <w:color w:val="auto"/>
                      <w:lang w:val="en-US" w:eastAsia="zh-CN"/>
                    </w:rPr>
                  </w:pPr>
                  <w:r>
                    <w:rPr>
                      <w:rFonts w:hint="eastAsia" w:cs="Times New Roman"/>
                      <w:color w:val="auto"/>
                      <w:kern w:val="0"/>
                      <w:sz w:val="21"/>
                      <w:szCs w:val="21"/>
                      <w:lang w:val="en-US" w:eastAsia="zh-CN" w:bidi="ar-SA"/>
                    </w:rPr>
                    <w:t>焊接烟尘</w:t>
                  </w:r>
                </w:p>
              </w:tc>
              <w:tc>
                <w:tcPr>
                  <w:tcW w:w="2717" w:type="dxa"/>
                  <w:shd w:val="clear" w:color="auto" w:fill="auto"/>
                  <w:noWrap w:val="0"/>
                  <w:vAlign w:val="center"/>
                </w:tcPr>
                <w:p w14:paraId="3B0A4E66">
                  <w:pPr>
                    <w:keepNext w:val="0"/>
                    <w:keepLines w:val="0"/>
                    <w:pageBreakBefore w:val="0"/>
                    <w:widowControl w:val="0"/>
                    <w:kinsoku/>
                    <w:wordWrap/>
                    <w:overflowPunct/>
                    <w:topLinePunct w:val="0"/>
                    <w:bidi w:val="0"/>
                    <w:adjustRightInd/>
                    <w:snapToGrid/>
                    <w:spacing w:line="240" w:lineRule="auto"/>
                    <w:ind w:firstLine="0" w:firstLineChars="0"/>
                    <w:rPr>
                      <w:rFonts w:hint="eastAsia" w:ascii="Times New Roman" w:hAnsi="Times New Roman" w:eastAsia="宋体" w:cs="Times New Roman"/>
                      <w:color w:val="auto"/>
                      <w:lang w:val="en-US" w:eastAsia="zh-CN"/>
                    </w:rPr>
                  </w:pPr>
                  <w:r>
                    <w:rPr>
                      <w:rFonts w:hint="eastAsia" w:cs="Times New Roman"/>
                      <w:color w:val="auto"/>
                      <w:kern w:val="0"/>
                      <w:sz w:val="21"/>
                      <w:szCs w:val="21"/>
                      <w:lang w:val="en-US" w:eastAsia="zh-CN" w:bidi="ar-SA"/>
                    </w:rPr>
                    <w:t>经自带滤芯除尘器（TA005）处理</w:t>
                  </w:r>
                  <w:r>
                    <w:rPr>
                      <w:rFonts w:hint="eastAsia" w:cs="Times New Roman"/>
                      <w:color w:val="auto"/>
                      <w:lang w:val="en-US" w:eastAsia="zh-CN"/>
                    </w:rPr>
                    <w:t>后，无组织排放</w:t>
                  </w:r>
                </w:p>
              </w:tc>
              <w:tc>
                <w:tcPr>
                  <w:tcW w:w="1087" w:type="dxa"/>
                  <w:shd w:val="clear" w:color="auto" w:fill="auto"/>
                  <w:noWrap w:val="0"/>
                  <w:vAlign w:val="center"/>
                </w:tcPr>
                <w:p w14:paraId="16F1B08D">
                  <w:pPr>
                    <w:adjustRightInd w:val="0"/>
                    <w:snapToGrid w:val="0"/>
                    <w:spacing w:line="280" w:lineRule="exact"/>
                    <w:jc w:val="center"/>
                    <w:rPr>
                      <w:rFonts w:hint="default" w:cs="Times New Roman"/>
                      <w:color w:val="auto"/>
                      <w:lang w:val="en-US" w:eastAsia="zh-CN"/>
                    </w:rPr>
                  </w:pPr>
                  <w:r>
                    <w:rPr>
                      <w:rFonts w:hint="eastAsia" w:cs="Times New Roman"/>
                      <w:color w:val="auto"/>
                      <w:lang w:val="en-US" w:eastAsia="zh-CN"/>
                    </w:rPr>
                    <w:t>/</w:t>
                  </w:r>
                </w:p>
              </w:tc>
              <w:tc>
                <w:tcPr>
                  <w:tcW w:w="759" w:type="dxa"/>
                  <w:shd w:val="clear" w:color="auto" w:fill="auto"/>
                  <w:noWrap w:val="0"/>
                  <w:vAlign w:val="center"/>
                </w:tcPr>
                <w:p w14:paraId="647767C7">
                  <w:pPr>
                    <w:adjustRightInd w:val="0"/>
                    <w:snapToGrid w:val="0"/>
                    <w:spacing w:line="280" w:lineRule="exact"/>
                    <w:jc w:val="center"/>
                    <w:rPr>
                      <w:rFonts w:hint="default" w:ascii="Times New Roman" w:hAnsi="Times New Roman" w:eastAsia="宋体" w:cs="Times New Roman"/>
                      <w:color w:val="auto"/>
                      <w:lang w:val="en-US" w:eastAsia="zh-CN"/>
                    </w:rPr>
                  </w:pPr>
                  <w:r>
                    <w:rPr>
                      <w:rFonts w:hint="eastAsia" w:cs="Times New Roman"/>
                      <w:color w:val="auto"/>
                      <w:lang w:val="en-US" w:eastAsia="zh-CN"/>
                    </w:rPr>
                    <w:t>新建</w:t>
                  </w:r>
                </w:p>
              </w:tc>
            </w:tr>
            <w:tr w14:paraId="04C070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674" w:type="dxa"/>
                  <w:vMerge w:val="continue"/>
                  <w:shd w:val="clear" w:color="auto" w:fill="auto"/>
                  <w:noWrap w:val="0"/>
                  <w:vAlign w:val="center"/>
                </w:tcPr>
                <w:p w14:paraId="259EDE92">
                  <w:pPr>
                    <w:adjustRightInd w:val="0"/>
                    <w:snapToGrid w:val="0"/>
                    <w:spacing w:line="280" w:lineRule="exact"/>
                    <w:jc w:val="center"/>
                    <w:rPr>
                      <w:rFonts w:hint="eastAsia" w:ascii="Times New Roman" w:hAnsi="Times New Roman"/>
                      <w:color w:val="auto"/>
                      <w:kern w:val="0"/>
                      <w:szCs w:val="21"/>
                      <w:highlight w:val="none"/>
                    </w:rPr>
                  </w:pPr>
                </w:p>
              </w:tc>
              <w:tc>
                <w:tcPr>
                  <w:tcW w:w="900" w:type="dxa"/>
                  <w:vMerge w:val="continue"/>
                  <w:shd w:val="clear" w:color="auto" w:fill="auto"/>
                  <w:noWrap w:val="0"/>
                  <w:vAlign w:val="center"/>
                </w:tcPr>
                <w:p w14:paraId="1F4F6B77">
                  <w:pPr>
                    <w:adjustRightInd w:val="0"/>
                    <w:snapToGrid w:val="0"/>
                    <w:spacing w:line="280" w:lineRule="exact"/>
                    <w:jc w:val="center"/>
                    <w:rPr>
                      <w:rFonts w:hint="eastAsia" w:ascii="Times New Roman" w:hAnsi="Times New Roman"/>
                      <w:color w:val="auto"/>
                      <w:kern w:val="0"/>
                      <w:szCs w:val="21"/>
                      <w:highlight w:val="none"/>
                    </w:rPr>
                  </w:pPr>
                </w:p>
              </w:tc>
              <w:tc>
                <w:tcPr>
                  <w:tcW w:w="1750" w:type="dxa"/>
                  <w:shd w:val="clear" w:color="auto" w:fill="auto"/>
                  <w:noWrap w:val="0"/>
                  <w:vAlign w:val="center"/>
                </w:tcPr>
                <w:p w14:paraId="59E73054">
                  <w:pPr>
                    <w:adjustRightInd w:val="0"/>
                    <w:snapToGrid w:val="0"/>
                    <w:spacing w:line="280" w:lineRule="exact"/>
                    <w:jc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分切粉尘</w:t>
                  </w:r>
                </w:p>
              </w:tc>
              <w:tc>
                <w:tcPr>
                  <w:tcW w:w="2717" w:type="dxa"/>
                  <w:shd w:val="clear" w:color="auto" w:fill="auto"/>
                  <w:noWrap w:val="0"/>
                  <w:vAlign w:val="center"/>
                </w:tcPr>
                <w:p w14:paraId="11E6B643">
                  <w:pPr>
                    <w:adjustRightInd w:val="0"/>
                    <w:snapToGrid w:val="0"/>
                    <w:spacing w:line="280" w:lineRule="exact"/>
                    <w:jc w:val="center"/>
                    <w:rPr>
                      <w:rFonts w:hint="default" w:ascii="Times New Roman" w:hAnsi="Times New Roman" w:eastAsia="宋体" w:cs="Times New Roman"/>
                      <w:color w:val="auto"/>
                      <w:lang w:val="en-US" w:eastAsia="zh-CN"/>
                    </w:rPr>
                  </w:pPr>
                  <w:r>
                    <w:rPr>
                      <w:rFonts w:hint="eastAsia" w:ascii="Times New Roman" w:cs="Times New Roman"/>
                      <w:color w:val="000000" w:themeColor="text1"/>
                      <w:sz w:val="21"/>
                      <w:szCs w:val="21"/>
                      <w:highlight w:val="none"/>
                      <w:lang w:val="en-US" w:eastAsia="zh-CN"/>
                      <w14:textFill>
                        <w14:solidFill>
                          <w14:schemeClr w14:val="tx1"/>
                        </w14:solidFill>
                      </w14:textFill>
                    </w:rPr>
                    <w:t>设备自带滤芯除尘器（TA001）+车间洁净系统</w:t>
                  </w:r>
                </w:p>
              </w:tc>
              <w:tc>
                <w:tcPr>
                  <w:tcW w:w="1087" w:type="dxa"/>
                  <w:shd w:val="clear" w:color="auto" w:fill="auto"/>
                  <w:noWrap w:val="0"/>
                  <w:vAlign w:val="center"/>
                </w:tcPr>
                <w:p w14:paraId="61A5F82F">
                  <w:pPr>
                    <w:adjustRightInd w:val="0"/>
                    <w:snapToGrid w:val="0"/>
                    <w:spacing w:line="280" w:lineRule="exact"/>
                    <w:jc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w:t>
                  </w:r>
                </w:p>
              </w:tc>
              <w:tc>
                <w:tcPr>
                  <w:tcW w:w="759" w:type="dxa"/>
                  <w:shd w:val="clear" w:color="auto" w:fill="auto"/>
                  <w:noWrap w:val="0"/>
                  <w:vAlign w:val="center"/>
                </w:tcPr>
                <w:p w14:paraId="31632429">
                  <w:pPr>
                    <w:adjustRightInd w:val="0"/>
                    <w:snapToGrid w:val="0"/>
                    <w:spacing w:line="280" w:lineRule="exact"/>
                    <w:jc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新建</w:t>
                  </w:r>
                </w:p>
              </w:tc>
            </w:tr>
            <w:tr w14:paraId="666324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674" w:type="dxa"/>
                  <w:vMerge w:val="continue"/>
                  <w:shd w:val="clear" w:color="auto" w:fill="auto"/>
                  <w:noWrap w:val="0"/>
                  <w:vAlign w:val="center"/>
                </w:tcPr>
                <w:p w14:paraId="202E2C99">
                  <w:pPr>
                    <w:adjustRightInd w:val="0"/>
                    <w:snapToGrid w:val="0"/>
                    <w:spacing w:line="280" w:lineRule="exact"/>
                    <w:jc w:val="center"/>
                    <w:rPr>
                      <w:rFonts w:hint="eastAsia" w:ascii="Times New Roman" w:hAnsi="Times New Roman"/>
                      <w:color w:val="auto"/>
                      <w:kern w:val="0"/>
                      <w:szCs w:val="21"/>
                      <w:highlight w:val="none"/>
                    </w:rPr>
                  </w:pPr>
                </w:p>
              </w:tc>
              <w:tc>
                <w:tcPr>
                  <w:tcW w:w="900" w:type="dxa"/>
                  <w:vMerge w:val="continue"/>
                  <w:shd w:val="clear" w:color="auto" w:fill="auto"/>
                  <w:noWrap w:val="0"/>
                  <w:vAlign w:val="center"/>
                </w:tcPr>
                <w:p w14:paraId="39F6CCAB">
                  <w:pPr>
                    <w:adjustRightInd w:val="0"/>
                    <w:snapToGrid w:val="0"/>
                    <w:spacing w:line="280" w:lineRule="exact"/>
                    <w:jc w:val="center"/>
                    <w:rPr>
                      <w:rFonts w:hint="eastAsia" w:ascii="Times New Roman" w:hAnsi="Times New Roman"/>
                      <w:color w:val="auto"/>
                      <w:kern w:val="0"/>
                      <w:szCs w:val="21"/>
                      <w:highlight w:val="none"/>
                    </w:rPr>
                  </w:pPr>
                </w:p>
              </w:tc>
              <w:tc>
                <w:tcPr>
                  <w:tcW w:w="1750" w:type="dxa"/>
                  <w:shd w:val="clear" w:color="auto" w:fill="auto"/>
                  <w:noWrap w:val="0"/>
                  <w:vAlign w:val="center"/>
                </w:tcPr>
                <w:p w14:paraId="30BA6EEA">
                  <w:pPr>
                    <w:adjustRightInd w:val="0"/>
                    <w:snapToGrid w:val="0"/>
                    <w:spacing w:line="280" w:lineRule="exact"/>
                    <w:jc w:val="center"/>
                    <w:rPr>
                      <w:rFonts w:hint="eastAsia" w:ascii="Times New Roman" w:hAnsi="Times New Roman"/>
                      <w:color w:val="auto"/>
                      <w:kern w:val="0"/>
                      <w:szCs w:val="21"/>
                      <w:highlight w:val="none"/>
                      <w:lang w:val="en-US" w:eastAsia="zh-CN"/>
                    </w:rPr>
                  </w:pPr>
                  <w:r>
                    <w:rPr>
                      <w:rFonts w:hint="eastAsia" w:ascii="Times New Roman" w:hAnsi="Times New Roman" w:eastAsia="宋体"/>
                      <w:color w:val="auto"/>
                      <w:kern w:val="0"/>
                      <w:szCs w:val="21"/>
                      <w:highlight w:val="none"/>
                      <w:lang w:val="en-US" w:eastAsia="zh-CN"/>
                    </w:rPr>
                    <w:t>污水处理</w:t>
                  </w:r>
                  <w:r>
                    <w:rPr>
                      <w:rFonts w:hint="eastAsia"/>
                      <w:color w:val="auto"/>
                      <w:kern w:val="0"/>
                      <w:szCs w:val="21"/>
                      <w:highlight w:val="none"/>
                      <w:lang w:val="en-US" w:eastAsia="zh-CN"/>
                    </w:rPr>
                    <w:t>设施废气</w:t>
                  </w:r>
                </w:p>
              </w:tc>
              <w:tc>
                <w:tcPr>
                  <w:tcW w:w="2717" w:type="dxa"/>
                  <w:shd w:val="clear" w:color="auto" w:fill="auto"/>
                  <w:noWrap w:val="0"/>
                  <w:vAlign w:val="center"/>
                </w:tcPr>
                <w:p w14:paraId="750AD16E">
                  <w:pPr>
                    <w:adjustRightInd w:val="0"/>
                    <w:snapToGrid w:val="0"/>
                    <w:spacing w:line="280" w:lineRule="exact"/>
                    <w:jc w:val="center"/>
                    <w:rPr>
                      <w:rFonts w:hint="eastAsia" w:ascii="Times New Roman" w:hAnsi="Times New Roman"/>
                      <w:color w:val="auto"/>
                      <w:kern w:val="0"/>
                      <w:szCs w:val="21"/>
                      <w:highlight w:val="none"/>
                      <w:lang w:val="en-US" w:eastAsia="zh-CN"/>
                    </w:rPr>
                  </w:pPr>
                  <w:r>
                    <w:rPr>
                      <w:rFonts w:hint="eastAsia"/>
                      <w:color w:val="auto"/>
                      <w:sz w:val="21"/>
                      <w:szCs w:val="21"/>
                      <w:highlight w:val="none"/>
                      <w:vertAlign w:val="baseline"/>
                      <w:lang w:val="en-US" w:eastAsia="zh-CN"/>
                    </w:rPr>
                    <w:t>无组织排放</w:t>
                  </w:r>
                </w:p>
              </w:tc>
              <w:tc>
                <w:tcPr>
                  <w:tcW w:w="1087" w:type="dxa"/>
                  <w:shd w:val="clear" w:color="auto" w:fill="auto"/>
                  <w:noWrap w:val="0"/>
                  <w:vAlign w:val="center"/>
                </w:tcPr>
                <w:p w14:paraId="1C72F324">
                  <w:pPr>
                    <w:adjustRightInd w:val="0"/>
                    <w:snapToGrid w:val="0"/>
                    <w:spacing w:line="280" w:lineRule="exact"/>
                    <w:jc w:val="center"/>
                    <w:rPr>
                      <w:rFonts w:hint="default" w:ascii="Times New Roman" w:hAnsi="Times New Roman"/>
                      <w:color w:val="auto"/>
                      <w:kern w:val="0"/>
                      <w:szCs w:val="21"/>
                      <w:highlight w:val="none"/>
                      <w:lang w:val="en-US" w:eastAsia="zh-CN"/>
                    </w:rPr>
                  </w:pPr>
                  <w:r>
                    <w:rPr>
                      <w:rFonts w:hint="eastAsia"/>
                      <w:color w:val="auto"/>
                      <w:kern w:val="0"/>
                      <w:szCs w:val="21"/>
                      <w:highlight w:val="none"/>
                      <w:lang w:val="en-US" w:eastAsia="zh-CN"/>
                    </w:rPr>
                    <w:t>/</w:t>
                  </w:r>
                </w:p>
              </w:tc>
              <w:tc>
                <w:tcPr>
                  <w:tcW w:w="759" w:type="dxa"/>
                  <w:shd w:val="clear" w:color="auto" w:fill="auto"/>
                  <w:noWrap w:val="0"/>
                  <w:vAlign w:val="center"/>
                </w:tcPr>
                <w:p w14:paraId="2CBA8FEB">
                  <w:pPr>
                    <w:adjustRightInd w:val="0"/>
                    <w:snapToGrid w:val="0"/>
                    <w:spacing w:line="280" w:lineRule="exact"/>
                    <w:jc w:val="center"/>
                    <w:rPr>
                      <w:rFonts w:hint="eastAsia" w:ascii="Times New Roman" w:hAnsi="Times New Roman"/>
                      <w:color w:val="auto"/>
                      <w:kern w:val="0"/>
                      <w:szCs w:val="21"/>
                      <w:highlight w:val="none"/>
                    </w:rPr>
                  </w:pPr>
                  <w:r>
                    <w:rPr>
                      <w:rFonts w:hint="eastAsia" w:ascii="Times New Roman" w:hAnsi="Times New Roman"/>
                      <w:color w:val="auto"/>
                      <w:kern w:val="0"/>
                      <w:szCs w:val="21"/>
                      <w:highlight w:val="none"/>
                    </w:rPr>
                    <w:t>新建</w:t>
                  </w:r>
                </w:p>
              </w:tc>
            </w:tr>
            <w:tr w14:paraId="2F0F8A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674" w:type="dxa"/>
                  <w:vMerge w:val="continue"/>
                  <w:shd w:val="clear" w:color="auto" w:fill="auto"/>
                  <w:noWrap w:val="0"/>
                  <w:vAlign w:val="center"/>
                </w:tcPr>
                <w:p w14:paraId="22A86E4D">
                  <w:pPr>
                    <w:adjustRightInd w:val="0"/>
                    <w:snapToGrid w:val="0"/>
                    <w:spacing w:line="280" w:lineRule="exact"/>
                    <w:jc w:val="center"/>
                    <w:rPr>
                      <w:rFonts w:hint="eastAsia" w:ascii="Times New Roman" w:hAnsi="Times New Roman"/>
                      <w:color w:val="auto"/>
                      <w:kern w:val="0"/>
                      <w:szCs w:val="21"/>
                      <w:highlight w:val="none"/>
                    </w:rPr>
                  </w:pPr>
                </w:p>
              </w:tc>
              <w:tc>
                <w:tcPr>
                  <w:tcW w:w="900" w:type="dxa"/>
                  <w:vMerge w:val="restart"/>
                  <w:shd w:val="clear" w:color="auto" w:fill="auto"/>
                  <w:noWrap w:val="0"/>
                  <w:vAlign w:val="center"/>
                </w:tcPr>
                <w:p w14:paraId="56D78D38">
                  <w:pPr>
                    <w:adjustRightInd w:val="0"/>
                    <w:snapToGrid w:val="0"/>
                    <w:spacing w:line="280" w:lineRule="exact"/>
                    <w:jc w:val="center"/>
                    <w:rPr>
                      <w:rFonts w:ascii="Times New Roman" w:hAnsi="Times New Roman"/>
                      <w:color w:val="auto"/>
                      <w:kern w:val="0"/>
                      <w:szCs w:val="21"/>
                      <w:highlight w:val="none"/>
                    </w:rPr>
                  </w:pPr>
                  <w:r>
                    <w:rPr>
                      <w:rFonts w:hint="eastAsia" w:ascii="Times New Roman" w:hAnsi="Times New Roman"/>
                      <w:color w:val="auto"/>
                      <w:kern w:val="0"/>
                      <w:szCs w:val="21"/>
                      <w:highlight w:val="none"/>
                    </w:rPr>
                    <w:t>废水</w:t>
                  </w:r>
                </w:p>
              </w:tc>
              <w:tc>
                <w:tcPr>
                  <w:tcW w:w="1750" w:type="dxa"/>
                  <w:shd w:val="clear" w:color="auto" w:fill="auto"/>
                  <w:noWrap w:val="0"/>
                  <w:vAlign w:val="center"/>
                </w:tcPr>
                <w:p w14:paraId="0FCCBF2B">
                  <w:pPr>
                    <w:adjustRightInd w:val="0"/>
                    <w:snapToGrid w:val="0"/>
                    <w:spacing w:line="280" w:lineRule="exact"/>
                    <w:jc w:val="center"/>
                    <w:rPr>
                      <w:rFonts w:hint="default" w:ascii="Times New Roman" w:hAnsi="Times New Roman" w:eastAsia="宋体"/>
                      <w:color w:val="auto"/>
                      <w:kern w:val="0"/>
                      <w:sz w:val="21"/>
                      <w:szCs w:val="21"/>
                      <w:highlight w:val="none"/>
                      <w:lang w:val="en-US" w:eastAsia="zh-CN"/>
                    </w:rPr>
                  </w:pPr>
                  <w:r>
                    <w:rPr>
                      <w:rFonts w:hint="eastAsia" w:ascii="Times New Roman" w:hAnsi="Times New Roman"/>
                      <w:color w:val="auto"/>
                      <w:kern w:val="0"/>
                      <w:sz w:val="21"/>
                      <w:szCs w:val="21"/>
                      <w:highlight w:val="none"/>
                      <w:lang w:val="en-US" w:eastAsia="zh-CN"/>
                    </w:rPr>
                    <w:t>生活污水</w:t>
                  </w:r>
                </w:p>
              </w:tc>
              <w:tc>
                <w:tcPr>
                  <w:tcW w:w="2717" w:type="dxa"/>
                  <w:vMerge w:val="restart"/>
                  <w:shd w:val="clear" w:color="auto" w:fill="auto"/>
                  <w:noWrap w:val="0"/>
                  <w:vAlign w:val="center"/>
                </w:tcPr>
                <w:p w14:paraId="7133F2AA">
                  <w:pPr>
                    <w:adjustRightInd w:val="0"/>
                    <w:snapToGrid w:val="0"/>
                    <w:spacing w:line="280" w:lineRule="exact"/>
                    <w:jc w:val="center"/>
                    <w:rPr>
                      <w:rFonts w:hint="default" w:ascii="Times New Roman" w:hAnsi="Times New Roman" w:eastAsia="宋体"/>
                      <w:color w:val="auto"/>
                      <w:kern w:val="0"/>
                      <w:sz w:val="21"/>
                      <w:szCs w:val="21"/>
                      <w:highlight w:val="none"/>
                      <w:lang w:val="en-US" w:eastAsia="zh-CN"/>
                    </w:rPr>
                  </w:pPr>
                  <w:r>
                    <w:rPr>
                      <w:rFonts w:hint="eastAsia" w:cs="Times New Roman"/>
                      <w:color w:val="auto"/>
                      <w:sz w:val="21"/>
                      <w:szCs w:val="21"/>
                      <w:lang w:val="en-US" w:eastAsia="zh-CN"/>
                    </w:rPr>
                    <w:t>设备清洗废水经厂区污水处理站</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处理工艺为</w:t>
                  </w:r>
                  <w:r>
                    <w:rPr>
                      <w:rFonts w:hint="eastAsia" w:cs="Times New Roman"/>
                      <w:color w:val="auto"/>
                      <w:sz w:val="21"/>
                      <w:szCs w:val="21"/>
                      <w:lang w:val="en-US" w:eastAsia="zh-CN"/>
                    </w:rPr>
                    <w:t>“</w:t>
                  </w:r>
                  <w:r>
                    <w:rPr>
                      <w:rFonts w:hint="eastAsia"/>
                      <w:b w:val="0"/>
                      <w:bCs w:val="0"/>
                      <w:color w:val="auto"/>
                      <w:sz w:val="21"/>
                      <w:szCs w:val="21"/>
                      <w:highlight w:val="none"/>
                      <w:shd w:val="clear"/>
                      <w:vertAlign w:val="baseline"/>
                      <w:lang w:val="en-US" w:eastAsia="zh-CN"/>
                    </w:rPr>
                    <w:t>正极：除氟+除重+沉淀；负极：芬顿氧化+沉淀</w:t>
                  </w:r>
                  <w:r>
                    <w:rPr>
                      <w:rFonts w:hint="eastAsia"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，处理能力</w:t>
                  </w:r>
                  <w:r>
                    <w:rPr>
                      <w:rFonts w:hint="eastAsia" w:cs="Times New Roman"/>
                      <w:color w:val="auto"/>
                      <w:sz w:val="21"/>
                      <w:szCs w:val="21"/>
                      <w:lang w:val="en-US" w:eastAsia="zh-CN"/>
                    </w:rPr>
                    <w:t>6</w:t>
                  </w:r>
                  <w:r>
                    <w:rPr>
                      <w:rFonts w:hint="eastAsia" w:ascii="Times New Roman" w:hAnsi="Times New Roman" w:eastAsia="宋体" w:cs="Times New Roman"/>
                      <w:color w:val="auto"/>
                      <w:sz w:val="21"/>
                      <w:szCs w:val="21"/>
                      <w:lang w:val="en-US" w:eastAsia="zh-CN"/>
                    </w:rPr>
                    <w:t>m</w:t>
                  </w:r>
                  <w:r>
                    <w:rPr>
                      <w:rFonts w:hint="eastAsia" w:ascii="Times New Roman" w:hAnsi="Times New Roman" w:eastAsia="宋体" w:cs="Times New Roman"/>
                      <w:color w:val="auto"/>
                      <w:sz w:val="21"/>
                      <w:szCs w:val="21"/>
                      <w:vertAlign w:val="superscript"/>
                      <w:lang w:val="en-US" w:eastAsia="zh-CN"/>
                    </w:rPr>
                    <w:t>3</w:t>
                  </w:r>
                  <w:r>
                    <w:rPr>
                      <w:rFonts w:hint="default" w:ascii="Times New Roman" w:hAnsi="Times New Roman" w:eastAsia="宋体" w:cs="Times New Roman"/>
                      <w:color w:val="auto"/>
                      <w:sz w:val="21"/>
                      <w:szCs w:val="21"/>
                      <w:lang w:val="en-US" w:eastAsia="zh-CN"/>
                    </w:rPr>
                    <w:t>/d）处理</w:t>
                  </w:r>
                  <w:r>
                    <w:rPr>
                      <w:rFonts w:hint="eastAsia" w:cs="Times New Roman"/>
                      <w:color w:val="auto"/>
                      <w:sz w:val="21"/>
                      <w:szCs w:val="21"/>
                      <w:lang w:val="en-US" w:eastAsia="zh-CN"/>
                    </w:rPr>
                    <w:t>后同</w:t>
                  </w:r>
                  <w:r>
                    <w:rPr>
                      <w:rFonts w:hint="default" w:ascii="Times New Roman" w:hAnsi="Times New Roman" w:eastAsia="宋体" w:cs="Times New Roman"/>
                      <w:color w:val="auto"/>
                      <w:sz w:val="21"/>
                      <w:szCs w:val="21"/>
                      <w:lang w:val="en-US" w:eastAsia="zh-CN"/>
                    </w:rPr>
                    <w:t>办公生活污水</w:t>
                  </w:r>
                  <w:r>
                    <w:rPr>
                      <w:rFonts w:hint="eastAsia" w:cs="Times New Roman"/>
                      <w:color w:val="auto"/>
                      <w:sz w:val="21"/>
                      <w:szCs w:val="21"/>
                      <w:lang w:val="en-US" w:eastAsia="zh-CN"/>
                    </w:rPr>
                    <w:t>、纯水制备浓水、反冲洗水、空压冷凝水</w:t>
                  </w:r>
                  <w:r>
                    <w:rPr>
                      <w:rFonts w:hint="default" w:ascii="Times New Roman" w:hAnsi="Times New Roman" w:eastAsia="宋体" w:cs="Times New Roman"/>
                      <w:color w:val="auto"/>
                      <w:sz w:val="21"/>
                      <w:szCs w:val="21"/>
                      <w:lang w:val="en-US" w:eastAsia="zh-CN"/>
                    </w:rPr>
                    <w:t>经预处理池处理后</w:t>
                  </w:r>
                  <w:r>
                    <w:rPr>
                      <w:rFonts w:hint="eastAsia" w:cs="Times New Roman"/>
                      <w:color w:val="auto"/>
                      <w:kern w:val="0"/>
                      <w:sz w:val="21"/>
                      <w:szCs w:val="21"/>
                      <w:highlight w:val="none"/>
                      <w:lang w:val="en-US" w:eastAsia="zh-CN"/>
                    </w:rPr>
                    <w:t>排入园区污水处理厂</w:t>
                  </w:r>
                </w:p>
              </w:tc>
              <w:tc>
                <w:tcPr>
                  <w:tcW w:w="1087" w:type="dxa"/>
                  <w:vMerge w:val="restart"/>
                  <w:shd w:val="clear" w:color="auto" w:fill="auto"/>
                  <w:noWrap w:val="0"/>
                  <w:vAlign w:val="center"/>
                </w:tcPr>
                <w:p w14:paraId="2A87A9CD">
                  <w:pPr>
                    <w:adjustRightInd w:val="0"/>
                    <w:snapToGrid w:val="0"/>
                    <w:spacing w:line="280" w:lineRule="exact"/>
                    <w:jc w:val="center"/>
                    <w:rPr>
                      <w:rFonts w:hint="default" w:ascii="Times New Roman" w:hAnsi="Times New Roman"/>
                      <w:color w:val="auto"/>
                      <w:kern w:val="0"/>
                      <w:szCs w:val="21"/>
                      <w:highlight w:val="none"/>
                      <w:lang w:val="en-US" w:eastAsia="zh-CN"/>
                    </w:rPr>
                  </w:pPr>
                  <w:r>
                    <w:rPr>
                      <w:rFonts w:hint="eastAsia"/>
                      <w:color w:val="auto"/>
                      <w:kern w:val="0"/>
                      <w:szCs w:val="21"/>
                      <w:highlight w:val="none"/>
                      <w:lang w:val="en-US" w:eastAsia="zh-CN"/>
                    </w:rPr>
                    <w:t>60.0</w:t>
                  </w:r>
                </w:p>
              </w:tc>
              <w:tc>
                <w:tcPr>
                  <w:tcW w:w="759" w:type="dxa"/>
                  <w:vMerge w:val="restart"/>
                  <w:shd w:val="clear" w:color="auto" w:fill="auto"/>
                  <w:noWrap w:val="0"/>
                  <w:vAlign w:val="center"/>
                </w:tcPr>
                <w:p w14:paraId="7A52A98A">
                  <w:pPr>
                    <w:adjustRightInd w:val="0"/>
                    <w:snapToGrid w:val="0"/>
                    <w:spacing w:line="280" w:lineRule="exact"/>
                    <w:jc w:val="center"/>
                    <w:rPr>
                      <w:rFonts w:hint="eastAsia" w:ascii="Times New Roman" w:hAnsi="Times New Roman"/>
                      <w:color w:val="auto"/>
                      <w:kern w:val="0"/>
                      <w:szCs w:val="21"/>
                      <w:highlight w:val="none"/>
                      <w:lang w:val="en-US" w:eastAsia="zh-CN"/>
                    </w:rPr>
                  </w:pPr>
                  <w:r>
                    <w:rPr>
                      <w:rFonts w:hint="eastAsia" w:ascii="Times New Roman" w:hAnsi="Times New Roman"/>
                      <w:color w:val="auto"/>
                      <w:kern w:val="0"/>
                      <w:szCs w:val="21"/>
                      <w:highlight w:val="none"/>
                    </w:rPr>
                    <w:t>新建</w:t>
                  </w:r>
                </w:p>
              </w:tc>
            </w:tr>
            <w:tr w14:paraId="2F6881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674" w:type="dxa"/>
                  <w:vMerge w:val="continue"/>
                  <w:shd w:val="clear" w:color="auto" w:fill="auto"/>
                  <w:noWrap w:val="0"/>
                  <w:vAlign w:val="center"/>
                </w:tcPr>
                <w:p w14:paraId="4FE05DAC">
                  <w:pPr>
                    <w:adjustRightInd w:val="0"/>
                    <w:snapToGrid w:val="0"/>
                    <w:spacing w:line="280" w:lineRule="exact"/>
                    <w:jc w:val="center"/>
                    <w:rPr>
                      <w:rFonts w:hint="eastAsia" w:ascii="Times New Roman" w:hAnsi="Times New Roman"/>
                      <w:color w:val="auto"/>
                      <w:kern w:val="0"/>
                      <w:szCs w:val="21"/>
                      <w:highlight w:val="none"/>
                    </w:rPr>
                  </w:pPr>
                </w:p>
              </w:tc>
              <w:tc>
                <w:tcPr>
                  <w:tcW w:w="900" w:type="dxa"/>
                  <w:vMerge w:val="continue"/>
                  <w:shd w:val="clear" w:color="auto" w:fill="auto"/>
                  <w:noWrap w:val="0"/>
                  <w:vAlign w:val="center"/>
                </w:tcPr>
                <w:p w14:paraId="19D8FE9C">
                  <w:pPr>
                    <w:adjustRightInd w:val="0"/>
                    <w:snapToGrid w:val="0"/>
                    <w:spacing w:line="280" w:lineRule="exact"/>
                    <w:jc w:val="center"/>
                    <w:rPr>
                      <w:rFonts w:hint="eastAsia" w:ascii="Times New Roman" w:hAnsi="Times New Roman"/>
                      <w:color w:val="auto"/>
                      <w:kern w:val="0"/>
                      <w:szCs w:val="21"/>
                      <w:highlight w:val="none"/>
                    </w:rPr>
                  </w:pPr>
                </w:p>
              </w:tc>
              <w:tc>
                <w:tcPr>
                  <w:tcW w:w="1750" w:type="dxa"/>
                  <w:shd w:val="clear" w:color="auto" w:fill="auto"/>
                  <w:noWrap w:val="0"/>
                  <w:vAlign w:val="center"/>
                </w:tcPr>
                <w:p w14:paraId="12FAF6E3">
                  <w:pPr>
                    <w:adjustRightInd w:val="0"/>
                    <w:snapToGrid w:val="0"/>
                    <w:spacing w:line="280" w:lineRule="exact"/>
                    <w:jc w:val="center"/>
                    <w:rPr>
                      <w:rFonts w:hint="default" w:ascii="Times New Roman" w:hAnsi="Times New Roman"/>
                      <w:color w:val="auto"/>
                      <w:kern w:val="0"/>
                      <w:szCs w:val="21"/>
                      <w:highlight w:val="none"/>
                      <w:lang w:val="en-US" w:eastAsia="zh-CN"/>
                    </w:rPr>
                  </w:pPr>
                  <w:r>
                    <w:rPr>
                      <w:rFonts w:hint="eastAsia"/>
                      <w:color w:val="auto"/>
                      <w:kern w:val="0"/>
                      <w:szCs w:val="21"/>
                      <w:highlight w:val="none"/>
                      <w:lang w:val="en-US" w:eastAsia="zh-CN"/>
                    </w:rPr>
                    <w:t>反冲洗水</w:t>
                  </w:r>
                </w:p>
              </w:tc>
              <w:tc>
                <w:tcPr>
                  <w:tcW w:w="2717" w:type="dxa"/>
                  <w:vMerge w:val="continue"/>
                  <w:shd w:val="clear" w:color="auto" w:fill="auto"/>
                  <w:noWrap w:val="0"/>
                  <w:vAlign w:val="center"/>
                </w:tcPr>
                <w:p w14:paraId="710D4B9F">
                  <w:pPr>
                    <w:adjustRightInd w:val="0"/>
                    <w:snapToGrid w:val="0"/>
                    <w:spacing w:line="280" w:lineRule="exact"/>
                    <w:jc w:val="center"/>
                    <w:rPr>
                      <w:rFonts w:hint="eastAsia" w:ascii="Times New Roman" w:hAnsi="Times New Roman" w:eastAsia="宋体" w:cs="Times New Roman"/>
                      <w:color w:val="auto"/>
                      <w:kern w:val="0"/>
                      <w:szCs w:val="21"/>
                      <w:highlight w:val="none"/>
                      <w:lang w:val="en-US" w:eastAsia="zh-CN"/>
                    </w:rPr>
                  </w:pPr>
                </w:p>
              </w:tc>
              <w:tc>
                <w:tcPr>
                  <w:tcW w:w="1087" w:type="dxa"/>
                  <w:vMerge w:val="continue"/>
                  <w:shd w:val="clear" w:color="auto" w:fill="auto"/>
                  <w:noWrap w:val="0"/>
                  <w:vAlign w:val="center"/>
                </w:tcPr>
                <w:p w14:paraId="4CF3722C">
                  <w:pPr>
                    <w:adjustRightInd w:val="0"/>
                    <w:snapToGrid w:val="0"/>
                    <w:spacing w:line="280" w:lineRule="exact"/>
                    <w:jc w:val="center"/>
                    <w:rPr>
                      <w:rFonts w:hint="eastAsia"/>
                      <w:color w:val="auto"/>
                      <w:kern w:val="0"/>
                      <w:szCs w:val="21"/>
                      <w:highlight w:val="none"/>
                      <w:lang w:val="en-US" w:eastAsia="zh-CN"/>
                    </w:rPr>
                  </w:pPr>
                </w:p>
              </w:tc>
              <w:tc>
                <w:tcPr>
                  <w:tcW w:w="759" w:type="dxa"/>
                  <w:vMerge w:val="continue"/>
                  <w:shd w:val="clear" w:color="auto" w:fill="auto"/>
                  <w:noWrap w:val="0"/>
                  <w:vAlign w:val="center"/>
                </w:tcPr>
                <w:p w14:paraId="214D943A">
                  <w:pPr>
                    <w:adjustRightInd w:val="0"/>
                    <w:snapToGrid w:val="0"/>
                    <w:spacing w:line="280" w:lineRule="exact"/>
                    <w:jc w:val="center"/>
                    <w:rPr>
                      <w:rFonts w:hint="eastAsia" w:ascii="Times New Roman" w:hAnsi="Times New Roman"/>
                      <w:color w:val="auto"/>
                      <w:kern w:val="0"/>
                      <w:szCs w:val="21"/>
                      <w:highlight w:val="none"/>
                    </w:rPr>
                  </w:pPr>
                </w:p>
              </w:tc>
            </w:tr>
            <w:tr w14:paraId="39459D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674" w:type="dxa"/>
                  <w:vMerge w:val="continue"/>
                  <w:shd w:val="clear" w:color="auto" w:fill="auto"/>
                  <w:noWrap w:val="0"/>
                  <w:vAlign w:val="center"/>
                </w:tcPr>
                <w:p w14:paraId="293E8931">
                  <w:pPr>
                    <w:adjustRightInd w:val="0"/>
                    <w:snapToGrid w:val="0"/>
                    <w:spacing w:line="280" w:lineRule="exact"/>
                    <w:jc w:val="center"/>
                    <w:rPr>
                      <w:rFonts w:hint="eastAsia" w:ascii="Times New Roman" w:hAnsi="Times New Roman"/>
                      <w:color w:val="auto"/>
                      <w:kern w:val="0"/>
                      <w:szCs w:val="21"/>
                      <w:highlight w:val="none"/>
                    </w:rPr>
                  </w:pPr>
                </w:p>
              </w:tc>
              <w:tc>
                <w:tcPr>
                  <w:tcW w:w="900" w:type="dxa"/>
                  <w:vMerge w:val="continue"/>
                  <w:shd w:val="clear" w:color="auto" w:fill="auto"/>
                  <w:noWrap w:val="0"/>
                  <w:vAlign w:val="center"/>
                </w:tcPr>
                <w:p w14:paraId="7D314CED">
                  <w:pPr>
                    <w:adjustRightInd w:val="0"/>
                    <w:snapToGrid w:val="0"/>
                    <w:spacing w:line="280" w:lineRule="exact"/>
                    <w:jc w:val="center"/>
                    <w:rPr>
                      <w:rFonts w:hint="eastAsia" w:ascii="Times New Roman" w:hAnsi="Times New Roman"/>
                      <w:color w:val="auto"/>
                      <w:kern w:val="0"/>
                      <w:szCs w:val="21"/>
                      <w:highlight w:val="none"/>
                    </w:rPr>
                  </w:pPr>
                </w:p>
              </w:tc>
              <w:tc>
                <w:tcPr>
                  <w:tcW w:w="1750" w:type="dxa"/>
                  <w:shd w:val="clear" w:color="auto" w:fill="auto"/>
                  <w:noWrap w:val="0"/>
                  <w:vAlign w:val="center"/>
                </w:tcPr>
                <w:p w14:paraId="18C7E9D3">
                  <w:pPr>
                    <w:adjustRightInd w:val="0"/>
                    <w:snapToGrid w:val="0"/>
                    <w:spacing w:line="280" w:lineRule="exact"/>
                    <w:jc w:val="center"/>
                    <w:rPr>
                      <w:rFonts w:hint="default"/>
                      <w:color w:val="auto"/>
                      <w:kern w:val="0"/>
                      <w:szCs w:val="21"/>
                      <w:highlight w:val="none"/>
                      <w:lang w:val="en-US" w:eastAsia="zh-CN"/>
                    </w:rPr>
                  </w:pPr>
                  <w:r>
                    <w:rPr>
                      <w:rFonts w:hint="eastAsia"/>
                      <w:color w:val="auto"/>
                      <w:kern w:val="0"/>
                      <w:szCs w:val="21"/>
                      <w:highlight w:val="none"/>
                      <w:lang w:val="en-US" w:eastAsia="zh-CN"/>
                    </w:rPr>
                    <w:t>空压冷凝水</w:t>
                  </w:r>
                </w:p>
              </w:tc>
              <w:tc>
                <w:tcPr>
                  <w:tcW w:w="2717" w:type="dxa"/>
                  <w:vMerge w:val="continue"/>
                  <w:shd w:val="clear" w:color="auto" w:fill="auto"/>
                  <w:noWrap w:val="0"/>
                  <w:vAlign w:val="center"/>
                </w:tcPr>
                <w:p w14:paraId="688DA9D6">
                  <w:pPr>
                    <w:adjustRightInd w:val="0"/>
                    <w:snapToGrid w:val="0"/>
                    <w:spacing w:line="280" w:lineRule="exact"/>
                    <w:jc w:val="center"/>
                    <w:rPr>
                      <w:rFonts w:hint="eastAsia" w:ascii="Times New Roman" w:hAnsi="Times New Roman" w:eastAsia="宋体" w:cs="Times New Roman"/>
                      <w:color w:val="auto"/>
                      <w:kern w:val="0"/>
                      <w:szCs w:val="21"/>
                      <w:highlight w:val="none"/>
                      <w:lang w:val="en-US" w:eastAsia="zh-CN"/>
                    </w:rPr>
                  </w:pPr>
                </w:p>
              </w:tc>
              <w:tc>
                <w:tcPr>
                  <w:tcW w:w="1087" w:type="dxa"/>
                  <w:vMerge w:val="continue"/>
                  <w:shd w:val="clear" w:color="auto" w:fill="auto"/>
                  <w:noWrap w:val="0"/>
                  <w:vAlign w:val="center"/>
                </w:tcPr>
                <w:p w14:paraId="1A42F0C0">
                  <w:pPr>
                    <w:adjustRightInd w:val="0"/>
                    <w:snapToGrid w:val="0"/>
                    <w:spacing w:line="280" w:lineRule="exact"/>
                    <w:jc w:val="center"/>
                    <w:rPr>
                      <w:rFonts w:hint="eastAsia"/>
                      <w:color w:val="auto"/>
                      <w:kern w:val="0"/>
                      <w:szCs w:val="21"/>
                      <w:highlight w:val="none"/>
                      <w:lang w:val="en-US" w:eastAsia="zh-CN"/>
                    </w:rPr>
                  </w:pPr>
                </w:p>
              </w:tc>
              <w:tc>
                <w:tcPr>
                  <w:tcW w:w="759" w:type="dxa"/>
                  <w:vMerge w:val="continue"/>
                  <w:shd w:val="clear" w:color="auto" w:fill="auto"/>
                  <w:noWrap w:val="0"/>
                  <w:vAlign w:val="center"/>
                </w:tcPr>
                <w:p w14:paraId="4E92E2E4">
                  <w:pPr>
                    <w:adjustRightInd w:val="0"/>
                    <w:snapToGrid w:val="0"/>
                    <w:spacing w:line="280" w:lineRule="exact"/>
                    <w:jc w:val="center"/>
                    <w:rPr>
                      <w:rFonts w:hint="eastAsia" w:ascii="Times New Roman" w:hAnsi="Times New Roman"/>
                      <w:color w:val="auto"/>
                      <w:kern w:val="0"/>
                      <w:szCs w:val="21"/>
                      <w:highlight w:val="none"/>
                    </w:rPr>
                  </w:pPr>
                </w:p>
              </w:tc>
            </w:tr>
            <w:tr w14:paraId="28E41B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674" w:type="dxa"/>
                  <w:vMerge w:val="continue"/>
                  <w:shd w:val="clear" w:color="auto" w:fill="auto"/>
                  <w:noWrap w:val="0"/>
                  <w:vAlign w:val="center"/>
                </w:tcPr>
                <w:p w14:paraId="789E6391">
                  <w:pPr>
                    <w:adjustRightInd w:val="0"/>
                    <w:snapToGrid w:val="0"/>
                    <w:spacing w:line="280" w:lineRule="exact"/>
                    <w:jc w:val="center"/>
                    <w:rPr>
                      <w:rFonts w:hint="eastAsia" w:ascii="Times New Roman" w:hAnsi="Times New Roman"/>
                      <w:color w:val="auto"/>
                      <w:kern w:val="0"/>
                      <w:szCs w:val="21"/>
                      <w:highlight w:val="none"/>
                    </w:rPr>
                  </w:pPr>
                </w:p>
              </w:tc>
              <w:tc>
                <w:tcPr>
                  <w:tcW w:w="900" w:type="dxa"/>
                  <w:vMerge w:val="continue"/>
                  <w:shd w:val="clear" w:color="auto" w:fill="auto"/>
                  <w:noWrap w:val="0"/>
                  <w:vAlign w:val="center"/>
                </w:tcPr>
                <w:p w14:paraId="1D80807D">
                  <w:pPr>
                    <w:adjustRightInd w:val="0"/>
                    <w:snapToGrid w:val="0"/>
                    <w:spacing w:line="280" w:lineRule="exact"/>
                    <w:jc w:val="center"/>
                    <w:rPr>
                      <w:rFonts w:hint="eastAsia" w:ascii="Times New Roman" w:hAnsi="Times New Roman"/>
                      <w:color w:val="auto"/>
                      <w:kern w:val="0"/>
                      <w:szCs w:val="21"/>
                      <w:highlight w:val="none"/>
                    </w:rPr>
                  </w:pPr>
                </w:p>
              </w:tc>
              <w:tc>
                <w:tcPr>
                  <w:tcW w:w="1750" w:type="dxa"/>
                  <w:shd w:val="clear" w:color="auto" w:fill="auto"/>
                  <w:noWrap w:val="0"/>
                  <w:vAlign w:val="center"/>
                </w:tcPr>
                <w:p w14:paraId="3F032C3D">
                  <w:pPr>
                    <w:adjustRightInd w:val="0"/>
                    <w:snapToGrid w:val="0"/>
                    <w:spacing w:line="280" w:lineRule="exact"/>
                    <w:jc w:val="center"/>
                    <w:rPr>
                      <w:rFonts w:hint="default" w:ascii="Times New Roman" w:hAnsi="Times New Roman"/>
                      <w:color w:val="auto"/>
                      <w:kern w:val="0"/>
                      <w:szCs w:val="21"/>
                      <w:highlight w:val="none"/>
                      <w:lang w:val="en-US" w:eastAsia="zh-CN"/>
                    </w:rPr>
                  </w:pPr>
                  <w:r>
                    <w:rPr>
                      <w:rFonts w:hint="eastAsia" w:ascii="Times New Roman" w:hAnsi="Times New Roman"/>
                      <w:color w:val="auto"/>
                      <w:kern w:val="0"/>
                      <w:szCs w:val="21"/>
                      <w:highlight w:val="none"/>
                      <w:lang w:val="en-US" w:eastAsia="zh-CN"/>
                    </w:rPr>
                    <w:t>纯水制备浓水</w:t>
                  </w:r>
                </w:p>
              </w:tc>
              <w:tc>
                <w:tcPr>
                  <w:tcW w:w="2717" w:type="dxa"/>
                  <w:vMerge w:val="continue"/>
                  <w:shd w:val="clear" w:color="auto" w:fill="auto"/>
                  <w:noWrap w:val="0"/>
                  <w:vAlign w:val="center"/>
                </w:tcPr>
                <w:p w14:paraId="3D3A519A">
                  <w:pPr>
                    <w:adjustRightInd w:val="0"/>
                    <w:snapToGrid w:val="0"/>
                    <w:spacing w:line="280" w:lineRule="exact"/>
                    <w:jc w:val="center"/>
                    <w:rPr>
                      <w:rFonts w:hint="eastAsia" w:ascii="Times New Roman" w:hAnsi="Times New Roman"/>
                      <w:color w:val="auto"/>
                      <w:kern w:val="0"/>
                      <w:szCs w:val="21"/>
                      <w:highlight w:val="none"/>
                    </w:rPr>
                  </w:pPr>
                </w:p>
              </w:tc>
              <w:tc>
                <w:tcPr>
                  <w:tcW w:w="1087" w:type="dxa"/>
                  <w:vMerge w:val="continue"/>
                  <w:shd w:val="clear" w:color="auto" w:fill="auto"/>
                  <w:noWrap w:val="0"/>
                  <w:vAlign w:val="center"/>
                </w:tcPr>
                <w:p w14:paraId="0E1C4C80">
                  <w:pPr>
                    <w:adjustRightInd w:val="0"/>
                    <w:snapToGrid w:val="0"/>
                    <w:spacing w:line="280" w:lineRule="exact"/>
                    <w:jc w:val="center"/>
                    <w:rPr>
                      <w:rFonts w:hint="default" w:ascii="Times New Roman" w:hAnsi="Times New Roman"/>
                      <w:color w:val="auto"/>
                      <w:kern w:val="0"/>
                      <w:szCs w:val="21"/>
                      <w:highlight w:val="none"/>
                      <w:lang w:val="en-US" w:eastAsia="zh-CN"/>
                    </w:rPr>
                  </w:pPr>
                </w:p>
              </w:tc>
              <w:tc>
                <w:tcPr>
                  <w:tcW w:w="759" w:type="dxa"/>
                  <w:vMerge w:val="continue"/>
                  <w:shd w:val="clear" w:color="auto" w:fill="auto"/>
                  <w:noWrap w:val="0"/>
                  <w:vAlign w:val="center"/>
                </w:tcPr>
                <w:p w14:paraId="33029724">
                  <w:pPr>
                    <w:adjustRightInd w:val="0"/>
                    <w:snapToGrid w:val="0"/>
                    <w:spacing w:line="280" w:lineRule="exact"/>
                    <w:jc w:val="center"/>
                    <w:rPr>
                      <w:rFonts w:hint="eastAsia" w:ascii="Times New Roman" w:hAnsi="Times New Roman"/>
                      <w:color w:val="auto"/>
                      <w:kern w:val="0"/>
                      <w:szCs w:val="21"/>
                      <w:highlight w:val="none"/>
                      <w:lang w:val="en-US" w:eastAsia="zh-CN"/>
                    </w:rPr>
                  </w:pPr>
                </w:p>
              </w:tc>
            </w:tr>
            <w:tr w14:paraId="5EA593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674" w:type="dxa"/>
                  <w:vMerge w:val="continue"/>
                  <w:shd w:val="clear" w:color="auto" w:fill="auto"/>
                  <w:noWrap w:val="0"/>
                  <w:vAlign w:val="center"/>
                </w:tcPr>
                <w:p w14:paraId="60EEE809">
                  <w:pPr>
                    <w:adjustRightInd w:val="0"/>
                    <w:snapToGrid w:val="0"/>
                    <w:spacing w:line="280" w:lineRule="exact"/>
                    <w:jc w:val="center"/>
                    <w:rPr>
                      <w:rFonts w:hint="eastAsia" w:ascii="Times New Roman" w:hAnsi="Times New Roman"/>
                      <w:color w:val="auto"/>
                      <w:kern w:val="0"/>
                      <w:szCs w:val="21"/>
                      <w:highlight w:val="none"/>
                    </w:rPr>
                  </w:pPr>
                </w:p>
              </w:tc>
              <w:tc>
                <w:tcPr>
                  <w:tcW w:w="900" w:type="dxa"/>
                  <w:vMerge w:val="continue"/>
                  <w:shd w:val="clear" w:color="auto" w:fill="auto"/>
                  <w:noWrap w:val="0"/>
                  <w:vAlign w:val="center"/>
                </w:tcPr>
                <w:p w14:paraId="5E1A87A3">
                  <w:pPr>
                    <w:adjustRightInd w:val="0"/>
                    <w:snapToGrid w:val="0"/>
                    <w:spacing w:line="280" w:lineRule="exact"/>
                    <w:jc w:val="center"/>
                    <w:rPr>
                      <w:rFonts w:hint="eastAsia" w:ascii="Times New Roman" w:hAnsi="Times New Roman"/>
                      <w:color w:val="auto"/>
                      <w:kern w:val="0"/>
                      <w:szCs w:val="21"/>
                      <w:highlight w:val="none"/>
                    </w:rPr>
                  </w:pPr>
                </w:p>
              </w:tc>
              <w:tc>
                <w:tcPr>
                  <w:tcW w:w="1750" w:type="dxa"/>
                  <w:shd w:val="clear" w:color="auto" w:fill="auto"/>
                  <w:noWrap w:val="0"/>
                  <w:vAlign w:val="center"/>
                </w:tcPr>
                <w:p w14:paraId="15CA5F68">
                  <w:pPr>
                    <w:adjustRightInd w:val="0"/>
                    <w:snapToGrid w:val="0"/>
                    <w:spacing w:line="280" w:lineRule="exact"/>
                    <w:jc w:val="center"/>
                    <w:rPr>
                      <w:rFonts w:hint="default" w:ascii="Times New Roman" w:hAnsi="Times New Roman"/>
                      <w:color w:val="auto"/>
                      <w:kern w:val="0"/>
                      <w:szCs w:val="21"/>
                      <w:highlight w:val="none"/>
                      <w:lang w:val="en-US" w:eastAsia="zh-CN"/>
                    </w:rPr>
                  </w:pPr>
                  <w:r>
                    <w:rPr>
                      <w:rFonts w:hint="eastAsia"/>
                      <w:color w:val="auto"/>
                      <w:kern w:val="0"/>
                      <w:szCs w:val="21"/>
                      <w:highlight w:val="none"/>
                      <w:lang w:val="en-US" w:eastAsia="zh-CN"/>
                    </w:rPr>
                    <w:t>设备清洗废水</w:t>
                  </w:r>
                </w:p>
              </w:tc>
              <w:tc>
                <w:tcPr>
                  <w:tcW w:w="2717" w:type="dxa"/>
                  <w:vMerge w:val="continue"/>
                  <w:shd w:val="clear" w:color="auto" w:fill="auto"/>
                  <w:noWrap w:val="0"/>
                  <w:vAlign w:val="center"/>
                </w:tcPr>
                <w:p w14:paraId="00688B02">
                  <w:pPr>
                    <w:adjustRightInd w:val="0"/>
                    <w:snapToGrid w:val="0"/>
                    <w:spacing w:line="280" w:lineRule="exact"/>
                    <w:jc w:val="center"/>
                    <w:rPr>
                      <w:rFonts w:hint="eastAsia" w:ascii="Times New Roman" w:hAnsi="Times New Roman"/>
                      <w:color w:val="auto"/>
                      <w:kern w:val="0"/>
                      <w:szCs w:val="21"/>
                      <w:highlight w:val="none"/>
                    </w:rPr>
                  </w:pPr>
                </w:p>
              </w:tc>
              <w:tc>
                <w:tcPr>
                  <w:tcW w:w="1087" w:type="dxa"/>
                  <w:vMerge w:val="continue"/>
                  <w:shd w:val="clear" w:color="auto" w:fill="auto"/>
                  <w:noWrap w:val="0"/>
                  <w:vAlign w:val="center"/>
                </w:tcPr>
                <w:p w14:paraId="0BA4B82D">
                  <w:pPr>
                    <w:adjustRightInd w:val="0"/>
                    <w:snapToGrid w:val="0"/>
                    <w:spacing w:line="280" w:lineRule="exact"/>
                    <w:jc w:val="center"/>
                    <w:rPr>
                      <w:rFonts w:hint="eastAsia" w:ascii="Times New Roman" w:hAnsi="Times New Roman"/>
                      <w:color w:val="auto"/>
                      <w:kern w:val="0"/>
                      <w:szCs w:val="21"/>
                      <w:highlight w:val="none"/>
                      <w:lang w:val="en-US" w:eastAsia="zh-CN"/>
                    </w:rPr>
                  </w:pPr>
                </w:p>
              </w:tc>
              <w:tc>
                <w:tcPr>
                  <w:tcW w:w="759" w:type="dxa"/>
                  <w:vMerge w:val="continue"/>
                  <w:shd w:val="clear" w:color="auto" w:fill="auto"/>
                  <w:noWrap w:val="0"/>
                  <w:vAlign w:val="center"/>
                </w:tcPr>
                <w:p w14:paraId="290FF7D8">
                  <w:pPr>
                    <w:adjustRightInd w:val="0"/>
                    <w:snapToGrid w:val="0"/>
                    <w:spacing w:line="280" w:lineRule="exact"/>
                    <w:jc w:val="center"/>
                    <w:rPr>
                      <w:rFonts w:hint="eastAsia" w:ascii="Times New Roman" w:hAnsi="Times New Roman"/>
                      <w:color w:val="auto"/>
                      <w:kern w:val="0"/>
                      <w:szCs w:val="21"/>
                      <w:highlight w:val="none"/>
                      <w:lang w:val="en-US" w:eastAsia="zh-CN"/>
                    </w:rPr>
                  </w:pPr>
                </w:p>
              </w:tc>
            </w:tr>
            <w:tr w14:paraId="465440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4" w:type="dxa"/>
                  <w:vMerge w:val="continue"/>
                  <w:shd w:val="clear" w:color="auto" w:fill="auto"/>
                  <w:noWrap w:val="0"/>
                  <w:vAlign w:val="center"/>
                </w:tcPr>
                <w:p w14:paraId="70569609">
                  <w:pPr>
                    <w:adjustRightInd w:val="0"/>
                    <w:snapToGrid w:val="0"/>
                    <w:spacing w:line="280" w:lineRule="exact"/>
                    <w:jc w:val="center"/>
                    <w:rPr>
                      <w:rFonts w:hint="eastAsia" w:ascii="Times New Roman" w:hAnsi="Times New Roman"/>
                      <w:color w:val="auto"/>
                      <w:kern w:val="0"/>
                      <w:szCs w:val="21"/>
                      <w:highlight w:val="none"/>
                    </w:rPr>
                  </w:pPr>
                </w:p>
              </w:tc>
              <w:tc>
                <w:tcPr>
                  <w:tcW w:w="900" w:type="dxa"/>
                  <w:shd w:val="clear" w:color="auto" w:fill="auto"/>
                  <w:noWrap w:val="0"/>
                  <w:vAlign w:val="center"/>
                </w:tcPr>
                <w:p w14:paraId="4E78C988">
                  <w:pPr>
                    <w:adjustRightInd w:val="0"/>
                    <w:snapToGrid w:val="0"/>
                    <w:spacing w:line="280" w:lineRule="exact"/>
                    <w:jc w:val="center"/>
                    <w:rPr>
                      <w:rFonts w:ascii="Times New Roman" w:hAnsi="Times New Roman"/>
                      <w:color w:val="auto"/>
                      <w:kern w:val="0"/>
                      <w:szCs w:val="21"/>
                      <w:highlight w:val="none"/>
                    </w:rPr>
                  </w:pPr>
                  <w:r>
                    <w:rPr>
                      <w:rFonts w:hint="eastAsia" w:ascii="Times New Roman" w:hAnsi="Times New Roman"/>
                      <w:color w:val="auto"/>
                      <w:kern w:val="0"/>
                      <w:szCs w:val="21"/>
                      <w:highlight w:val="none"/>
                    </w:rPr>
                    <w:t>噪声</w:t>
                  </w:r>
                </w:p>
              </w:tc>
              <w:tc>
                <w:tcPr>
                  <w:tcW w:w="1750" w:type="dxa"/>
                  <w:shd w:val="clear" w:color="auto" w:fill="auto"/>
                  <w:noWrap w:val="0"/>
                  <w:vAlign w:val="center"/>
                </w:tcPr>
                <w:p w14:paraId="59A21715">
                  <w:pPr>
                    <w:adjustRightInd w:val="0"/>
                    <w:snapToGrid w:val="0"/>
                    <w:spacing w:line="280" w:lineRule="exact"/>
                    <w:jc w:val="center"/>
                    <w:rPr>
                      <w:rFonts w:hint="eastAsia" w:ascii="Times New Roman" w:hAnsi="Times New Roman"/>
                      <w:color w:val="auto"/>
                      <w:kern w:val="0"/>
                      <w:szCs w:val="21"/>
                      <w:highlight w:val="none"/>
                    </w:rPr>
                  </w:pPr>
                  <w:r>
                    <w:rPr>
                      <w:rFonts w:ascii="Times New Roman"/>
                      <w:snapToGrid w:val="0"/>
                      <w:color w:val="auto"/>
                      <w:szCs w:val="21"/>
                      <w:highlight w:val="none"/>
                    </w:rPr>
                    <w:t>降低噪声源</w:t>
                  </w:r>
                </w:p>
              </w:tc>
              <w:tc>
                <w:tcPr>
                  <w:tcW w:w="2717" w:type="dxa"/>
                  <w:shd w:val="clear" w:color="auto" w:fill="auto"/>
                  <w:noWrap w:val="0"/>
                  <w:vAlign w:val="center"/>
                </w:tcPr>
                <w:p w14:paraId="1A8926AE">
                  <w:pPr>
                    <w:adjustRightInd w:val="0"/>
                    <w:snapToGrid w:val="0"/>
                    <w:spacing w:line="280" w:lineRule="exact"/>
                    <w:jc w:val="center"/>
                    <w:rPr>
                      <w:rFonts w:hint="default" w:ascii="Times New Roman" w:hAnsi="Times New Roman" w:eastAsia="宋体"/>
                      <w:color w:val="auto"/>
                      <w:kern w:val="0"/>
                      <w:szCs w:val="21"/>
                      <w:highlight w:val="none"/>
                      <w:lang w:val="en-US" w:eastAsia="zh-CN"/>
                    </w:rPr>
                  </w:pPr>
                  <w:r>
                    <w:rPr>
                      <w:rFonts w:hint="eastAsia" w:ascii="宋体" w:hAnsi="宋体" w:eastAsia="宋体"/>
                      <w:color w:val="auto"/>
                      <w:sz w:val="21"/>
                      <w:szCs w:val="24"/>
                    </w:rPr>
                    <w:t>选择低噪声设备、加强管理、基础减振，</w:t>
                  </w:r>
                  <w:r>
                    <w:rPr>
                      <w:rFonts w:hint="eastAsia" w:ascii="宋体" w:hAnsi="宋体" w:eastAsia="宋体"/>
                      <w:color w:val="auto"/>
                      <w:sz w:val="21"/>
                      <w:szCs w:val="24"/>
                      <w:lang w:val="en-US" w:eastAsia="zh-CN"/>
                    </w:rPr>
                    <w:t>合理布局等</w:t>
                  </w:r>
                </w:p>
              </w:tc>
              <w:tc>
                <w:tcPr>
                  <w:tcW w:w="1087" w:type="dxa"/>
                  <w:shd w:val="clear" w:color="auto" w:fill="auto"/>
                  <w:noWrap w:val="0"/>
                  <w:vAlign w:val="center"/>
                </w:tcPr>
                <w:p w14:paraId="56340F29">
                  <w:pPr>
                    <w:adjustRightInd w:val="0"/>
                    <w:snapToGrid w:val="0"/>
                    <w:spacing w:line="280" w:lineRule="exact"/>
                    <w:jc w:val="center"/>
                    <w:rPr>
                      <w:rFonts w:hint="default" w:ascii="Times New Roman" w:hAnsi="Times New Roman" w:eastAsia="宋体"/>
                      <w:color w:val="auto"/>
                      <w:kern w:val="0"/>
                      <w:szCs w:val="21"/>
                      <w:highlight w:val="none"/>
                      <w:lang w:val="en-US" w:eastAsia="zh-CN"/>
                    </w:rPr>
                  </w:pPr>
                  <w:r>
                    <w:rPr>
                      <w:rFonts w:hint="eastAsia"/>
                      <w:color w:val="auto"/>
                      <w:kern w:val="0"/>
                      <w:szCs w:val="21"/>
                      <w:highlight w:val="none"/>
                      <w:lang w:val="en-US" w:eastAsia="zh-CN"/>
                    </w:rPr>
                    <w:t>40.0</w:t>
                  </w:r>
                </w:p>
              </w:tc>
              <w:tc>
                <w:tcPr>
                  <w:tcW w:w="759" w:type="dxa"/>
                  <w:shd w:val="clear" w:color="auto" w:fill="auto"/>
                  <w:noWrap w:val="0"/>
                  <w:vAlign w:val="center"/>
                </w:tcPr>
                <w:p w14:paraId="5903072E">
                  <w:pPr>
                    <w:adjustRightInd w:val="0"/>
                    <w:snapToGrid w:val="0"/>
                    <w:spacing w:line="280" w:lineRule="exact"/>
                    <w:jc w:val="center"/>
                    <w:rPr>
                      <w:rFonts w:hint="eastAsia" w:ascii="Times New Roman" w:hAnsi="Times New Roman"/>
                      <w:color w:val="auto"/>
                      <w:kern w:val="0"/>
                      <w:szCs w:val="21"/>
                      <w:highlight w:val="none"/>
                    </w:rPr>
                  </w:pPr>
                  <w:r>
                    <w:rPr>
                      <w:rFonts w:hint="eastAsia" w:ascii="Times New Roman" w:hAnsi="Times New Roman"/>
                      <w:color w:val="auto"/>
                      <w:kern w:val="0"/>
                      <w:szCs w:val="21"/>
                      <w:highlight w:val="none"/>
                    </w:rPr>
                    <w:t>新建</w:t>
                  </w:r>
                </w:p>
              </w:tc>
            </w:tr>
            <w:tr w14:paraId="191F50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674" w:type="dxa"/>
                  <w:vMerge w:val="continue"/>
                  <w:shd w:val="clear" w:color="auto" w:fill="auto"/>
                  <w:noWrap w:val="0"/>
                  <w:vAlign w:val="center"/>
                </w:tcPr>
                <w:p w14:paraId="44F773F3">
                  <w:pPr>
                    <w:adjustRightInd w:val="0"/>
                    <w:snapToGrid w:val="0"/>
                    <w:spacing w:line="280" w:lineRule="exact"/>
                    <w:jc w:val="center"/>
                    <w:rPr>
                      <w:rFonts w:hint="eastAsia" w:ascii="Times New Roman" w:hAnsi="Times New Roman"/>
                      <w:color w:val="auto"/>
                      <w:kern w:val="0"/>
                      <w:szCs w:val="21"/>
                      <w:highlight w:val="none"/>
                      <w:lang w:val="en-US" w:eastAsia="zh-CN"/>
                    </w:rPr>
                  </w:pPr>
                </w:p>
              </w:tc>
              <w:tc>
                <w:tcPr>
                  <w:tcW w:w="900" w:type="dxa"/>
                  <w:vMerge w:val="restart"/>
                  <w:shd w:val="clear" w:color="auto" w:fill="auto"/>
                  <w:noWrap w:val="0"/>
                  <w:vAlign w:val="center"/>
                </w:tcPr>
                <w:p w14:paraId="57477ADF">
                  <w:pPr>
                    <w:adjustRightInd w:val="0"/>
                    <w:snapToGrid w:val="0"/>
                    <w:spacing w:line="280" w:lineRule="exact"/>
                    <w:jc w:val="center"/>
                    <w:rPr>
                      <w:rFonts w:hint="eastAsia"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lang w:val="en-US" w:eastAsia="zh-CN"/>
                    </w:rPr>
                    <w:t>固废</w:t>
                  </w:r>
                </w:p>
              </w:tc>
              <w:tc>
                <w:tcPr>
                  <w:tcW w:w="1750" w:type="dxa"/>
                  <w:shd w:val="clear" w:color="auto" w:fill="auto"/>
                  <w:noWrap w:val="0"/>
                  <w:vAlign w:val="center"/>
                </w:tcPr>
                <w:p w14:paraId="6271D231">
                  <w:pPr>
                    <w:adjustRightInd w:val="0"/>
                    <w:snapToGrid w:val="0"/>
                    <w:spacing w:line="280" w:lineRule="exact"/>
                    <w:jc w:val="center"/>
                    <w:rPr>
                      <w:rFonts w:hint="default" w:ascii="Times New Roman" w:eastAsia="宋体"/>
                      <w:snapToGrid w:val="0"/>
                      <w:color w:val="auto"/>
                      <w:szCs w:val="21"/>
                      <w:highlight w:val="none"/>
                      <w:lang w:val="en-US" w:eastAsia="zh-CN"/>
                    </w:rPr>
                  </w:pPr>
                  <w:r>
                    <w:rPr>
                      <w:rFonts w:hint="eastAsia"/>
                      <w:snapToGrid w:val="0"/>
                      <w:color w:val="auto"/>
                      <w:szCs w:val="21"/>
                      <w:highlight w:val="none"/>
                      <w:lang w:val="en-US" w:eastAsia="zh-CN"/>
                    </w:rPr>
                    <w:t>生活垃圾</w:t>
                  </w:r>
                </w:p>
              </w:tc>
              <w:tc>
                <w:tcPr>
                  <w:tcW w:w="2717" w:type="dxa"/>
                  <w:shd w:val="clear" w:color="auto" w:fill="auto"/>
                  <w:noWrap w:val="0"/>
                  <w:vAlign w:val="center"/>
                </w:tcPr>
                <w:p w14:paraId="01AA89E9">
                  <w:pPr>
                    <w:adjustRightInd w:val="0"/>
                    <w:snapToGrid w:val="0"/>
                    <w:spacing w:line="280" w:lineRule="exact"/>
                    <w:jc w:val="center"/>
                    <w:rPr>
                      <w:rFonts w:hint="default" w:ascii="Times New Roman" w:eastAsia="宋体"/>
                      <w:snapToGrid w:val="0"/>
                      <w:color w:val="auto"/>
                      <w:szCs w:val="21"/>
                      <w:highlight w:val="none"/>
                      <w:lang w:val="en-US" w:eastAsia="zh-CN"/>
                    </w:rPr>
                  </w:pPr>
                  <w:r>
                    <w:rPr>
                      <w:rFonts w:hint="eastAsia"/>
                      <w:snapToGrid w:val="0"/>
                      <w:color w:val="auto"/>
                      <w:szCs w:val="21"/>
                      <w:highlight w:val="none"/>
                      <w:lang w:val="en-US" w:eastAsia="zh-CN"/>
                    </w:rPr>
                    <w:t>经收集后交由当地环卫部门清运处理</w:t>
                  </w:r>
                </w:p>
              </w:tc>
              <w:tc>
                <w:tcPr>
                  <w:tcW w:w="1087" w:type="dxa"/>
                  <w:vMerge w:val="restart"/>
                  <w:shd w:val="clear" w:color="auto" w:fill="auto"/>
                  <w:noWrap w:val="0"/>
                  <w:vAlign w:val="center"/>
                </w:tcPr>
                <w:p w14:paraId="5315079F">
                  <w:pPr>
                    <w:adjustRightInd w:val="0"/>
                    <w:snapToGrid w:val="0"/>
                    <w:spacing w:line="280" w:lineRule="exact"/>
                    <w:jc w:val="center"/>
                    <w:rPr>
                      <w:rFonts w:hint="default" w:ascii="Times New Roman" w:hAnsi="Times New Roman" w:eastAsia="宋体"/>
                      <w:color w:val="auto"/>
                      <w:kern w:val="0"/>
                      <w:szCs w:val="21"/>
                      <w:highlight w:val="none"/>
                      <w:lang w:val="en-US" w:eastAsia="zh-CN"/>
                    </w:rPr>
                  </w:pPr>
                  <w:r>
                    <w:rPr>
                      <w:rFonts w:hint="eastAsia"/>
                      <w:color w:val="auto"/>
                      <w:kern w:val="0"/>
                      <w:szCs w:val="21"/>
                      <w:highlight w:val="none"/>
                      <w:lang w:val="en-US" w:eastAsia="zh-CN"/>
                    </w:rPr>
                    <w:t>5.0</w:t>
                  </w:r>
                </w:p>
              </w:tc>
              <w:tc>
                <w:tcPr>
                  <w:tcW w:w="759" w:type="dxa"/>
                  <w:shd w:val="clear" w:color="auto" w:fill="auto"/>
                  <w:noWrap w:val="0"/>
                  <w:vAlign w:val="center"/>
                </w:tcPr>
                <w:p w14:paraId="5BBBFEAE">
                  <w:pPr>
                    <w:adjustRightInd w:val="0"/>
                    <w:snapToGrid w:val="0"/>
                    <w:spacing w:line="280" w:lineRule="exact"/>
                    <w:jc w:val="center"/>
                    <w:rPr>
                      <w:rFonts w:hint="eastAsia" w:ascii="Times New Roman" w:hAnsi="Times New Roman" w:eastAsia="宋体"/>
                      <w:color w:val="auto"/>
                      <w:kern w:val="0"/>
                      <w:szCs w:val="21"/>
                      <w:highlight w:val="none"/>
                      <w:lang w:val="en-US" w:eastAsia="zh-CN"/>
                    </w:rPr>
                  </w:pPr>
                  <w:r>
                    <w:rPr>
                      <w:rFonts w:hint="eastAsia"/>
                      <w:color w:val="auto"/>
                      <w:kern w:val="0"/>
                      <w:szCs w:val="21"/>
                      <w:highlight w:val="none"/>
                      <w:lang w:val="en-US" w:eastAsia="zh-CN"/>
                    </w:rPr>
                    <w:t>新建</w:t>
                  </w:r>
                </w:p>
              </w:tc>
            </w:tr>
            <w:tr w14:paraId="6ABF85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674" w:type="dxa"/>
                  <w:vMerge w:val="continue"/>
                  <w:shd w:val="clear" w:color="auto" w:fill="auto"/>
                  <w:noWrap w:val="0"/>
                  <w:vAlign w:val="center"/>
                </w:tcPr>
                <w:p w14:paraId="7123F227">
                  <w:pPr>
                    <w:adjustRightInd w:val="0"/>
                    <w:snapToGrid w:val="0"/>
                    <w:spacing w:line="280" w:lineRule="exact"/>
                    <w:jc w:val="center"/>
                    <w:rPr>
                      <w:rFonts w:hint="eastAsia" w:ascii="Times New Roman" w:hAnsi="Times New Roman"/>
                      <w:color w:val="auto"/>
                      <w:kern w:val="0"/>
                      <w:szCs w:val="21"/>
                      <w:highlight w:val="none"/>
                      <w:lang w:val="en-US" w:eastAsia="zh-CN"/>
                    </w:rPr>
                  </w:pPr>
                </w:p>
              </w:tc>
              <w:tc>
                <w:tcPr>
                  <w:tcW w:w="900" w:type="dxa"/>
                  <w:vMerge w:val="continue"/>
                  <w:shd w:val="clear" w:color="auto" w:fill="auto"/>
                  <w:noWrap w:val="0"/>
                  <w:vAlign w:val="center"/>
                </w:tcPr>
                <w:p w14:paraId="53550AB0">
                  <w:pPr>
                    <w:adjustRightInd w:val="0"/>
                    <w:snapToGrid w:val="0"/>
                    <w:spacing w:line="280" w:lineRule="exact"/>
                    <w:jc w:val="center"/>
                    <w:rPr>
                      <w:rFonts w:hint="eastAsia" w:ascii="Times New Roman" w:hAnsi="Times New Roman"/>
                      <w:color w:val="auto"/>
                      <w:kern w:val="0"/>
                      <w:szCs w:val="21"/>
                      <w:highlight w:val="none"/>
                      <w:lang w:val="en-US" w:eastAsia="zh-CN"/>
                    </w:rPr>
                  </w:pPr>
                </w:p>
              </w:tc>
              <w:tc>
                <w:tcPr>
                  <w:tcW w:w="1750" w:type="dxa"/>
                  <w:shd w:val="clear" w:color="auto" w:fill="auto"/>
                  <w:noWrap w:val="0"/>
                  <w:vAlign w:val="center"/>
                </w:tcPr>
                <w:p w14:paraId="24962A67">
                  <w:pPr>
                    <w:adjustRightInd w:val="0"/>
                    <w:snapToGrid w:val="0"/>
                    <w:spacing w:line="280" w:lineRule="exact"/>
                    <w:jc w:val="center"/>
                    <w:rPr>
                      <w:rFonts w:hint="default" w:ascii="Times New Roman" w:hAnsi="Times New Roman" w:eastAsia="宋体" w:cs="Times New Roman"/>
                      <w:snapToGrid w:val="0"/>
                      <w:color w:val="auto"/>
                      <w:szCs w:val="21"/>
                      <w:highlight w:val="none"/>
                      <w:lang w:val="en-US" w:eastAsia="zh-CN"/>
                    </w:rPr>
                  </w:pPr>
                  <w:r>
                    <w:rPr>
                      <w:rFonts w:hint="eastAsia" w:ascii="Times New Roman" w:hAnsi="Times New Roman" w:eastAsia="宋体" w:cs="Times New Roman"/>
                      <w:snapToGrid w:val="0"/>
                      <w:color w:val="auto"/>
                      <w:szCs w:val="21"/>
                      <w:highlight w:val="none"/>
                      <w:lang w:val="en-US" w:eastAsia="zh-CN"/>
                    </w:rPr>
                    <w:t>预处理池污泥</w:t>
                  </w:r>
                </w:p>
              </w:tc>
              <w:tc>
                <w:tcPr>
                  <w:tcW w:w="2717" w:type="dxa"/>
                  <w:shd w:val="clear" w:color="auto" w:fill="auto"/>
                  <w:noWrap w:val="0"/>
                  <w:vAlign w:val="center"/>
                </w:tcPr>
                <w:p w14:paraId="68011D89">
                  <w:pPr>
                    <w:adjustRightInd w:val="0"/>
                    <w:snapToGrid w:val="0"/>
                    <w:spacing w:line="280" w:lineRule="exact"/>
                    <w:jc w:val="center"/>
                    <w:rPr>
                      <w:rFonts w:hint="eastAsia" w:ascii="Times New Roman" w:hAnsi="Times New Roman" w:eastAsia="宋体" w:cs="Times New Roman"/>
                      <w:snapToGrid w:val="0"/>
                      <w:color w:val="auto"/>
                      <w:szCs w:val="21"/>
                      <w:highlight w:val="none"/>
                      <w:lang w:val="en-US" w:eastAsia="zh-CN"/>
                    </w:rPr>
                  </w:pPr>
                  <w:r>
                    <w:rPr>
                      <w:rFonts w:hint="eastAsia" w:ascii="Times New Roman" w:hAnsi="Times New Roman" w:eastAsia="宋体" w:cs="Times New Roman"/>
                      <w:snapToGrid w:val="0"/>
                      <w:color w:val="auto"/>
                      <w:szCs w:val="21"/>
                      <w:highlight w:val="none"/>
                      <w:lang w:val="en-US" w:eastAsia="zh-CN"/>
                    </w:rPr>
                    <w:t>委托有能力的单位转运处置</w:t>
                  </w:r>
                </w:p>
              </w:tc>
              <w:tc>
                <w:tcPr>
                  <w:tcW w:w="1087" w:type="dxa"/>
                  <w:vMerge w:val="continue"/>
                  <w:shd w:val="clear" w:color="auto" w:fill="auto"/>
                  <w:noWrap w:val="0"/>
                  <w:vAlign w:val="center"/>
                </w:tcPr>
                <w:p w14:paraId="12B9154C">
                  <w:pPr>
                    <w:adjustRightInd w:val="0"/>
                    <w:snapToGrid w:val="0"/>
                    <w:spacing w:line="280" w:lineRule="exact"/>
                    <w:jc w:val="center"/>
                    <w:rPr>
                      <w:rFonts w:hint="eastAsia"/>
                      <w:color w:val="auto"/>
                      <w:kern w:val="0"/>
                      <w:szCs w:val="21"/>
                      <w:highlight w:val="none"/>
                      <w:lang w:val="en-US" w:eastAsia="zh-CN"/>
                    </w:rPr>
                  </w:pPr>
                </w:p>
              </w:tc>
              <w:tc>
                <w:tcPr>
                  <w:tcW w:w="759" w:type="dxa"/>
                  <w:shd w:val="clear" w:color="auto" w:fill="auto"/>
                  <w:noWrap w:val="0"/>
                  <w:vAlign w:val="center"/>
                </w:tcPr>
                <w:p w14:paraId="73254779">
                  <w:pPr>
                    <w:adjustRightInd w:val="0"/>
                    <w:snapToGrid w:val="0"/>
                    <w:spacing w:line="280" w:lineRule="exact"/>
                    <w:jc w:val="center"/>
                    <w:rPr>
                      <w:rFonts w:hint="default"/>
                      <w:color w:val="auto"/>
                      <w:kern w:val="0"/>
                      <w:szCs w:val="21"/>
                      <w:highlight w:val="none"/>
                      <w:lang w:val="en-US" w:eastAsia="zh-CN"/>
                    </w:rPr>
                  </w:pPr>
                  <w:r>
                    <w:rPr>
                      <w:rFonts w:hint="eastAsia"/>
                      <w:color w:val="auto"/>
                      <w:kern w:val="0"/>
                      <w:szCs w:val="21"/>
                      <w:highlight w:val="none"/>
                      <w:lang w:val="en-US" w:eastAsia="zh-CN"/>
                    </w:rPr>
                    <w:t>新建</w:t>
                  </w:r>
                </w:p>
              </w:tc>
            </w:tr>
            <w:tr w14:paraId="1D5907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09" w:hRule="atLeast"/>
                <w:jc w:val="center"/>
              </w:trPr>
              <w:tc>
                <w:tcPr>
                  <w:tcW w:w="674" w:type="dxa"/>
                  <w:vMerge w:val="continue"/>
                  <w:shd w:val="clear" w:color="auto" w:fill="auto"/>
                  <w:noWrap w:val="0"/>
                  <w:vAlign w:val="center"/>
                </w:tcPr>
                <w:p w14:paraId="5EAE70E7">
                  <w:pPr>
                    <w:adjustRightInd w:val="0"/>
                    <w:snapToGrid w:val="0"/>
                    <w:spacing w:line="280" w:lineRule="exact"/>
                    <w:jc w:val="center"/>
                    <w:rPr>
                      <w:rFonts w:hint="eastAsia" w:ascii="Times New Roman" w:hAnsi="Times New Roman"/>
                      <w:color w:val="auto"/>
                      <w:kern w:val="0"/>
                      <w:szCs w:val="21"/>
                      <w:highlight w:val="none"/>
                      <w:lang w:val="en-US" w:eastAsia="zh-CN"/>
                    </w:rPr>
                  </w:pPr>
                </w:p>
              </w:tc>
              <w:tc>
                <w:tcPr>
                  <w:tcW w:w="900" w:type="dxa"/>
                  <w:vMerge w:val="continue"/>
                  <w:shd w:val="clear" w:color="auto" w:fill="auto"/>
                  <w:noWrap w:val="0"/>
                  <w:vAlign w:val="center"/>
                </w:tcPr>
                <w:p w14:paraId="682AF276">
                  <w:pPr>
                    <w:adjustRightInd w:val="0"/>
                    <w:snapToGrid w:val="0"/>
                    <w:spacing w:line="280" w:lineRule="exact"/>
                    <w:jc w:val="center"/>
                    <w:rPr>
                      <w:rFonts w:hint="eastAsia" w:ascii="Times New Roman" w:hAnsi="Times New Roman"/>
                      <w:color w:val="auto"/>
                      <w:kern w:val="0"/>
                      <w:szCs w:val="21"/>
                      <w:highlight w:val="none"/>
                      <w:lang w:val="en-US" w:eastAsia="zh-CN"/>
                    </w:rPr>
                  </w:pPr>
                </w:p>
              </w:tc>
              <w:tc>
                <w:tcPr>
                  <w:tcW w:w="1750" w:type="dxa"/>
                  <w:shd w:val="clear" w:color="auto" w:fill="auto"/>
                  <w:noWrap w:val="0"/>
                  <w:vAlign w:val="center"/>
                </w:tcPr>
                <w:p w14:paraId="67C00108">
                  <w:pPr>
                    <w:adjustRightInd w:val="0"/>
                    <w:snapToGrid w:val="0"/>
                    <w:spacing w:line="280" w:lineRule="exact"/>
                    <w:jc w:val="center"/>
                    <w:rPr>
                      <w:rFonts w:hint="eastAsia" w:ascii="Times New Roman" w:eastAsia="宋体"/>
                      <w:snapToGrid w:val="0"/>
                      <w:color w:val="auto"/>
                      <w:szCs w:val="21"/>
                      <w:highlight w:val="none"/>
                      <w:lang w:eastAsia="zh-CN"/>
                    </w:rPr>
                  </w:pPr>
                  <w:r>
                    <w:rPr>
                      <w:rFonts w:hint="eastAsia" w:ascii="Times New Roman"/>
                      <w:snapToGrid w:val="0"/>
                      <w:color w:val="auto"/>
                      <w:szCs w:val="21"/>
                      <w:highlight w:val="none"/>
                    </w:rPr>
                    <w:t>危废</w:t>
                  </w:r>
                  <w:r>
                    <w:rPr>
                      <w:rFonts w:hint="eastAsia"/>
                      <w:snapToGrid w:val="0"/>
                      <w:color w:val="auto"/>
                      <w:szCs w:val="21"/>
                      <w:highlight w:val="none"/>
                      <w:lang w:val="en-US" w:eastAsia="zh-CN"/>
                    </w:rPr>
                    <w:t>库</w:t>
                  </w:r>
                </w:p>
              </w:tc>
              <w:tc>
                <w:tcPr>
                  <w:tcW w:w="2717" w:type="dxa"/>
                  <w:shd w:val="clear" w:color="auto" w:fill="auto"/>
                  <w:noWrap w:val="0"/>
                  <w:vAlign w:val="center"/>
                </w:tcPr>
                <w:p w14:paraId="224888EC">
                  <w:pPr>
                    <w:adjustRightInd w:val="0"/>
                    <w:snapToGrid w:val="0"/>
                    <w:spacing w:line="280" w:lineRule="exact"/>
                    <w:jc w:val="center"/>
                    <w:rPr>
                      <w:rFonts w:hint="eastAsia" w:ascii="Times New Roman"/>
                      <w:snapToGrid w:val="0"/>
                      <w:color w:val="auto"/>
                      <w:szCs w:val="21"/>
                      <w:highlight w:val="none"/>
                      <w:lang w:val="en-US" w:eastAsia="zh-CN"/>
                    </w:rPr>
                  </w:pPr>
                  <w:r>
                    <w:rPr>
                      <w:rFonts w:hint="eastAsia" w:ascii="Times New Roman"/>
                      <w:snapToGrid w:val="0"/>
                      <w:color w:val="auto"/>
                      <w:szCs w:val="21"/>
                      <w:highlight w:val="none"/>
                      <w:lang w:val="en-US" w:eastAsia="zh-CN"/>
                    </w:rPr>
                    <w:t>位于</w:t>
                  </w:r>
                  <w:r>
                    <w:rPr>
                      <w:rFonts w:hint="eastAsia"/>
                      <w:snapToGrid w:val="0"/>
                      <w:color w:val="auto"/>
                      <w:szCs w:val="21"/>
                      <w:highlight w:val="none"/>
                      <w:lang w:val="en-US" w:eastAsia="zh-CN"/>
                    </w:rPr>
                    <w:t>电芯车间东</w:t>
                  </w:r>
                  <w:r>
                    <w:rPr>
                      <w:rFonts w:hint="eastAsia" w:ascii="Times New Roman"/>
                      <w:snapToGrid w:val="0"/>
                      <w:color w:val="auto"/>
                      <w:szCs w:val="21"/>
                      <w:highlight w:val="none"/>
                      <w:lang w:val="en-US" w:eastAsia="zh-CN"/>
                    </w:rPr>
                    <w:t>侧新建1间</w:t>
                  </w:r>
                  <w:r>
                    <w:rPr>
                      <w:rFonts w:hint="eastAsia"/>
                      <w:snapToGrid w:val="0"/>
                      <w:color w:val="auto"/>
                      <w:szCs w:val="21"/>
                      <w:highlight w:val="none"/>
                      <w:lang w:val="en-US" w:eastAsia="zh-CN"/>
                    </w:rPr>
                    <w:t>111.99</w:t>
                  </w:r>
                  <w:r>
                    <w:rPr>
                      <w:rFonts w:hint="eastAsia" w:ascii="Times New Roman"/>
                      <w:snapToGrid w:val="0"/>
                      <w:color w:val="auto"/>
                      <w:szCs w:val="21"/>
                      <w:highlight w:val="none"/>
                      <w:lang w:val="en-US" w:eastAsia="zh-CN"/>
                    </w:rPr>
                    <w:t>m</w:t>
                  </w:r>
                  <w:r>
                    <w:rPr>
                      <w:rFonts w:hint="eastAsia" w:ascii="Times New Roman"/>
                      <w:snapToGrid w:val="0"/>
                      <w:color w:val="auto"/>
                      <w:szCs w:val="21"/>
                      <w:highlight w:val="none"/>
                      <w:vertAlign w:val="superscript"/>
                      <w:lang w:val="en-US" w:eastAsia="zh-CN"/>
                    </w:rPr>
                    <w:t>2</w:t>
                  </w:r>
                  <w:r>
                    <w:rPr>
                      <w:rFonts w:hint="eastAsia"/>
                      <w:snapToGrid w:val="0"/>
                      <w:color w:val="auto"/>
                      <w:szCs w:val="21"/>
                      <w:highlight w:val="none"/>
                      <w:lang w:val="en-US" w:eastAsia="zh-CN"/>
                    </w:rPr>
                    <w:t>危废库</w:t>
                  </w:r>
                  <w:r>
                    <w:rPr>
                      <w:rFonts w:hint="eastAsia" w:ascii="Times New Roman"/>
                      <w:snapToGrid w:val="0"/>
                      <w:color w:val="auto"/>
                      <w:szCs w:val="21"/>
                      <w:highlight w:val="none"/>
                      <w:lang w:val="en-US" w:eastAsia="zh-CN"/>
                    </w:rPr>
                    <w:t>，危废经收集后暂存于</w:t>
                  </w:r>
                  <w:r>
                    <w:rPr>
                      <w:rFonts w:hint="eastAsia"/>
                      <w:snapToGrid w:val="0"/>
                      <w:color w:val="auto"/>
                      <w:szCs w:val="21"/>
                      <w:highlight w:val="none"/>
                      <w:lang w:val="en-US" w:eastAsia="zh-CN"/>
                    </w:rPr>
                    <w:t>危废库</w:t>
                  </w:r>
                  <w:r>
                    <w:rPr>
                      <w:rFonts w:hint="eastAsia" w:ascii="Times New Roman"/>
                      <w:snapToGrid w:val="0"/>
                      <w:color w:val="auto"/>
                      <w:szCs w:val="21"/>
                      <w:highlight w:val="none"/>
                      <w:lang w:val="en-US" w:eastAsia="zh-CN"/>
                    </w:rPr>
                    <w:t>内，定期交资质单位处置</w:t>
                  </w:r>
                </w:p>
              </w:tc>
              <w:tc>
                <w:tcPr>
                  <w:tcW w:w="1087" w:type="dxa"/>
                  <w:shd w:val="clear" w:color="auto" w:fill="auto"/>
                  <w:noWrap w:val="0"/>
                  <w:vAlign w:val="center"/>
                </w:tcPr>
                <w:p w14:paraId="31CE7EB5">
                  <w:pPr>
                    <w:adjustRightInd w:val="0"/>
                    <w:snapToGrid w:val="0"/>
                    <w:spacing w:line="280" w:lineRule="exact"/>
                    <w:jc w:val="center"/>
                    <w:rPr>
                      <w:rFonts w:hint="default" w:ascii="Times New Roman" w:hAnsi="Times New Roman"/>
                      <w:color w:val="auto"/>
                      <w:kern w:val="0"/>
                      <w:szCs w:val="21"/>
                      <w:highlight w:val="none"/>
                      <w:lang w:val="en-US" w:eastAsia="zh-CN"/>
                    </w:rPr>
                  </w:pPr>
                  <w:r>
                    <w:rPr>
                      <w:rFonts w:hint="eastAsia"/>
                      <w:color w:val="auto"/>
                      <w:kern w:val="0"/>
                      <w:szCs w:val="21"/>
                      <w:highlight w:val="none"/>
                      <w:lang w:val="en-US" w:eastAsia="zh-CN"/>
                    </w:rPr>
                    <w:t>10.0</w:t>
                  </w:r>
                </w:p>
              </w:tc>
              <w:tc>
                <w:tcPr>
                  <w:tcW w:w="759" w:type="dxa"/>
                  <w:shd w:val="clear" w:color="auto" w:fill="auto"/>
                  <w:noWrap w:val="0"/>
                  <w:vAlign w:val="center"/>
                </w:tcPr>
                <w:p w14:paraId="6A7DCB9C">
                  <w:pPr>
                    <w:adjustRightInd w:val="0"/>
                    <w:snapToGrid w:val="0"/>
                    <w:spacing w:line="280" w:lineRule="exact"/>
                    <w:jc w:val="center"/>
                    <w:rPr>
                      <w:rFonts w:hint="eastAsia" w:ascii="Times New Roman" w:hAnsi="Times New Roman"/>
                      <w:color w:val="auto"/>
                      <w:kern w:val="0"/>
                      <w:szCs w:val="21"/>
                      <w:highlight w:val="none"/>
                      <w:lang w:val="en-US" w:eastAsia="zh-CN"/>
                    </w:rPr>
                  </w:pPr>
                  <w:r>
                    <w:rPr>
                      <w:rFonts w:hint="eastAsia" w:ascii="Times New Roman" w:hAnsi="Times New Roman"/>
                      <w:color w:val="auto"/>
                      <w:kern w:val="0"/>
                      <w:szCs w:val="21"/>
                      <w:highlight w:val="none"/>
                      <w:lang w:val="en-US" w:eastAsia="zh-CN"/>
                    </w:rPr>
                    <w:t>新建</w:t>
                  </w:r>
                </w:p>
              </w:tc>
            </w:tr>
            <w:tr w14:paraId="0C75C9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4" w:type="dxa"/>
                  <w:vMerge w:val="continue"/>
                  <w:shd w:val="clear" w:color="auto" w:fill="auto"/>
                  <w:noWrap w:val="0"/>
                  <w:vAlign w:val="center"/>
                </w:tcPr>
                <w:p w14:paraId="4C3A6152">
                  <w:pPr>
                    <w:adjustRightInd w:val="0"/>
                    <w:snapToGrid w:val="0"/>
                    <w:spacing w:line="280" w:lineRule="exact"/>
                    <w:jc w:val="center"/>
                    <w:rPr>
                      <w:rFonts w:hint="eastAsia" w:ascii="Times New Roman" w:hAnsi="Times New Roman"/>
                      <w:color w:val="auto"/>
                      <w:kern w:val="0"/>
                      <w:szCs w:val="21"/>
                      <w:highlight w:val="none"/>
                      <w:lang w:val="en-US" w:eastAsia="zh-CN"/>
                    </w:rPr>
                  </w:pPr>
                </w:p>
              </w:tc>
              <w:tc>
                <w:tcPr>
                  <w:tcW w:w="900" w:type="dxa"/>
                  <w:vMerge w:val="continue"/>
                  <w:shd w:val="clear" w:color="auto" w:fill="auto"/>
                  <w:noWrap w:val="0"/>
                  <w:vAlign w:val="center"/>
                </w:tcPr>
                <w:p w14:paraId="166E70E4">
                  <w:pPr>
                    <w:adjustRightInd w:val="0"/>
                    <w:snapToGrid w:val="0"/>
                    <w:spacing w:line="280" w:lineRule="exact"/>
                    <w:jc w:val="center"/>
                    <w:rPr>
                      <w:rFonts w:hint="eastAsia" w:ascii="Times New Roman" w:hAnsi="Times New Roman"/>
                      <w:color w:val="auto"/>
                      <w:kern w:val="0"/>
                      <w:szCs w:val="21"/>
                      <w:highlight w:val="none"/>
                      <w:lang w:val="en-US" w:eastAsia="zh-CN"/>
                    </w:rPr>
                  </w:pPr>
                </w:p>
              </w:tc>
              <w:tc>
                <w:tcPr>
                  <w:tcW w:w="1750" w:type="dxa"/>
                  <w:shd w:val="clear" w:color="auto" w:fill="auto"/>
                  <w:noWrap w:val="0"/>
                  <w:vAlign w:val="center"/>
                </w:tcPr>
                <w:p w14:paraId="38FF9456">
                  <w:pPr>
                    <w:adjustRightInd w:val="0"/>
                    <w:snapToGrid w:val="0"/>
                    <w:spacing w:line="280" w:lineRule="exact"/>
                    <w:jc w:val="center"/>
                    <w:rPr>
                      <w:rFonts w:hint="default" w:ascii="Times New Roman" w:eastAsia="宋体"/>
                      <w:snapToGrid w:val="0"/>
                      <w:color w:val="auto"/>
                      <w:szCs w:val="21"/>
                      <w:highlight w:val="none"/>
                      <w:lang w:val="en-US" w:eastAsia="zh-CN"/>
                    </w:rPr>
                  </w:pPr>
                  <w:r>
                    <w:rPr>
                      <w:rFonts w:hint="eastAsia" w:ascii="Times New Roman"/>
                      <w:snapToGrid w:val="0"/>
                      <w:color w:val="auto"/>
                      <w:szCs w:val="21"/>
                      <w:highlight w:val="none"/>
                      <w:lang w:val="en-US" w:eastAsia="zh-CN"/>
                    </w:rPr>
                    <w:t>一般固废暂存间</w:t>
                  </w:r>
                </w:p>
              </w:tc>
              <w:tc>
                <w:tcPr>
                  <w:tcW w:w="2717" w:type="dxa"/>
                  <w:shd w:val="clear" w:color="auto" w:fill="auto"/>
                  <w:noWrap w:val="0"/>
                  <w:vAlign w:val="center"/>
                </w:tcPr>
                <w:p w14:paraId="42B0006C">
                  <w:pPr>
                    <w:adjustRightInd w:val="0"/>
                    <w:snapToGrid w:val="0"/>
                    <w:spacing w:line="280" w:lineRule="exact"/>
                    <w:jc w:val="center"/>
                    <w:rPr>
                      <w:rFonts w:hint="default" w:ascii="Times New Roman" w:hAnsi="Times New Roman"/>
                      <w:color w:val="auto"/>
                      <w:kern w:val="0"/>
                      <w:szCs w:val="21"/>
                      <w:highlight w:val="none"/>
                      <w:lang w:val="en-US" w:eastAsia="zh-CN"/>
                    </w:rPr>
                  </w:pPr>
                  <w:r>
                    <w:rPr>
                      <w:rFonts w:hint="default" w:ascii="Times New Roman" w:hAnsi="Times New Roman" w:eastAsia="宋体" w:cs="Times New Roman"/>
                      <w:color w:val="auto"/>
                      <w:sz w:val="21"/>
                      <w:szCs w:val="21"/>
                      <w:lang w:val="en-US" w:eastAsia="zh-CN"/>
                    </w:rPr>
                    <w:t>位于</w:t>
                  </w:r>
                  <w:r>
                    <w:rPr>
                      <w:rFonts w:hint="eastAsia" w:cs="Times New Roman"/>
                      <w:color w:val="auto"/>
                      <w:sz w:val="21"/>
                      <w:szCs w:val="21"/>
                      <w:lang w:val="en-US" w:eastAsia="zh-CN"/>
                    </w:rPr>
                    <w:t>电芯</w:t>
                  </w:r>
                  <w:r>
                    <w:rPr>
                      <w:rFonts w:hint="default" w:ascii="Times New Roman" w:hAnsi="Times New Roman" w:eastAsia="宋体" w:cs="Times New Roman"/>
                      <w:color w:val="auto"/>
                      <w:sz w:val="21"/>
                      <w:szCs w:val="21"/>
                      <w:lang w:val="en-US" w:eastAsia="zh-CN"/>
                    </w:rPr>
                    <w:t>车间</w:t>
                  </w:r>
                  <w:r>
                    <w:rPr>
                      <w:rFonts w:hint="eastAsia" w:cs="Times New Roman"/>
                      <w:color w:val="auto"/>
                      <w:sz w:val="21"/>
                      <w:szCs w:val="21"/>
                      <w:lang w:val="en-US" w:eastAsia="zh-CN"/>
                    </w:rPr>
                    <w:t>内</w:t>
                  </w:r>
                  <w:r>
                    <w:rPr>
                      <w:rFonts w:hint="default" w:ascii="Times New Roman" w:hAnsi="Times New Roman" w:eastAsia="宋体" w:cs="Times New Roman"/>
                      <w:color w:val="auto"/>
                      <w:sz w:val="21"/>
                      <w:szCs w:val="21"/>
                      <w:lang w:val="en-US" w:eastAsia="zh-CN"/>
                    </w:rPr>
                    <w:t>南侧，建筑面积</w:t>
                  </w:r>
                  <w:r>
                    <w:rPr>
                      <w:rFonts w:hint="eastAsia" w:cs="Times New Roman"/>
                      <w:color w:val="auto"/>
                      <w:sz w:val="21"/>
                      <w:szCs w:val="21"/>
                      <w:lang w:val="en-US" w:eastAsia="zh-CN"/>
                    </w:rPr>
                    <w:t>50</w:t>
                  </w:r>
                  <w:r>
                    <w:rPr>
                      <w:rFonts w:hint="eastAsia" w:ascii="Times New Roman" w:hAnsi="Times New Roman" w:eastAsia="宋体" w:cs="Times New Roman"/>
                      <w:color w:val="auto"/>
                      <w:sz w:val="21"/>
                      <w:szCs w:val="21"/>
                      <w:lang w:val="en-US" w:eastAsia="zh-CN"/>
                    </w:rPr>
                    <w:t>m</w:t>
                  </w:r>
                  <w:r>
                    <w:rPr>
                      <w:rFonts w:hint="eastAsia" w:ascii="Times New Roman" w:hAnsi="Times New Roman" w:eastAsia="宋体" w:cs="Times New Roman"/>
                      <w:color w:val="auto"/>
                      <w:sz w:val="21"/>
                      <w:szCs w:val="21"/>
                      <w:vertAlign w:val="superscript"/>
                      <w:lang w:val="en-US" w:eastAsia="zh-CN"/>
                    </w:rPr>
                    <w:t>2</w:t>
                  </w:r>
                  <w:r>
                    <w:rPr>
                      <w:rFonts w:hint="default" w:ascii="Times New Roman" w:hAnsi="Times New Roman" w:eastAsia="宋体" w:cs="Times New Roman"/>
                      <w:color w:val="auto"/>
                      <w:sz w:val="21"/>
                      <w:szCs w:val="21"/>
                      <w:lang w:val="en-US" w:eastAsia="zh-CN"/>
                    </w:rPr>
                    <w:t>，用于项目产生的一般固废临时储存</w:t>
                  </w:r>
                </w:p>
              </w:tc>
              <w:tc>
                <w:tcPr>
                  <w:tcW w:w="1087" w:type="dxa"/>
                  <w:shd w:val="clear" w:color="auto" w:fill="auto"/>
                  <w:noWrap w:val="0"/>
                  <w:vAlign w:val="center"/>
                </w:tcPr>
                <w:p w14:paraId="74903B64">
                  <w:pPr>
                    <w:adjustRightInd w:val="0"/>
                    <w:snapToGrid w:val="0"/>
                    <w:spacing w:line="280" w:lineRule="exact"/>
                    <w:jc w:val="center"/>
                    <w:rPr>
                      <w:rFonts w:hint="default" w:ascii="Times New Roman" w:hAnsi="Times New Roman"/>
                      <w:color w:val="auto"/>
                      <w:kern w:val="0"/>
                      <w:szCs w:val="21"/>
                      <w:highlight w:val="none"/>
                      <w:lang w:val="en-US" w:eastAsia="zh-CN"/>
                    </w:rPr>
                  </w:pPr>
                  <w:r>
                    <w:rPr>
                      <w:rFonts w:hint="eastAsia" w:ascii="Times New Roman" w:hAnsi="Times New Roman"/>
                      <w:color w:val="auto"/>
                      <w:kern w:val="0"/>
                      <w:szCs w:val="21"/>
                      <w:highlight w:val="none"/>
                      <w:lang w:val="en-US" w:eastAsia="zh-CN"/>
                    </w:rPr>
                    <w:t>/</w:t>
                  </w:r>
                </w:p>
              </w:tc>
              <w:tc>
                <w:tcPr>
                  <w:tcW w:w="759" w:type="dxa"/>
                  <w:shd w:val="clear" w:color="auto" w:fill="auto"/>
                  <w:noWrap w:val="0"/>
                  <w:vAlign w:val="center"/>
                </w:tcPr>
                <w:p w14:paraId="36EB43FC">
                  <w:pPr>
                    <w:adjustRightInd w:val="0"/>
                    <w:snapToGrid w:val="0"/>
                    <w:spacing w:line="280" w:lineRule="exact"/>
                    <w:jc w:val="center"/>
                    <w:rPr>
                      <w:rFonts w:hint="eastAsia" w:ascii="Times New Roman" w:hAnsi="Times New Roman"/>
                      <w:color w:val="auto"/>
                      <w:kern w:val="0"/>
                      <w:szCs w:val="21"/>
                      <w:highlight w:val="none"/>
                      <w:lang w:val="en-US" w:eastAsia="zh-CN"/>
                    </w:rPr>
                  </w:pPr>
                  <w:r>
                    <w:rPr>
                      <w:rFonts w:hint="eastAsia" w:ascii="Times New Roman" w:hAnsi="Times New Roman"/>
                      <w:color w:val="auto"/>
                      <w:kern w:val="0"/>
                      <w:szCs w:val="21"/>
                      <w:highlight w:val="none"/>
                      <w:lang w:val="en-US" w:eastAsia="zh-CN"/>
                    </w:rPr>
                    <w:t>新建</w:t>
                  </w:r>
                </w:p>
              </w:tc>
            </w:tr>
            <w:tr w14:paraId="657F28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4" w:type="dxa"/>
                  <w:vMerge w:val="continue"/>
                  <w:shd w:val="clear" w:color="auto" w:fill="auto"/>
                  <w:noWrap w:val="0"/>
                  <w:vAlign w:val="center"/>
                </w:tcPr>
                <w:p w14:paraId="6455B7A5">
                  <w:pPr>
                    <w:adjustRightInd w:val="0"/>
                    <w:snapToGrid w:val="0"/>
                    <w:spacing w:line="280" w:lineRule="exact"/>
                    <w:jc w:val="center"/>
                    <w:rPr>
                      <w:rFonts w:hint="eastAsia" w:ascii="Times New Roman" w:hAnsi="Times New Roman"/>
                      <w:color w:val="auto"/>
                      <w:kern w:val="0"/>
                      <w:szCs w:val="21"/>
                      <w:highlight w:val="none"/>
                    </w:rPr>
                  </w:pPr>
                </w:p>
              </w:tc>
              <w:tc>
                <w:tcPr>
                  <w:tcW w:w="900" w:type="dxa"/>
                  <w:shd w:val="clear" w:color="auto" w:fill="auto"/>
                  <w:noWrap w:val="0"/>
                  <w:vAlign w:val="center"/>
                </w:tcPr>
                <w:p w14:paraId="1B15260E">
                  <w:pPr>
                    <w:adjustRightInd w:val="0"/>
                    <w:snapToGrid w:val="0"/>
                    <w:spacing w:line="280" w:lineRule="exact"/>
                    <w:jc w:val="center"/>
                    <w:rPr>
                      <w:rFonts w:ascii="Times New Roman" w:hAnsi="Times New Roman"/>
                      <w:color w:val="auto"/>
                      <w:kern w:val="0"/>
                      <w:szCs w:val="21"/>
                      <w:highlight w:val="none"/>
                    </w:rPr>
                  </w:pPr>
                  <w:r>
                    <w:rPr>
                      <w:rFonts w:hint="eastAsia" w:ascii="Times New Roman" w:hAnsi="Times New Roman"/>
                      <w:color w:val="auto"/>
                      <w:kern w:val="0"/>
                      <w:szCs w:val="21"/>
                      <w:highlight w:val="none"/>
                    </w:rPr>
                    <w:t>地下水治理</w:t>
                  </w:r>
                </w:p>
              </w:tc>
              <w:tc>
                <w:tcPr>
                  <w:tcW w:w="4467" w:type="dxa"/>
                  <w:gridSpan w:val="2"/>
                  <w:shd w:val="clear" w:color="auto" w:fill="auto"/>
                  <w:noWrap w:val="0"/>
                  <w:vAlign w:val="center"/>
                </w:tcPr>
                <w:p w14:paraId="4043AF42">
                  <w:pPr>
                    <w:adjustRightInd w:val="0"/>
                    <w:snapToGrid w:val="0"/>
                    <w:spacing w:line="280" w:lineRule="exact"/>
                    <w:jc w:val="center"/>
                    <w:rPr>
                      <w:rFonts w:hint="eastAsia" w:ascii="Times New Roman" w:hAnsi="Times New Roman" w:eastAsia="宋体" w:cs="Times New Roman"/>
                      <w:snapToGrid w:val="0"/>
                      <w:color w:val="auto"/>
                      <w:szCs w:val="21"/>
                      <w:highlight w:val="none"/>
                      <w:lang w:eastAsia="zh-CN"/>
                    </w:rPr>
                  </w:pPr>
                  <w:r>
                    <w:rPr>
                      <w:rFonts w:hint="eastAsia" w:ascii="Times New Roman" w:hAnsi="Times New Roman" w:eastAsia="宋体" w:cs="Times New Roman"/>
                      <w:snapToGrid w:val="0"/>
                      <w:color w:val="auto"/>
                      <w:szCs w:val="21"/>
                      <w:highlight w:val="none"/>
                    </w:rPr>
                    <w:t>全厂按简单防渗区、一般污染防渗区、重点污染防渗区实施分区防渗工程</w:t>
                  </w:r>
                  <w:r>
                    <w:rPr>
                      <w:rFonts w:hint="eastAsia" w:ascii="Times New Roman" w:hAnsi="Times New Roman" w:eastAsia="宋体" w:cs="Times New Roman"/>
                      <w:snapToGrid w:val="0"/>
                      <w:color w:val="auto"/>
                      <w:szCs w:val="21"/>
                      <w:highlight w:val="none"/>
                      <w:lang w:eastAsia="zh-CN"/>
                    </w:rPr>
                    <w:t>；</w:t>
                  </w:r>
                </w:p>
                <w:p w14:paraId="166D98C7">
                  <w:pPr>
                    <w:adjustRightInd w:val="0"/>
                    <w:snapToGrid w:val="0"/>
                    <w:spacing w:line="280" w:lineRule="exact"/>
                    <w:jc w:val="center"/>
                    <w:rPr>
                      <w:rFonts w:hint="eastAsia" w:ascii="Times New Roman" w:hAnsi="Times New Roman" w:eastAsia="宋体" w:cs="Times New Roman"/>
                      <w:snapToGrid w:val="0"/>
                      <w:color w:val="auto"/>
                      <w:szCs w:val="21"/>
                      <w:highlight w:val="none"/>
                      <w:lang w:val="en-US" w:eastAsia="zh-CN"/>
                    </w:rPr>
                  </w:pPr>
                  <w:r>
                    <w:rPr>
                      <w:rFonts w:hint="eastAsia" w:ascii="Times New Roman" w:hAnsi="Times New Roman" w:eastAsia="宋体" w:cs="Times New Roman"/>
                      <w:snapToGrid w:val="0"/>
                      <w:color w:val="auto"/>
                      <w:szCs w:val="21"/>
                      <w:highlight w:val="none"/>
                      <w:lang w:val="en-US" w:eastAsia="zh-CN"/>
                    </w:rPr>
                    <w:t>重点防渗：</w:t>
                  </w:r>
                  <w:r>
                    <w:rPr>
                      <w:rFonts w:hint="default" w:ascii="Times New Roman" w:hAnsi="Times New Roman" w:eastAsia="宋体" w:cs="Times New Roman"/>
                      <w:color w:val="auto"/>
                      <w:sz w:val="21"/>
                      <w:szCs w:val="21"/>
                      <w:lang w:val="en-US" w:eastAsia="zh-CN"/>
                    </w:rPr>
                    <w:t>重点防渗区：</w:t>
                  </w:r>
                  <w:r>
                    <w:rPr>
                      <w:rFonts w:hint="eastAsia" w:ascii="Times New Roman" w:hAnsi="Times New Roman" w:eastAsia="宋体" w:cs="Times New Roman"/>
                      <w:color w:val="auto"/>
                      <w:sz w:val="21"/>
                      <w:szCs w:val="21"/>
                      <w:lang w:val="en-US" w:eastAsia="zh-CN"/>
                    </w:rPr>
                    <w:t>危废库、低温电解液仓库、污水处理设施（池体）</w:t>
                  </w:r>
                  <w:r>
                    <w:rPr>
                      <w:rFonts w:hint="eastAsia" w:cs="Times New Roman"/>
                      <w:color w:val="auto"/>
                      <w:sz w:val="21"/>
                      <w:szCs w:val="21"/>
                      <w:lang w:val="en-US" w:eastAsia="zh-CN"/>
                    </w:rPr>
                    <w:t>、电解液间、电池拆解间、NMP暂存间</w:t>
                  </w:r>
                  <w:r>
                    <w:rPr>
                      <w:rFonts w:hint="eastAsia" w:ascii="Times New Roman" w:hAnsi="Times New Roman" w:eastAsia="宋体" w:cs="Times New Roman"/>
                      <w:color w:val="auto"/>
                      <w:sz w:val="21"/>
                      <w:szCs w:val="21"/>
                      <w:lang w:val="en-US" w:eastAsia="zh-CN"/>
                    </w:rPr>
                    <w:t>等，其中危</w:t>
                  </w:r>
                  <w:r>
                    <w:rPr>
                      <w:rFonts w:hint="eastAsia" w:cs="Times New Roman"/>
                      <w:color w:val="auto"/>
                      <w:sz w:val="21"/>
                      <w:szCs w:val="21"/>
                      <w:lang w:val="en-US" w:eastAsia="zh-CN"/>
                    </w:rPr>
                    <w:t>废</w:t>
                  </w:r>
                  <w:r>
                    <w:rPr>
                      <w:rFonts w:hint="eastAsia" w:ascii="Times New Roman" w:hAnsi="Times New Roman" w:eastAsia="宋体" w:cs="Times New Roman"/>
                      <w:color w:val="auto"/>
                      <w:sz w:val="21"/>
                      <w:szCs w:val="21"/>
                      <w:lang w:val="en-US" w:eastAsia="zh-CN"/>
                    </w:rPr>
                    <w:t>库、低温电解液仓库防渗系数K≤10</w:t>
                  </w:r>
                  <w:r>
                    <w:rPr>
                      <w:rFonts w:hint="eastAsia" w:ascii="Times New Roman" w:hAnsi="Times New Roman" w:eastAsia="宋体" w:cs="Times New Roman"/>
                      <w:color w:val="auto"/>
                      <w:sz w:val="21"/>
                      <w:szCs w:val="21"/>
                      <w:vertAlign w:val="superscript"/>
                      <w:lang w:val="en-US" w:eastAsia="zh-CN"/>
                    </w:rPr>
                    <w:t>-10</w:t>
                  </w:r>
                  <w:r>
                    <w:rPr>
                      <w:rFonts w:hint="eastAsia" w:ascii="Times New Roman" w:hAnsi="Times New Roman" w:eastAsia="宋体" w:cs="Times New Roman"/>
                      <w:color w:val="auto"/>
                      <w:sz w:val="21"/>
                      <w:szCs w:val="21"/>
                      <w:lang w:val="en-US" w:eastAsia="zh-CN"/>
                    </w:rPr>
                    <w:t>cm/s，其余重点防渗区</w:t>
                  </w:r>
                  <w:r>
                    <w:rPr>
                      <w:rFonts w:hint="default" w:ascii="Times New Roman" w:hAnsi="Times New Roman" w:eastAsia="宋体" w:cs="Times New Roman"/>
                      <w:color w:val="auto"/>
                      <w:sz w:val="21"/>
                      <w:szCs w:val="21"/>
                      <w:lang w:val="en-US" w:eastAsia="zh-CN"/>
                    </w:rPr>
                    <w:t>等效黏土防渗层Mb≥6.0m，K≤10</w:t>
                  </w:r>
                  <w:r>
                    <w:rPr>
                      <w:rFonts w:hint="default" w:ascii="Times New Roman" w:hAnsi="Times New Roman" w:eastAsia="宋体" w:cs="Times New Roman"/>
                      <w:color w:val="auto"/>
                      <w:sz w:val="21"/>
                      <w:szCs w:val="21"/>
                      <w:vertAlign w:val="superscript"/>
                      <w:lang w:val="en-US" w:eastAsia="zh-CN"/>
                    </w:rPr>
                    <w:t>-7</w:t>
                  </w:r>
                  <w:r>
                    <w:rPr>
                      <w:rFonts w:hint="default" w:ascii="Times New Roman" w:hAnsi="Times New Roman" w:eastAsia="宋体" w:cs="Times New Roman"/>
                      <w:color w:val="auto"/>
                      <w:sz w:val="21"/>
                      <w:szCs w:val="21"/>
                      <w:lang w:val="en-US" w:eastAsia="zh-CN"/>
                    </w:rPr>
                    <w:t>cm/s；或参照GB18598执行</w:t>
                  </w:r>
                  <w:r>
                    <w:rPr>
                      <w:rFonts w:hint="eastAsia" w:ascii="Times New Roman" w:hAnsi="Times New Roman" w:eastAsia="宋体" w:cs="Times New Roman"/>
                      <w:snapToGrid w:val="0"/>
                      <w:color w:val="auto"/>
                      <w:szCs w:val="21"/>
                      <w:highlight w:val="none"/>
                      <w:lang w:val="en-US" w:eastAsia="zh-CN"/>
                    </w:rPr>
                    <w:t>；</w:t>
                  </w:r>
                </w:p>
                <w:p w14:paraId="64544859">
                  <w:pPr>
                    <w:adjustRightInd w:val="0"/>
                    <w:snapToGrid w:val="0"/>
                    <w:spacing w:line="280" w:lineRule="exact"/>
                    <w:jc w:val="center"/>
                    <w:rPr>
                      <w:rFonts w:hint="eastAsia" w:ascii="Times New Roman" w:hAnsi="Times New Roman" w:eastAsia="宋体" w:cs="Times New Roman"/>
                      <w:snapToGrid w:val="0"/>
                      <w:color w:val="auto"/>
                      <w:szCs w:val="21"/>
                      <w:highlight w:val="none"/>
                      <w:lang w:eastAsia="zh-CN"/>
                    </w:rPr>
                  </w:pPr>
                  <w:r>
                    <w:rPr>
                      <w:rFonts w:hint="eastAsia" w:ascii="Times New Roman" w:hAnsi="Times New Roman" w:eastAsia="宋体" w:cs="Times New Roman"/>
                      <w:snapToGrid w:val="0"/>
                      <w:color w:val="auto"/>
                      <w:szCs w:val="21"/>
                      <w:highlight w:val="none"/>
                      <w:lang w:val="en-US" w:eastAsia="zh-CN"/>
                    </w:rPr>
                    <w:t>一般防渗：</w:t>
                  </w:r>
                  <w:r>
                    <w:rPr>
                      <w:rFonts w:hint="eastAsia" w:ascii="Times New Roman" w:hAnsi="Times New Roman" w:eastAsia="宋体" w:cs="Times New Roman"/>
                      <w:snapToGrid w:val="0"/>
                      <w:color w:val="auto"/>
                      <w:szCs w:val="21"/>
                      <w:highlight w:val="none"/>
                    </w:rPr>
                    <w:t>除重点防渗区和简单防渗区</w:t>
                  </w:r>
                  <w:r>
                    <w:rPr>
                      <w:rFonts w:hint="eastAsia" w:ascii="Times New Roman" w:hAnsi="Times New Roman" w:eastAsia="宋体" w:cs="Times New Roman"/>
                      <w:snapToGrid w:val="0"/>
                      <w:color w:val="auto"/>
                      <w:szCs w:val="21"/>
                      <w:highlight w:val="none"/>
                      <w:lang w:val="en-US" w:eastAsia="zh-CN"/>
                    </w:rPr>
                    <w:t>等区域</w:t>
                  </w:r>
                  <w:r>
                    <w:rPr>
                      <w:rFonts w:hint="eastAsia" w:cs="Times New Roman"/>
                      <w:snapToGrid w:val="0"/>
                      <w:color w:val="auto"/>
                      <w:szCs w:val="21"/>
                      <w:highlight w:val="none"/>
                      <w:lang w:val="en-US" w:eastAsia="zh-CN"/>
                    </w:rPr>
                    <w:t>，</w:t>
                  </w:r>
                  <w:r>
                    <w:rPr>
                      <w:rFonts w:hint="default" w:ascii="Times New Roman" w:hAnsi="Times New Roman" w:cs="Times New Roman"/>
                      <w:color w:val="auto"/>
                      <w:sz w:val="21"/>
                      <w:szCs w:val="21"/>
                      <w:lang w:val="en-US" w:eastAsia="zh-CN"/>
                    </w:rPr>
                    <w:t>参照《环境影响评价技术导则 地下水环境》（HJ 610-2016）中一般防渗区防渗技术要求，防渗系数达到Mb≥1.5m，K≤1×10</w:t>
                  </w:r>
                  <w:r>
                    <w:rPr>
                      <w:rFonts w:hint="default" w:ascii="Times New Roman" w:hAnsi="Times New Roman" w:cs="Times New Roman"/>
                      <w:color w:val="auto"/>
                      <w:sz w:val="21"/>
                      <w:szCs w:val="21"/>
                      <w:vertAlign w:val="superscript"/>
                      <w:lang w:val="en-US" w:eastAsia="zh-CN"/>
                    </w:rPr>
                    <w:t>-7</w:t>
                  </w:r>
                  <w:r>
                    <w:rPr>
                      <w:rFonts w:hint="default" w:ascii="Times New Roman" w:hAnsi="Times New Roman" w:cs="Times New Roman"/>
                      <w:color w:val="auto"/>
                      <w:sz w:val="21"/>
                      <w:szCs w:val="21"/>
                      <w:lang w:val="en-US" w:eastAsia="zh-CN"/>
                    </w:rPr>
                    <w:t>cm/s</w:t>
                  </w:r>
                  <w:r>
                    <w:rPr>
                      <w:rFonts w:hint="eastAsia" w:ascii="Times New Roman" w:hAnsi="Times New Roman" w:eastAsia="宋体" w:cs="Times New Roman"/>
                      <w:snapToGrid w:val="0"/>
                      <w:color w:val="auto"/>
                      <w:szCs w:val="21"/>
                      <w:highlight w:val="none"/>
                      <w:lang w:eastAsia="zh-CN"/>
                    </w:rPr>
                    <w:t>；</w:t>
                  </w:r>
                </w:p>
                <w:p w14:paraId="758FB918">
                  <w:pPr>
                    <w:adjustRightInd w:val="0"/>
                    <w:snapToGrid w:val="0"/>
                    <w:spacing w:line="280" w:lineRule="exact"/>
                    <w:jc w:val="both"/>
                    <w:rPr>
                      <w:rFonts w:hint="default" w:ascii="Times New Roman" w:hAnsi="Times New Roman" w:eastAsia="宋体" w:cs="Times New Roman"/>
                      <w:snapToGrid w:val="0"/>
                      <w:color w:val="auto"/>
                      <w:szCs w:val="21"/>
                      <w:highlight w:val="none"/>
                      <w:lang w:val="en-US" w:eastAsia="zh-CN"/>
                    </w:rPr>
                  </w:pPr>
                  <w:r>
                    <w:rPr>
                      <w:rFonts w:hint="eastAsia" w:ascii="Times New Roman" w:hAnsi="Times New Roman" w:eastAsia="宋体" w:cs="Times New Roman"/>
                      <w:snapToGrid w:val="0"/>
                      <w:color w:val="auto"/>
                      <w:szCs w:val="21"/>
                      <w:highlight w:val="none"/>
                      <w:lang w:val="en-US" w:eastAsia="zh-CN"/>
                    </w:rPr>
                    <w:t>简单防渗：</w:t>
                  </w:r>
                  <w:r>
                    <w:rPr>
                      <w:rFonts w:hint="eastAsia" w:cs="Times New Roman"/>
                      <w:snapToGrid w:val="0"/>
                      <w:color w:val="auto"/>
                      <w:szCs w:val="21"/>
                      <w:highlight w:val="none"/>
                      <w:lang w:val="en-US" w:eastAsia="zh-CN"/>
                    </w:rPr>
                    <w:t>门卫室，水泥地面硬化</w:t>
                  </w:r>
                  <w:r>
                    <w:rPr>
                      <w:rFonts w:hint="eastAsia" w:ascii="Times New Roman" w:hAnsi="Times New Roman" w:eastAsia="宋体" w:cs="Times New Roman"/>
                      <w:snapToGrid w:val="0"/>
                      <w:color w:val="auto"/>
                      <w:szCs w:val="21"/>
                      <w:highlight w:val="none"/>
                      <w:lang w:val="en-US" w:eastAsia="zh-CN"/>
                    </w:rPr>
                    <w:t>。</w:t>
                  </w:r>
                </w:p>
              </w:tc>
              <w:tc>
                <w:tcPr>
                  <w:tcW w:w="1087" w:type="dxa"/>
                  <w:shd w:val="clear" w:color="auto" w:fill="auto"/>
                  <w:noWrap w:val="0"/>
                  <w:vAlign w:val="center"/>
                </w:tcPr>
                <w:p w14:paraId="008F7AFB">
                  <w:pPr>
                    <w:adjustRightInd w:val="0"/>
                    <w:snapToGrid w:val="0"/>
                    <w:spacing w:line="280" w:lineRule="exact"/>
                    <w:jc w:val="center"/>
                    <w:rPr>
                      <w:rFonts w:hint="default" w:ascii="Times New Roman" w:hAnsi="Times New Roman" w:eastAsia="宋体"/>
                      <w:color w:val="auto"/>
                      <w:kern w:val="0"/>
                      <w:szCs w:val="21"/>
                      <w:highlight w:val="none"/>
                      <w:lang w:val="en-US" w:eastAsia="zh-CN"/>
                    </w:rPr>
                  </w:pPr>
                  <w:r>
                    <w:rPr>
                      <w:rFonts w:hint="eastAsia"/>
                      <w:color w:val="auto"/>
                      <w:kern w:val="0"/>
                      <w:szCs w:val="21"/>
                      <w:highlight w:val="none"/>
                      <w:lang w:val="en-US" w:eastAsia="zh-CN"/>
                    </w:rPr>
                    <w:t>45.0</w:t>
                  </w:r>
                </w:p>
              </w:tc>
              <w:tc>
                <w:tcPr>
                  <w:tcW w:w="759" w:type="dxa"/>
                  <w:shd w:val="clear" w:color="auto" w:fill="auto"/>
                  <w:noWrap w:val="0"/>
                  <w:vAlign w:val="center"/>
                </w:tcPr>
                <w:p w14:paraId="1E8233F7">
                  <w:pPr>
                    <w:adjustRightInd w:val="0"/>
                    <w:snapToGrid w:val="0"/>
                    <w:spacing w:line="280" w:lineRule="exact"/>
                    <w:jc w:val="center"/>
                    <w:rPr>
                      <w:rFonts w:hint="eastAsia" w:ascii="Times New Roman" w:hAnsi="Times New Roman" w:eastAsia="宋体"/>
                      <w:color w:val="auto"/>
                      <w:kern w:val="0"/>
                      <w:szCs w:val="21"/>
                      <w:highlight w:val="none"/>
                      <w:lang w:eastAsia="zh-CN"/>
                    </w:rPr>
                  </w:pPr>
                  <w:r>
                    <w:rPr>
                      <w:rFonts w:hint="eastAsia" w:ascii="Times New Roman" w:hAnsi="Times New Roman"/>
                      <w:color w:val="auto"/>
                      <w:kern w:val="0"/>
                      <w:szCs w:val="21"/>
                      <w:highlight w:val="none"/>
                      <w:lang w:val="en-US" w:eastAsia="zh-CN"/>
                    </w:rPr>
                    <w:t>改造</w:t>
                  </w:r>
                </w:p>
              </w:tc>
            </w:tr>
            <w:tr w14:paraId="280FF7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674" w:type="dxa"/>
                  <w:vMerge w:val="continue"/>
                  <w:shd w:val="clear" w:color="auto" w:fill="auto"/>
                  <w:noWrap w:val="0"/>
                  <w:vAlign w:val="center"/>
                </w:tcPr>
                <w:p w14:paraId="68BCBBFD">
                  <w:pPr>
                    <w:adjustRightInd w:val="0"/>
                    <w:snapToGrid w:val="0"/>
                    <w:spacing w:line="280" w:lineRule="exact"/>
                    <w:jc w:val="center"/>
                    <w:rPr>
                      <w:rFonts w:hint="eastAsia" w:ascii="Times New Roman" w:hAnsi="Times New Roman"/>
                      <w:color w:val="auto"/>
                      <w:kern w:val="0"/>
                      <w:szCs w:val="21"/>
                      <w:highlight w:val="none"/>
                    </w:rPr>
                  </w:pPr>
                </w:p>
              </w:tc>
              <w:tc>
                <w:tcPr>
                  <w:tcW w:w="900" w:type="dxa"/>
                  <w:vMerge w:val="restart"/>
                  <w:shd w:val="clear" w:color="auto" w:fill="auto"/>
                  <w:noWrap w:val="0"/>
                  <w:vAlign w:val="center"/>
                </w:tcPr>
                <w:p w14:paraId="6B89D8D7">
                  <w:pPr>
                    <w:adjustRightInd w:val="0"/>
                    <w:snapToGrid w:val="0"/>
                    <w:spacing w:line="280" w:lineRule="exact"/>
                    <w:jc w:val="center"/>
                    <w:rPr>
                      <w:rFonts w:hint="default" w:ascii="Times New Roman" w:hAnsi="Times New Roman" w:eastAsia="宋体"/>
                      <w:color w:val="auto"/>
                      <w:kern w:val="0"/>
                      <w:szCs w:val="21"/>
                      <w:highlight w:val="none"/>
                      <w:lang w:val="en-US" w:eastAsia="zh-CN"/>
                    </w:rPr>
                  </w:pPr>
                  <w:r>
                    <w:rPr>
                      <w:rFonts w:hint="eastAsia"/>
                      <w:color w:val="auto"/>
                      <w:kern w:val="0"/>
                      <w:szCs w:val="21"/>
                      <w:highlight w:val="none"/>
                      <w:lang w:val="en-US" w:eastAsia="zh-CN"/>
                    </w:rPr>
                    <w:t>环境风险防范措施</w:t>
                  </w:r>
                </w:p>
              </w:tc>
              <w:tc>
                <w:tcPr>
                  <w:tcW w:w="4467" w:type="dxa"/>
                  <w:gridSpan w:val="2"/>
                  <w:shd w:val="clear" w:color="auto" w:fill="auto"/>
                  <w:noWrap w:val="0"/>
                  <w:vAlign w:val="center"/>
                </w:tcPr>
                <w:p w14:paraId="0FF116BE">
                  <w:pPr>
                    <w:adjustRightInd w:val="0"/>
                    <w:snapToGrid w:val="0"/>
                    <w:spacing w:line="280" w:lineRule="exact"/>
                    <w:jc w:val="center"/>
                    <w:rPr>
                      <w:rFonts w:hint="default" w:ascii="Times New Roman" w:eastAsia="宋体"/>
                      <w:bCs/>
                      <w:color w:val="auto"/>
                      <w:szCs w:val="21"/>
                      <w:highlight w:val="none"/>
                      <w:lang w:val="en-US" w:eastAsia="zh-CN"/>
                    </w:rPr>
                  </w:pPr>
                  <w:r>
                    <w:rPr>
                      <w:rFonts w:hint="eastAsia"/>
                      <w:snapToGrid w:val="0"/>
                      <w:color w:val="auto"/>
                      <w:szCs w:val="21"/>
                      <w:highlight w:val="none"/>
                      <w:lang w:val="en-US" w:eastAsia="zh-CN"/>
                    </w:rPr>
                    <w:t>NMP储罐区、危废库，NMP储罐区、危废库四周设置围堰</w:t>
                  </w:r>
                </w:p>
              </w:tc>
              <w:tc>
                <w:tcPr>
                  <w:tcW w:w="1087" w:type="dxa"/>
                  <w:shd w:val="clear" w:color="auto" w:fill="auto"/>
                  <w:noWrap w:val="0"/>
                  <w:vAlign w:val="center"/>
                </w:tcPr>
                <w:p w14:paraId="11D37E07">
                  <w:pPr>
                    <w:adjustRightInd w:val="0"/>
                    <w:snapToGrid w:val="0"/>
                    <w:spacing w:line="280" w:lineRule="exact"/>
                    <w:jc w:val="center"/>
                    <w:rPr>
                      <w:rFonts w:hint="default" w:ascii="Times New Roman" w:hAnsi="Times New Roman" w:eastAsia="宋体"/>
                      <w:color w:val="auto"/>
                      <w:kern w:val="0"/>
                      <w:szCs w:val="21"/>
                      <w:highlight w:val="none"/>
                      <w:lang w:val="en-US" w:eastAsia="zh-CN"/>
                    </w:rPr>
                  </w:pPr>
                  <w:r>
                    <w:rPr>
                      <w:rFonts w:hint="eastAsia"/>
                      <w:color w:val="auto"/>
                      <w:kern w:val="0"/>
                      <w:szCs w:val="21"/>
                      <w:highlight w:val="none"/>
                      <w:lang w:val="en-US" w:eastAsia="zh-CN"/>
                    </w:rPr>
                    <w:t>50.0</w:t>
                  </w:r>
                </w:p>
              </w:tc>
              <w:tc>
                <w:tcPr>
                  <w:tcW w:w="759" w:type="dxa"/>
                  <w:shd w:val="clear" w:color="auto" w:fill="auto"/>
                  <w:noWrap w:val="0"/>
                  <w:vAlign w:val="center"/>
                </w:tcPr>
                <w:p w14:paraId="63ACEE0B">
                  <w:pPr>
                    <w:adjustRightInd w:val="0"/>
                    <w:snapToGrid w:val="0"/>
                    <w:spacing w:line="280" w:lineRule="exact"/>
                    <w:jc w:val="center"/>
                    <w:rPr>
                      <w:rFonts w:hint="eastAsia" w:ascii="Times New Roman" w:hAnsi="Times New Roman" w:eastAsia="宋体"/>
                      <w:color w:val="auto"/>
                      <w:kern w:val="0"/>
                      <w:szCs w:val="21"/>
                      <w:highlight w:val="none"/>
                      <w:lang w:eastAsia="zh-CN"/>
                    </w:rPr>
                  </w:pPr>
                  <w:r>
                    <w:rPr>
                      <w:rFonts w:hint="eastAsia" w:ascii="Times New Roman" w:hAnsi="Times New Roman"/>
                      <w:color w:val="auto"/>
                      <w:kern w:val="0"/>
                      <w:szCs w:val="21"/>
                      <w:highlight w:val="none"/>
                      <w:lang w:val="en-US" w:eastAsia="zh-CN"/>
                    </w:rPr>
                    <w:t>新建</w:t>
                  </w:r>
                </w:p>
              </w:tc>
            </w:tr>
            <w:tr w14:paraId="4E3934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674" w:type="dxa"/>
                  <w:vMerge w:val="continue"/>
                  <w:shd w:val="clear" w:color="auto" w:fill="auto"/>
                  <w:noWrap w:val="0"/>
                  <w:vAlign w:val="center"/>
                </w:tcPr>
                <w:p w14:paraId="3D9EC1B7">
                  <w:pPr>
                    <w:adjustRightInd w:val="0"/>
                    <w:snapToGrid w:val="0"/>
                    <w:spacing w:line="280" w:lineRule="exact"/>
                    <w:jc w:val="center"/>
                    <w:rPr>
                      <w:rFonts w:hint="eastAsia" w:ascii="Times New Roman" w:hAnsi="Times New Roman"/>
                      <w:color w:val="auto"/>
                      <w:kern w:val="0"/>
                      <w:szCs w:val="21"/>
                      <w:highlight w:val="none"/>
                    </w:rPr>
                  </w:pPr>
                </w:p>
              </w:tc>
              <w:tc>
                <w:tcPr>
                  <w:tcW w:w="900" w:type="dxa"/>
                  <w:vMerge w:val="continue"/>
                  <w:shd w:val="clear" w:color="auto" w:fill="auto"/>
                  <w:noWrap w:val="0"/>
                  <w:vAlign w:val="center"/>
                </w:tcPr>
                <w:p w14:paraId="3F75E94B">
                  <w:pPr>
                    <w:adjustRightInd w:val="0"/>
                    <w:snapToGrid w:val="0"/>
                    <w:spacing w:line="280" w:lineRule="exact"/>
                    <w:jc w:val="center"/>
                    <w:rPr>
                      <w:rFonts w:hint="eastAsia" w:ascii="Times New Roman" w:hAnsi="Times New Roman"/>
                      <w:color w:val="auto"/>
                      <w:kern w:val="0"/>
                      <w:szCs w:val="21"/>
                      <w:highlight w:val="none"/>
                    </w:rPr>
                  </w:pPr>
                </w:p>
              </w:tc>
              <w:tc>
                <w:tcPr>
                  <w:tcW w:w="4467" w:type="dxa"/>
                  <w:gridSpan w:val="2"/>
                  <w:shd w:val="clear" w:color="auto" w:fill="auto"/>
                  <w:noWrap w:val="0"/>
                  <w:vAlign w:val="center"/>
                </w:tcPr>
                <w:p w14:paraId="348DD297">
                  <w:pPr>
                    <w:adjustRightInd w:val="0"/>
                    <w:snapToGrid w:val="0"/>
                    <w:spacing w:line="280" w:lineRule="exact"/>
                    <w:jc w:val="center"/>
                    <w:rPr>
                      <w:rFonts w:hint="default" w:ascii="Times New Roman" w:eastAsia="宋体"/>
                      <w:snapToGrid w:val="0"/>
                      <w:color w:val="auto"/>
                      <w:szCs w:val="21"/>
                      <w:highlight w:val="none"/>
                      <w:lang w:val="en-US" w:eastAsia="zh-CN"/>
                    </w:rPr>
                  </w:pPr>
                  <w:r>
                    <w:rPr>
                      <w:rFonts w:hint="eastAsia"/>
                      <w:snapToGrid w:val="0"/>
                      <w:color w:val="auto"/>
                      <w:szCs w:val="21"/>
                      <w:highlight w:val="none"/>
                      <w:lang w:val="en-US" w:eastAsia="zh-CN"/>
                    </w:rPr>
                    <w:t>建立健全各项环保管理制度、安全生产管理制度等，制定应急预案，定期组织演练，配套设置灭火器等</w:t>
                  </w:r>
                </w:p>
              </w:tc>
              <w:tc>
                <w:tcPr>
                  <w:tcW w:w="1087" w:type="dxa"/>
                  <w:shd w:val="clear" w:color="auto" w:fill="auto"/>
                  <w:noWrap w:val="0"/>
                  <w:vAlign w:val="center"/>
                </w:tcPr>
                <w:p w14:paraId="4DCD8278">
                  <w:pPr>
                    <w:adjustRightInd w:val="0"/>
                    <w:snapToGrid w:val="0"/>
                    <w:spacing w:line="280" w:lineRule="exact"/>
                    <w:jc w:val="center"/>
                    <w:rPr>
                      <w:rFonts w:hint="default" w:ascii="Times New Roman" w:hAnsi="Times New Roman"/>
                      <w:color w:val="auto"/>
                      <w:kern w:val="0"/>
                      <w:szCs w:val="21"/>
                      <w:highlight w:val="none"/>
                      <w:lang w:val="en-US" w:eastAsia="zh-CN"/>
                    </w:rPr>
                  </w:pPr>
                  <w:r>
                    <w:rPr>
                      <w:rFonts w:hint="eastAsia"/>
                      <w:color w:val="auto"/>
                      <w:kern w:val="0"/>
                      <w:szCs w:val="21"/>
                      <w:highlight w:val="none"/>
                      <w:lang w:val="en-US" w:eastAsia="zh-CN"/>
                    </w:rPr>
                    <w:t>30.0</w:t>
                  </w:r>
                </w:p>
              </w:tc>
              <w:tc>
                <w:tcPr>
                  <w:tcW w:w="759" w:type="dxa"/>
                  <w:shd w:val="clear" w:color="auto" w:fill="auto"/>
                  <w:noWrap w:val="0"/>
                  <w:vAlign w:val="center"/>
                </w:tcPr>
                <w:p w14:paraId="2C13D28D">
                  <w:pPr>
                    <w:adjustRightInd w:val="0"/>
                    <w:snapToGrid w:val="0"/>
                    <w:spacing w:line="280" w:lineRule="exact"/>
                    <w:jc w:val="center"/>
                    <w:rPr>
                      <w:rFonts w:hint="default" w:ascii="Times New Roman" w:hAnsi="Times New Roman"/>
                      <w:color w:val="auto"/>
                      <w:kern w:val="0"/>
                      <w:szCs w:val="21"/>
                      <w:highlight w:val="none"/>
                      <w:lang w:val="en-US" w:eastAsia="zh-CN"/>
                    </w:rPr>
                  </w:pPr>
                  <w:r>
                    <w:rPr>
                      <w:rFonts w:hint="eastAsia"/>
                      <w:color w:val="auto"/>
                      <w:kern w:val="0"/>
                      <w:szCs w:val="21"/>
                      <w:highlight w:val="none"/>
                      <w:lang w:val="en-US" w:eastAsia="zh-CN"/>
                    </w:rPr>
                    <w:t>新建</w:t>
                  </w:r>
                </w:p>
              </w:tc>
            </w:tr>
            <w:tr w14:paraId="0530D8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674" w:type="dxa"/>
                  <w:vMerge w:val="continue"/>
                  <w:shd w:val="clear" w:color="auto" w:fill="auto"/>
                  <w:noWrap w:val="0"/>
                  <w:vAlign w:val="center"/>
                </w:tcPr>
                <w:p w14:paraId="5CFAA335">
                  <w:pPr>
                    <w:adjustRightInd w:val="0"/>
                    <w:snapToGrid w:val="0"/>
                    <w:spacing w:line="280" w:lineRule="exact"/>
                    <w:jc w:val="center"/>
                    <w:rPr>
                      <w:rFonts w:hint="eastAsia" w:ascii="Times New Roman" w:hAnsi="Times New Roman"/>
                      <w:color w:val="auto"/>
                      <w:kern w:val="0"/>
                      <w:szCs w:val="21"/>
                      <w:highlight w:val="none"/>
                    </w:rPr>
                  </w:pPr>
                </w:p>
              </w:tc>
              <w:tc>
                <w:tcPr>
                  <w:tcW w:w="900" w:type="dxa"/>
                  <w:shd w:val="clear" w:color="auto" w:fill="auto"/>
                  <w:noWrap w:val="0"/>
                  <w:vAlign w:val="center"/>
                </w:tcPr>
                <w:p w14:paraId="6C818299">
                  <w:pPr>
                    <w:adjustRightInd w:val="0"/>
                    <w:snapToGrid w:val="0"/>
                    <w:spacing w:line="280" w:lineRule="exact"/>
                    <w:jc w:val="center"/>
                    <w:rPr>
                      <w:rFonts w:hint="default" w:ascii="Times New Roman" w:hAnsi="Times New Roman" w:eastAsia="宋体"/>
                      <w:color w:val="auto"/>
                      <w:kern w:val="0"/>
                      <w:szCs w:val="21"/>
                      <w:highlight w:val="none"/>
                      <w:lang w:val="en-US" w:eastAsia="zh-CN"/>
                    </w:rPr>
                  </w:pPr>
                  <w:r>
                    <w:rPr>
                      <w:rFonts w:hint="eastAsia"/>
                      <w:color w:val="auto"/>
                      <w:kern w:val="0"/>
                      <w:szCs w:val="21"/>
                      <w:highlight w:val="none"/>
                      <w:lang w:val="en-US" w:eastAsia="zh-CN"/>
                    </w:rPr>
                    <w:t>环境管理</w:t>
                  </w:r>
                </w:p>
              </w:tc>
              <w:tc>
                <w:tcPr>
                  <w:tcW w:w="4467" w:type="dxa"/>
                  <w:gridSpan w:val="2"/>
                  <w:shd w:val="clear" w:color="auto" w:fill="auto"/>
                  <w:noWrap w:val="0"/>
                  <w:vAlign w:val="center"/>
                </w:tcPr>
                <w:p w14:paraId="41FB5246">
                  <w:pPr>
                    <w:adjustRightInd w:val="0"/>
                    <w:snapToGrid w:val="0"/>
                    <w:spacing w:line="280" w:lineRule="exact"/>
                    <w:jc w:val="center"/>
                    <w:rPr>
                      <w:rFonts w:hint="default" w:ascii="Times New Roman" w:eastAsia="宋体"/>
                      <w:snapToGrid w:val="0"/>
                      <w:color w:val="auto"/>
                      <w:szCs w:val="21"/>
                      <w:highlight w:val="none"/>
                      <w:lang w:val="en-US" w:eastAsia="zh-CN"/>
                    </w:rPr>
                  </w:pPr>
                  <w:r>
                    <w:rPr>
                      <w:rFonts w:hint="eastAsia"/>
                      <w:snapToGrid w:val="0"/>
                      <w:color w:val="auto"/>
                      <w:szCs w:val="21"/>
                      <w:highlight w:val="none"/>
                      <w:lang w:val="en-US" w:eastAsia="zh-CN"/>
                    </w:rPr>
                    <w:t>加强环境管理，定期对设备进行维护，设立标识牌</w:t>
                  </w:r>
                </w:p>
              </w:tc>
              <w:tc>
                <w:tcPr>
                  <w:tcW w:w="1087" w:type="dxa"/>
                  <w:shd w:val="clear" w:color="auto" w:fill="auto"/>
                  <w:noWrap w:val="0"/>
                  <w:vAlign w:val="center"/>
                </w:tcPr>
                <w:p w14:paraId="202D4164">
                  <w:pPr>
                    <w:adjustRightInd w:val="0"/>
                    <w:snapToGrid w:val="0"/>
                    <w:spacing w:line="280" w:lineRule="exact"/>
                    <w:jc w:val="center"/>
                    <w:rPr>
                      <w:rFonts w:hint="default" w:ascii="Times New Roman" w:hAnsi="Times New Roman"/>
                      <w:color w:val="auto"/>
                      <w:kern w:val="0"/>
                      <w:szCs w:val="21"/>
                      <w:highlight w:val="none"/>
                      <w:lang w:val="en-US" w:eastAsia="zh-CN"/>
                    </w:rPr>
                  </w:pPr>
                  <w:r>
                    <w:rPr>
                      <w:rFonts w:hint="eastAsia"/>
                      <w:color w:val="auto"/>
                      <w:kern w:val="0"/>
                      <w:szCs w:val="21"/>
                      <w:highlight w:val="none"/>
                      <w:lang w:val="en-US" w:eastAsia="zh-CN"/>
                    </w:rPr>
                    <w:t>20.0</w:t>
                  </w:r>
                </w:p>
              </w:tc>
              <w:tc>
                <w:tcPr>
                  <w:tcW w:w="759" w:type="dxa"/>
                  <w:shd w:val="clear" w:color="auto" w:fill="auto"/>
                  <w:noWrap w:val="0"/>
                  <w:vAlign w:val="center"/>
                </w:tcPr>
                <w:p w14:paraId="5A5E8186">
                  <w:pPr>
                    <w:adjustRightInd w:val="0"/>
                    <w:snapToGrid w:val="0"/>
                    <w:spacing w:line="280" w:lineRule="exact"/>
                    <w:jc w:val="center"/>
                    <w:rPr>
                      <w:rFonts w:hint="eastAsia" w:ascii="Times New Roman" w:hAnsi="Times New Roman"/>
                      <w:color w:val="auto"/>
                      <w:kern w:val="0"/>
                      <w:szCs w:val="21"/>
                      <w:highlight w:val="none"/>
                      <w:lang w:val="en-US" w:eastAsia="zh-CN"/>
                    </w:rPr>
                  </w:pPr>
                  <w:r>
                    <w:rPr>
                      <w:rFonts w:hint="eastAsia" w:ascii="Times New Roman" w:hAnsi="Times New Roman"/>
                      <w:color w:val="auto"/>
                      <w:kern w:val="0"/>
                      <w:szCs w:val="21"/>
                      <w:highlight w:val="none"/>
                      <w:lang w:val="en-US" w:eastAsia="zh-CN"/>
                    </w:rPr>
                    <w:t>新建</w:t>
                  </w:r>
                </w:p>
              </w:tc>
            </w:tr>
            <w:tr w14:paraId="272DFF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674" w:type="dxa"/>
                  <w:vMerge w:val="continue"/>
                  <w:shd w:val="clear" w:color="auto" w:fill="auto"/>
                  <w:noWrap w:val="0"/>
                  <w:vAlign w:val="center"/>
                </w:tcPr>
                <w:p w14:paraId="72D0B363">
                  <w:pPr>
                    <w:adjustRightInd w:val="0"/>
                    <w:snapToGrid w:val="0"/>
                    <w:spacing w:line="280" w:lineRule="exact"/>
                    <w:jc w:val="center"/>
                    <w:rPr>
                      <w:rFonts w:hint="eastAsia" w:ascii="Times New Roman" w:hAnsi="Times New Roman"/>
                      <w:color w:val="auto"/>
                      <w:kern w:val="0"/>
                      <w:szCs w:val="21"/>
                      <w:highlight w:val="none"/>
                    </w:rPr>
                  </w:pPr>
                </w:p>
              </w:tc>
              <w:tc>
                <w:tcPr>
                  <w:tcW w:w="900" w:type="dxa"/>
                  <w:shd w:val="clear" w:color="auto" w:fill="auto"/>
                  <w:noWrap w:val="0"/>
                  <w:vAlign w:val="center"/>
                </w:tcPr>
                <w:p w14:paraId="48589EA3">
                  <w:pPr>
                    <w:adjustRightInd w:val="0"/>
                    <w:snapToGrid w:val="0"/>
                    <w:spacing w:line="280" w:lineRule="exact"/>
                    <w:jc w:val="center"/>
                    <w:rPr>
                      <w:rFonts w:hint="eastAsia" w:ascii="Times New Roman" w:hAnsi="Times New Roman"/>
                      <w:color w:val="auto"/>
                      <w:kern w:val="0"/>
                      <w:szCs w:val="21"/>
                      <w:highlight w:val="none"/>
                      <w:lang w:val="en-US" w:eastAsia="zh-CN"/>
                    </w:rPr>
                  </w:pPr>
                  <w:r>
                    <w:rPr>
                      <w:rFonts w:hint="eastAsia" w:ascii="Times New Roman" w:hAnsi="Times New Roman"/>
                      <w:color w:val="auto"/>
                      <w:kern w:val="0"/>
                      <w:szCs w:val="21"/>
                      <w:highlight w:val="none"/>
                      <w:lang w:val="en-US" w:eastAsia="zh-CN"/>
                    </w:rPr>
                    <w:t>环境监测</w:t>
                  </w:r>
                </w:p>
              </w:tc>
              <w:tc>
                <w:tcPr>
                  <w:tcW w:w="4467" w:type="dxa"/>
                  <w:gridSpan w:val="2"/>
                  <w:shd w:val="clear" w:color="auto" w:fill="auto"/>
                  <w:noWrap w:val="0"/>
                  <w:vAlign w:val="center"/>
                </w:tcPr>
                <w:p w14:paraId="6DAC33F9">
                  <w:pPr>
                    <w:adjustRightInd w:val="0"/>
                    <w:snapToGrid w:val="0"/>
                    <w:spacing w:line="280" w:lineRule="exact"/>
                    <w:jc w:val="center"/>
                    <w:rPr>
                      <w:rFonts w:hint="default" w:ascii="Times New Roman"/>
                      <w:snapToGrid w:val="0"/>
                      <w:color w:val="auto"/>
                      <w:szCs w:val="21"/>
                      <w:highlight w:val="none"/>
                      <w:lang w:val="en-US" w:eastAsia="zh-CN"/>
                    </w:rPr>
                  </w:pPr>
                  <w:r>
                    <w:rPr>
                      <w:rFonts w:hint="eastAsia" w:ascii="Times New Roman"/>
                      <w:snapToGrid w:val="0"/>
                      <w:color w:val="auto"/>
                      <w:szCs w:val="21"/>
                      <w:highlight w:val="none"/>
                      <w:lang w:val="en-US" w:eastAsia="zh-CN"/>
                    </w:rPr>
                    <w:t>排污口规范化建设、设置标识标牌、定期进行监测</w:t>
                  </w:r>
                </w:p>
              </w:tc>
              <w:tc>
                <w:tcPr>
                  <w:tcW w:w="1087" w:type="dxa"/>
                  <w:shd w:val="clear" w:color="auto" w:fill="auto"/>
                  <w:noWrap w:val="0"/>
                  <w:vAlign w:val="center"/>
                </w:tcPr>
                <w:p w14:paraId="501649AF">
                  <w:pPr>
                    <w:adjustRightInd w:val="0"/>
                    <w:snapToGrid w:val="0"/>
                    <w:spacing w:line="280" w:lineRule="exact"/>
                    <w:jc w:val="center"/>
                    <w:rPr>
                      <w:rFonts w:hint="default" w:ascii="Times New Roman" w:hAnsi="Times New Roman"/>
                      <w:color w:val="auto"/>
                      <w:kern w:val="0"/>
                      <w:szCs w:val="21"/>
                      <w:highlight w:val="none"/>
                      <w:lang w:val="en-US" w:eastAsia="zh-CN"/>
                    </w:rPr>
                  </w:pPr>
                  <w:r>
                    <w:rPr>
                      <w:rFonts w:hint="eastAsia"/>
                      <w:color w:val="auto"/>
                      <w:kern w:val="0"/>
                      <w:szCs w:val="21"/>
                      <w:highlight w:val="none"/>
                      <w:lang w:val="en-US" w:eastAsia="zh-CN"/>
                    </w:rPr>
                    <w:t>20.0</w:t>
                  </w:r>
                </w:p>
              </w:tc>
              <w:tc>
                <w:tcPr>
                  <w:tcW w:w="759" w:type="dxa"/>
                  <w:shd w:val="clear" w:color="auto" w:fill="auto"/>
                  <w:noWrap w:val="0"/>
                  <w:vAlign w:val="center"/>
                </w:tcPr>
                <w:p w14:paraId="0EF9CACC">
                  <w:pPr>
                    <w:adjustRightInd w:val="0"/>
                    <w:snapToGrid w:val="0"/>
                    <w:spacing w:line="280" w:lineRule="exact"/>
                    <w:jc w:val="center"/>
                    <w:rPr>
                      <w:rFonts w:hint="default" w:ascii="Times New Roman" w:hAnsi="Times New Roman"/>
                      <w:color w:val="auto"/>
                      <w:kern w:val="0"/>
                      <w:szCs w:val="21"/>
                      <w:highlight w:val="none"/>
                      <w:lang w:val="en-US" w:eastAsia="zh-CN"/>
                    </w:rPr>
                  </w:pPr>
                  <w:r>
                    <w:rPr>
                      <w:rFonts w:hint="eastAsia"/>
                      <w:color w:val="auto"/>
                      <w:kern w:val="0"/>
                      <w:szCs w:val="21"/>
                      <w:highlight w:val="none"/>
                      <w:lang w:val="en-US" w:eastAsia="zh-CN"/>
                    </w:rPr>
                    <w:t>新建</w:t>
                  </w:r>
                </w:p>
              </w:tc>
            </w:tr>
            <w:tr w14:paraId="2FDFF0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674" w:type="dxa"/>
                  <w:vMerge w:val="continue"/>
                  <w:shd w:val="clear" w:color="auto" w:fill="auto"/>
                  <w:noWrap w:val="0"/>
                  <w:vAlign w:val="center"/>
                </w:tcPr>
                <w:p w14:paraId="4514B77B">
                  <w:pPr>
                    <w:adjustRightInd w:val="0"/>
                    <w:snapToGrid w:val="0"/>
                    <w:spacing w:line="280" w:lineRule="exact"/>
                    <w:jc w:val="center"/>
                    <w:rPr>
                      <w:rFonts w:hint="eastAsia" w:ascii="Times New Roman" w:hAnsi="Times New Roman"/>
                      <w:color w:val="auto"/>
                      <w:kern w:val="0"/>
                      <w:szCs w:val="21"/>
                      <w:highlight w:val="none"/>
                      <w:lang w:val="en-US" w:eastAsia="zh-CN"/>
                    </w:rPr>
                  </w:pPr>
                </w:p>
              </w:tc>
              <w:tc>
                <w:tcPr>
                  <w:tcW w:w="5367" w:type="dxa"/>
                  <w:gridSpan w:val="3"/>
                  <w:shd w:val="clear" w:color="auto" w:fill="auto"/>
                  <w:noWrap w:val="0"/>
                  <w:vAlign w:val="center"/>
                </w:tcPr>
                <w:p w14:paraId="23F4CB3E">
                  <w:pPr>
                    <w:adjustRightInd w:val="0"/>
                    <w:snapToGrid w:val="0"/>
                    <w:spacing w:line="280" w:lineRule="exact"/>
                    <w:jc w:val="center"/>
                    <w:rPr>
                      <w:rFonts w:hint="default" w:ascii="Times New Roman" w:eastAsia="宋体"/>
                      <w:snapToGrid w:val="0"/>
                      <w:color w:val="auto"/>
                      <w:szCs w:val="21"/>
                      <w:highlight w:val="none"/>
                      <w:lang w:val="en-US" w:eastAsia="zh-CN"/>
                    </w:rPr>
                  </w:pPr>
                  <w:r>
                    <w:rPr>
                      <w:rFonts w:hint="eastAsia" w:ascii="Times New Roman"/>
                      <w:snapToGrid w:val="0"/>
                      <w:color w:val="auto"/>
                      <w:szCs w:val="21"/>
                      <w:highlight w:val="none"/>
                    </w:rPr>
                    <w:t>合计</w:t>
                  </w:r>
                </w:p>
              </w:tc>
              <w:tc>
                <w:tcPr>
                  <w:tcW w:w="1087" w:type="dxa"/>
                  <w:shd w:val="clear" w:color="auto" w:fill="auto"/>
                  <w:noWrap w:val="0"/>
                  <w:vAlign w:val="center"/>
                </w:tcPr>
                <w:p w14:paraId="5164DF5D">
                  <w:pPr>
                    <w:adjustRightInd w:val="0"/>
                    <w:snapToGrid w:val="0"/>
                    <w:spacing w:line="280" w:lineRule="exact"/>
                    <w:jc w:val="center"/>
                    <w:rPr>
                      <w:rFonts w:hint="default" w:ascii="Times New Roman" w:hAnsi="Times New Roman" w:eastAsia="宋体"/>
                      <w:color w:val="auto"/>
                      <w:kern w:val="0"/>
                      <w:szCs w:val="21"/>
                      <w:highlight w:val="none"/>
                      <w:lang w:val="en-US" w:eastAsia="zh-CN"/>
                    </w:rPr>
                  </w:pPr>
                  <w:r>
                    <w:rPr>
                      <w:rFonts w:hint="eastAsia"/>
                      <w:color w:val="auto"/>
                      <w:kern w:val="0"/>
                      <w:szCs w:val="21"/>
                      <w:highlight w:val="none"/>
                      <w:lang w:val="en-US" w:eastAsia="zh-CN"/>
                    </w:rPr>
                    <w:t>600.0</w:t>
                  </w:r>
                </w:p>
              </w:tc>
              <w:tc>
                <w:tcPr>
                  <w:tcW w:w="759" w:type="dxa"/>
                  <w:shd w:val="clear" w:color="auto" w:fill="auto"/>
                  <w:noWrap w:val="0"/>
                  <w:vAlign w:val="center"/>
                </w:tcPr>
                <w:p w14:paraId="5AE9AAC7">
                  <w:pPr>
                    <w:adjustRightInd w:val="0"/>
                    <w:snapToGrid w:val="0"/>
                    <w:spacing w:line="280" w:lineRule="exact"/>
                    <w:jc w:val="center"/>
                    <w:rPr>
                      <w:rFonts w:hint="eastAsia" w:ascii="Times New Roman" w:hAnsi="Times New Roman" w:eastAsia="宋体"/>
                      <w:color w:val="auto"/>
                      <w:kern w:val="0"/>
                      <w:szCs w:val="21"/>
                      <w:highlight w:val="none"/>
                      <w:lang w:val="en-US" w:eastAsia="zh-CN"/>
                    </w:rPr>
                  </w:pPr>
                  <w:r>
                    <w:rPr>
                      <w:rFonts w:hint="eastAsia" w:ascii="Times New Roman" w:hAnsi="Times New Roman"/>
                      <w:color w:val="auto"/>
                      <w:kern w:val="0"/>
                      <w:szCs w:val="21"/>
                      <w:highlight w:val="none"/>
                    </w:rPr>
                    <w:t>/</w:t>
                  </w:r>
                </w:p>
              </w:tc>
            </w:tr>
          </w:tbl>
          <w:p w14:paraId="31FCDB61">
            <w:pPr>
              <w:pStyle w:val="66"/>
              <w:rPr>
                <w:rFonts w:hint="eastAsia"/>
                <w:color w:val="auto"/>
                <w:lang w:eastAsia="zh-CN"/>
              </w:rPr>
            </w:pPr>
            <w:r>
              <w:rPr>
                <w:rFonts w:hint="eastAsia"/>
                <w:color w:val="auto"/>
                <w:lang w:eastAsia="zh-CN"/>
              </w:rPr>
              <w:t xml:space="preserve"> </w:t>
            </w:r>
          </w:p>
          <w:p w14:paraId="1D9133FB">
            <w:pPr>
              <w:pStyle w:val="66"/>
              <w:ind w:left="0" w:leftChars="0" w:firstLine="0" w:firstLineChars="0"/>
              <w:rPr>
                <w:rFonts w:hint="eastAsia"/>
                <w:color w:val="auto"/>
                <w:lang w:eastAsia="zh-CN"/>
              </w:rPr>
            </w:pPr>
          </w:p>
        </w:tc>
      </w:tr>
    </w:tbl>
    <w:p w14:paraId="7EF3828E">
      <w:pPr>
        <w:pStyle w:val="70"/>
        <w:jc w:val="both"/>
        <w:rPr>
          <w:snapToGrid w:val="0"/>
          <w:color w:val="auto"/>
        </w:rPr>
        <w:sectPr>
          <w:pgSz w:w="11906" w:h="16838"/>
          <w:pgMar w:top="1701" w:right="1531" w:bottom="1701" w:left="1531" w:header="851" w:footer="1021" w:gutter="0"/>
          <w:cols w:space="720" w:num="1"/>
          <w:docGrid w:linePitch="312" w:charSpace="0"/>
        </w:sectPr>
      </w:pPr>
    </w:p>
    <w:p w14:paraId="26A6AB0E">
      <w:pPr>
        <w:pStyle w:val="37"/>
        <w:jc w:val="center"/>
        <w:outlineLvl w:val="0"/>
        <w:rPr>
          <w:rFonts w:hint="eastAsia" w:ascii="黑体" w:hAnsi="黑体" w:eastAsia="黑体"/>
          <w:snapToGrid w:val="0"/>
          <w:color w:val="auto"/>
          <w:sz w:val="30"/>
          <w:szCs w:val="30"/>
        </w:rPr>
      </w:pPr>
      <w:bookmarkStart w:id="22" w:name="_Toc26575"/>
      <w:bookmarkStart w:id="23" w:name="_Toc16513"/>
      <w:bookmarkStart w:id="24" w:name="_Toc186098081"/>
      <w:r>
        <w:rPr>
          <w:rFonts w:hint="eastAsia" w:ascii="黑体" w:hAnsi="黑体" w:eastAsia="黑体"/>
          <w:snapToGrid w:val="0"/>
          <w:color w:val="auto"/>
          <w:sz w:val="30"/>
          <w:szCs w:val="30"/>
        </w:rPr>
        <w:t>五、</w:t>
      </w:r>
      <w:bookmarkStart w:id="25" w:name="_Hlk54167917"/>
      <w:r>
        <w:rPr>
          <w:rFonts w:hint="eastAsia" w:ascii="黑体" w:hAnsi="黑体" w:eastAsia="黑体"/>
          <w:snapToGrid w:val="0"/>
          <w:color w:val="auto"/>
          <w:sz w:val="30"/>
          <w:szCs w:val="30"/>
        </w:rPr>
        <w:t>环境保护措施监督检查清单</w:t>
      </w:r>
      <w:bookmarkEnd w:id="22"/>
      <w:bookmarkEnd w:id="23"/>
      <w:bookmarkEnd w:id="24"/>
      <w:bookmarkEnd w:id="25"/>
    </w:p>
    <w:tbl>
      <w:tblPr>
        <w:tblStyle w:val="41"/>
        <w:tblW w:w="880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556"/>
        <w:gridCol w:w="1680"/>
        <w:gridCol w:w="1405"/>
        <w:gridCol w:w="2407"/>
        <w:gridCol w:w="1752"/>
      </w:tblGrid>
      <w:tr w14:paraId="341BD4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5" w:hRule="atLeast"/>
          <w:jc w:val="center"/>
        </w:trPr>
        <w:tc>
          <w:tcPr>
            <w:tcW w:w="1556" w:type="dxa"/>
            <w:tcBorders>
              <w:tl2br w:val="single" w:color="auto" w:sz="4" w:space="0"/>
            </w:tcBorders>
            <w:shd w:val="clear" w:color="auto" w:fill="auto"/>
            <w:noWrap w:val="0"/>
            <w:vAlign w:val="center"/>
          </w:tcPr>
          <w:p w14:paraId="3F365A32">
            <w:pPr>
              <w:adjustRightInd w:val="0"/>
              <w:snapToGrid w:val="0"/>
              <w:ind w:firstLine="840"/>
              <w:rPr>
                <w:rFonts w:ascii="Times New Roman" w:hAnsi="Times New Roman"/>
                <w:b/>
                <w:bCs/>
                <w:color w:val="auto"/>
                <w:sz w:val="24"/>
                <w:highlight w:val="none"/>
              </w:rPr>
            </w:pPr>
            <w:r>
              <w:rPr>
                <w:rFonts w:ascii="Times New Roman" w:hAnsi="Times New Roman"/>
                <w:b/>
                <w:bCs/>
                <w:color w:val="auto"/>
                <w:sz w:val="24"/>
                <w:highlight w:val="none"/>
              </w:rPr>
              <w:t>内容</w:t>
            </w:r>
          </w:p>
          <w:p w14:paraId="74AEF1A6">
            <w:pPr>
              <w:adjustRightInd w:val="0"/>
              <w:snapToGrid w:val="0"/>
              <w:rPr>
                <w:rFonts w:ascii="Times New Roman" w:hAnsi="Times New Roman"/>
                <w:b/>
                <w:bCs/>
                <w:color w:val="auto"/>
                <w:sz w:val="24"/>
                <w:highlight w:val="none"/>
              </w:rPr>
            </w:pPr>
            <w:r>
              <w:rPr>
                <w:rFonts w:ascii="Times New Roman" w:hAnsi="Times New Roman"/>
                <w:b/>
                <w:bCs/>
                <w:color w:val="auto"/>
                <w:sz w:val="24"/>
                <w:highlight w:val="none"/>
              </w:rPr>
              <w:t>要素</w:t>
            </w:r>
          </w:p>
        </w:tc>
        <w:tc>
          <w:tcPr>
            <w:tcW w:w="1680" w:type="dxa"/>
            <w:shd w:val="clear" w:color="auto" w:fill="auto"/>
            <w:noWrap w:val="0"/>
            <w:vAlign w:val="center"/>
          </w:tcPr>
          <w:p w14:paraId="67DFCA6C">
            <w:pPr>
              <w:adjustRightInd w:val="0"/>
              <w:snapToGrid w:val="0"/>
              <w:jc w:val="center"/>
              <w:rPr>
                <w:rFonts w:ascii="Times New Roman" w:hAnsi="Times New Roman"/>
                <w:b/>
                <w:bCs/>
                <w:color w:val="auto"/>
                <w:sz w:val="24"/>
                <w:highlight w:val="none"/>
              </w:rPr>
            </w:pPr>
            <w:r>
              <w:rPr>
                <w:rFonts w:ascii="Times New Roman" w:hAnsi="Times New Roman"/>
                <w:b/>
                <w:bCs/>
                <w:color w:val="auto"/>
                <w:sz w:val="24"/>
                <w:highlight w:val="none"/>
              </w:rPr>
              <w:t>排放口</w:t>
            </w:r>
            <w:r>
              <w:rPr>
                <w:rFonts w:hint="eastAsia" w:ascii="Times New Roman" w:hAnsi="Times New Roman"/>
                <w:b/>
                <w:bCs/>
                <w:color w:val="auto"/>
                <w:sz w:val="24"/>
                <w:highlight w:val="none"/>
              </w:rPr>
              <w:t>（</w:t>
            </w:r>
            <w:r>
              <w:rPr>
                <w:rFonts w:ascii="Times New Roman" w:hAnsi="Times New Roman"/>
                <w:b/>
                <w:bCs/>
                <w:color w:val="auto"/>
                <w:sz w:val="24"/>
                <w:highlight w:val="none"/>
              </w:rPr>
              <w:t>编号、名称</w:t>
            </w:r>
            <w:r>
              <w:rPr>
                <w:rFonts w:hint="eastAsia" w:ascii="Times New Roman" w:hAnsi="Times New Roman"/>
                <w:b/>
                <w:bCs/>
                <w:color w:val="auto"/>
                <w:sz w:val="24"/>
                <w:highlight w:val="none"/>
              </w:rPr>
              <w:t>）</w:t>
            </w:r>
            <w:r>
              <w:rPr>
                <w:rFonts w:ascii="Times New Roman" w:hAnsi="Times New Roman"/>
                <w:b/>
                <w:bCs/>
                <w:color w:val="auto"/>
                <w:sz w:val="24"/>
                <w:highlight w:val="none"/>
              </w:rPr>
              <w:t>/污染源</w:t>
            </w:r>
          </w:p>
        </w:tc>
        <w:tc>
          <w:tcPr>
            <w:tcW w:w="1405" w:type="dxa"/>
            <w:shd w:val="clear" w:color="auto" w:fill="auto"/>
            <w:noWrap w:val="0"/>
            <w:vAlign w:val="center"/>
          </w:tcPr>
          <w:p w14:paraId="7E22481F">
            <w:pPr>
              <w:adjustRightInd w:val="0"/>
              <w:snapToGrid w:val="0"/>
              <w:jc w:val="center"/>
              <w:rPr>
                <w:rFonts w:ascii="Times New Roman" w:hAnsi="Times New Roman"/>
                <w:b/>
                <w:bCs/>
                <w:color w:val="auto"/>
                <w:sz w:val="24"/>
                <w:highlight w:val="none"/>
              </w:rPr>
            </w:pPr>
            <w:r>
              <w:rPr>
                <w:rFonts w:ascii="Times New Roman" w:hAnsi="Times New Roman"/>
                <w:b/>
                <w:bCs/>
                <w:color w:val="auto"/>
                <w:sz w:val="24"/>
                <w:highlight w:val="none"/>
              </w:rPr>
              <w:t>污染物项目</w:t>
            </w:r>
          </w:p>
        </w:tc>
        <w:tc>
          <w:tcPr>
            <w:tcW w:w="2407" w:type="dxa"/>
            <w:shd w:val="clear" w:color="auto" w:fill="auto"/>
            <w:noWrap w:val="0"/>
            <w:vAlign w:val="center"/>
          </w:tcPr>
          <w:p w14:paraId="31949892">
            <w:pPr>
              <w:adjustRightInd w:val="0"/>
              <w:snapToGrid w:val="0"/>
              <w:jc w:val="center"/>
              <w:rPr>
                <w:rFonts w:ascii="Times New Roman" w:hAnsi="Times New Roman"/>
                <w:b/>
                <w:bCs/>
                <w:color w:val="auto"/>
                <w:sz w:val="24"/>
                <w:highlight w:val="none"/>
              </w:rPr>
            </w:pPr>
            <w:r>
              <w:rPr>
                <w:rFonts w:ascii="Times New Roman" w:hAnsi="Times New Roman"/>
                <w:b/>
                <w:bCs/>
                <w:color w:val="auto"/>
                <w:sz w:val="24"/>
                <w:highlight w:val="none"/>
              </w:rPr>
              <w:t>环境保护措施</w:t>
            </w:r>
          </w:p>
        </w:tc>
        <w:tc>
          <w:tcPr>
            <w:tcW w:w="1752" w:type="dxa"/>
            <w:shd w:val="clear" w:color="auto" w:fill="auto"/>
            <w:noWrap w:val="0"/>
            <w:vAlign w:val="center"/>
          </w:tcPr>
          <w:p w14:paraId="3FF4D4AA">
            <w:pPr>
              <w:adjustRightInd w:val="0"/>
              <w:snapToGrid w:val="0"/>
              <w:jc w:val="center"/>
              <w:rPr>
                <w:rFonts w:ascii="Times New Roman" w:hAnsi="Times New Roman"/>
                <w:b/>
                <w:bCs/>
                <w:color w:val="auto"/>
                <w:sz w:val="24"/>
                <w:highlight w:val="none"/>
              </w:rPr>
            </w:pPr>
            <w:r>
              <w:rPr>
                <w:rFonts w:ascii="Times New Roman" w:hAnsi="Times New Roman"/>
                <w:b/>
                <w:bCs/>
                <w:color w:val="auto"/>
                <w:sz w:val="24"/>
                <w:highlight w:val="none"/>
              </w:rPr>
              <w:t>执行标准</w:t>
            </w:r>
          </w:p>
        </w:tc>
      </w:tr>
      <w:tr w14:paraId="0C1DAD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5" w:hRule="atLeast"/>
          <w:jc w:val="center"/>
        </w:trPr>
        <w:tc>
          <w:tcPr>
            <w:tcW w:w="1556" w:type="dxa"/>
            <w:vMerge w:val="restart"/>
            <w:shd w:val="clear" w:color="auto" w:fill="auto"/>
            <w:noWrap w:val="0"/>
            <w:vAlign w:val="center"/>
          </w:tcPr>
          <w:p w14:paraId="3D17CD1A">
            <w:pPr>
              <w:adjustRightInd w:val="0"/>
              <w:snapToGrid w:val="0"/>
              <w:jc w:val="center"/>
              <w:rPr>
                <w:rFonts w:ascii="Times New Roman" w:hAnsi="Times New Roman"/>
                <w:b/>
                <w:bCs/>
                <w:color w:val="auto"/>
                <w:sz w:val="24"/>
                <w:highlight w:val="none"/>
              </w:rPr>
            </w:pPr>
            <w:r>
              <w:rPr>
                <w:rFonts w:hint="eastAsia" w:ascii="Times New Roman" w:hAnsi="Times New Roman"/>
                <w:b/>
                <w:bCs/>
                <w:color w:val="auto"/>
                <w:sz w:val="24"/>
                <w:highlight w:val="none"/>
              </w:rPr>
              <w:t>大气环境</w:t>
            </w:r>
          </w:p>
        </w:tc>
        <w:tc>
          <w:tcPr>
            <w:tcW w:w="1680" w:type="dxa"/>
            <w:shd w:val="clear" w:color="auto" w:fill="auto"/>
            <w:noWrap w:val="0"/>
            <w:vAlign w:val="center"/>
          </w:tcPr>
          <w:p w14:paraId="11669943">
            <w:pPr>
              <w:adjustRightInd w:val="0"/>
              <w:snapToGrid w:val="0"/>
              <w:jc w:val="center"/>
              <w:rPr>
                <w:rFonts w:hint="default"/>
                <w:color w:val="auto"/>
                <w:lang w:val="en-US" w:eastAsia="zh-CN"/>
              </w:rPr>
            </w:pPr>
            <w:r>
              <w:rPr>
                <w:rFonts w:hint="eastAsia" w:ascii="Times New Roman" w:hAnsi="Times New Roman" w:eastAsia="宋体" w:cs="Times New Roman"/>
                <w:color w:val="auto"/>
                <w:sz w:val="24"/>
                <w:highlight w:val="none"/>
                <w:lang w:val="en-US" w:eastAsia="zh-CN"/>
              </w:rPr>
              <w:t>DA00</w:t>
            </w:r>
            <w:r>
              <w:rPr>
                <w:rFonts w:hint="eastAsia" w:cs="Times New Roman"/>
                <w:color w:val="auto"/>
                <w:sz w:val="24"/>
                <w:highlight w:val="none"/>
                <w:lang w:val="en-US" w:eastAsia="zh-CN"/>
              </w:rPr>
              <w:t>1（涂布烘干废气）</w:t>
            </w:r>
          </w:p>
        </w:tc>
        <w:tc>
          <w:tcPr>
            <w:tcW w:w="1405" w:type="dxa"/>
            <w:vMerge w:val="restart"/>
            <w:shd w:val="clear" w:color="auto" w:fill="auto"/>
            <w:noWrap w:val="0"/>
            <w:vAlign w:val="center"/>
          </w:tcPr>
          <w:p w14:paraId="24F011CE">
            <w:pPr>
              <w:adjustRightInd w:val="0"/>
              <w:snapToGrid w:val="0"/>
              <w:jc w:val="center"/>
              <w:rPr>
                <w:rFonts w:hint="default" w:ascii="Times New Roman" w:hAnsi="Times New Roman" w:eastAsia="宋体"/>
                <w:color w:val="auto"/>
                <w:sz w:val="24"/>
                <w:highlight w:val="none"/>
                <w:lang w:val="en-US" w:eastAsia="zh-CN"/>
              </w:rPr>
            </w:pPr>
            <w:r>
              <w:rPr>
                <w:rFonts w:hint="eastAsia"/>
                <w:color w:val="auto"/>
                <w:sz w:val="24"/>
                <w:highlight w:val="none"/>
                <w:lang w:val="en-US" w:eastAsia="zh-CN"/>
              </w:rPr>
              <w:t>挥发性有机物（以非甲烷总烃计）</w:t>
            </w:r>
          </w:p>
        </w:tc>
        <w:tc>
          <w:tcPr>
            <w:tcW w:w="2407" w:type="dxa"/>
            <w:shd w:val="clear" w:color="auto" w:fill="auto"/>
            <w:noWrap w:val="0"/>
            <w:vAlign w:val="center"/>
          </w:tcPr>
          <w:p w14:paraId="74A36641">
            <w:pPr>
              <w:adjustRightInd w:val="0"/>
              <w:snapToGrid w:val="0"/>
              <w:jc w:val="center"/>
              <w:rPr>
                <w:rFonts w:hint="default" w:ascii="Times New Roman" w:hAnsi="Times New Roman" w:eastAsia="宋体"/>
                <w:color w:val="auto"/>
                <w:sz w:val="24"/>
                <w:highlight w:val="none"/>
                <w:lang w:val="en-US" w:eastAsia="zh-CN"/>
              </w:rPr>
            </w:pPr>
            <w:r>
              <w:rPr>
                <w:rFonts w:hint="eastAsia" w:cs="Times New Roman"/>
                <w:color w:val="auto"/>
                <w:sz w:val="24"/>
                <w:highlight w:val="none"/>
                <w:lang w:val="en-US" w:eastAsia="zh-CN"/>
              </w:rPr>
              <w:t>NMP回收装置（TA002，</w:t>
            </w:r>
            <w:r>
              <w:rPr>
                <w:rFonts w:hint="default" w:ascii="Times New Roman" w:hAnsi="Times New Roman" w:eastAsia="宋体" w:cs="Times New Roman"/>
                <w:color w:val="auto"/>
                <w:kern w:val="0"/>
                <w:sz w:val="24"/>
                <w:szCs w:val="24"/>
                <w:shd w:val="clear"/>
                <w:lang w:val="en-US" w:eastAsia="zh-CN" w:bidi="ar"/>
              </w:rPr>
              <w:t>二级冷凝回收+转轮深度吸附</w:t>
            </w:r>
            <w:r>
              <w:rPr>
                <w:rFonts w:hint="eastAsia" w:cs="Times New Roman"/>
                <w:color w:val="auto"/>
                <w:sz w:val="24"/>
                <w:highlight w:val="none"/>
                <w:lang w:val="en-US" w:eastAsia="zh-CN"/>
              </w:rPr>
              <w:t>）</w:t>
            </w:r>
            <w:r>
              <w:rPr>
                <w:rFonts w:hint="eastAsia" w:ascii="Times New Roman" w:hAnsi="Times New Roman" w:eastAsia="宋体" w:cs="Times New Roman"/>
                <w:color w:val="auto"/>
                <w:sz w:val="24"/>
                <w:szCs w:val="24"/>
                <w:lang w:val="en-US" w:eastAsia="zh-CN"/>
              </w:rPr>
              <w:t>+</w:t>
            </w:r>
            <w:r>
              <w:rPr>
                <w:rFonts w:hint="eastAsia" w:cs="Times New Roman"/>
                <w:color w:val="auto"/>
                <w:sz w:val="24"/>
                <w:szCs w:val="24"/>
                <w:lang w:val="en-US" w:eastAsia="zh-CN"/>
              </w:rPr>
              <w:t>25</w:t>
            </w:r>
            <w:r>
              <w:rPr>
                <w:rFonts w:hint="eastAsia" w:ascii="Times New Roman" w:hAnsi="Times New Roman" w:eastAsia="宋体" w:cs="Times New Roman"/>
                <w:color w:val="auto"/>
                <w:sz w:val="24"/>
                <w:szCs w:val="24"/>
                <w:lang w:val="en-US" w:eastAsia="zh-CN"/>
              </w:rPr>
              <w:t>m高排气筒（DA001）</w:t>
            </w:r>
          </w:p>
        </w:tc>
        <w:tc>
          <w:tcPr>
            <w:tcW w:w="1752" w:type="dxa"/>
            <w:vMerge w:val="restart"/>
            <w:shd w:val="clear" w:color="auto" w:fill="auto"/>
            <w:noWrap w:val="0"/>
            <w:vAlign w:val="center"/>
          </w:tcPr>
          <w:p w14:paraId="613A57D1">
            <w:pPr>
              <w:pStyle w:val="208"/>
              <w:spacing w:line="240" w:lineRule="auto"/>
              <w:ind w:firstLine="0"/>
              <w:jc w:val="center"/>
              <w:rPr>
                <w:rFonts w:hint="eastAsia" w:ascii="Times New Roman" w:hAnsi="Times New Roman" w:eastAsia="宋体"/>
                <w:color w:val="auto"/>
                <w:highlight w:val="none"/>
                <w:lang w:eastAsia="zh-CN"/>
              </w:rPr>
            </w:pPr>
            <w:r>
              <w:rPr>
                <w:rFonts w:hint="eastAsia" w:ascii="Times New Roman" w:hAnsi="Times New Roman"/>
                <w:color w:val="auto"/>
                <w:sz w:val="24"/>
                <w:highlight w:val="none"/>
              </w:rPr>
              <w:t>《</w:t>
            </w:r>
            <w:r>
              <w:rPr>
                <w:rFonts w:hint="eastAsia" w:ascii="Times New Roman"/>
                <w:color w:val="auto"/>
                <w:sz w:val="24"/>
                <w:highlight w:val="none"/>
                <w:lang w:val="en-US" w:eastAsia="zh-CN"/>
              </w:rPr>
              <w:t>电池工业污染物排放标准</w:t>
            </w:r>
            <w:r>
              <w:rPr>
                <w:rFonts w:hint="eastAsia" w:ascii="Times New Roman" w:hAnsi="Times New Roman"/>
                <w:color w:val="auto"/>
                <w:sz w:val="24"/>
                <w:highlight w:val="none"/>
              </w:rPr>
              <w:t>》（GB</w:t>
            </w:r>
            <w:r>
              <w:rPr>
                <w:rFonts w:hint="eastAsia" w:ascii="Times New Roman"/>
                <w:color w:val="auto"/>
                <w:sz w:val="24"/>
                <w:highlight w:val="none"/>
                <w:lang w:val="en-US" w:eastAsia="zh-CN"/>
              </w:rPr>
              <w:t>30484</w:t>
            </w:r>
            <w:r>
              <w:rPr>
                <w:rFonts w:hint="eastAsia" w:ascii="Times New Roman" w:hAnsi="Times New Roman"/>
                <w:color w:val="auto"/>
                <w:sz w:val="24"/>
                <w:highlight w:val="none"/>
              </w:rPr>
              <w:t>-</w:t>
            </w:r>
            <w:r>
              <w:rPr>
                <w:rFonts w:hint="eastAsia" w:ascii="Times New Roman"/>
                <w:color w:val="auto"/>
                <w:sz w:val="24"/>
                <w:highlight w:val="none"/>
                <w:lang w:val="en-US" w:eastAsia="zh-CN"/>
              </w:rPr>
              <w:t>2013</w:t>
            </w:r>
            <w:r>
              <w:rPr>
                <w:rFonts w:hint="eastAsia" w:ascii="Times New Roman" w:hAnsi="Times New Roman"/>
                <w:color w:val="auto"/>
                <w:sz w:val="24"/>
                <w:highlight w:val="none"/>
              </w:rPr>
              <w:t>）</w:t>
            </w:r>
          </w:p>
        </w:tc>
      </w:tr>
      <w:tr w14:paraId="33F7E6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5" w:hRule="atLeast"/>
          <w:jc w:val="center"/>
        </w:trPr>
        <w:tc>
          <w:tcPr>
            <w:tcW w:w="1556" w:type="dxa"/>
            <w:vMerge w:val="continue"/>
            <w:shd w:val="clear" w:color="auto" w:fill="auto"/>
            <w:noWrap w:val="0"/>
            <w:vAlign w:val="center"/>
          </w:tcPr>
          <w:p w14:paraId="0583676B">
            <w:pPr>
              <w:adjustRightInd w:val="0"/>
              <w:snapToGrid w:val="0"/>
              <w:jc w:val="center"/>
              <w:rPr>
                <w:rFonts w:hint="eastAsia" w:ascii="Times New Roman" w:hAnsi="Times New Roman"/>
                <w:b/>
                <w:bCs/>
                <w:color w:val="auto"/>
                <w:sz w:val="24"/>
                <w:highlight w:val="none"/>
              </w:rPr>
            </w:pPr>
          </w:p>
        </w:tc>
        <w:tc>
          <w:tcPr>
            <w:tcW w:w="1680" w:type="dxa"/>
            <w:shd w:val="clear" w:color="auto" w:fill="auto"/>
            <w:noWrap w:val="0"/>
            <w:vAlign w:val="center"/>
          </w:tcPr>
          <w:p w14:paraId="64A5CF9B">
            <w:pPr>
              <w:adjustRightInd w:val="0"/>
              <w:snapToGrid w:val="0"/>
              <w:jc w:val="center"/>
              <w:rPr>
                <w:rFonts w:hint="default"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DA002（注液废气）</w:t>
            </w:r>
          </w:p>
        </w:tc>
        <w:tc>
          <w:tcPr>
            <w:tcW w:w="1405" w:type="dxa"/>
            <w:vMerge w:val="continue"/>
            <w:shd w:val="clear" w:color="auto" w:fill="auto"/>
            <w:noWrap w:val="0"/>
            <w:vAlign w:val="center"/>
          </w:tcPr>
          <w:p w14:paraId="671FDF64">
            <w:pPr>
              <w:adjustRightInd w:val="0"/>
              <w:snapToGrid w:val="0"/>
              <w:jc w:val="center"/>
              <w:rPr>
                <w:rFonts w:hint="eastAsia"/>
                <w:color w:val="auto"/>
                <w:sz w:val="24"/>
                <w:highlight w:val="none"/>
                <w:lang w:val="en-US" w:eastAsia="zh-CN"/>
              </w:rPr>
            </w:pPr>
          </w:p>
        </w:tc>
        <w:tc>
          <w:tcPr>
            <w:tcW w:w="2407" w:type="dxa"/>
            <w:vMerge w:val="restart"/>
            <w:shd w:val="clear" w:color="auto" w:fill="auto"/>
            <w:noWrap w:val="0"/>
            <w:vAlign w:val="center"/>
          </w:tcPr>
          <w:p w14:paraId="2BAF37B2">
            <w:pPr>
              <w:adjustRightInd w:val="0"/>
              <w:snapToGrid w:val="0"/>
              <w:jc w:val="center"/>
              <w:rPr>
                <w:rFonts w:hint="default" w:cs="Times New Roman"/>
                <w:color w:val="auto"/>
                <w:sz w:val="24"/>
                <w:highlight w:val="none"/>
                <w:lang w:val="en-US" w:eastAsia="zh-CN"/>
              </w:rPr>
            </w:pPr>
            <w:r>
              <w:rPr>
                <w:rFonts w:hint="eastAsia" w:ascii="Times New Roman" w:hAnsi="Times New Roman" w:eastAsia="宋体" w:cs="Times New Roman"/>
                <w:color w:val="auto"/>
                <w:sz w:val="24"/>
                <w:szCs w:val="24"/>
                <w:lang w:val="en-US" w:eastAsia="zh-CN"/>
              </w:rPr>
              <w:t>二级活性炭吸附装置（TA0</w:t>
            </w:r>
            <w:r>
              <w:rPr>
                <w:rFonts w:hint="eastAsia" w:cs="Times New Roman"/>
                <w:color w:val="auto"/>
                <w:sz w:val="24"/>
                <w:szCs w:val="24"/>
                <w:lang w:val="en-US" w:eastAsia="zh-CN"/>
              </w:rPr>
              <w:t>03</w:t>
            </w:r>
            <w:r>
              <w:rPr>
                <w:rFonts w:hint="eastAsia" w:ascii="Times New Roman" w:hAnsi="Times New Roman" w:eastAsia="宋体" w:cs="Times New Roman"/>
                <w:color w:val="auto"/>
                <w:sz w:val="24"/>
                <w:szCs w:val="24"/>
                <w:lang w:val="en-US" w:eastAsia="zh-CN"/>
              </w:rPr>
              <w:t>）+</w:t>
            </w:r>
            <w:r>
              <w:rPr>
                <w:rFonts w:hint="eastAsia" w:cs="Times New Roman"/>
                <w:color w:val="auto"/>
                <w:sz w:val="24"/>
                <w:szCs w:val="24"/>
                <w:lang w:val="en-US" w:eastAsia="zh-CN"/>
              </w:rPr>
              <w:t>25</w:t>
            </w:r>
            <w:r>
              <w:rPr>
                <w:rFonts w:hint="eastAsia" w:ascii="Times New Roman" w:hAnsi="Times New Roman" w:eastAsia="宋体" w:cs="Times New Roman"/>
                <w:color w:val="auto"/>
                <w:sz w:val="24"/>
                <w:szCs w:val="24"/>
                <w:lang w:val="en-US" w:eastAsia="zh-CN"/>
              </w:rPr>
              <w:t>m高排气筒（DA002）</w:t>
            </w:r>
          </w:p>
        </w:tc>
        <w:tc>
          <w:tcPr>
            <w:tcW w:w="1752" w:type="dxa"/>
            <w:vMerge w:val="continue"/>
            <w:shd w:val="clear" w:color="auto" w:fill="auto"/>
            <w:noWrap w:val="0"/>
            <w:vAlign w:val="center"/>
          </w:tcPr>
          <w:p w14:paraId="645165C0">
            <w:pPr>
              <w:pStyle w:val="208"/>
              <w:spacing w:line="240" w:lineRule="auto"/>
              <w:ind w:firstLine="0"/>
              <w:jc w:val="center"/>
              <w:rPr>
                <w:rFonts w:hint="eastAsia" w:ascii="Times New Roman" w:hAnsi="Times New Roman"/>
                <w:color w:val="auto"/>
                <w:sz w:val="24"/>
                <w:highlight w:val="none"/>
              </w:rPr>
            </w:pPr>
          </w:p>
        </w:tc>
      </w:tr>
      <w:tr w14:paraId="6C0564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5" w:hRule="atLeast"/>
          <w:jc w:val="center"/>
        </w:trPr>
        <w:tc>
          <w:tcPr>
            <w:tcW w:w="1556" w:type="dxa"/>
            <w:vMerge w:val="continue"/>
            <w:shd w:val="clear" w:color="auto" w:fill="auto"/>
            <w:noWrap w:val="0"/>
            <w:vAlign w:val="center"/>
          </w:tcPr>
          <w:p w14:paraId="425DAF21">
            <w:pPr>
              <w:adjustRightInd w:val="0"/>
              <w:snapToGrid w:val="0"/>
              <w:jc w:val="center"/>
              <w:rPr>
                <w:rFonts w:hint="eastAsia" w:ascii="Times New Roman" w:hAnsi="Times New Roman"/>
                <w:b/>
                <w:bCs/>
                <w:color w:val="auto"/>
                <w:sz w:val="24"/>
                <w:highlight w:val="none"/>
              </w:rPr>
            </w:pPr>
          </w:p>
        </w:tc>
        <w:tc>
          <w:tcPr>
            <w:tcW w:w="1680" w:type="dxa"/>
            <w:shd w:val="clear" w:color="auto" w:fill="auto"/>
            <w:noWrap w:val="0"/>
            <w:vAlign w:val="center"/>
          </w:tcPr>
          <w:p w14:paraId="055992C5">
            <w:pPr>
              <w:adjustRightInd w:val="0"/>
              <w:snapToGrid w:val="0"/>
              <w:jc w:val="center"/>
              <w:rPr>
                <w:rFonts w:hint="default"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DA002（二封废气）</w:t>
            </w:r>
          </w:p>
        </w:tc>
        <w:tc>
          <w:tcPr>
            <w:tcW w:w="1405" w:type="dxa"/>
            <w:vMerge w:val="continue"/>
            <w:shd w:val="clear" w:color="auto" w:fill="auto"/>
            <w:noWrap w:val="0"/>
            <w:vAlign w:val="center"/>
          </w:tcPr>
          <w:p w14:paraId="251B42B5">
            <w:pPr>
              <w:adjustRightInd w:val="0"/>
              <w:snapToGrid w:val="0"/>
              <w:jc w:val="center"/>
              <w:rPr>
                <w:rFonts w:hint="eastAsia"/>
                <w:color w:val="auto"/>
                <w:sz w:val="24"/>
                <w:highlight w:val="none"/>
                <w:lang w:val="en-US" w:eastAsia="zh-CN"/>
              </w:rPr>
            </w:pPr>
          </w:p>
        </w:tc>
        <w:tc>
          <w:tcPr>
            <w:tcW w:w="2407" w:type="dxa"/>
            <w:vMerge w:val="continue"/>
            <w:shd w:val="clear" w:color="auto" w:fill="auto"/>
            <w:noWrap w:val="0"/>
            <w:vAlign w:val="center"/>
          </w:tcPr>
          <w:p w14:paraId="56A98CFE">
            <w:pPr>
              <w:adjustRightInd w:val="0"/>
              <w:snapToGrid w:val="0"/>
              <w:jc w:val="center"/>
              <w:rPr>
                <w:rFonts w:hint="eastAsia" w:cs="Times New Roman"/>
                <w:color w:val="auto"/>
                <w:sz w:val="24"/>
                <w:highlight w:val="none"/>
                <w:lang w:val="en-US" w:eastAsia="zh-CN"/>
              </w:rPr>
            </w:pPr>
          </w:p>
        </w:tc>
        <w:tc>
          <w:tcPr>
            <w:tcW w:w="1752" w:type="dxa"/>
            <w:vMerge w:val="continue"/>
            <w:shd w:val="clear" w:color="auto" w:fill="auto"/>
            <w:noWrap w:val="0"/>
            <w:vAlign w:val="center"/>
          </w:tcPr>
          <w:p w14:paraId="3543352A">
            <w:pPr>
              <w:pStyle w:val="208"/>
              <w:spacing w:line="240" w:lineRule="auto"/>
              <w:ind w:firstLine="0"/>
              <w:jc w:val="center"/>
              <w:rPr>
                <w:rFonts w:hint="eastAsia" w:ascii="Times New Roman" w:hAnsi="Times New Roman"/>
                <w:color w:val="auto"/>
                <w:sz w:val="24"/>
                <w:highlight w:val="none"/>
              </w:rPr>
            </w:pPr>
          </w:p>
        </w:tc>
      </w:tr>
      <w:tr w14:paraId="0F0ECC3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5" w:hRule="atLeast"/>
          <w:jc w:val="center"/>
        </w:trPr>
        <w:tc>
          <w:tcPr>
            <w:tcW w:w="1556" w:type="dxa"/>
            <w:vMerge w:val="continue"/>
            <w:shd w:val="clear" w:color="auto" w:fill="auto"/>
            <w:noWrap w:val="0"/>
            <w:vAlign w:val="center"/>
          </w:tcPr>
          <w:p w14:paraId="06C5F682">
            <w:pPr>
              <w:adjustRightInd w:val="0"/>
              <w:snapToGrid w:val="0"/>
              <w:jc w:val="center"/>
              <w:rPr>
                <w:rFonts w:hint="eastAsia" w:ascii="Times New Roman" w:hAnsi="Times New Roman"/>
                <w:b/>
                <w:bCs/>
                <w:color w:val="auto"/>
                <w:sz w:val="24"/>
                <w:highlight w:val="none"/>
              </w:rPr>
            </w:pPr>
          </w:p>
        </w:tc>
        <w:tc>
          <w:tcPr>
            <w:tcW w:w="1680" w:type="dxa"/>
            <w:shd w:val="clear" w:color="auto" w:fill="auto"/>
            <w:noWrap w:val="0"/>
            <w:vAlign w:val="center"/>
          </w:tcPr>
          <w:p w14:paraId="2603669B">
            <w:pPr>
              <w:adjustRightInd w:val="0"/>
              <w:snapToGrid w:val="0"/>
              <w:jc w:val="center"/>
              <w:rPr>
                <w:rFonts w:hint="default" w:cs="Times New Roman"/>
                <w:color w:val="auto"/>
                <w:sz w:val="24"/>
                <w:highlight w:val="none"/>
                <w:lang w:val="en-US" w:eastAsia="zh-CN"/>
              </w:rPr>
            </w:pPr>
            <w:r>
              <w:rPr>
                <w:rFonts w:hint="eastAsia" w:cs="Times New Roman"/>
                <w:color w:val="auto"/>
                <w:sz w:val="24"/>
                <w:highlight w:val="none"/>
                <w:lang w:val="en-US" w:eastAsia="zh-CN"/>
              </w:rPr>
              <w:t>拆解废气</w:t>
            </w:r>
          </w:p>
        </w:tc>
        <w:tc>
          <w:tcPr>
            <w:tcW w:w="1405" w:type="dxa"/>
            <w:vMerge w:val="continue"/>
            <w:shd w:val="clear" w:color="auto" w:fill="auto"/>
            <w:noWrap w:val="0"/>
            <w:vAlign w:val="center"/>
          </w:tcPr>
          <w:p w14:paraId="217A3966">
            <w:pPr>
              <w:adjustRightInd w:val="0"/>
              <w:snapToGrid w:val="0"/>
              <w:jc w:val="center"/>
              <w:rPr>
                <w:rFonts w:hint="eastAsia"/>
                <w:color w:val="auto"/>
                <w:sz w:val="24"/>
                <w:highlight w:val="none"/>
                <w:lang w:val="en-US" w:eastAsia="zh-CN"/>
              </w:rPr>
            </w:pPr>
          </w:p>
        </w:tc>
        <w:tc>
          <w:tcPr>
            <w:tcW w:w="2407" w:type="dxa"/>
            <w:vMerge w:val="continue"/>
            <w:shd w:val="clear" w:color="auto" w:fill="auto"/>
            <w:noWrap w:val="0"/>
            <w:vAlign w:val="center"/>
          </w:tcPr>
          <w:p w14:paraId="7BA699DF">
            <w:pPr>
              <w:adjustRightInd w:val="0"/>
              <w:snapToGrid w:val="0"/>
              <w:jc w:val="center"/>
              <w:rPr>
                <w:rFonts w:hint="default" w:cs="Times New Roman"/>
                <w:color w:val="auto"/>
                <w:sz w:val="24"/>
                <w:highlight w:val="none"/>
                <w:lang w:val="en-US" w:eastAsia="zh-CN"/>
              </w:rPr>
            </w:pPr>
          </w:p>
        </w:tc>
        <w:tc>
          <w:tcPr>
            <w:tcW w:w="1752" w:type="dxa"/>
            <w:vMerge w:val="continue"/>
            <w:shd w:val="clear" w:color="auto" w:fill="auto"/>
            <w:noWrap w:val="0"/>
            <w:vAlign w:val="center"/>
          </w:tcPr>
          <w:p w14:paraId="54392DED">
            <w:pPr>
              <w:pStyle w:val="208"/>
              <w:spacing w:line="240" w:lineRule="auto"/>
              <w:ind w:firstLine="0"/>
              <w:jc w:val="center"/>
              <w:rPr>
                <w:rFonts w:hint="eastAsia" w:ascii="Times New Roman" w:hAnsi="Times New Roman"/>
                <w:color w:val="auto"/>
                <w:sz w:val="24"/>
                <w:highlight w:val="none"/>
              </w:rPr>
            </w:pPr>
          </w:p>
        </w:tc>
      </w:tr>
      <w:tr w14:paraId="3ED809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5" w:hRule="atLeast"/>
          <w:jc w:val="center"/>
        </w:trPr>
        <w:tc>
          <w:tcPr>
            <w:tcW w:w="1556" w:type="dxa"/>
            <w:vMerge w:val="continue"/>
            <w:shd w:val="clear" w:color="auto" w:fill="auto"/>
            <w:noWrap w:val="0"/>
            <w:vAlign w:val="center"/>
          </w:tcPr>
          <w:p w14:paraId="7FB44D4E">
            <w:pPr>
              <w:adjustRightInd w:val="0"/>
              <w:snapToGrid w:val="0"/>
              <w:jc w:val="center"/>
              <w:rPr>
                <w:rFonts w:hint="eastAsia" w:ascii="Times New Roman" w:hAnsi="Times New Roman"/>
                <w:b/>
                <w:bCs/>
                <w:color w:val="auto"/>
                <w:sz w:val="24"/>
                <w:highlight w:val="none"/>
              </w:rPr>
            </w:pPr>
          </w:p>
        </w:tc>
        <w:tc>
          <w:tcPr>
            <w:tcW w:w="1680" w:type="dxa"/>
            <w:shd w:val="clear" w:color="auto" w:fill="auto"/>
            <w:noWrap w:val="0"/>
            <w:vAlign w:val="center"/>
          </w:tcPr>
          <w:p w14:paraId="00C0A825">
            <w:pPr>
              <w:adjustRightInd w:val="0"/>
              <w:snapToGrid w:val="0"/>
              <w:jc w:val="center"/>
              <w:rPr>
                <w:rFonts w:hint="default" w:cs="Times New Roman"/>
                <w:color w:val="auto"/>
                <w:sz w:val="24"/>
                <w:szCs w:val="24"/>
                <w:highlight w:val="none"/>
                <w:lang w:val="en-US" w:eastAsia="zh-CN"/>
              </w:rPr>
            </w:pPr>
            <w:r>
              <w:rPr>
                <w:rFonts w:hint="eastAsia" w:ascii="Times New Roman" w:hAnsi="Times New Roman" w:eastAsia="宋体" w:cs="Times New Roman"/>
                <w:color w:val="auto"/>
                <w:kern w:val="0"/>
                <w:sz w:val="24"/>
                <w:szCs w:val="24"/>
                <w:lang w:val="en-US" w:eastAsia="zh-CN" w:bidi="ar-SA"/>
              </w:rPr>
              <w:t>NMP储罐呼吸废气</w:t>
            </w:r>
          </w:p>
        </w:tc>
        <w:tc>
          <w:tcPr>
            <w:tcW w:w="1405" w:type="dxa"/>
            <w:vMerge w:val="continue"/>
            <w:shd w:val="clear" w:color="auto" w:fill="auto"/>
            <w:noWrap w:val="0"/>
            <w:vAlign w:val="center"/>
          </w:tcPr>
          <w:p w14:paraId="5EF8FA80">
            <w:pPr>
              <w:adjustRightInd w:val="0"/>
              <w:snapToGrid w:val="0"/>
              <w:jc w:val="center"/>
              <w:rPr>
                <w:rFonts w:hint="eastAsia"/>
                <w:color w:val="auto"/>
                <w:sz w:val="24"/>
                <w:szCs w:val="24"/>
                <w:highlight w:val="none"/>
                <w:lang w:val="en-US" w:eastAsia="zh-CN"/>
              </w:rPr>
            </w:pPr>
          </w:p>
        </w:tc>
        <w:tc>
          <w:tcPr>
            <w:tcW w:w="2407" w:type="dxa"/>
            <w:shd w:val="clear" w:color="auto" w:fill="auto"/>
            <w:noWrap w:val="0"/>
            <w:vAlign w:val="center"/>
          </w:tcPr>
          <w:p w14:paraId="51A4BFF2">
            <w:pPr>
              <w:adjustRightInd w:val="0"/>
              <w:snapToGrid w:val="0"/>
              <w:jc w:val="center"/>
              <w:rPr>
                <w:rFonts w:hint="default" w:cs="Times New Roman"/>
                <w:color w:val="auto"/>
                <w:sz w:val="24"/>
                <w:szCs w:val="24"/>
                <w:highlight w:val="none"/>
                <w:lang w:val="en-US" w:eastAsia="zh-CN"/>
              </w:rPr>
            </w:pPr>
            <w:r>
              <w:rPr>
                <w:rFonts w:hint="eastAsia" w:ascii="Times New Roman" w:hAnsi="Times New Roman" w:eastAsia="宋体" w:cs="Times New Roman"/>
                <w:color w:val="auto"/>
                <w:kern w:val="0"/>
                <w:sz w:val="24"/>
                <w:szCs w:val="24"/>
                <w:lang w:val="en-US" w:eastAsia="zh-CN" w:bidi="ar-SA"/>
              </w:rPr>
              <w:t>无组织排放</w:t>
            </w:r>
          </w:p>
        </w:tc>
        <w:tc>
          <w:tcPr>
            <w:tcW w:w="1752" w:type="dxa"/>
            <w:vMerge w:val="continue"/>
            <w:shd w:val="clear" w:color="auto" w:fill="auto"/>
            <w:noWrap w:val="0"/>
            <w:vAlign w:val="center"/>
          </w:tcPr>
          <w:p w14:paraId="54114F70">
            <w:pPr>
              <w:pStyle w:val="208"/>
              <w:spacing w:line="240" w:lineRule="auto"/>
              <w:ind w:firstLine="0"/>
              <w:jc w:val="center"/>
              <w:rPr>
                <w:rFonts w:hint="eastAsia" w:ascii="Times New Roman" w:hAnsi="Times New Roman"/>
                <w:color w:val="auto"/>
                <w:sz w:val="24"/>
                <w:highlight w:val="none"/>
              </w:rPr>
            </w:pPr>
          </w:p>
        </w:tc>
      </w:tr>
      <w:tr w14:paraId="2C3FAD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5" w:hRule="atLeast"/>
          <w:jc w:val="center"/>
        </w:trPr>
        <w:tc>
          <w:tcPr>
            <w:tcW w:w="1556" w:type="dxa"/>
            <w:vMerge w:val="continue"/>
            <w:shd w:val="clear" w:color="auto" w:fill="auto"/>
            <w:noWrap w:val="0"/>
            <w:vAlign w:val="center"/>
          </w:tcPr>
          <w:p w14:paraId="28D635CD">
            <w:pPr>
              <w:adjustRightInd w:val="0"/>
              <w:snapToGrid w:val="0"/>
              <w:jc w:val="center"/>
              <w:rPr>
                <w:rFonts w:hint="eastAsia" w:ascii="Times New Roman" w:hAnsi="Times New Roman"/>
                <w:b/>
                <w:bCs/>
                <w:color w:val="auto"/>
                <w:sz w:val="24"/>
                <w:highlight w:val="none"/>
              </w:rPr>
            </w:pPr>
          </w:p>
        </w:tc>
        <w:tc>
          <w:tcPr>
            <w:tcW w:w="1680" w:type="dxa"/>
            <w:shd w:val="clear" w:color="auto" w:fill="auto"/>
            <w:noWrap w:val="0"/>
            <w:vAlign w:val="center"/>
          </w:tcPr>
          <w:p w14:paraId="5C5CE7E9">
            <w:pPr>
              <w:adjustRightInd w:val="0"/>
              <w:snapToGrid w:val="0"/>
              <w:jc w:val="center"/>
              <w:rPr>
                <w:rFonts w:hint="default"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投料粉尘</w:t>
            </w:r>
          </w:p>
        </w:tc>
        <w:tc>
          <w:tcPr>
            <w:tcW w:w="1405" w:type="dxa"/>
            <w:shd w:val="clear" w:color="auto" w:fill="auto"/>
            <w:noWrap w:val="0"/>
            <w:vAlign w:val="center"/>
          </w:tcPr>
          <w:p w14:paraId="1A8AAFAC">
            <w:pPr>
              <w:adjustRightInd w:val="0"/>
              <w:snapToGrid w:val="0"/>
              <w:jc w:val="center"/>
              <w:rPr>
                <w:rFonts w:hint="default"/>
                <w:color w:val="auto"/>
                <w:sz w:val="24"/>
                <w:highlight w:val="none"/>
                <w:lang w:val="en-US" w:eastAsia="zh-CN"/>
              </w:rPr>
            </w:pPr>
            <w:r>
              <w:rPr>
                <w:rFonts w:hint="eastAsia"/>
                <w:color w:val="auto"/>
                <w:sz w:val="24"/>
                <w:highlight w:val="none"/>
                <w:lang w:val="en-US" w:eastAsia="zh-CN"/>
              </w:rPr>
              <w:t>颗粒物</w:t>
            </w:r>
          </w:p>
        </w:tc>
        <w:tc>
          <w:tcPr>
            <w:tcW w:w="2407" w:type="dxa"/>
            <w:shd w:val="clear" w:color="auto" w:fill="auto"/>
            <w:noWrap w:val="0"/>
            <w:vAlign w:val="center"/>
          </w:tcPr>
          <w:p w14:paraId="3D64FC86">
            <w:pPr>
              <w:adjustRightInd w:val="0"/>
              <w:snapToGrid w:val="0"/>
              <w:jc w:val="center"/>
              <w:rPr>
                <w:rFonts w:hint="default"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投料间密闭，</w:t>
            </w:r>
            <w:r>
              <w:rPr>
                <w:rFonts w:hint="default" w:ascii="Times New Roman" w:hAnsi="Times New Roman" w:eastAsia="宋体" w:cs="Times New Roman"/>
                <w:color w:val="auto"/>
                <w:sz w:val="24"/>
                <w:highlight w:val="none"/>
                <w:lang w:val="en-US" w:eastAsia="zh-CN"/>
              </w:rPr>
              <w:t>投料产生的颗粒物通过真空上料系统自带滤芯除尘器</w:t>
            </w:r>
            <w:r>
              <w:rPr>
                <w:rFonts w:hint="eastAsia" w:cs="Times New Roman"/>
                <w:color w:val="auto"/>
                <w:sz w:val="24"/>
                <w:highlight w:val="none"/>
                <w:lang w:val="en-US" w:eastAsia="zh-CN"/>
              </w:rPr>
              <w:t>（TA001）+车间洁净系统处理后，</w:t>
            </w:r>
            <w:r>
              <w:rPr>
                <w:rFonts w:hint="default" w:ascii="Times New Roman" w:hAnsi="Times New Roman" w:eastAsia="宋体" w:cs="Times New Roman"/>
                <w:color w:val="auto"/>
                <w:sz w:val="24"/>
                <w:highlight w:val="none"/>
                <w:lang w:val="en-US" w:eastAsia="zh-CN"/>
              </w:rPr>
              <w:t>无组织排放</w:t>
            </w:r>
          </w:p>
        </w:tc>
        <w:tc>
          <w:tcPr>
            <w:tcW w:w="1752" w:type="dxa"/>
            <w:vMerge w:val="restart"/>
            <w:shd w:val="clear" w:color="auto" w:fill="auto"/>
            <w:noWrap w:val="0"/>
            <w:vAlign w:val="center"/>
          </w:tcPr>
          <w:p w14:paraId="6BFEE652">
            <w:pPr>
              <w:pStyle w:val="208"/>
              <w:spacing w:line="240" w:lineRule="auto"/>
              <w:ind w:firstLine="0"/>
              <w:jc w:val="center"/>
              <w:rPr>
                <w:rFonts w:hint="eastAsia" w:ascii="Times New Roman" w:hAnsi="Times New Roman"/>
                <w:color w:val="auto"/>
                <w:sz w:val="24"/>
                <w:highlight w:val="none"/>
              </w:rPr>
            </w:pPr>
            <w:r>
              <w:rPr>
                <w:rFonts w:hint="eastAsia" w:ascii="Times New Roman" w:hAnsi="Times New Roman"/>
                <w:color w:val="auto"/>
                <w:sz w:val="24"/>
                <w:highlight w:val="none"/>
              </w:rPr>
              <w:t>《</w:t>
            </w:r>
            <w:r>
              <w:rPr>
                <w:rFonts w:hint="eastAsia" w:ascii="Times New Roman"/>
                <w:color w:val="auto"/>
                <w:sz w:val="24"/>
                <w:highlight w:val="none"/>
                <w:lang w:val="en-US" w:eastAsia="zh-CN"/>
              </w:rPr>
              <w:t>电池工业污染物排放标准</w:t>
            </w:r>
            <w:r>
              <w:rPr>
                <w:rFonts w:hint="eastAsia" w:ascii="Times New Roman" w:hAnsi="Times New Roman"/>
                <w:color w:val="auto"/>
                <w:sz w:val="24"/>
                <w:highlight w:val="none"/>
              </w:rPr>
              <w:t>》（GB</w:t>
            </w:r>
            <w:r>
              <w:rPr>
                <w:rFonts w:hint="eastAsia" w:ascii="Times New Roman"/>
                <w:color w:val="auto"/>
                <w:sz w:val="24"/>
                <w:highlight w:val="none"/>
                <w:lang w:val="en-US" w:eastAsia="zh-CN"/>
              </w:rPr>
              <w:t>30484</w:t>
            </w:r>
            <w:r>
              <w:rPr>
                <w:rFonts w:hint="eastAsia" w:ascii="Times New Roman" w:hAnsi="Times New Roman"/>
                <w:color w:val="auto"/>
                <w:sz w:val="24"/>
                <w:highlight w:val="none"/>
              </w:rPr>
              <w:t>-</w:t>
            </w:r>
            <w:r>
              <w:rPr>
                <w:rFonts w:hint="eastAsia" w:ascii="Times New Roman"/>
                <w:color w:val="auto"/>
                <w:sz w:val="24"/>
                <w:highlight w:val="none"/>
                <w:lang w:val="en-US" w:eastAsia="zh-CN"/>
              </w:rPr>
              <w:t>2013</w:t>
            </w:r>
            <w:r>
              <w:rPr>
                <w:rFonts w:hint="eastAsia" w:ascii="Times New Roman" w:hAnsi="Times New Roman"/>
                <w:color w:val="auto"/>
                <w:sz w:val="24"/>
                <w:highlight w:val="none"/>
              </w:rPr>
              <w:t>）</w:t>
            </w:r>
          </w:p>
        </w:tc>
      </w:tr>
      <w:tr w14:paraId="5B42A5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5" w:hRule="atLeast"/>
          <w:jc w:val="center"/>
        </w:trPr>
        <w:tc>
          <w:tcPr>
            <w:tcW w:w="1556" w:type="dxa"/>
            <w:vMerge w:val="continue"/>
            <w:shd w:val="clear" w:color="auto" w:fill="auto"/>
            <w:noWrap w:val="0"/>
            <w:vAlign w:val="center"/>
          </w:tcPr>
          <w:p w14:paraId="298687B2">
            <w:pPr>
              <w:adjustRightInd w:val="0"/>
              <w:snapToGrid w:val="0"/>
              <w:jc w:val="center"/>
              <w:rPr>
                <w:rFonts w:hint="eastAsia" w:ascii="Times New Roman" w:hAnsi="Times New Roman"/>
                <w:b/>
                <w:bCs/>
                <w:color w:val="auto"/>
                <w:sz w:val="24"/>
                <w:highlight w:val="none"/>
              </w:rPr>
            </w:pPr>
          </w:p>
        </w:tc>
        <w:tc>
          <w:tcPr>
            <w:tcW w:w="1680" w:type="dxa"/>
            <w:shd w:val="clear" w:color="auto" w:fill="auto"/>
            <w:noWrap w:val="0"/>
            <w:vAlign w:val="center"/>
          </w:tcPr>
          <w:p w14:paraId="723EBA9C">
            <w:pPr>
              <w:adjustRightInd w:val="0"/>
              <w:snapToGrid w:val="0"/>
              <w:jc w:val="center"/>
              <w:rPr>
                <w:rFonts w:hint="default"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分切粉尘</w:t>
            </w:r>
          </w:p>
        </w:tc>
        <w:tc>
          <w:tcPr>
            <w:tcW w:w="1405" w:type="dxa"/>
            <w:shd w:val="clear" w:color="auto" w:fill="auto"/>
            <w:noWrap w:val="0"/>
            <w:vAlign w:val="center"/>
          </w:tcPr>
          <w:p w14:paraId="540F0CEE">
            <w:pPr>
              <w:adjustRightInd w:val="0"/>
              <w:snapToGrid w:val="0"/>
              <w:jc w:val="center"/>
              <w:rPr>
                <w:rFonts w:hint="default"/>
                <w:color w:val="auto"/>
                <w:sz w:val="24"/>
                <w:highlight w:val="none"/>
                <w:lang w:val="en-US" w:eastAsia="zh-CN"/>
              </w:rPr>
            </w:pPr>
            <w:r>
              <w:rPr>
                <w:rFonts w:hint="eastAsia"/>
                <w:color w:val="auto"/>
                <w:sz w:val="24"/>
                <w:highlight w:val="none"/>
                <w:lang w:val="en-US" w:eastAsia="zh-CN"/>
              </w:rPr>
              <w:t>颗粒物</w:t>
            </w:r>
          </w:p>
        </w:tc>
        <w:tc>
          <w:tcPr>
            <w:tcW w:w="2407" w:type="dxa"/>
            <w:shd w:val="clear" w:color="auto" w:fill="auto"/>
            <w:noWrap w:val="0"/>
            <w:vAlign w:val="center"/>
          </w:tcPr>
          <w:p w14:paraId="35535AB1">
            <w:pPr>
              <w:adjustRightInd w:val="0"/>
              <w:snapToGrid w:val="0"/>
              <w:jc w:val="center"/>
              <w:rPr>
                <w:rFonts w:hint="default" w:cs="Times New Roman"/>
                <w:color w:val="auto"/>
                <w:sz w:val="24"/>
                <w:highlight w:val="none"/>
                <w:lang w:val="en-US" w:eastAsia="zh-CN"/>
              </w:rPr>
            </w:pPr>
            <w:r>
              <w:rPr>
                <w:rFonts w:hint="eastAsia" w:cs="Times New Roman"/>
                <w:color w:val="auto"/>
                <w:sz w:val="24"/>
                <w:highlight w:val="none"/>
                <w:lang w:val="en-US" w:eastAsia="zh-CN"/>
              </w:rPr>
              <w:t>车间洁净系统处理后，</w:t>
            </w:r>
            <w:r>
              <w:rPr>
                <w:rFonts w:hint="default" w:ascii="Times New Roman" w:hAnsi="Times New Roman" w:eastAsia="宋体" w:cs="Times New Roman"/>
                <w:color w:val="auto"/>
                <w:sz w:val="24"/>
                <w:highlight w:val="none"/>
                <w:lang w:val="en-US" w:eastAsia="zh-CN"/>
              </w:rPr>
              <w:t>无组织排放</w:t>
            </w:r>
          </w:p>
        </w:tc>
        <w:tc>
          <w:tcPr>
            <w:tcW w:w="1752" w:type="dxa"/>
            <w:vMerge w:val="continue"/>
            <w:shd w:val="clear" w:color="auto" w:fill="auto"/>
            <w:noWrap w:val="0"/>
            <w:vAlign w:val="center"/>
          </w:tcPr>
          <w:p w14:paraId="34D29A84">
            <w:pPr>
              <w:pStyle w:val="208"/>
              <w:spacing w:line="240" w:lineRule="auto"/>
              <w:ind w:firstLine="0"/>
              <w:jc w:val="center"/>
              <w:rPr>
                <w:rFonts w:hint="eastAsia" w:ascii="Times New Roman" w:hAnsi="Times New Roman"/>
                <w:color w:val="auto"/>
                <w:sz w:val="24"/>
                <w:highlight w:val="none"/>
              </w:rPr>
            </w:pPr>
          </w:p>
        </w:tc>
      </w:tr>
      <w:tr w14:paraId="088870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5" w:hRule="atLeast"/>
          <w:jc w:val="center"/>
        </w:trPr>
        <w:tc>
          <w:tcPr>
            <w:tcW w:w="1556" w:type="dxa"/>
            <w:vMerge w:val="continue"/>
            <w:shd w:val="clear" w:color="auto" w:fill="auto"/>
            <w:noWrap w:val="0"/>
            <w:vAlign w:val="center"/>
          </w:tcPr>
          <w:p w14:paraId="066342F3">
            <w:pPr>
              <w:adjustRightInd w:val="0"/>
              <w:snapToGrid w:val="0"/>
              <w:jc w:val="center"/>
              <w:rPr>
                <w:rFonts w:hint="eastAsia" w:ascii="Times New Roman" w:hAnsi="Times New Roman"/>
                <w:b/>
                <w:bCs/>
                <w:color w:val="auto"/>
                <w:sz w:val="24"/>
                <w:highlight w:val="none"/>
              </w:rPr>
            </w:pPr>
          </w:p>
        </w:tc>
        <w:tc>
          <w:tcPr>
            <w:tcW w:w="1680" w:type="dxa"/>
            <w:shd w:val="clear" w:color="auto" w:fill="auto"/>
            <w:noWrap w:val="0"/>
            <w:vAlign w:val="center"/>
          </w:tcPr>
          <w:p w14:paraId="0C74DBA5">
            <w:pPr>
              <w:adjustRightInd w:val="0"/>
              <w:snapToGrid w:val="0"/>
              <w:jc w:val="center"/>
              <w:rPr>
                <w:rFonts w:hint="default" w:cs="Times New Roman"/>
                <w:color w:val="auto"/>
                <w:sz w:val="24"/>
                <w:highlight w:val="none"/>
                <w:lang w:val="en-US" w:eastAsia="zh-CN"/>
              </w:rPr>
            </w:pPr>
            <w:r>
              <w:rPr>
                <w:rFonts w:hint="eastAsia" w:cs="Times New Roman"/>
                <w:color w:val="auto"/>
                <w:sz w:val="24"/>
                <w:highlight w:val="none"/>
                <w:lang w:val="en-US" w:eastAsia="zh-CN"/>
              </w:rPr>
              <w:t>焊接烟尘</w:t>
            </w:r>
          </w:p>
        </w:tc>
        <w:tc>
          <w:tcPr>
            <w:tcW w:w="1405" w:type="dxa"/>
            <w:shd w:val="clear" w:color="auto" w:fill="auto"/>
            <w:noWrap w:val="0"/>
            <w:vAlign w:val="center"/>
          </w:tcPr>
          <w:p w14:paraId="3C724AB0">
            <w:pPr>
              <w:adjustRightInd w:val="0"/>
              <w:snapToGrid w:val="0"/>
              <w:jc w:val="center"/>
              <w:rPr>
                <w:rFonts w:hint="default"/>
                <w:color w:val="auto"/>
                <w:sz w:val="24"/>
                <w:highlight w:val="none"/>
                <w:lang w:val="en-US" w:eastAsia="zh-CN"/>
              </w:rPr>
            </w:pPr>
            <w:r>
              <w:rPr>
                <w:rFonts w:hint="eastAsia"/>
                <w:color w:val="auto"/>
                <w:sz w:val="24"/>
                <w:highlight w:val="none"/>
                <w:lang w:val="en-US" w:eastAsia="zh-CN"/>
              </w:rPr>
              <w:t>颗粒物</w:t>
            </w:r>
          </w:p>
        </w:tc>
        <w:tc>
          <w:tcPr>
            <w:tcW w:w="2407" w:type="dxa"/>
            <w:shd w:val="clear" w:color="auto" w:fill="auto"/>
            <w:noWrap w:val="0"/>
            <w:vAlign w:val="center"/>
          </w:tcPr>
          <w:p w14:paraId="39E53D7F">
            <w:pPr>
              <w:adjustRightInd w:val="0"/>
              <w:snapToGrid w:val="0"/>
              <w:jc w:val="center"/>
              <w:rPr>
                <w:rFonts w:hint="default" w:cs="Times New Roman"/>
                <w:color w:val="auto"/>
                <w:sz w:val="24"/>
                <w:highlight w:val="none"/>
                <w:lang w:val="en-US" w:eastAsia="zh-CN"/>
              </w:rPr>
            </w:pPr>
            <w:r>
              <w:rPr>
                <w:rFonts w:hint="eastAsia" w:cs="Times New Roman"/>
                <w:color w:val="auto"/>
                <w:sz w:val="24"/>
                <w:highlight w:val="none"/>
                <w:lang w:val="en-US" w:eastAsia="zh-CN"/>
              </w:rPr>
              <w:t>经设备自带滤芯除尘器（TA005）处理后，</w:t>
            </w:r>
            <w:r>
              <w:rPr>
                <w:rFonts w:hint="default" w:ascii="Times New Roman" w:hAnsi="Times New Roman" w:eastAsia="宋体" w:cs="Times New Roman"/>
                <w:color w:val="auto"/>
                <w:sz w:val="24"/>
                <w:highlight w:val="none"/>
                <w:lang w:val="en-US" w:eastAsia="zh-CN"/>
              </w:rPr>
              <w:t>无组织排放</w:t>
            </w:r>
          </w:p>
        </w:tc>
        <w:tc>
          <w:tcPr>
            <w:tcW w:w="1752" w:type="dxa"/>
            <w:vMerge w:val="continue"/>
            <w:shd w:val="clear" w:color="auto" w:fill="auto"/>
            <w:noWrap w:val="0"/>
            <w:vAlign w:val="center"/>
          </w:tcPr>
          <w:p w14:paraId="31329572">
            <w:pPr>
              <w:pStyle w:val="208"/>
              <w:spacing w:line="240" w:lineRule="auto"/>
              <w:ind w:firstLine="0"/>
              <w:jc w:val="center"/>
              <w:rPr>
                <w:rFonts w:hint="eastAsia" w:ascii="Times New Roman" w:hAnsi="Times New Roman"/>
                <w:color w:val="auto"/>
                <w:sz w:val="24"/>
                <w:highlight w:val="none"/>
              </w:rPr>
            </w:pPr>
          </w:p>
        </w:tc>
      </w:tr>
      <w:tr w14:paraId="79CCDF1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5" w:hRule="atLeast"/>
          <w:jc w:val="center"/>
        </w:trPr>
        <w:tc>
          <w:tcPr>
            <w:tcW w:w="1556" w:type="dxa"/>
            <w:vMerge w:val="continue"/>
            <w:shd w:val="clear" w:color="auto" w:fill="auto"/>
            <w:noWrap w:val="0"/>
            <w:vAlign w:val="center"/>
          </w:tcPr>
          <w:p w14:paraId="43A0BCC4">
            <w:pPr>
              <w:adjustRightInd w:val="0"/>
              <w:snapToGrid w:val="0"/>
              <w:jc w:val="center"/>
              <w:rPr>
                <w:rFonts w:hint="eastAsia" w:ascii="Times New Roman" w:hAnsi="Times New Roman"/>
                <w:b/>
                <w:bCs/>
                <w:color w:val="auto"/>
                <w:sz w:val="24"/>
                <w:highlight w:val="none"/>
              </w:rPr>
            </w:pPr>
          </w:p>
        </w:tc>
        <w:tc>
          <w:tcPr>
            <w:tcW w:w="1680" w:type="dxa"/>
            <w:shd w:val="clear" w:color="auto" w:fill="auto"/>
            <w:noWrap w:val="0"/>
            <w:vAlign w:val="center"/>
          </w:tcPr>
          <w:p w14:paraId="2C068E88">
            <w:pPr>
              <w:adjustRightInd w:val="0"/>
              <w:snapToGrid w:val="0"/>
              <w:jc w:val="center"/>
              <w:rPr>
                <w:rFonts w:hint="default" w:ascii="Times New Roman" w:hAnsi="Times New Roman"/>
                <w:color w:val="auto"/>
                <w:sz w:val="24"/>
                <w:szCs w:val="24"/>
                <w:highlight w:val="none"/>
                <w:lang w:val="en-US" w:eastAsia="zh-CN"/>
              </w:rPr>
            </w:pPr>
            <w:r>
              <w:rPr>
                <w:rFonts w:hint="eastAsia"/>
                <w:color w:val="auto"/>
                <w:sz w:val="24"/>
                <w:szCs w:val="24"/>
                <w:highlight w:val="none"/>
                <w:lang w:val="en-US" w:eastAsia="zh-CN"/>
              </w:rPr>
              <w:t>污水处理站废气</w:t>
            </w:r>
          </w:p>
        </w:tc>
        <w:tc>
          <w:tcPr>
            <w:tcW w:w="1405" w:type="dxa"/>
            <w:shd w:val="clear" w:color="auto" w:fill="auto"/>
            <w:noWrap w:val="0"/>
            <w:vAlign w:val="center"/>
          </w:tcPr>
          <w:p w14:paraId="4C65A56B">
            <w:pPr>
              <w:adjustRightInd w:val="0"/>
              <w:snapToGrid w:val="0"/>
              <w:jc w:val="center"/>
              <w:rPr>
                <w:rFonts w:hint="default" w:ascii="Times New Roman" w:hAnsi="Times New Roman" w:eastAsia="宋体"/>
                <w:color w:val="auto"/>
                <w:sz w:val="24"/>
                <w:szCs w:val="24"/>
                <w:highlight w:val="none"/>
                <w:lang w:val="en-US" w:eastAsia="zh-CN"/>
              </w:rPr>
            </w:pPr>
            <w:r>
              <w:rPr>
                <w:rFonts w:hint="default" w:ascii="Times New Roman" w:hAnsi="Times New Roman" w:cs="Times New Roman"/>
                <w:color w:val="auto"/>
                <w:sz w:val="24"/>
                <w:szCs w:val="24"/>
                <w:lang w:val="en-US" w:eastAsia="zh-CN"/>
              </w:rPr>
              <w:t>H</w:t>
            </w:r>
            <w:r>
              <w:rPr>
                <w:rFonts w:hint="default" w:ascii="Times New Roman" w:hAnsi="Times New Roman" w:cs="Times New Roman"/>
                <w:color w:val="auto"/>
                <w:sz w:val="24"/>
                <w:szCs w:val="24"/>
                <w:vertAlign w:val="subscript"/>
                <w:lang w:val="en-US" w:eastAsia="zh-CN"/>
              </w:rPr>
              <w:t>2</w:t>
            </w:r>
            <w:r>
              <w:rPr>
                <w:rFonts w:hint="default" w:ascii="Times New Roman" w:hAnsi="Times New Roman" w:cs="Times New Roman"/>
                <w:color w:val="auto"/>
                <w:sz w:val="24"/>
                <w:szCs w:val="24"/>
                <w:lang w:val="en-US" w:eastAsia="zh-CN"/>
              </w:rPr>
              <w:t>S、NH</w:t>
            </w:r>
            <w:r>
              <w:rPr>
                <w:rFonts w:hint="default" w:ascii="Times New Roman" w:hAnsi="Times New Roman" w:cs="Times New Roman"/>
                <w:color w:val="auto"/>
                <w:sz w:val="24"/>
                <w:szCs w:val="24"/>
                <w:vertAlign w:val="subscript"/>
                <w:lang w:val="en-US" w:eastAsia="zh-CN"/>
              </w:rPr>
              <w:t>3</w:t>
            </w:r>
            <w:r>
              <w:rPr>
                <w:rFonts w:hint="default" w:ascii="Times New Roman" w:hAnsi="Times New Roman" w:cs="Times New Roman"/>
                <w:color w:val="auto"/>
                <w:sz w:val="24"/>
                <w:szCs w:val="24"/>
                <w:lang w:val="en-US" w:eastAsia="zh-CN"/>
              </w:rPr>
              <w:t>等</w:t>
            </w:r>
          </w:p>
        </w:tc>
        <w:tc>
          <w:tcPr>
            <w:tcW w:w="2407" w:type="dxa"/>
            <w:shd w:val="clear" w:color="auto" w:fill="auto"/>
            <w:noWrap w:val="0"/>
            <w:vAlign w:val="center"/>
          </w:tcPr>
          <w:p w14:paraId="51A754A7">
            <w:pPr>
              <w:adjustRightInd w:val="0"/>
              <w:snapToGrid w:val="0"/>
              <w:jc w:val="center"/>
              <w:rPr>
                <w:rFonts w:hint="default" w:ascii="Times New Roman" w:hAnsi="Times New Roman"/>
                <w:color w:val="auto"/>
                <w:kern w:val="0"/>
                <w:sz w:val="24"/>
                <w:szCs w:val="24"/>
                <w:highlight w:val="none"/>
                <w:lang w:val="en-US" w:eastAsia="zh-CN"/>
              </w:rPr>
            </w:pPr>
            <w:r>
              <w:rPr>
                <w:rFonts w:hint="eastAsia"/>
                <w:color w:val="auto"/>
                <w:kern w:val="0"/>
                <w:sz w:val="24"/>
                <w:szCs w:val="24"/>
                <w:highlight w:val="none"/>
                <w:lang w:val="en-US" w:eastAsia="zh-CN"/>
              </w:rPr>
              <w:t>无组织排放</w:t>
            </w:r>
          </w:p>
        </w:tc>
        <w:tc>
          <w:tcPr>
            <w:tcW w:w="1752" w:type="dxa"/>
            <w:shd w:val="clear" w:color="auto" w:fill="auto"/>
            <w:noWrap w:val="0"/>
            <w:vAlign w:val="center"/>
          </w:tcPr>
          <w:p w14:paraId="20FA5784">
            <w:pPr>
              <w:pStyle w:val="208"/>
              <w:spacing w:line="240" w:lineRule="auto"/>
              <w:ind w:firstLine="0"/>
              <w:jc w:val="center"/>
              <w:rPr>
                <w:rFonts w:hint="eastAsia" w:ascii="Times New Roman" w:hAnsi="Times New Roman" w:eastAsia="宋体"/>
                <w:color w:val="auto"/>
                <w:sz w:val="24"/>
                <w:szCs w:val="24"/>
                <w:highlight w:val="none"/>
                <w:lang w:eastAsia="zh-CN"/>
              </w:rPr>
            </w:pPr>
            <w:r>
              <w:rPr>
                <w:rFonts w:hint="default" w:ascii="Times New Roman" w:hAnsi="Times New Roman" w:eastAsia="宋体" w:cs="Times New Roman"/>
                <w:color w:val="auto"/>
                <w:sz w:val="24"/>
                <w:szCs w:val="24"/>
                <w:lang w:val="en-US" w:eastAsia="zh-CN"/>
              </w:rPr>
              <w:t>《恶臭污染物排放标准》</w:t>
            </w:r>
            <w:r>
              <w:rPr>
                <w:rFonts w:hint="default" w:ascii="Times New Roman" w:hAnsi="Times New Roman" w:cs="Times New Roman"/>
                <w:color w:val="auto"/>
                <w:sz w:val="24"/>
                <w:szCs w:val="24"/>
                <w:lang w:val="en-US" w:eastAsia="zh-CN"/>
              </w:rPr>
              <w:t>（GB14554-93）</w:t>
            </w:r>
          </w:p>
        </w:tc>
      </w:tr>
      <w:tr w14:paraId="56B37B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5" w:hRule="atLeast"/>
          <w:jc w:val="center"/>
        </w:trPr>
        <w:tc>
          <w:tcPr>
            <w:tcW w:w="1556" w:type="dxa"/>
            <w:shd w:val="clear" w:color="auto" w:fill="auto"/>
            <w:noWrap w:val="0"/>
            <w:vAlign w:val="center"/>
          </w:tcPr>
          <w:p w14:paraId="368203F8">
            <w:pPr>
              <w:adjustRightInd w:val="0"/>
              <w:snapToGrid w:val="0"/>
              <w:jc w:val="center"/>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地表水环境</w:t>
            </w:r>
          </w:p>
        </w:tc>
        <w:tc>
          <w:tcPr>
            <w:tcW w:w="1680" w:type="dxa"/>
            <w:shd w:val="clear" w:color="auto" w:fill="auto"/>
            <w:noWrap w:val="0"/>
            <w:vAlign w:val="center"/>
          </w:tcPr>
          <w:p w14:paraId="7B53A401">
            <w:pPr>
              <w:adjustRightInd w:val="0"/>
              <w:snapToGrid w:val="0"/>
              <w:jc w:val="center"/>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废水总排放口</w:t>
            </w:r>
            <w:r>
              <w:rPr>
                <w:rFonts w:hint="eastAsia" w:ascii="Times New Roman" w:hAnsi="Times New Roman" w:eastAsia="宋体" w:cs="Times New Roman"/>
                <w:color w:val="auto"/>
                <w:sz w:val="24"/>
                <w:szCs w:val="24"/>
                <w:highlight w:val="none"/>
                <w:lang w:val="en-US" w:eastAsia="zh-CN"/>
              </w:rPr>
              <w:t>（DW00</w:t>
            </w:r>
            <w:r>
              <w:rPr>
                <w:rFonts w:hint="eastAsia" w:cs="Times New Roman"/>
                <w:color w:val="auto"/>
                <w:sz w:val="24"/>
                <w:szCs w:val="24"/>
                <w:highlight w:val="none"/>
                <w:lang w:val="en-US" w:eastAsia="zh-CN"/>
              </w:rPr>
              <w:t>1</w:t>
            </w:r>
            <w:r>
              <w:rPr>
                <w:rFonts w:hint="eastAsia" w:ascii="Times New Roman" w:hAnsi="Times New Roman" w:eastAsia="宋体" w:cs="Times New Roman"/>
                <w:color w:val="auto"/>
                <w:sz w:val="24"/>
                <w:szCs w:val="24"/>
                <w:highlight w:val="none"/>
                <w:lang w:val="en-US" w:eastAsia="zh-CN"/>
              </w:rPr>
              <w:t>）</w:t>
            </w:r>
          </w:p>
        </w:tc>
        <w:tc>
          <w:tcPr>
            <w:tcW w:w="1405" w:type="dxa"/>
            <w:shd w:val="clear" w:color="auto" w:fill="auto"/>
            <w:noWrap w:val="0"/>
            <w:vAlign w:val="center"/>
          </w:tcPr>
          <w:p w14:paraId="7862C34B">
            <w:pPr>
              <w:adjustRightInd w:val="0"/>
              <w:snapToGrid w:val="0"/>
              <w:jc w:val="center"/>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b w:val="0"/>
                <w:bCs w:val="0"/>
                <w:color w:val="auto"/>
                <w:sz w:val="24"/>
                <w:szCs w:val="24"/>
                <w:highlight w:val="none"/>
                <w:vertAlign w:val="baseline"/>
                <w:lang w:val="en-US" w:eastAsia="zh-CN"/>
              </w:rPr>
              <w:t>COD、BOD</w:t>
            </w:r>
            <w:r>
              <w:rPr>
                <w:rFonts w:hint="eastAsia" w:ascii="Times New Roman" w:hAnsi="Times New Roman"/>
                <w:b w:val="0"/>
                <w:bCs w:val="0"/>
                <w:color w:val="auto"/>
                <w:sz w:val="24"/>
                <w:szCs w:val="24"/>
                <w:highlight w:val="none"/>
                <w:vertAlign w:val="subscript"/>
                <w:lang w:val="en-US" w:eastAsia="zh-CN"/>
              </w:rPr>
              <w:t>5</w:t>
            </w:r>
            <w:r>
              <w:rPr>
                <w:rFonts w:hint="eastAsia" w:ascii="Times New Roman" w:hAnsi="Times New Roman"/>
                <w:b w:val="0"/>
                <w:bCs w:val="0"/>
                <w:color w:val="auto"/>
                <w:sz w:val="24"/>
                <w:szCs w:val="24"/>
                <w:highlight w:val="none"/>
                <w:vertAlign w:val="baseline"/>
                <w:lang w:val="en-US" w:eastAsia="zh-CN"/>
              </w:rPr>
              <w:t>、NH</w:t>
            </w:r>
            <w:r>
              <w:rPr>
                <w:rFonts w:hint="eastAsia" w:ascii="Times New Roman" w:hAnsi="Times New Roman"/>
                <w:b w:val="0"/>
                <w:bCs w:val="0"/>
                <w:color w:val="auto"/>
                <w:sz w:val="24"/>
                <w:szCs w:val="24"/>
                <w:highlight w:val="none"/>
                <w:vertAlign w:val="subscript"/>
                <w:lang w:val="en-US" w:eastAsia="zh-CN"/>
              </w:rPr>
              <w:t>3</w:t>
            </w:r>
            <w:r>
              <w:rPr>
                <w:rFonts w:hint="eastAsia" w:ascii="Times New Roman" w:hAnsi="Times New Roman"/>
                <w:b w:val="0"/>
                <w:bCs w:val="0"/>
                <w:color w:val="auto"/>
                <w:sz w:val="24"/>
                <w:szCs w:val="24"/>
                <w:highlight w:val="none"/>
                <w:vertAlign w:val="baseline"/>
                <w:lang w:val="en-US" w:eastAsia="zh-CN"/>
              </w:rPr>
              <w:t>-N、SS、TP</w:t>
            </w:r>
            <w:r>
              <w:rPr>
                <w:rFonts w:hint="eastAsia"/>
                <w:b w:val="0"/>
                <w:bCs w:val="0"/>
                <w:color w:val="auto"/>
                <w:sz w:val="24"/>
                <w:szCs w:val="24"/>
                <w:highlight w:val="none"/>
                <w:vertAlign w:val="baseline"/>
                <w:lang w:val="en-US" w:eastAsia="zh-CN"/>
              </w:rPr>
              <w:t>、TN、Ni、Co、Mn、氟化物</w:t>
            </w:r>
          </w:p>
        </w:tc>
        <w:tc>
          <w:tcPr>
            <w:tcW w:w="2407" w:type="dxa"/>
            <w:shd w:val="clear" w:color="auto" w:fill="auto"/>
            <w:noWrap w:val="0"/>
            <w:vAlign w:val="center"/>
          </w:tcPr>
          <w:p w14:paraId="41D11C36">
            <w:pPr>
              <w:adjustRightInd w:val="0"/>
              <w:snapToGrid w:val="0"/>
              <w:jc w:val="center"/>
              <w:rPr>
                <w:rFonts w:hint="default" w:ascii="Times New Roman" w:hAnsi="Times New Roman" w:eastAsia="宋体" w:cs="Times New Roman"/>
                <w:color w:val="auto"/>
                <w:kern w:val="0"/>
                <w:sz w:val="24"/>
                <w:szCs w:val="24"/>
                <w:highlight w:val="none"/>
                <w:lang w:val="en-US" w:eastAsia="zh-CN"/>
              </w:rPr>
            </w:pPr>
            <w:r>
              <w:rPr>
                <w:rFonts w:hint="eastAsia" w:cs="Times New Roman"/>
                <w:color w:val="auto"/>
                <w:sz w:val="24"/>
                <w:szCs w:val="24"/>
                <w:lang w:val="en-US" w:eastAsia="zh-CN"/>
              </w:rPr>
              <w:t>设备清洗废水经厂区污水处理站</w:t>
            </w:r>
            <w:r>
              <w:rPr>
                <w:rFonts w:hint="default" w:ascii="Times New Roman" w:hAnsi="Times New Roman" w:eastAsia="宋体" w:cs="Times New Roman"/>
                <w:color w:val="auto"/>
                <w:sz w:val="24"/>
                <w:szCs w:val="24"/>
                <w:lang w:val="en-US" w:eastAsia="zh-CN"/>
              </w:rPr>
              <w:t>（</w:t>
            </w:r>
            <w:r>
              <w:rPr>
                <w:rFonts w:hint="eastAsia" w:ascii="Times New Roman" w:hAnsi="Times New Roman" w:eastAsia="宋体" w:cs="Times New Roman"/>
                <w:color w:val="auto"/>
                <w:sz w:val="24"/>
                <w:szCs w:val="24"/>
                <w:lang w:val="en-US" w:eastAsia="zh-CN"/>
              </w:rPr>
              <w:t>处理工艺为</w:t>
            </w:r>
            <w:r>
              <w:rPr>
                <w:rFonts w:hint="eastAsia" w:cs="Times New Roman"/>
                <w:color w:val="auto"/>
                <w:sz w:val="24"/>
                <w:szCs w:val="24"/>
                <w:lang w:val="en-US" w:eastAsia="zh-CN"/>
              </w:rPr>
              <w:t>“</w:t>
            </w:r>
            <w:r>
              <w:rPr>
                <w:rFonts w:hint="eastAsia"/>
                <w:b w:val="0"/>
                <w:bCs w:val="0"/>
                <w:color w:val="auto"/>
                <w:sz w:val="24"/>
                <w:szCs w:val="24"/>
                <w:highlight w:val="none"/>
                <w:shd w:val="clear"/>
                <w:vertAlign w:val="baseline"/>
                <w:lang w:val="en-US" w:eastAsia="zh-CN"/>
              </w:rPr>
              <w:t>正极：除氟+除重+沉淀；负极：芬顿氧化+沉淀</w:t>
            </w:r>
            <w:r>
              <w:rPr>
                <w:rFonts w:hint="eastAsia"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，处理能力</w:t>
            </w:r>
            <w:r>
              <w:rPr>
                <w:rFonts w:hint="eastAsia" w:cs="Times New Roman"/>
                <w:color w:val="auto"/>
                <w:sz w:val="24"/>
                <w:szCs w:val="24"/>
                <w:lang w:val="en-US" w:eastAsia="zh-CN"/>
              </w:rPr>
              <w:t>6</w:t>
            </w:r>
            <w:r>
              <w:rPr>
                <w:rFonts w:hint="eastAsia" w:ascii="Times New Roman" w:hAnsi="Times New Roman" w:eastAsia="宋体" w:cs="Times New Roman"/>
                <w:color w:val="auto"/>
                <w:sz w:val="24"/>
                <w:szCs w:val="24"/>
                <w:lang w:val="en-US" w:eastAsia="zh-CN"/>
              </w:rPr>
              <w:t>m</w:t>
            </w:r>
            <w:r>
              <w:rPr>
                <w:rFonts w:hint="eastAsia"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lang w:val="en-US" w:eastAsia="zh-CN"/>
              </w:rPr>
              <w:t>/d）处理</w:t>
            </w:r>
            <w:r>
              <w:rPr>
                <w:rFonts w:hint="eastAsia" w:cs="Times New Roman"/>
                <w:color w:val="auto"/>
                <w:sz w:val="24"/>
                <w:szCs w:val="24"/>
                <w:lang w:val="en-US" w:eastAsia="zh-CN"/>
              </w:rPr>
              <w:t>后同</w:t>
            </w:r>
            <w:r>
              <w:rPr>
                <w:rFonts w:hint="default" w:ascii="Times New Roman" w:hAnsi="Times New Roman" w:eastAsia="宋体" w:cs="Times New Roman"/>
                <w:color w:val="auto"/>
                <w:sz w:val="24"/>
                <w:szCs w:val="24"/>
                <w:lang w:val="en-US" w:eastAsia="zh-CN"/>
              </w:rPr>
              <w:t>办公生活污水</w:t>
            </w:r>
            <w:r>
              <w:rPr>
                <w:rFonts w:hint="eastAsia" w:cs="Times New Roman"/>
                <w:color w:val="auto"/>
                <w:sz w:val="24"/>
                <w:szCs w:val="24"/>
                <w:lang w:val="en-US" w:eastAsia="zh-CN"/>
              </w:rPr>
              <w:t>、纯水制备浓水、反冲洗水、空压冷凝水</w:t>
            </w:r>
            <w:r>
              <w:rPr>
                <w:rFonts w:hint="default" w:ascii="Times New Roman" w:hAnsi="Times New Roman" w:eastAsia="宋体" w:cs="Times New Roman"/>
                <w:color w:val="auto"/>
                <w:sz w:val="24"/>
                <w:szCs w:val="24"/>
                <w:lang w:val="en-US" w:eastAsia="zh-CN"/>
              </w:rPr>
              <w:t>经预处理池处理后</w:t>
            </w:r>
            <w:r>
              <w:rPr>
                <w:rFonts w:hint="eastAsia" w:cs="Times New Roman"/>
                <w:color w:val="auto"/>
                <w:kern w:val="0"/>
                <w:sz w:val="24"/>
                <w:szCs w:val="24"/>
                <w:highlight w:val="none"/>
                <w:lang w:val="en-US" w:eastAsia="zh-CN"/>
              </w:rPr>
              <w:t>排入园区污水处理厂</w:t>
            </w:r>
          </w:p>
        </w:tc>
        <w:tc>
          <w:tcPr>
            <w:tcW w:w="1752" w:type="dxa"/>
            <w:shd w:val="clear" w:color="auto" w:fill="auto"/>
            <w:noWrap w:val="0"/>
            <w:vAlign w:val="center"/>
          </w:tcPr>
          <w:p w14:paraId="01F4AE56">
            <w:pPr>
              <w:adjustRightInd w:val="0"/>
              <w:snapToGrid w:val="0"/>
              <w:jc w:val="center"/>
              <w:rPr>
                <w:rFonts w:hint="eastAsia"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kern w:val="0"/>
                <w:sz w:val="24"/>
                <w:szCs w:val="24"/>
                <w:highlight w:val="none"/>
                <w:lang w:val="en-US" w:eastAsia="zh-CN"/>
              </w:rPr>
              <w:t>《电池工业污染物排放标准》（GB 30484-2013）</w:t>
            </w:r>
          </w:p>
        </w:tc>
      </w:tr>
      <w:tr w14:paraId="5AA398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5" w:hRule="atLeast"/>
          <w:jc w:val="center"/>
        </w:trPr>
        <w:tc>
          <w:tcPr>
            <w:tcW w:w="1556" w:type="dxa"/>
            <w:shd w:val="clear" w:color="auto" w:fill="auto"/>
            <w:noWrap w:val="0"/>
            <w:vAlign w:val="center"/>
          </w:tcPr>
          <w:p w14:paraId="4B643919">
            <w:pPr>
              <w:adjustRightInd w:val="0"/>
              <w:snapToGrid w:val="0"/>
              <w:jc w:val="center"/>
              <w:rPr>
                <w:rFonts w:ascii="Times New Roman" w:hAnsi="Times New Roman"/>
                <w:b/>
                <w:bCs/>
                <w:color w:val="auto"/>
                <w:sz w:val="24"/>
                <w:highlight w:val="none"/>
              </w:rPr>
            </w:pPr>
            <w:r>
              <w:rPr>
                <w:rFonts w:hint="eastAsia" w:ascii="Times New Roman" w:hAnsi="Times New Roman"/>
                <w:b/>
                <w:bCs/>
                <w:color w:val="auto"/>
                <w:sz w:val="24"/>
                <w:highlight w:val="none"/>
              </w:rPr>
              <w:t>声环境</w:t>
            </w:r>
          </w:p>
        </w:tc>
        <w:tc>
          <w:tcPr>
            <w:tcW w:w="1680" w:type="dxa"/>
            <w:shd w:val="clear" w:color="auto" w:fill="auto"/>
            <w:noWrap w:val="0"/>
            <w:vAlign w:val="center"/>
          </w:tcPr>
          <w:p w14:paraId="5270F816">
            <w:pPr>
              <w:jc w:val="center"/>
              <w:rPr>
                <w:rFonts w:ascii="Times New Roman" w:hAnsi="Times New Roman"/>
                <w:color w:val="auto"/>
                <w:sz w:val="24"/>
                <w:highlight w:val="none"/>
              </w:rPr>
            </w:pPr>
            <w:r>
              <w:rPr>
                <w:rFonts w:ascii="Times New Roman" w:hAnsi="Times New Roman"/>
                <w:color w:val="auto"/>
                <w:sz w:val="24"/>
                <w:highlight w:val="none"/>
              </w:rPr>
              <w:t>生产设备</w:t>
            </w:r>
          </w:p>
        </w:tc>
        <w:tc>
          <w:tcPr>
            <w:tcW w:w="1405" w:type="dxa"/>
            <w:shd w:val="clear" w:color="auto" w:fill="auto"/>
            <w:noWrap w:val="0"/>
            <w:vAlign w:val="center"/>
          </w:tcPr>
          <w:p w14:paraId="12140603">
            <w:pPr>
              <w:jc w:val="center"/>
              <w:rPr>
                <w:rFonts w:ascii="Times New Roman" w:hAnsi="Times New Roman"/>
                <w:color w:val="auto"/>
                <w:sz w:val="24"/>
                <w:highlight w:val="none"/>
              </w:rPr>
            </w:pPr>
            <w:r>
              <w:rPr>
                <w:rFonts w:ascii="Times New Roman" w:hAnsi="Times New Roman"/>
                <w:color w:val="auto"/>
                <w:sz w:val="24"/>
                <w:highlight w:val="none"/>
              </w:rPr>
              <w:t>噪声</w:t>
            </w:r>
          </w:p>
        </w:tc>
        <w:tc>
          <w:tcPr>
            <w:tcW w:w="2407" w:type="dxa"/>
            <w:shd w:val="clear" w:color="auto" w:fill="auto"/>
            <w:noWrap w:val="0"/>
            <w:vAlign w:val="center"/>
          </w:tcPr>
          <w:p w14:paraId="4FC166ED">
            <w:pPr>
              <w:jc w:val="center"/>
              <w:rPr>
                <w:rFonts w:ascii="Times New Roman" w:hAnsi="Times New Roman"/>
                <w:color w:val="auto"/>
                <w:sz w:val="24"/>
                <w:highlight w:val="none"/>
              </w:rPr>
            </w:pPr>
            <w:r>
              <w:rPr>
                <w:rFonts w:ascii="Times New Roman" w:hAnsi="Times New Roman"/>
                <w:color w:val="auto"/>
                <w:kern w:val="0"/>
                <w:sz w:val="24"/>
                <w:highlight w:val="none"/>
              </w:rPr>
              <w:t>选用低噪声设备，建筑物隔声、合理布局、加强管理等</w:t>
            </w:r>
          </w:p>
        </w:tc>
        <w:tc>
          <w:tcPr>
            <w:tcW w:w="1752" w:type="dxa"/>
            <w:shd w:val="clear" w:color="auto" w:fill="auto"/>
            <w:noWrap w:val="0"/>
            <w:vAlign w:val="center"/>
          </w:tcPr>
          <w:p w14:paraId="08CE236F">
            <w:pPr>
              <w:jc w:val="center"/>
              <w:rPr>
                <w:rFonts w:ascii="Times New Roman" w:hAnsi="Times New Roman"/>
                <w:color w:val="auto"/>
                <w:sz w:val="24"/>
                <w:highlight w:val="none"/>
              </w:rPr>
            </w:pPr>
            <w:r>
              <w:rPr>
                <w:rFonts w:ascii="Times New Roman" w:hAnsi="Times New Roman"/>
                <w:color w:val="auto"/>
                <w:kern w:val="0"/>
                <w:sz w:val="24"/>
                <w:highlight w:val="none"/>
              </w:rPr>
              <w:t>《工业企业厂界环境噪声标准》（GB12348-2008）中3类标准</w:t>
            </w:r>
          </w:p>
        </w:tc>
      </w:tr>
      <w:tr w14:paraId="6D4DE2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5" w:hRule="atLeast"/>
          <w:jc w:val="center"/>
        </w:trPr>
        <w:tc>
          <w:tcPr>
            <w:tcW w:w="1556" w:type="dxa"/>
            <w:shd w:val="clear" w:color="auto" w:fill="auto"/>
            <w:noWrap w:val="0"/>
            <w:vAlign w:val="center"/>
          </w:tcPr>
          <w:p w14:paraId="5A4F28B5">
            <w:pPr>
              <w:adjustRightInd w:val="0"/>
              <w:snapToGrid w:val="0"/>
              <w:jc w:val="center"/>
              <w:rPr>
                <w:rFonts w:ascii="Times New Roman" w:hAnsi="Times New Roman"/>
                <w:b/>
                <w:bCs/>
                <w:color w:val="auto"/>
                <w:sz w:val="24"/>
                <w:highlight w:val="none"/>
              </w:rPr>
            </w:pPr>
            <w:r>
              <w:rPr>
                <w:rFonts w:hint="eastAsia" w:ascii="Times New Roman" w:hAnsi="Times New Roman"/>
                <w:b/>
                <w:bCs/>
                <w:color w:val="auto"/>
                <w:sz w:val="24"/>
                <w:highlight w:val="none"/>
              </w:rPr>
              <w:t>电子辐射</w:t>
            </w:r>
          </w:p>
        </w:tc>
        <w:tc>
          <w:tcPr>
            <w:tcW w:w="7244" w:type="dxa"/>
            <w:gridSpan w:val="4"/>
            <w:shd w:val="clear" w:color="auto" w:fill="auto"/>
            <w:noWrap w:val="0"/>
            <w:vAlign w:val="center"/>
          </w:tcPr>
          <w:p w14:paraId="4DB39CFD">
            <w:pPr>
              <w:adjustRightInd w:val="0"/>
              <w:snapToGrid w:val="0"/>
              <w:jc w:val="center"/>
              <w:rPr>
                <w:rFonts w:ascii="Times New Roman" w:hAnsi="Times New Roman"/>
                <w:color w:val="auto"/>
                <w:sz w:val="24"/>
                <w:highlight w:val="none"/>
              </w:rPr>
            </w:pPr>
            <w:r>
              <w:rPr>
                <w:rFonts w:hint="eastAsia" w:ascii="Times New Roman" w:hAnsi="Times New Roman"/>
                <w:color w:val="auto"/>
                <w:sz w:val="24"/>
                <w:highlight w:val="none"/>
              </w:rPr>
              <w:t>无</w:t>
            </w:r>
          </w:p>
        </w:tc>
      </w:tr>
      <w:tr w14:paraId="7A733E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01" w:hRule="atLeast"/>
          <w:jc w:val="center"/>
        </w:trPr>
        <w:tc>
          <w:tcPr>
            <w:tcW w:w="1556" w:type="dxa"/>
            <w:shd w:val="clear" w:color="auto" w:fill="auto"/>
            <w:noWrap w:val="0"/>
            <w:vAlign w:val="center"/>
          </w:tcPr>
          <w:p w14:paraId="52F246D6">
            <w:pPr>
              <w:adjustRightInd w:val="0"/>
              <w:snapToGrid w:val="0"/>
              <w:spacing w:line="360" w:lineRule="auto"/>
              <w:jc w:val="center"/>
              <w:rPr>
                <w:rFonts w:ascii="Times New Roman" w:hAnsi="Times New Roman"/>
                <w:b/>
                <w:bCs/>
                <w:color w:val="auto"/>
                <w:sz w:val="24"/>
                <w:highlight w:val="none"/>
              </w:rPr>
            </w:pPr>
            <w:r>
              <w:rPr>
                <w:rFonts w:hint="eastAsia" w:ascii="Times New Roman" w:hAnsi="Times New Roman"/>
                <w:b/>
                <w:bCs/>
                <w:color w:val="auto"/>
                <w:sz w:val="24"/>
                <w:highlight w:val="none"/>
              </w:rPr>
              <w:t>固体废物</w:t>
            </w:r>
          </w:p>
        </w:tc>
        <w:tc>
          <w:tcPr>
            <w:tcW w:w="7244" w:type="dxa"/>
            <w:gridSpan w:val="4"/>
            <w:shd w:val="clear" w:color="auto" w:fill="auto"/>
            <w:noWrap w:val="0"/>
            <w:vAlign w:val="center"/>
          </w:tcPr>
          <w:p w14:paraId="48B1C376">
            <w:pPr>
              <w:pStyle w:val="220"/>
              <w:keepNext w:val="0"/>
              <w:keepLines w:val="0"/>
              <w:pageBreakBefore w:val="0"/>
              <w:widowControl w:val="0"/>
              <w:kinsoku/>
              <w:wordWrap/>
              <w:overflowPunct/>
              <w:topLinePunct w:val="0"/>
              <w:autoSpaceDE/>
              <w:autoSpaceDN/>
              <w:bidi w:val="0"/>
              <w:spacing w:line="360" w:lineRule="auto"/>
              <w:ind w:left="0" w:right="0" w:firstLine="508" w:firstLineChars="200"/>
              <w:textAlignment w:val="auto"/>
              <w:rPr>
                <w:rFonts w:hint="eastAsia" w:ascii="Times New Roman" w:hAnsi="Times New Roman" w:cs="Times New Roman"/>
                <w:color w:val="auto"/>
                <w:sz w:val="24"/>
                <w:lang w:eastAsia="zh-CN"/>
              </w:rPr>
            </w:pPr>
            <w:r>
              <w:rPr>
                <w:rFonts w:hint="eastAsia" w:ascii="Times New Roman" w:hAnsi="Times New Roman" w:eastAsia="宋体" w:cs="Times New Roman"/>
                <w:color w:val="auto"/>
                <w:spacing w:val="7"/>
                <w:sz w:val="24"/>
                <w:szCs w:val="24"/>
                <w:lang w:val="en-US" w:eastAsia="zh-CN"/>
              </w:rPr>
              <w:t>生活垃圾：经收集后</w:t>
            </w:r>
            <w:r>
              <w:rPr>
                <w:rFonts w:hint="eastAsia" w:ascii="Times New Roman" w:hAnsi="Times New Roman" w:eastAsia="宋体" w:cs="Times New Roman"/>
                <w:color w:val="auto"/>
                <w:sz w:val="24"/>
              </w:rPr>
              <w:t>交由环卫部门统一清运处置</w:t>
            </w:r>
            <w:r>
              <w:rPr>
                <w:rFonts w:hint="eastAsia" w:ascii="Times New Roman" w:hAnsi="Times New Roman" w:cs="Times New Roman"/>
                <w:color w:val="auto"/>
                <w:sz w:val="24"/>
                <w:lang w:eastAsia="zh-CN"/>
              </w:rPr>
              <w:t>。</w:t>
            </w:r>
          </w:p>
          <w:p w14:paraId="4DB114DD">
            <w:pPr>
              <w:pStyle w:val="220"/>
              <w:keepNext w:val="0"/>
              <w:keepLines w:val="0"/>
              <w:pageBreakBefore w:val="0"/>
              <w:widowControl w:val="0"/>
              <w:kinsoku/>
              <w:wordWrap/>
              <w:overflowPunct/>
              <w:topLinePunct w:val="0"/>
              <w:autoSpaceDE/>
              <w:autoSpaceDN/>
              <w:bidi w:val="0"/>
              <w:spacing w:line="360" w:lineRule="auto"/>
              <w:ind w:left="0" w:right="0" w:firstLine="480" w:firstLineChars="200"/>
              <w:textAlignment w:val="auto"/>
              <w:rPr>
                <w:rFonts w:hint="default" w:ascii="Times New Roman" w:hAnsi="Times New Roman" w:cs="Times New Roman"/>
                <w:color w:val="auto"/>
                <w:sz w:val="24"/>
                <w:lang w:val="en-US" w:eastAsia="zh-CN"/>
              </w:rPr>
            </w:pPr>
            <w:r>
              <w:rPr>
                <w:rFonts w:hint="eastAsia" w:ascii="Times New Roman" w:hAnsi="Times New Roman" w:cs="Times New Roman"/>
                <w:color w:val="auto"/>
                <w:sz w:val="24"/>
                <w:lang w:val="en-US" w:eastAsia="zh-CN"/>
              </w:rPr>
              <w:t>预处理池污泥：委托有能力的单位转运处置。</w:t>
            </w:r>
          </w:p>
          <w:p w14:paraId="3AD7B228">
            <w:pPr>
              <w:pStyle w:val="220"/>
              <w:keepNext w:val="0"/>
              <w:keepLines w:val="0"/>
              <w:pageBreakBefore w:val="0"/>
              <w:widowControl w:val="0"/>
              <w:kinsoku/>
              <w:wordWrap/>
              <w:overflowPunct/>
              <w:topLinePunct w:val="0"/>
              <w:autoSpaceDE/>
              <w:autoSpaceDN/>
              <w:bidi w:val="0"/>
              <w:spacing w:line="360" w:lineRule="auto"/>
              <w:ind w:left="0" w:right="0" w:firstLine="508" w:firstLineChars="200"/>
              <w:textAlignment w:val="auto"/>
              <w:rPr>
                <w:rFonts w:hint="eastAsia" w:ascii="Times New Roman" w:hAnsi="Times New Roman" w:eastAsia="宋体" w:cs="Times New Roman"/>
                <w:color w:val="auto"/>
                <w:spacing w:val="7"/>
                <w:sz w:val="24"/>
                <w:szCs w:val="24"/>
                <w:lang w:val="en-US" w:eastAsia="zh-CN"/>
              </w:rPr>
            </w:pPr>
            <w:r>
              <w:rPr>
                <w:rFonts w:hint="eastAsia" w:ascii="Times New Roman" w:hAnsi="Times New Roman" w:eastAsia="宋体" w:cs="Times New Roman"/>
                <w:color w:val="auto"/>
                <w:spacing w:val="7"/>
                <w:sz w:val="24"/>
                <w:szCs w:val="24"/>
                <w:lang w:val="en-US" w:eastAsia="zh-CN"/>
              </w:rPr>
              <w:t>一般固废：</w:t>
            </w:r>
            <w:r>
              <w:rPr>
                <w:rFonts w:hint="eastAsia" w:ascii="Times New Roman" w:hAnsi="Times New Roman" w:cs="Times New Roman"/>
                <w:color w:val="auto"/>
                <w:spacing w:val="7"/>
                <w:sz w:val="24"/>
                <w:szCs w:val="24"/>
                <w:lang w:val="en-US" w:eastAsia="zh-CN"/>
              </w:rPr>
              <w:t>不合格品、废包</w:t>
            </w:r>
            <w:r>
              <w:rPr>
                <w:rFonts w:hint="eastAsia" w:ascii="Times New Roman" w:hAnsi="Times New Roman" w:eastAsia="宋体" w:cs="Times New Roman"/>
                <w:color w:val="auto"/>
                <w:spacing w:val="7"/>
                <w:sz w:val="24"/>
                <w:szCs w:val="24"/>
                <w:lang w:val="en-US" w:eastAsia="zh-CN"/>
              </w:rPr>
              <w:t>装材料、除尘器收集粉尘、废隔膜、废极片、沾染浆料的废手套、废边角料</w:t>
            </w:r>
            <w:r>
              <w:rPr>
                <w:rFonts w:hint="eastAsia" w:ascii="Times New Roman" w:hAnsi="Times New Roman" w:cs="Times New Roman"/>
                <w:color w:val="auto"/>
                <w:spacing w:val="7"/>
                <w:sz w:val="24"/>
                <w:szCs w:val="24"/>
                <w:lang w:val="en-US" w:eastAsia="zh-CN"/>
              </w:rPr>
              <w:t>、废浆料、废滤芯</w:t>
            </w:r>
            <w:r>
              <w:rPr>
                <w:rFonts w:hint="eastAsia" w:ascii="Times New Roman" w:hAnsi="Times New Roman" w:eastAsia="宋体" w:cs="Times New Roman"/>
                <w:color w:val="auto"/>
                <w:spacing w:val="7"/>
                <w:sz w:val="24"/>
                <w:szCs w:val="24"/>
                <w:lang w:val="en-US" w:eastAsia="zh-CN"/>
              </w:rPr>
              <w:t>等收集后外售综合利用</w:t>
            </w:r>
            <w:r>
              <w:rPr>
                <w:rFonts w:hint="eastAsia" w:ascii="Times New Roman" w:hAnsi="Times New Roman" w:cs="Times New Roman"/>
                <w:color w:val="auto"/>
                <w:spacing w:val="7"/>
                <w:sz w:val="24"/>
                <w:szCs w:val="24"/>
                <w:lang w:val="en-US" w:eastAsia="zh-CN"/>
              </w:rPr>
              <w:t>，NMP回收液、废NMP包装桶、纯水制备废过滤材料、废分子筛等一般固废收集后交由厂家回收</w:t>
            </w:r>
            <w:r>
              <w:rPr>
                <w:rFonts w:hint="eastAsia" w:ascii="Times New Roman" w:hAnsi="Times New Roman" w:eastAsia="宋体" w:cs="Times New Roman"/>
                <w:color w:val="auto"/>
                <w:sz w:val="24"/>
                <w:lang w:eastAsia="zh-CN"/>
              </w:rPr>
              <w:t>。</w:t>
            </w:r>
          </w:p>
          <w:p w14:paraId="49294B23">
            <w:pPr>
              <w:pStyle w:val="220"/>
              <w:keepNext w:val="0"/>
              <w:keepLines w:val="0"/>
              <w:pageBreakBefore w:val="0"/>
              <w:widowControl w:val="0"/>
              <w:kinsoku/>
              <w:wordWrap/>
              <w:overflowPunct/>
              <w:topLinePunct w:val="0"/>
              <w:autoSpaceDE/>
              <w:autoSpaceDN/>
              <w:bidi w:val="0"/>
              <w:spacing w:line="360" w:lineRule="auto"/>
              <w:ind w:left="0" w:right="0" w:firstLine="508" w:firstLineChars="200"/>
              <w:textAlignment w:val="auto"/>
              <w:rPr>
                <w:rFonts w:hint="default" w:ascii="Times New Roman" w:hAnsi="Times New Roman" w:eastAsia="宋体"/>
                <w:color w:val="auto"/>
                <w:sz w:val="24"/>
                <w:highlight w:val="none"/>
                <w:lang w:val="en-US" w:eastAsia="zh-CN"/>
              </w:rPr>
            </w:pPr>
            <w:r>
              <w:rPr>
                <w:rFonts w:hint="eastAsia" w:ascii="Times New Roman" w:hAnsi="Times New Roman" w:eastAsia="宋体" w:cs="Times New Roman"/>
                <w:color w:val="auto"/>
                <w:spacing w:val="7"/>
                <w:sz w:val="24"/>
                <w:szCs w:val="24"/>
                <w:lang w:val="en-US" w:eastAsia="zh-CN"/>
              </w:rPr>
              <w:t>危险废物：</w:t>
            </w:r>
            <w:r>
              <w:rPr>
                <w:rFonts w:hint="eastAsia" w:ascii="Times New Roman" w:hAnsi="Times New Roman" w:cs="Times New Roman"/>
                <w:color w:val="auto"/>
                <w:spacing w:val="7"/>
                <w:sz w:val="24"/>
                <w:szCs w:val="24"/>
                <w:lang w:val="en-US" w:eastAsia="zh-CN"/>
              </w:rPr>
              <w:t>废活性炭、废水处理污泥、废机油、含油棉纱手套、抹布、</w:t>
            </w:r>
            <w:r>
              <w:rPr>
                <w:rFonts w:hint="eastAsia" w:cs="Times New Roman"/>
                <w:b w:val="0"/>
                <w:bCs w:val="0"/>
                <w:color w:val="auto"/>
                <w:sz w:val="24"/>
                <w:szCs w:val="24"/>
                <w:lang w:val="en-US" w:eastAsia="zh-CN"/>
              </w:rPr>
              <w:t>沾染危险物质的废包装材料</w:t>
            </w:r>
            <w:r>
              <w:rPr>
                <w:rFonts w:hint="eastAsia" w:ascii="Times New Roman" w:hAnsi="Times New Roman" w:cs="Times New Roman"/>
                <w:color w:val="auto"/>
                <w:spacing w:val="7"/>
                <w:sz w:val="24"/>
                <w:szCs w:val="24"/>
                <w:lang w:val="en-US" w:eastAsia="zh-CN"/>
              </w:rPr>
              <w:t>、废电解液、沾染危险物质的废组件、废沸石转轮等危废废物分类收集后暂存于危废库内</w:t>
            </w:r>
            <w:r>
              <w:rPr>
                <w:rFonts w:hint="eastAsia" w:ascii="Times New Roman" w:hAnsi="Times New Roman" w:eastAsia="宋体" w:cs="Times New Roman"/>
                <w:color w:val="auto"/>
                <w:spacing w:val="7"/>
                <w:sz w:val="24"/>
                <w:szCs w:val="24"/>
                <w:lang w:val="en-US" w:eastAsia="zh-CN"/>
              </w:rPr>
              <w:t>，</w:t>
            </w:r>
            <w:r>
              <w:rPr>
                <w:rFonts w:hint="eastAsia" w:ascii="Times New Roman" w:hAnsi="Times New Roman" w:cs="Times New Roman"/>
                <w:color w:val="auto"/>
                <w:spacing w:val="7"/>
                <w:sz w:val="24"/>
                <w:szCs w:val="24"/>
                <w:lang w:val="en-US" w:eastAsia="zh-CN"/>
              </w:rPr>
              <w:t>定期</w:t>
            </w:r>
            <w:r>
              <w:rPr>
                <w:rFonts w:hint="eastAsia" w:ascii="Times New Roman" w:hAnsi="Times New Roman" w:eastAsia="宋体" w:cs="Times New Roman"/>
                <w:color w:val="auto"/>
                <w:spacing w:val="7"/>
                <w:sz w:val="24"/>
                <w:szCs w:val="24"/>
                <w:lang w:val="en-US" w:eastAsia="zh-CN"/>
              </w:rPr>
              <w:t>交由有资质单位处理。</w:t>
            </w:r>
          </w:p>
        </w:tc>
      </w:tr>
      <w:tr w14:paraId="34FA65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81" w:hRule="atLeast"/>
          <w:jc w:val="center"/>
        </w:trPr>
        <w:tc>
          <w:tcPr>
            <w:tcW w:w="1556" w:type="dxa"/>
            <w:shd w:val="clear" w:color="auto" w:fill="auto"/>
            <w:noWrap w:val="0"/>
            <w:vAlign w:val="center"/>
          </w:tcPr>
          <w:p w14:paraId="6B840C90">
            <w:pPr>
              <w:adjustRightInd w:val="0"/>
              <w:snapToGrid w:val="0"/>
              <w:jc w:val="center"/>
              <w:rPr>
                <w:rFonts w:ascii="Times New Roman" w:hAnsi="Times New Roman"/>
                <w:b/>
                <w:bCs/>
                <w:color w:val="auto"/>
                <w:sz w:val="24"/>
                <w:highlight w:val="none"/>
              </w:rPr>
            </w:pPr>
            <w:r>
              <w:rPr>
                <w:rFonts w:hint="eastAsia" w:ascii="Times New Roman" w:hAnsi="Times New Roman" w:eastAsia="宋体" w:cs="Times New Roman"/>
                <w:b/>
                <w:bCs/>
                <w:color w:val="auto"/>
                <w:sz w:val="24"/>
                <w:highlight w:val="none"/>
              </w:rPr>
              <w:t>土壤及地下水污染防治措施</w:t>
            </w:r>
          </w:p>
        </w:tc>
        <w:tc>
          <w:tcPr>
            <w:tcW w:w="7244" w:type="dxa"/>
            <w:gridSpan w:val="4"/>
            <w:shd w:val="clear" w:color="auto" w:fill="auto"/>
            <w:noWrap w:val="0"/>
            <w:vAlign w:val="center"/>
          </w:tcPr>
          <w:p w14:paraId="511534D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snapToGrid w:val="0"/>
                <w:color w:val="auto"/>
                <w:szCs w:val="21"/>
                <w:highlight w:val="none"/>
                <w:lang w:val="en-US" w:eastAsia="zh-CN"/>
              </w:rPr>
            </w:pPr>
            <w:r>
              <w:rPr>
                <w:rFonts w:hint="eastAsia" w:ascii="Times New Roman" w:hAnsi="Times New Roman" w:eastAsia="宋体" w:cs="Times New Roman"/>
                <w:snapToGrid w:val="0"/>
                <w:color w:val="auto"/>
                <w:sz w:val="24"/>
                <w:szCs w:val="24"/>
                <w:highlight w:val="none"/>
              </w:rPr>
              <w:t>全厂按简单防渗区、一般污染防渗区、重点污染防渗区实施分区防渗工程</w:t>
            </w:r>
            <w:r>
              <w:rPr>
                <w:rFonts w:hint="eastAsia" w:ascii="Times New Roman" w:hAnsi="Times New Roman" w:eastAsia="宋体" w:cs="Times New Roman"/>
                <w:snapToGrid w:val="0"/>
                <w:color w:val="auto"/>
                <w:sz w:val="24"/>
                <w:szCs w:val="24"/>
                <w:highlight w:val="none"/>
                <w:lang w:eastAsia="zh-CN"/>
              </w:rPr>
              <w:t>：</w:t>
            </w:r>
          </w:p>
          <w:p w14:paraId="1ECD12B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snapToGrid w:val="0"/>
                <w:color w:val="auto"/>
                <w:sz w:val="24"/>
                <w:szCs w:val="24"/>
                <w:highlight w:val="none"/>
                <w:lang w:eastAsia="zh-CN"/>
              </w:rPr>
            </w:pPr>
            <w:r>
              <w:rPr>
                <w:rFonts w:hint="eastAsia" w:ascii="Times New Roman" w:hAnsi="Times New Roman" w:eastAsia="宋体" w:cs="Times New Roman"/>
                <w:snapToGrid w:val="0"/>
                <w:color w:val="auto"/>
                <w:sz w:val="24"/>
                <w:szCs w:val="24"/>
                <w:highlight w:val="none"/>
                <w:lang w:val="en-US" w:eastAsia="zh-CN"/>
              </w:rPr>
              <w:t>重点防渗：</w:t>
            </w:r>
            <w:r>
              <w:rPr>
                <w:rFonts w:hint="eastAsia" w:ascii="Times New Roman" w:hAnsi="Times New Roman" w:eastAsia="宋体" w:cs="Times New Roman"/>
                <w:color w:val="auto"/>
                <w:sz w:val="24"/>
                <w:szCs w:val="24"/>
                <w:lang w:val="en-US" w:eastAsia="zh-CN"/>
              </w:rPr>
              <w:t>危废库、低温电解液仓库、污水处理设施（池体）</w:t>
            </w:r>
            <w:r>
              <w:rPr>
                <w:rFonts w:hint="eastAsia" w:cs="Times New Roman"/>
                <w:color w:val="auto"/>
                <w:sz w:val="24"/>
                <w:szCs w:val="24"/>
                <w:lang w:val="en-US" w:eastAsia="zh-CN"/>
              </w:rPr>
              <w:t>、电解液间、电池拆解间、NMP暂存间</w:t>
            </w:r>
            <w:r>
              <w:rPr>
                <w:rFonts w:hint="eastAsia" w:ascii="Times New Roman" w:hAnsi="Times New Roman" w:eastAsia="宋体" w:cs="Times New Roman"/>
                <w:color w:val="auto"/>
                <w:sz w:val="24"/>
                <w:szCs w:val="24"/>
                <w:lang w:val="en-US" w:eastAsia="zh-CN"/>
              </w:rPr>
              <w:t>等，其中</w:t>
            </w:r>
            <w:r>
              <w:rPr>
                <w:rFonts w:hint="eastAsia" w:cs="Times New Roman"/>
                <w:color w:val="auto"/>
                <w:sz w:val="24"/>
                <w:szCs w:val="24"/>
                <w:lang w:val="en-US" w:eastAsia="zh-CN"/>
              </w:rPr>
              <w:t>危废</w:t>
            </w:r>
            <w:r>
              <w:rPr>
                <w:rFonts w:hint="eastAsia" w:ascii="Times New Roman" w:hAnsi="Times New Roman" w:eastAsia="宋体" w:cs="Times New Roman"/>
                <w:color w:val="auto"/>
                <w:sz w:val="24"/>
                <w:szCs w:val="24"/>
                <w:lang w:val="en-US" w:eastAsia="zh-CN"/>
              </w:rPr>
              <w:t>库、低温电解液仓库防渗系数K≤10</w:t>
            </w:r>
            <w:r>
              <w:rPr>
                <w:rFonts w:hint="eastAsia" w:ascii="Times New Roman" w:hAnsi="Times New Roman" w:eastAsia="宋体" w:cs="Times New Roman"/>
                <w:color w:val="auto"/>
                <w:sz w:val="24"/>
                <w:szCs w:val="24"/>
                <w:vertAlign w:val="superscript"/>
                <w:lang w:val="en-US" w:eastAsia="zh-CN"/>
              </w:rPr>
              <w:t>-10</w:t>
            </w:r>
            <w:r>
              <w:rPr>
                <w:rFonts w:hint="eastAsia" w:ascii="Times New Roman" w:hAnsi="Times New Roman" w:eastAsia="宋体" w:cs="Times New Roman"/>
                <w:color w:val="auto"/>
                <w:sz w:val="24"/>
                <w:szCs w:val="24"/>
                <w:lang w:val="en-US" w:eastAsia="zh-CN"/>
              </w:rPr>
              <w:t>cm/s，其余重点防渗区</w:t>
            </w:r>
            <w:r>
              <w:rPr>
                <w:rFonts w:hint="default" w:ascii="Times New Roman" w:hAnsi="Times New Roman" w:eastAsia="宋体" w:cs="Times New Roman"/>
                <w:color w:val="auto"/>
                <w:sz w:val="24"/>
                <w:szCs w:val="24"/>
                <w:lang w:val="en-US" w:eastAsia="zh-CN"/>
              </w:rPr>
              <w:t>等效黏土防渗层Mb≥6.0m，K≤10</w:t>
            </w:r>
            <w:r>
              <w:rPr>
                <w:rFonts w:hint="default" w:ascii="Times New Roman" w:hAnsi="Times New Roman" w:eastAsia="宋体" w:cs="Times New Roman"/>
                <w:color w:val="auto"/>
                <w:sz w:val="24"/>
                <w:szCs w:val="24"/>
                <w:vertAlign w:val="superscript"/>
                <w:lang w:val="en-US" w:eastAsia="zh-CN"/>
              </w:rPr>
              <w:t>-7</w:t>
            </w:r>
            <w:r>
              <w:rPr>
                <w:rFonts w:hint="default" w:ascii="Times New Roman" w:hAnsi="Times New Roman" w:eastAsia="宋体" w:cs="Times New Roman"/>
                <w:color w:val="auto"/>
                <w:sz w:val="24"/>
                <w:szCs w:val="24"/>
                <w:lang w:val="en-US" w:eastAsia="zh-CN"/>
              </w:rPr>
              <w:t>cm/s；或参照GB18598执行</w:t>
            </w:r>
            <w:r>
              <w:rPr>
                <w:rFonts w:hint="eastAsia" w:ascii="Times New Roman" w:hAnsi="Times New Roman" w:eastAsia="宋体" w:cs="Times New Roman"/>
                <w:snapToGrid w:val="0"/>
                <w:color w:val="auto"/>
                <w:sz w:val="24"/>
                <w:szCs w:val="24"/>
                <w:highlight w:val="none"/>
                <w:lang w:val="en-US" w:eastAsia="zh-CN"/>
              </w:rPr>
              <w:t>；</w:t>
            </w:r>
          </w:p>
          <w:p w14:paraId="70191F3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snapToGrid w:val="0"/>
                <w:color w:val="auto"/>
                <w:sz w:val="24"/>
                <w:szCs w:val="24"/>
                <w:highlight w:val="none"/>
                <w:lang w:val="en-US" w:eastAsia="zh-CN"/>
              </w:rPr>
            </w:pPr>
            <w:r>
              <w:rPr>
                <w:rFonts w:hint="eastAsia" w:ascii="Times New Roman" w:hAnsi="Times New Roman" w:eastAsia="宋体" w:cs="Times New Roman"/>
                <w:snapToGrid w:val="0"/>
                <w:color w:val="auto"/>
                <w:sz w:val="24"/>
                <w:szCs w:val="24"/>
                <w:highlight w:val="none"/>
                <w:lang w:val="en-US" w:eastAsia="zh-CN"/>
              </w:rPr>
              <w:t>简单防渗：</w:t>
            </w:r>
            <w:r>
              <w:rPr>
                <w:rFonts w:hint="eastAsia" w:cs="Times New Roman"/>
                <w:snapToGrid w:val="0"/>
                <w:color w:val="auto"/>
                <w:sz w:val="24"/>
                <w:szCs w:val="24"/>
                <w:highlight w:val="none"/>
                <w:lang w:val="en-US" w:eastAsia="zh-CN"/>
              </w:rPr>
              <w:t>门卫室，水泥地面硬化</w:t>
            </w:r>
            <w:r>
              <w:rPr>
                <w:rFonts w:hint="eastAsia" w:ascii="Times New Roman" w:hAnsi="Times New Roman" w:eastAsia="宋体" w:cs="Times New Roman"/>
                <w:snapToGrid w:val="0"/>
                <w:color w:val="auto"/>
                <w:sz w:val="24"/>
                <w:szCs w:val="24"/>
                <w:highlight w:val="none"/>
                <w:lang w:val="en-US" w:eastAsia="zh-CN"/>
              </w:rPr>
              <w:t>；</w:t>
            </w:r>
          </w:p>
          <w:p w14:paraId="3B848AE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ascii="Times New Roman" w:hAnsi="Times New Roman"/>
                <w:color w:val="auto"/>
                <w:sz w:val="24"/>
                <w:highlight w:val="none"/>
              </w:rPr>
            </w:pPr>
            <w:r>
              <w:rPr>
                <w:rFonts w:hint="eastAsia" w:ascii="Times New Roman" w:hAnsi="Times New Roman" w:eastAsia="宋体" w:cs="Times New Roman"/>
                <w:snapToGrid w:val="0"/>
                <w:color w:val="auto"/>
                <w:sz w:val="24"/>
                <w:szCs w:val="24"/>
                <w:highlight w:val="none"/>
                <w:lang w:val="en-US" w:eastAsia="zh-CN"/>
              </w:rPr>
              <w:t>一般防渗：</w:t>
            </w:r>
            <w:r>
              <w:rPr>
                <w:rFonts w:hint="eastAsia" w:ascii="Times New Roman" w:hAnsi="Times New Roman" w:eastAsia="宋体" w:cs="Times New Roman"/>
                <w:snapToGrid w:val="0"/>
                <w:color w:val="auto"/>
                <w:sz w:val="24"/>
                <w:szCs w:val="24"/>
                <w:highlight w:val="none"/>
              </w:rPr>
              <w:t>除重点防渗区和简单防渗区</w:t>
            </w:r>
            <w:r>
              <w:rPr>
                <w:rFonts w:hint="eastAsia" w:ascii="Times New Roman" w:hAnsi="Times New Roman" w:eastAsia="宋体" w:cs="Times New Roman"/>
                <w:snapToGrid w:val="0"/>
                <w:color w:val="auto"/>
                <w:sz w:val="24"/>
                <w:szCs w:val="24"/>
                <w:highlight w:val="none"/>
                <w:lang w:val="en-US" w:eastAsia="zh-CN"/>
              </w:rPr>
              <w:t>等区域</w:t>
            </w:r>
            <w:r>
              <w:rPr>
                <w:rFonts w:hint="eastAsia" w:cs="Times New Roman"/>
                <w:snapToGrid w:val="0"/>
                <w:color w:val="auto"/>
                <w:sz w:val="24"/>
                <w:szCs w:val="24"/>
                <w:highlight w:val="none"/>
                <w:lang w:val="en-US" w:eastAsia="zh-CN"/>
              </w:rPr>
              <w:t>，</w:t>
            </w:r>
            <w:r>
              <w:rPr>
                <w:rFonts w:hint="default" w:ascii="Times New Roman" w:hAnsi="Times New Roman" w:cs="Times New Roman"/>
                <w:color w:val="auto"/>
                <w:sz w:val="24"/>
                <w:szCs w:val="24"/>
                <w:lang w:val="en-US" w:eastAsia="zh-CN"/>
              </w:rPr>
              <w:t>参照《环境影响评价技术导则 地下水环境》（HJ 610-2016）中一般防渗区防渗技术要求，防渗系数达到Mb≥1.5m，K≤1×10</w:t>
            </w:r>
            <w:r>
              <w:rPr>
                <w:rFonts w:hint="default" w:ascii="Times New Roman" w:hAnsi="Times New Roman" w:cs="Times New Roman"/>
                <w:color w:val="auto"/>
                <w:sz w:val="24"/>
                <w:szCs w:val="24"/>
                <w:vertAlign w:val="superscript"/>
                <w:lang w:val="en-US" w:eastAsia="zh-CN"/>
              </w:rPr>
              <w:t>-7</w:t>
            </w:r>
            <w:r>
              <w:rPr>
                <w:rFonts w:hint="default" w:ascii="Times New Roman" w:hAnsi="Times New Roman" w:cs="Times New Roman"/>
                <w:color w:val="auto"/>
                <w:sz w:val="24"/>
                <w:szCs w:val="24"/>
                <w:lang w:val="en-US" w:eastAsia="zh-CN"/>
              </w:rPr>
              <w:t>cm/s</w:t>
            </w:r>
            <w:r>
              <w:rPr>
                <w:rFonts w:hint="eastAsia" w:ascii="Times New Roman" w:hAnsi="Times New Roman" w:eastAsia="宋体" w:cs="Times New Roman"/>
                <w:snapToGrid w:val="0"/>
                <w:color w:val="auto"/>
                <w:sz w:val="24"/>
                <w:szCs w:val="24"/>
                <w:highlight w:val="none"/>
                <w:lang w:eastAsia="zh-CN"/>
              </w:rPr>
              <w:t>。</w:t>
            </w:r>
          </w:p>
        </w:tc>
      </w:tr>
      <w:tr w14:paraId="12EA07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12" w:hRule="atLeast"/>
          <w:jc w:val="center"/>
        </w:trPr>
        <w:tc>
          <w:tcPr>
            <w:tcW w:w="1556" w:type="dxa"/>
            <w:shd w:val="clear" w:color="auto" w:fill="auto"/>
            <w:noWrap w:val="0"/>
            <w:vAlign w:val="center"/>
          </w:tcPr>
          <w:p w14:paraId="77CC738B">
            <w:pPr>
              <w:adjustRightInd w:val="0"/>
              <w:snapToGrid w:val="0"/>
              <w:jc w:val="center"/>
              <w:rPr>
                <w:rFonts w:ascii="Times New Roman" w:hAnsi="Times New Roman"/>
                <w:b/>
                <w:bCs/>
                <w:color w:val="auto"/>
                <w:sz w:val="24"/>
                <w:highlight w:val="none"/>
              </w:rPr>
            </w:pPr>
            <w:r>
              <w:rPr>
                <w:rFonts w:hint="eastAsia" w:ascii="Times New Roman" w:hAnsi="Times New Roman"/>
                <w:b/>
                <w:bCs/>
                <w:color w:val="auto"/>
                <w:sz w:val="24"/>
                <w:highlight w:val="none"/>
              </w:rPr>
              <w:t>生态保护措施</w:t>
            </w:r>
          </w:p>
        </w:tc>
        <w:tc>
          <w:tcPr>
            <w:tcW w:w="7244" w:type="dxa"/>
            <w:gridSpan w:val="4"/>
            <w:shd w:val="clear" w:color="auto" w:fill="auto"/>
            <w:noWrap w:val="0"/>
            <w:vAlign w:val="center"/>
          </w:tcPr>
          <w:p w14:paraId="2F3F7348">
            <w:pPr>
              <w:adjustRightInd w:val="0"/>
              <w:snapToGrid w:val="0"/>
              <w:jc w:val="center"/>
              <w:rPr>
                <w:rFonts w:ascii="Times New Roman" w:hAnsi="Times New Roman"/>
                <w:color w:val="auto"/>
                <w:sz w:val="24"/>
                <w:highlight w:val="none"/>
              </w:rPr>
            </w:pPr>
            <w:r>
              <w:rPr>
                <w:rFonts w:hint="eastAsia" w:ascii="Times New Roman" w:hAnsi="Times New Roman"/>
                <w:color w:val="auto"/>
                <w:sz w:val="24"/>
                <w:highlight w:val="none"/>
              </w:rPr>
              <w:t>无</w:t>
            </w:r>
          </w:p>
        </w:tc>
      </w:tr>
      <w:tr w14:paraId="09E639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1" w:hRule="atLeast"/>
          <w:jc w:val="center"/>
        </w:trPr>
        <w:tc>
          <w:tcPr>
            <w:tcW w:w="1556" w:type="dxa"/>
            <w:shd w:val="clear" w:color="auto" w:fill="auto"/>
            <w:noWrap w:val="0"/>
            <w:vAlign w:val="center"/>
          </w:tcPr>
          <w:p w14:paraId="291410BF">
            <w:pPr>
              <w:adjustRightInd w:val="0"/>
              <w:snapToGrid w:val="0"/>
              <w:spacing w:line="360" w:lineRule="auto"/>
              <w:jc w:val="center"/>
              <w:rPr>
                <w:rFonts w:ascii="Times New Roman" w:hAnsi="Times New Roman"/>
                <w:b/>
                <w:bCs/>
                <w:color w:val="auto"/>
                <w:sz w:val="24"/>
                <w:highlight w:val="none"/>
              </w:rPr>
            </w:pPr>
            <w:r>
              <w:rPr>
                <w:rFonts w:hint="eastAsia" w:ascii="Times New Roman" w:hAnsi="Times New Roman" w:eastAsia="宋体" w:cs="Times New Roman"/>
                <w:b/>
                <w:bCs/>
                <w:color w:val="auto"/>
                <w:sz w:val="24"/>
                <w:highlight w:val="none"/>
              </w:rPr>
              <w:t>风险防范措施</w:t>
            </w:r>
          </w:p>
        </w:tc>
        <w:tc>
          <w:tcPr>
            <w:tcW w:w="7244" w:type="dxa"/>
            <w:gridSpan w:val="4"/>
            <w:shd w:val="clear" w:color="auto" w:fill="auto"/>
            <w:noWrap w:val="0"/>
            <w:vAlign w:val="center"/>
          </w:tcPr>
          <w:p w14:paraId="7456DD1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eastAsia="宋体"/>
                <w:color w:val="auto"/>
                <w:sz w:val="24"/>
                <w:highlight w:val="none"/>
                <w:lang w:eastAsia="zh-CN"/>
              </w:rPr>
            </w:pPr>
            <w:r>
              <w:rPr>
                <w:rFonts w:ascii="宋体" w:hAnsi="宋体" w:eastAsia="宋体" w:cs="宋体"/>
                <w:color w:val="auto"/>
                <w:sz w:val="24"/>
                <w:szCs w:val="24"/>
              </w:rPr>
              <w:t>企业严格落实环境风险防控设施、管控措施及管理制度，编制完善突发环境事件应急预案，常态化开展应急培训与应急演练；按规范配套消防器材、应急物资</w:t>
            </w:r>
            <w:r>
              <w:rPr>
                <w:rFonts w:hint="eastAsia" w:ascii="宋体" w:hAnsi="宋体" w:eastAsia="宋体" w:cs="宋体"/>
                <w:color w:val="auto"/>
                <w:sz w:val="24"/>
                <w:szCs w:val="24"/>
                <w:lang w:eastAsia="zh-CN"/>
              </w:rPr>
              <w:t>。</w:t>
            </w:r>
          </w:p>
        </w:tc>
      </w:tr>
      <w:tr w14:paraId="34D41BB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02" w:hRule="atLeast"/>
          <w:jc w:val="center"/>
        </w:trPr>
        <w:tc>
          <w:tcPr>
            <w:tcW w:w="1556" w:type="dxa"/>
            <w:shd w:val="clear" w:color="auto" w:fill="auto"/>
            <w:noWrap w:val="0"/>
            <w:vAlign w:val="center"/>
          </w:tcPr>
          <w:p w14:paraId="6D9AE666">
            <w:pPr>
              <w:adjustRightInd w:val="0"/>
              <w:snapToGrid w:val="0"/>
              <w:jc w:val="center"/>
              <w:rPr>
                <w:rFonts w:ascii="Times New Roman" w:hAnsi="Times New Roman"/>
                <w:b/>
                <w:bCs/>
                <w:color w:val="auto"/>
                <w:sz w:val="24"/>
                <w:highlight w:val="none"/>
              </w:rPr>
            </w:pPr>
            <w:r>
              <w:rPr>
                <w:rFonts w:hint="eastAsia" w:ascii="Times New Roman" w:hAnsi="Times New Roman"/>
                <w:b/>
                <w:bCs/>
                <w:color w:val="auto"/>
                <w:sz w:val="24"/>
                <w:highlight w:val="none"/>
              </w:rPr>
              <w:t>其他环境管理要求</w:t>
            </w:r>
          </w:p>
        </w:tc>
        <w:tc>
          <w:tcPr>
            <w:tcW w:w="7244" w:type="dxa"/>
            <w:gridSpan w:val="4"/>
            <w:shd w:val="clear" w:color="auto" w:fill="auto"/>
            <w:noWrap w:val="0"/>
            <w:vAlign w:val="center"/>
          </w:tcPr>
          <w:p w14:paraId="02D101E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color w:val="auto"/>
                <w:sz w:val="24"/>
                <w:highlight w:val="none"/>
                <w:lang w:eastAsia="zh-CN"/>
              </w:rPr>
            </w:pPr>
            <w:r>
              <w:rPr>
                <w:rFonts w:hint="eastAsia" w:ascii="Times New Roman" w:hAnsi="Times New Roman" w:eastAsia="宋体" w:cs="Times New Roman"/>
                <w:color w:val="auto"/>
                <w:sz w:val="24"/>
                <w:highlight w:val="none"/>
              </w:rPr>
              <w:t>建立危险废物转运台账，规范排污口建设、设置标识标牌、定期进行监测</w:t>
            </w:r>
            <w:r>
              <w:rPr>
                <w:rFonts w:hint="eastAsia" w:ascii="Times New Roman" w:hAnsi="Times New Roman" w:eastAsia="宋体" w:cs="Times New Roman"/>
                <w:color w:val="auto"/>
                <w:sz w:val="24"/>
                <w:highlight w:val="none"/>
                <w:lang w:eastAsia="zh-CN"/>
              </w:rPr>
              <w:t>。</w:t>
            </w:r>
          </w:p>
          <w:p w14:paraId="599C5F57">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both"/>
              <w:textAlignment w:val="auto"/>
              <w:rPr>
                <w:rFonts w:hint="eastAsia" w:ascii="Times New Roman" w:hAnsi="Times New Roman" w:eastAsia="宋体" w:cs="Times New Roman"/>
                <w:b/>
                <w:bCs/>
                <w:color w:val="auto"/>
                <w:sz w:val="24"/>
                <w:highlight w:val="none"/>
              </w:rPr>
            </w:pPr>
            <w:r>
              <w:rPr>
                <w:rFonts w:hint="eastAsia" w:ascii="Times New Roman" w:hAnsi="Times New Roman" w:eastAsia="宋体" w:cs="Times New Roman"/>
                <w:b/>
                <w:bCs/>
                <w:color w:val="auto"/>
                <w:sz w:val="24"/>
                <w:highlight w:val="none"/>
                <w:lang w:val="en-US" w:eastAsia="zh-CN"/>
              </w:rPr>
              <w:t>废气排放口（采样口）的规范化设置要求</w:t>
            </w:r>
            <w:r>
              <w:rPr>
                <w:rFonts w:hint="eastAsia" w:ascii="Times New Roman" w:hAnsi="Times New Roman" w:eastAsia="宋体" w:cs="Times New Roman"/>
                <w:b/>
                <w:bCs/>
                <w:color w:val="auto"/>
                <w:sz w:val="24"/>
                <w:highlight w:val="none"/>
              </w:rPr>
              <w:t>：</w:t>
            </w:r>
          </w:p>
          <w:p w14:paraId="6702447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lang w:val="en-US" w:eastAsia="zh-CN"/>
              </w:rPr>
              <w:t>应</w:t>
            </w:r>
            <w:r>
              <w:rPr>
                <w:rFonts w:hint="default" w:ascii="Times New Roman" w:hAnsi="Times New Roman" w:eastAsia="宋体" w:cs="Times New Roman"/>
                <w:color w:val="auto"/>
                <w:sz w:val="24"/>
                <w:highlight w:val="none"/>
                <w:lang w:val="en-US" w:eastAsia="zh-CN"/>
              </w:rPr>
              <w:t>在废气排放口设置便于采样监测的监测点位，避开对测试人员操作有危险的场所。在流场均匀稳定的监测断面规范开设监测孔，设置工作平台、梯架及相应安全防护设施等</w:t>
            </w:r>
            <w:r>
              <w:rPr>
                <w:rFonts w:hint="default" w:ascii="Times New Roman" w:hAnsi="Times New Roman" w:eastAsia="宋体" w:cs="Times New Roman"/>
                <w:color w:val="auto"/>
                <w:sz w:val="24"/>
                <w:highlight w:val="none"/>
              </w:rPr>
              <w:t>。</w:t>
            </w:r>
          </w:p>
          <w:p w14:paraId="48F914E8">
            <w:pPr>
              <w:numPr>
                <w:ilvl w:val="0"/>
                <w:numId w:val="6"/>
              </w:numPr>
              <w:snapToGrid w:val="0"/>
              <w:spacing w:line="360" w:lineRule="auto"/>
              <w:ind w:firstLine="480" w:firstLineChars="20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监测断面应设置在规则的圆形、矩形排气筒/烟道上的竖直段或水平段，并避开拉筋等影响监测的内部结构件；</w:t>
            </w:r>
          </w:p>
          <w:p w14:paraId="242C06A6">
            <w:pPr>
              <w:numPr>
                <w:ilvl w:val="0"/>
                <w:numId w:val="6"/>
              </w:numPr>
              <w:snapToGrid w:val="0"/>
              <w:spacing w:line="360" w:lineRule="auto"/>
              <w:ind w:firstLine="480" w:firstLineChars="20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监测断面位置应满足，其按照气流方向的上游距离弯头、阀门、变径管道≥4倍烟道直径，其下游距离上述部件≥2倍烟道直径；</w:t>
            </w:r>
          </w:p>
          <w:p w14:paraId="0F7E64D5">
            <w:pPr>
              <w:keepNext w:val="0"/>
              <w:keepLines w:val="0"/>
              <w:widowControl/>
              <w:numPr>
                <w:ilvl w:val="0"/>
                <w:numId w:val="6"/>
              </w:numPr>
              <w:suppressLineNumbers w:val="0"/>
              <w:snapToGrid w:val="0"/>
              <w:spacing w:line="360" w:lineRule="auto"/>
              <w:ind w:firstLine="480" w:firstLineChars="200"/>
              <w:jc w:val="left"/>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lang w:val="en-US" w:eastAsia="zh-CN"/>
              </w:rPr>
              <w:t>监测孔内径应满足相关污染物和排气参数的监测需要，一般应≥80mm，监测孔应符合排气筒/烟道的密封要求，封闭形式宜优先参照HG/T 21533、HG/T 21534、HG/T 21535设计为快开方式；圆形</w:t>
            </w:r>
            <w:r>
              <w:rPr>
                <w:rFonts w:hint="eastAsia" w:ascii="Times New Roman" w:hAnsi="Times New Roman" w:eastAsia="宋体" w:cs="Times New Roman"/>
                <w:color w:val="auto"/>
                <w:kern w:val="2"/>
                <w:sz w:val="24"/>
                <w:szCs w:val="24"/>
                <w:highlight w:val="none"/>
                <w:lang w:val="en-US" w:eastAsia="zh-CN" w:bidi="ar"/>
              </w:rPr>
              <w:t>竖直排气筒/烟道直径D≤1m，至少设置1个手工监测孔；1m&lt;</w:t>
            </w:r>
            <w:r>
              <w:rPr>
                <w:rFonts w:hint="eastAsia" w:ascii="Times New Roman" w:hAnsi="Times New Roman" w:eastAsia="宋体" w:cs="Times New Roman"/>
                <w:i w:val="0"/>
                <w:iCs w:val="0"/>
                <w:color w:val="auto"/>
                <w:kern w:val="2"/>
                <w:sz w:val="24"/>
                <w:szCs w:val="24"/>
                <w:highlight w:val="none"/>
                <w:lang w:val="en-US" w:eastAsia="zh-CN" w:bidi="ar"/>
              </w:rPr>
              <w:t>D</w:t>
            </w:r>
            <w:r>
              <w:rPr>
                <w:rFonts w:hint="eastAsia" w:ascii="Times New Roman" w:hAnsi="Times New Roman" w:eastAsia="宋体" w:cs="Times New Roman"/>
                <w:color w:val="auto"/>
                <w:kern w:val="2"/>
                <w:sz w:val="24"/>
                <w:szCs w:val="24"/>
                <w:highlight w:val="none"/>
                <w:lang w:val="en-US" w:eastAsia="zh-CN" w:bidi="ar"/>
              </w:rPr>
              <w:t>≤3.5m时，至少设置相互垂直的2个手工监测孔；</w:t>
            </w:r>
            <w:r>
              <w:rPr>
                <w:rFonts w:hint="eastAsia" w:ascii="Times New Roman" w:hAnsi="Times New Roman" w:eastAsia="宋体" w:cs="Times New Roman"/>
                <w:i w:val="0"/>
                <w:iCs w:val="0"/>
                <w:color w:val="auto"/>
                <w:kern w:val="2"/>
                <w:sz w:val="24"/>
                <w:szCs w:val="24"/>
                <w:highlight w:val="none"/>
                <w:lang w:val="en-US" w:eastAsia="zh-CN" w:bidi="ar"/>
              </w:rPr>
              <w:t>D</w:t>
            </w:r>
            <w:r>
              <w:rPr>
                <w:rFonts w:hint="eastAsia" w:ascii="Times New Roman" w:hAnsi="Times New Roman" w:eastAsia="宋体" w:cs="Times New Roman"/>
                <w:color w:val="auto"/>
                <w:kern w:val="2"/>
                <w:sz w:val="24"/>
                <w:szCs w:val="24"/>
                <w:highlight w:val="none"/>
                <w:lang w:val="en-US" w:eastAsia="zh-CN" w:bidi="ar"/>
              </w:rPr>
              <w:t>&gt;3.5m时，至少设置相互垂直的4个手工监测孔。圆形水平排气筒/烟道直径</w:t>
            </w:r>
            <w:r>
              <w:rPr>
                <w:rFonts w:hint="eastAsia" w:ascii="Times New Roman" w:hAnsi="Times New Roman" w:eastAsia="宋体" w:cs="Times New Roman"/>
                <w:i w:val="0"/>
                <w:iCs w:val="0"/>
                <w:color w:val="auto"/>
                <w:kern w:val="2"/>
                <w:sz w:val="24"/>
                <w:szCs w:val="24"/>
                <w:highlight w:val="none"/>
                <w:lang w:val="en-US" w:eastAsia="zh-CN" w:bidi="ar"/>
              </w:rPr>
              <w:t>D</w:t>
            </w:r>
            <w:r>
              <w:rPr>
                <w:rFonts w:hint="eastAsia" w:ascii="Times New Roman" w:hAnsi="Times New Roman" w:eastAsia="宋体" w:cs="Times New Roman"/>
                <w:color w:val="auto"/>
                <w:kern w:val="2"/>
                <w:sz w:val="24"/>
                <w:szCs w:val="24"/>
                <w:highlight w:val="none"/>
                <w:lang w:val="en-US" w:eastAsia="zh-CN" w:bidi="ar"/>
              </w:rPr>
              <w:t>≤3.5m时，至少在侧面水平位置设置1个手工监测孔；</w:t>
            </w:r>
            <w:r>
              <w:rPr>
                <w:rFonts w:hint="eastAsia" w:ascii="Times New Roman" w:hAnsi="Times New Roman" w:eastAsia="宋体" w:cs="Times New Roman"/>
                <w:i w:val="0"/>
                <w:iCs w:val="0"/>
                <w:color w:val="auto"/>
                <w:kern w:val="2"/>
                <w:sz w:val="24"/>
                <w:szCs w:val="24"/>
                <w:highlight w:val="none"/>
                <w:lang w:val="en-US" w:eastAsia="zh-CN" w:bidi="ar"/>
              </w:rPr>
              <w:t>D</w:t>
            </w:r>
            <w:r>
              <w:rPr>
                <w:rFonts w:hint="eastAsia" w:ascii="Times New Roman" w:hAnsi="Times New Roman" w:eastAsia="宋体" w:cs="Times New Roman"/>
                <w:color w:val="auto"/>
                <w:kern w:val="2"/>
                <w:sz w:val="24"/>
                <w:szCs w:val="24"/>
                <w:highlight w:val="none"/>
                <w:lang w:val="en-US" w:eastAsia="zh-CN" w:bidi="ar"/>
              </w:rPr>
              <w:t>&gt;3.5 m时，至少在两侧水平对称的位置设置2个手工监测孔。</w:t>
            </w:r>
          </w:p>
          <w:p w14:paraId="33D8A056">
            <w:pPr>
              <w:keepNext w:val="0"/>
              <w:keepLines w:val="0"/>
              <w:widowControl/>
              <w:numPr>
                <w:ilvl w:val="0"/>
                <w:numId w:val="0"/>
              </w:numPr>
              <w:suppressLineNumbers w:val="0"/>
              <w:snapToGrid w:val="0"/>
              <w:spacing w:line="360" w:lineRule="auto"/>
              <w:ind w:firstLine="480" w:firstLineChars="200"/>
              <w:jc w:val="left"/>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lang w:val="en-US" w:eastAsia="zh-CN"/>
              </w:rPr>
              <w:t>4</w:t>
            </w: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lang w:val="en-US" w:eastAsia="zh-CN"/>
              </w:rPr>
              <w:t>监测平台要求</w:t>
            </w:r>
          </w:p>
          <w:p w14:paraId="096D91CE">
            <w:pPr>
              <w:keepNext w:val="0"/>
              <w:keepLines w:val="0"/>
              <w:widowControl/>
              <w:numPr>
                <w:ilvl w:val="0"/>
                <w:numId w:val="0"/>
              </w:numPr>
              <w:suppressLineNumbers w:val="0"/>
              <w:snapToGrid w:val="0"/>
              <w:spacing w:line="360" w:lineRule="auto"/>
              <w:ind w:firstLine="480" w:firstLineChars="200"/>
              <w:jc w:val="left"/>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①监测断面距离坠落高度基准面2m以上时，应配套建设永久、安全、便于采样和测试的工作平台。除在水平烟道顶部开设监测孔外，工作平台宜设置在监测孔的正下方1.2m~1.3m处。</w:t>
            </w:r>
          </w:p>
          <w:p w14:paraId="632BBB90">
            <w:pPr>
              <w:keepNext w:val="0"/>
              <w:keepLines w:val="0"/>
              <w:widowControl/>
              <w:numPr>
                <w:ilvl w:val="0"/>
                <w:numId w:val="0"/>
              </w:numPr>
              <w:suppressLineNumbers w:val="0"/>
              <w:snapToGrid w:val="0"/>
              <w:spacing w:line="360" w:lineRule="auto"/>
              <w:ind w:firstLine="480" w:firstLineChars="200"/>
              <w:jc w:val="left"/>
              <w:rPr>
                <w:rFonts w:hint="eastAsia" w:ascii="Times New Roman" w:hAnsi="Times New Roman" w:eastAsia="宋体" w:cs="Times New Roman"/>
                <w:color w:val="auto"/>
                <w:kern w:val="2"/>
                <w:sz w:val="24"/>
                <w:szCs w:val="24"/>
                <w:highlight w:val="none"/>
                <w:lang w:val="en-US" w:eastAsia="zh-CN" w:bidi="ar"/>
              </w:rPr>
            </w:pPr>
            <w:r>
              <w:rPr>
                <w:rFonts w:hint="eastAsia" w:ascii="Times New Roman" w:hAnsi="Times New Roman" w:eastAsia="宋体" w:cs="Times New Roman"/>
                <w:color w:val="auto"/>
                <w:sz w:val="24"/>
                <w:highlight w:val="none"/>
                <w:lang w:val="en-US" w:eastAsia="zh-CN"/>
              </w:rPr>
              <w:t>②</w:t>
            </w:r>
            <w:r>
              <w:rPr>
                <w:rFonts w:hint="eastAsia" w:ascii="Times New Roman" w:hAnsi="Times New Roman" w:eastAsia="宋体" w:cs="Times New Roman"/>
                <w:color w:val="auto"/>
                <w:kern w:val="2"/>
                <w:sz w:val="24"/>
                <w:szCs w:val="24"/>
                <w:highlight w:val="none"/>
                <w:lang w:val="en-US" w:eastAsia="zh-CN" w:bidi="ar"/>
              </w:rPr>
              <w:t>工作平台长度应≥2m，宽度应保证人员及采样探杆操作的空间。对于监测断面直径（圆形）或者在监测孔方向的长度（矩形）&gt;1m 的，工作平台宽度应≥2m；≤1m的，工作平台宽度应≥1.5m。工作平台宜采用厚度≥4mm的花纹钢板或经防滑处理的钢板铺装，相邻钢板不应搭接，上表面的高度差应≤4mm，载荷满足GB 4053.3要求。</w:t>
            </w:r>
          </w:p>
          <w:p w14:paraId="13BA4972">
            <w:pPr>
              <w:keepNext w:val="0"/>
              <w:keepLines w:val="0"/>
              <w:widowControl/>
              <w:numPr>
                <w:ilvl w:val="0"/>
                <w:numId w:val="0"/>
              </w:numPr>
              <w:suppressLineNumbers w:val="0"/>
              <w:snapToGrid w:val="0"/>
              <w:spacing w:line="360" w:lineRule="auto"/>
              <w:ind w:firstLine="480" w:firstLineChars="200"/>
              <w:jc w:val="both"/>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kern w:val="2"/>
                <w:sz w:val="24"/>
                <w:szCs w:val="24"/>
                <w:highlight w:val="none"/>
                <w:lang w:val="en-US" w:eastAsia="zh-CN" w:bidi="ar"/>
              </w:rPr>
              <w:t>③距离坠落高度基准面1.2m以上的工作平台及通道的所有敞开边缘应设置防护栏杆，防护栏杆的高度应≥1.2m，扶手宜选用外径30mm~50mm钢管，扶手后应有不少于75mm净空间。防护栏杆的踢脚板宜采用不小于100mm×2mm的钢板制造，其顶部在平台面之上高度应不小于100mm，底部距平台面应不大于10mm。</w:t>
            </w:r>
          </w:p>
          <w:p w14:paraId="3DD886C2">
            <w:pPr>
              <w:keepNext w:val="0"/>
              <w:keepLines w:val="0"/>
              <w:widowControl/>
              <w:numPr>
                <w:ilvl w:val="0"/>
                <w:numId w:val="0"/>
              </w:numPr>
              <w:suppressLineNumbers w:val="0"/>
              <w:snapToGrid w:val="0"/>
              <w:spacing w:line="360" w:lineRule="auto"/>
              <w:ind w:firstLine="480" w:firstLineChars="200"/>
              <w:jc w:val="left"/>
              <w:rPr>
                <w:rFonts w:hint="eastAsia" w:ascii="Calibri" w:hAnsi="Calibri"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lang w:val="en-US" w:eastAsia="zh-CN"/>
              </w:rPr>
              <w:t>5</w:t>
            </w:r>
            <w:r>
              <w:rPr>
                <w:rFonts w:hint="eastAsia"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lang w:val="en-US" w:eastAsia="zh-CN"/>
              </w:rPr>
              <w:t>排放口应按照</w:t>
            </w:r>
            <w:r>
              <w:rPr>
                <w:rFonts w:hint="eastAsia" w:ascii="Times New Roman" w:hAnsi="Times New Roman" w:eastAsia="宋体" w:cs="Times New Roman"/>
                <w:color w:val="auto"/>
                <w:sz w:val="24"/>
                <w:highlight w:val="none"/>
                <w:lang w:val="en-US" w:eastAsia="zh-CN"/>
              </w:rPr>
              <w:t>HJ1405-2024</w:t>
            </w:r>
            <w:r>
              <w:rPr>
                <w:rFonts w:hint="default" w:ascii="Times New Roman" w:hAnsi="Times New Roman" w:eastAsia="宋体" w:cs="Times New Roman"/>
                <w:color w:val="auto"/>
                <w:sz w:val="24"/>
                <w:highlight w:val="none"/>
                <w:lang w:val="en-US" w:eastAsia="zh-CN"/>
              </w:rPr>
              <w:t>的要求设置明显标志，标</w:t>
            </w:r>
            <w:r>
              <w:rPr>
                <w:rFonts w:hint="eastAsia" w:ascii="Calibri" w:hAnsi="Calibri" w:eastAsia="宋体" w:cs="Times New Roman"/>
                <w:color w:val="auto"/>
                <w:sz w:val="24"/>
                <w:highlight w:val="none"/>
                <w:lang w:val="en-US" w:eastAsia="zh-CN"/>
              </w:rPr>
              <w:t>志清晰完整。</w:t>
            </w:r>
          </w:p>
          <w:p w14:paraId="64C8DC75">
            <w:pPr>
              <w:keepNext w:val="0"/>
              <w:keepLines w:val="0"/>
              <w:widowControl/>
              <w:numPr>
                <w:ilvl w:val="0"/>
                <w:numId w:val="0"/>
              </w:numPr>
              <w:suppressLineNumbers w:val="0"/>
              <w:snapToGrid w:val="0"/>
              <w:spacing w:line="360" w:lineRule="auto"/>
              <w:ind w:firstLine="420" w:firstLineChars="200"/>
              <w:jc w:val="center"/>
              <w:rPr>
                <w:color w:val="auto"/>
              </w:rPr>
            </w:pPr>
            <w:r>
              <w:rPr>
                <w:color w:val="auto"/>
              </w:rPr>
              <w:drawing>
                <wp:inline distT="0" distB="0" distL="114300" distR="114300">
                  <wp:extent cx="2352675" cy="1990725"/>
                  <wp:effectExtent l="0" t="0" r="9525" b="9525"/>
                  <wp:docPr id="6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9"/>
                          <pic:cNvPicPr>
                            <a:picLocks noChangeAspect="1"/>
                          </pic:cNvPicPr>
                        </pic:nvPicPr>
                        <pic:blipFill>
                          <a:blip r:embed="rId46"/>
                          <a:stretch>
                            <a:fillRect/>
                          </a:stretch>
                        </pic:blipFill>
                        <pic:spPr>
                          <a:xfrm>
                            <a:off x="0" y="0"/>
                            <a:ext cx="2352675" cy="1990725"/>
                          </a:xfrm>
                          <a:prstGeom prst="rect">
                            <a:avLst/>
                          </a:prstGeom>
                          <a:noFill/>
                          <a:ln>
                            <a:noFill/>
                          </a:ln>
                        </pic:spPr>
                      </pic:pic>
                    </a:graphicData>
                  </a:graphic>
                </wp:inline>
              </w:drawing>
            </w:r>
          </w:p>
          <w:p w14:paraId="19C2F33F">
            <w:pPr>
              <w:keepNext w:val="0"/>
              <w:keepLines w:val="0"/>
              <w:widowControl/>
              <w:numPr>
                <w:ilvl w:val="0"/>
                <w:numId w:val="0"/>
              </w:numPr>
              <w:suppressLineNumbers w:val="0"/>
              <w:snapToGrid w:val="0"/>
              <w:spacing w:line="360" w:lineRule="auto"/>
              <w:ind w:firstLine="422" w:firstLineChars="200"/>
              <w:jc w:val="center"/>
              <w:rPr>
                <w:rFonts w:hint="eastAsia" w:ascii="Times New Roman" w:hAnsi="Times New Roman"/>
                <w:color w:val="auto"/>
                <w:sz w:val="24"/>
                <w:highlight w:val="none"/>
              </w:rPr>
            </w:pPr>
            <w:r>
              <w:rPr>
                <w:rFonts w:hint="eastAsia"/>
                <w:b/>
                <w:bCs/>
                <w:color w:val="auto"/>
                <w:lang w:val="en-US" w:eastAsia="zh-CN"/>
              </w:rPr>
              <w:t>图5-1 废气监测点位信息标志牌</w:t>
            </w:r>
          </w:p>
          <w:p w14:paraId="5176A4F0">
            <w:pPr>
              <w:pStyle w:val="17"/>
              <w:ind w:left="0" w:leftChars="0" w:firstLine="0" w:firstLineChars="0"/>
              <w:rPr>
                <w:rFonts w:hint="eastAsia"/>
                <w:color w:val="auto"/>
              </w:rPr>
            </w:pPr>
          </w:p>
          <w:p w14:paraId="47ADD06A">
            <w:pPr>
              <w:rPr>
                <w:rFonts w:hint="eastAsia"/>
                <w:color w:val="auto"/>
              </w:rPr>
            </w:pPr>
          </w:p>
          <w:p w14:paraId="54C8BA3B">
            <w:pPr>
              <w:rPr>
                <w:rFonts w:hint="eastAsia"/>
                <w:color w:val="auto"/>
              </w:rPr>
            </w:pPr>
          </w:p>
          <w:p w14:paraId="7D768C6F">
            <w:pPr>
              <w:rPr>
                <w:rFonts w:hint="eastAsia"/>
                <w:color w:val="auto"/>
              </w:rPr>
            </w:pPr>
          </w:p>
          <w:p w14:paraId="153ECFDF">
            <w:pPr>
              <w:rPr>
                <w:rFonts w:hint="eastAsia"/>
                <w:color w:val="auto"/>
              </w:rPr>
            </w:pPr>
          </w:p>
          <w:p w14:paraId="2A220BC2">
            <w:pPr>
              <w:rPr>
                <w:rFonts w:hint="eastAsia"/>
                <w:color w:val="auto"/>
              </w:rPr>
            </w:pPr>
          </w:p>
          <w:p w14:paraId="3CE6793A">
            <w:pPr>
              <w:rPr>
                <w:rFonts w:hint="eastAsia"/>
                <w:color w:val="auto"/>
              </w:rPr>
            </w:pPr>
          </w:p>
          <w:p w14:paraId="285739EC">
            <w:pPr>
              <w:rPr>
                <w:rFonts w:hint="eastAsia"/>
                <w:color w:val="auto"/>
              </w:rPr>
            </w:pPr>
          </w:p>
          <w:p w14:paraId="1F767C93">
            <w:pPr>
              <w:rPr>
                <w:rFonts w:hint="eastAsia"/>
                <w:color w:val="auto"/>
              </w:rPr>
            </w:pPr>
          </w:p>
          <w:p w14:paraId="562D1144">
            <w:pPr>
              <w:rPr>
                <w:rFonts w:hint="eastAsia"/>
                <w:color w:val="auto"/>
              </w:rPr>
            </w:pPr>
          </w:p>
          <w:p w14:paraId="1ABDAEF8">
            <w:pPr>
              <w:rPr>
                <w:rFonts w:hint="eastAsia"/>
                <w:color w:val="auto"/>
              </w:rPr>
            </w:pPr>
          </w:p>
          <w:p w14:paraId="303E81FE">
            <w:pPr>
              <w:rPr>
                <w:rFonts w:hint="eastAsia"/>
                <w:color w:val="auto"/>
              </w:rPr>
            </w:pPr>
          </w:p>
          <w:p w14:paraId="37E65005">
            <w:pPr>
              <w:rPr>
                <w:rFonts w:hint="eastAsia"/>
                <w:color w:val="auto"/>
              </w:rPr>
            </w:pPr>
          </w:p>
          <w:p w14:paraId="173DE3E0">
            <w:pPr>
              <w:rPr>
                <w:rFonts w:hint="eastAsia"/>
                <w:color w:val="auto"/>
              </w:rPr>
            </w:pPr>
          </w:p>
          <w:p w14:paraId="7F0B2199">
            <w:pPr>
              <w:rPr>
                <w:rFonts w:hint="eastAsia"/>
                <w:color w:val="auto"/>
              </w:rPr>
            </w:pPr>
          </w:p>
          <w:p w14:paraId="3D9EF66B">
            <w:pPr>
              <w:rPr>
                <w:rFonts w:hint="eastAsia"/>
                <w:color w:val="auto"/>
              </w:rPr>
            </w:pPr>
          </w:p>
        </w:tc>
      </w:tr>
    </w:tbl>
    <w:p w14:paraId="2F39F3B9">
      <w:pPr>
        <w:pStyle w:val="37"/>
        <w:jc w:val="center"/>
        <w:outlineLvl w:val="0"/>
        <w:rPr>
          <w:rFonts w:hint="eastAsia" w:ascii="黑体" w:hAnsi="黑体" w:eastAsia="黑体"/>
          <w:snapToGrid w:val="0"/>
          <w:color w:val="auto"/>
          <w:sz w:val="30"/>
          <w:szCs w:val="30"/>
        </w:rPr>
      </w:pPr>
      <w:r>
        <w:rPr>
          <w:snapToGrid w:val="0"/>
          <w:color w:val="auto"/>
        </w:rPr>
        <w:br w:type="page"/>
      </w:r>
      <w:bookmarkStart w:id="26" w:name="_Toc186098082"/>
      <w:bookmarkStart w:id="27" w:name="_Toc27671"/>
      <w:bookmarkStart w:id="28" w:name="_Toc25192"/>
      <w:r>
        <w:rPr>
          <w:rFonts w:hint="eastAsia" w:ascii="黑体" w:hAnsi="黑体" w:eastAsia="黑体"/>
          <w:snapToGrid w:val="0"/>
          <w:color w:val="auto"/>
          <w:sz w:val="30"/>
          <w:szCs w:val="30"/>
        </w:rPr>
        <w:t>六、结论</w:t>
      </w:r>
      <w:bookmarkEnd w:id="26"/>
      <w:bookmarkEnd w:id="27"/>
      <w:bookmarkEnd w:id="28"/>
    </w:p>
    <w:tbl>
      <w:tblPr>
        <w:tblStyle w:val="41"/>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58C686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8865" w:type="dxa"/>
          </w:tcPr>
          <w:p w14:paraId="26DA8A6D">
            <w:pPr>
              <w:pStyle w:val="66"/>
              <w:spacing w:line="360" w:lineRule="auto"/>
              <w:rPr>
                <w:color w:val="auto"/>
              </w:rPr>
            </w:pPr>
            <w:r>
              <w:rPr>
                <w:color w:val="auto"/>
                <w:sz w:val="24"/>
                <w:szCs w:val="24"/>
              </w:rPr>
              <w:t>项目的建设</w:t>
            </w:r>
            <w:r>
              <w:rPr>
                <w:rFonts w:hint="eastAsia"/>
                <w:snapToGrid w:val="0"/>
                <w:color w:val="auto"/>
                <w:sz w:val="24"/>
                <w:highlight w:val="none"/>
              </w:rPr>
              <w:t>符合国家产业政策，选址符合相关规划、选址合理；在建设单位认真严格落实本报告提出的各项措施的前提下，项目运营期产生的废水、废气、噪声能够达标排放，固体废物得到合理有效处置，不会对地表水、地下水、环境空气、声环境产生明显影响，环境风险可控。因此，从环保角度分析，该项目的建设是可行的</w:t>
            </w:r>
            <w:r>
              <w:rPr>
                <w:rFonts w:hint="eastAsia"/>
                <w:color w:val="auto"/>
              </w:rPr>
              <w:t>。</w:t>
            </w:r>
          </w:p>
        </w:tc>
      </w:tr>
    </w:tbl>
    <w:p w14:paraId="13EE2E8E">
      <w:pPr>
        <w:rPr>
          <w:rFonts w:ascii="宋体"/>
          <w:color w:val="auto"/>
        </w:rPr>
        <w:sectPr>
          <w:pgSz w:w="11906" w:h="16838"/>
          <w:pgMar w:top="1701" w:right="1531" w:bottom="1701" w:left="1531" w:header="851" w:footer="1021" w:gutter="0"/>
          <w:cols w:space="720" w:num="1"/>
          <w:docGrid w:linePitch="312" w:charSpace="0"/>
        </w:sectPr>
      </w:pPr>
    </w:p>
    <w:p w14:paraId="47D34056">
      <w:pPr>
        <w:pStyle w:val="37"/>
        <w:adjustRightInd w:val="0"/>
        <w:snapToGrid w:val="0"/>
        <w:spacing w:before="0" w:beforeAutospacing="0" w:after="0" w:afterAutospacing="0" w:line="360" w:lineRule="auto"/>
        <w:outlineLvl w:val="0"/>
        <w:rPr>
          <w:rFonts w:hint="eastAsia" w:ascii="黑体" w:hAnsi="黑体" w:eastAsia="黑体"/>
          <w:snapToGrid w:val="0"/>
          <w:color w:val="auto"/>
          <w:sz w:val="32"/>
          <w:szCs w:val="32"/>
        </w:rPr>
      </w:pPr>
      <w:bookmarkStart w:id="29" w:name="_Toc17425"/>
      <w:bookmarkStart w:id="30" w:name="_Toc186098083"/>
      <w:bookmarkStart w:id="31" w:name="_Toc452"/>
      <w:r>
        <w:rPr>
          <w:rFonts w:hint="eastAsia" w:ascii="黑体" w:hAnsi="黑体" w:eastAsia="黑体"/>
          <w:snapToGrid w:val="0"/>
          <w:color w:val="auto"/>
          <w:sz w:val="32"/>
          <w:szCs w:val="32"/>
        </w:rPr>
        <w:t>附表</w:t>
      </w:r>
      <w:bookmarkEnd w:id="29"/>
      <w:bookmarkEnd w:id="30"/>
      <w:bookmarkEnd w:id="31"/>
    </w:p>
    <w:p w14:paraId="6670DFAC">
      <w:pPr>
        <w:pStyle w:val="37"/>
        <w:adjustRightInd w:val="0"/>
        <w:snapToGrid w:val="0"/>
        <w:spacing w:before="0" w:beforeAutospacing="0" w:after="0" w:afterAutospacing="0" w:line="560" w:lineRule="exact"/>
        <w:jc w:val="center"/>
        <w:outlineLvl w:val="9"/>
        <w:rPr>
          <w:rFonts w:hint="eastAsia" w:ascii="宋体" w:hAnsi="宋体" w:eastAsia="宋体" w:cs="宋体"/>
          <w:snapToGrid w:val="0"/>
          <w:color w:val="auto"/>
          <w:sz w:val="38"/>
          <w:szCs w:val="38"/>
        </w:rPr>
      </w:pPr>
      <w:bookmarkStart w:id="32" w:name="_Toc186098084"/>
      <w:r>
        <w:rPr>
          <w:rFonts w:hint="eastAsia" w:ascii="宋体" w:hAnsi="宋体" w:eastAsia="宋体" w:cs="宋体"/>
          <w:b/>
          <w:bCs/>
          <w:snapToGrid w:val="0"/>
          <w:color w:val="auto"/>
          <w:sz w:val="38"/>
          <w:szCs w:val="38"/>
        </w:rPr>
        <w:t>建设项目污染物排放量汇总表</w:t>
      </w:r>
      <w:bookmarkEnd w:id="32"/>
    </w:p>
    <w:tbl>
      <w:tblPr>
        <w:tblStyle w:val="41"/>
        <w:tblW w:w="1378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88"/>
        <w:gridCol w:w="1417"/>
        <w:gridCol w:w="1701"/>
        <w:gridCol w:w="1276"/>
        <w:gridCol w:w="1701"/>
        <w:gridCol w:w="1559"/>
        <w:gridCol w:w="1521"/>
        <w:gridCol w:w="1985"/>
        <w:gridCol w:w="1040"/>
      </w:tblGrid>
      <w:tr w14:paraId="3DFF20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588" w:type="dxa"/>
            <w:tcBorders>
              <w:tl2br w:val="single" w:color="auto" w:sz="4" w:space="0"/>
            </w:tcBorders>
            <w:tcMar>
              <w:left w:w="28" w:type="dxa"/>
              <w:right w:w="28" w:type="dxa"/>
            </w:tcMar>
            <w:vAlign w:val="center"/>
          </w:tcPr>
          <w:p w14:paraId="3435D285">
            <w:pPr>
              <w:pStyle w:val="61"/>
              <w:spacing w:beforeLines="0" w:afterLines="0" w:line="260" w:lineRule="exact"/>
              <w:jc w:val="right"/>
              <w:rPr>
                <w:rFonts w:hint="default" w:ascii="Times New Roman" w:hAnsi="Times New Roman" w:eastAsia="宋体" w:cs="Times New Roman"/>
                <w:b/>
                <w:bCs/>
                <w:snapToGrid w:val="0"/>
                <w:color w:val="auto"/>
                <w:spacing w:val="-6"/>
                <w:kern w:val="21"/>
                <w:szCs w:val="21"/>
              </w:rPr>
            </w:pPr>
            <w:r>
              <w:rPr>
                <w:rFonts w:hint="default" w:ascii="Times New Roman" w:hAnsi="Times New Roman" w:eastAsia="宋体" w:cs="Times New Roman"/>
                <w:b/>
                <w:bCs/>
                <w:snapToGrid w:val="0"/>
                <w:color w:val="auto"/>
                <w:spacing w:val="-6"/>
                <w:kern w:val="21"/>
                <w:szCs w:val="21"/>
              </w:rPr>
              <w:t>项目</w:t>
            </w:r>
          </w:p>
          <w:p w14:paraId="351E8D56">
            <w:pPr>
              <w:pStyle w:val="61"/>
              <w:spacing w:beforeLines="0" w:afterLines="0" w:line="260" w:lineRule="exact"/>
              <w:jc w:val="left"/>
              <w:rPr>
                <w:rFonts w:hint="default" w:ascii="Times New Roman" w:hAnsi="Times New Roman" w:eastAsia="宋体" w:cs="Times New Roman"/>
                <w:b/>
                <w:bCs/>
                <w:snapToGrid w:val="0"/>
                <w:color w:val="auto"/>
                <w:spacing w:val="-6"/>
                <w:kern w:val="21"/>
                <w:szCs w:val="21"/>
              </w:rPr>
            </w:pPr>
            <w:r>
              <w:rPr>
                <w:rFonts w:hint="default" w:ascii="Times New Roman" w:hAnsi="Times New Roman" w:eastAsia="宋体" w:cs="Times New Roman"/>
                <w:b/>
                <w:bCs/>
                <w:snapToGrid w:val="0"/>
                <w:color w:val="auto"/>
                <w:spacing w:val="-6"/>
                <w:kern w:val="21"/>
                <w:szCs w:val="21"/>
              </w:rPr>
              <w:t>分类</w:t>
            </w:r>
          </w:p>
        </w:tc>
        <w:tc>
          <w:tcPr>
            <w:tcW w:w="1417" w:type="dxa"/>
            <w:tcMar>
              <w:left w:w="28" w:type="dxa"/>
              <w:right w:w="28" w:type="dxa"/>
            </w:tcMar>
            <w:vAlign w:val="center"/>
          </w:tcPr>
          <w:p w14:paraId="23522129">
            <w:pPr>
              <w:pStyle w:val="61"/>
              <w:spacing w:beforeLines="0" w:afterLines="0" w:line="260" w:lineRule="exact"/>
              <w:rPr>
                <w:rFonts w:hint="default" w:ascii="Times New Roman" w:hAnsi="Times New Roman" w:eastAsia="宋体" w:cs="Times New Roman"/>
                <w:b/>
                <w:bCs/>
                <w:snapToGrid w:val="0"/>
                <w:color w:val="auto"/>
                <w:spacing w:val="-6"/>
                <w:kern w:val="21"/>
                <w:szCs w:val="21"/>
              </w:rPr>
            </w:pPr>
            <w:r>
              <w:rPr>
                <w:rFonts w:hint="default" w:ascii="Times New Roman" w:hAnsi="Times New Roman" w:eastAsia="宋体" w:cs="Times New Roman"/>
                <w:b/>
                <w:bCs/>
                <w:snapToGrid w:val="0"/>
                <w:color w:val="auto"/>
                <w:spacing w:val="-6"/>
                <w:kern w:val="21"/>
                <w:szCs w:val="21"/>
              </w:rPr>
              <w:t>污染物名称</w:t>
            </w:r>
          </w:p>
        </w:tc>
        <w:tc>
          <w:tcPr>
            <w:tcW w:w="1701" w:type="dxa"/>
            <w:tcMar>
              <w:left w:w="28" w:type="dxa"/>
              <w:right w:w="28" w:type="dxa"/>
            </w:tcMar>
            <w:vAlign w:val="center"/>
          </w:tcPr>
          <w:p w14:paraId="4B73F26E">
            <w:pPr>
              <w:pStyle w:val="61"/>
              <w:spacing w:beforeLines="0" w:afterLines="0" w:line="260" w:lineRule="exact"/>
              <w:rPr>
                <w:rFonts w:hint="default" w:ascii="Times New Roman" w:hAnsi="Times New Roman" w:eastAsia="宋体" w:cs="Times New Roman"/>
                <w:b/>
                <w:bCs/>
                <w:snapToGrid w:val="0"/>
                <w:color w:val="auto"/>
                <w:spacing w:val="-6"/>
                <w:kern w:val="21"/>
                <w:szCs w:val="21"/>
              </w:rPr>
            </w:pPr>
            <w:r>
              <w:rPr>
                <w:rFonts w:hint="default" w:ascii="Times New Roman" w:hAnsi="Times New Roman" w:eastAsia="宋体" w:cs="Times New Roman"/>
                <w:b/>
                <w:bCs/>
                <w:snapToGrid w:val="0"/>
                <w:color w:val="auto"/>
                <w:spacing w:val="-6"/>
                <w:kern w:val="21"/>
                <w:szCs w:val="21"/>
              </w:rPr>
              <w:t>现有工程</w:t>
            </w:r>
          </w:p>
          <w:p w14:paraId="094D3C18">
            <w:pPr>
              <w:pStyle w:val="61"/>
              <w:spacing w:beforeLines="0" w:afterLines="0" w:line="260" w:lineRule="exact"/>
              <w:rPr>
                <w:rFonts w:hint="default" w:ascii="Times New Roman" w:hAnsi="Times New Roman" w:eastAsia="宋体" w:cs="Times New Roman"/>
                <w:b/>
                <w:bCs/>
                <w:snapToGrid w:val="0"/>
                <w:color w:val="auto"/>
                <w:spacing w:val="-6"/>
                <w:kern w:val="21"/>
                <w:szCs w:val="21"/>
              </w:rPr>
            </w:pPr>
            <w:r>
              <w:rPr>
                <w:rFonts w:hint="default" w:ascii="Times New Roman" w:hAnsi="Times New Roman" w:eastAsia="宋体" w:cs="Times New Roman"/>
                <w:b/>
                <w:bCs/>
                <w:snapToGrid w:val="0"/>
                <w:color w:val="auto"/>
                <w:spacing w:val="-6"/>
                <w:kern w:val="21"/>
                <w:szCs w:val="21"/>
              </w:rPr>
              <w:t>排放量（固体废物产生量）</w:t>
            </w:r>
            <w:r>
              <w:rPr>
                <w:rFonts w:hint="default" w:ascii="Times New Roman" w:hAnsi="Times New Roman" w:eastAsia="宋体" w:cs="Times New Roman"/>
                <w:b/>
                <w:bCs/>
                <w:snapToGrid w:val="0"/>
                <w:color w:val="auto"/>
                <w:spacing w:val="-6"/>
                <w:kern w:val="21"/>
                <w:szCs w:val="21"/>
              </w:rPr>
              <w:fldChar w:fldCharType="begin"/>
            </w:r>
            <w:r>
              <w:rPr>
                <w:rFonts w:hint="default" w:ascii="Times New Roman" w:hAnsi="Times New Roman" w:eastAsia="宋体" w:cs="Times New Roman"/>
                <w:b/>
                <w:bCs/>
                <w:snapToGrid w:val="0"/>
                <w:color w:val="auto"/>
                <w:spacing w:val="-6"/>
                <w:kern w:val="21"/>
                <w:szCs w:val="21"/>
              </w:rPr>
              <w:instrText xml:space="preserve"> = 1 \* GB3 \* MERGEFORMAT </w:instrText>
            </w:r>
            <w:r>
              <w:rPr>
                <w:rFonts w:hint="default" w:ascii="Times New Roman" w:hAnsi="Times New Roman" w:eastAsia="宋体" w:cs="Times New Roman"/>
                <w:b/>
                <w:bCs/>
                <w:snapToGrid w:val="0"/>
                <w:color w:val="auto"/>
                <w:spacing w:val="-6"/>
                <w:kern w:val="21"/>
                <w:szCs w:val="21"/>
              </w:rPr>
              <w:fldChar w:fldCharType="separate"/>
            </w:r>
            <w:r>
              <w:rPr>
                <w:rFonts w:hint="default" w:ascii="Times New Roman" w:hAnsi="Times New Roman" w:eastAsia="宋体" w:cs="Times New Roman"/>
                <w:b/>
                <w:bCs/>
                <w:color w:val="auto"/>
                <w:kern w:val="2"/>
                <w:szCs w:val="21"/>
              </w:rPr>
              <w:t>①</w:t>
            </w:r>
            <w:r>
              <w:rPr>
                <w:rFonts w:hint="default" w:ascii="Times New Roman" w:hAnsi="Times New Roman" w:eastAsia="宋体" w:cs="Times New Roman"/>
                <w:b/>
                <w:bCs/>
                <w:snapToGrid w:val="0"/>
                <w:color w:val="auto"/>
                <w:spacing w:val="-6"/>
                <w:kern w:val="21"/>
                <w:szCs w:val="21"/>
              </w:rPr>
              <w:fldChar w:fldCharType="end"/>
            </w:r>
          </w:p>
        </w:tc>
        <w:tc>
          <w:tcPr>
            <w:tcW w:w="1276" w:type="dxa"/>
            <w:tcMar>
              <w:left w:w="28" w:type="dxa"/>
              <w:right w:w="28" w:type="dxa"/>
            </w:tcMar>
            <w:vAlign w:val="center"/>
          </w:tcPr>
          <w:p w14:paraId="3FF9CFB2">
            <w:pPr>
              <w:pStyle w:val="61"/>
              <w:spacing w:beforeLines="0" w:afterLines="0" w:line="260" w:lineRule="exact"/>
              <w:rPr>
                <w:rFonts w:hint="default" w:ascii="Times New Roman" w:hAnsi="Times New Roman" w:eastAsia="宋体" w:cs="Times New Roman"/>
                <w:b/>
                <w:bCs/>
                <w:snapToGrid w:val="0"/>
                <w:color w:val="auto"/>
                <w:spacing w:val="-6"/>
                <w:kern w:val="21"/>
                <w:szCs w:val="21"/>
              </w:rPr>
            </w:pPr>
            <w:r>
              <w:rPr>
                <w:rFonts w:hint="default" w:ascii="Times New Roman" w:hAnsi="Times New Roman" w:eastAsia="宋体" w:cs="Times New Roman"/>
                <w:b/>
                <w:bCs/>
                <w:snapToGrid w:val="0"/>
                <w:color w:val="auto"/>
                <w:spacing w:val="-6"/>
                <w:kern w:val="21"/>
                <w:szCs w:val="21"/>
              </w:rPr>
              <w:t>现有工程</w:t>
            </w:r>
          </w:p>
          <w:p w14:paraId="61A6A625">
            <w:pPr>
              <w:pStyle w:val="61"/>
              <w:spacing w:beforeLines="0" w:afterLines="0" w:line="260" w:lineRule="exact"/>
              <w:rPr>
                <w:rFonts w:hint="default" w:ascii="Times New Roman" w:hAnsi="Times New Roman" w:eastAsia="宋体" w:cs="Times New Roman"/>
                <w:b/>
                <w:bCs/>
                <w:snapToGrid w:val="0"/>
                <w:color w:val="auto"/>
                <w:spacing w:val="-6"/>
                <w:kern w:val="21"/>
                <w:szCs w:val="21"/>
              </w:rPr>
            </w:pPr>
            <w:r>
              <w:rPr>
                <w:rFonts w:hint="default" w:ascii="Times New Roman" w:hAnsi="Times New Roman" w:eastAsia="宋体" w:cs="Times New Roman"/>
                <w:b/>
                <w:bCs/>
                <w:snapToGrid w:val="0"/>
                <w:color w:val="auto"/>
                <w:spacing w:val="-6"/>
                <w:kern w:val="21"/>
                <w:szCs w:val="21"/>
              </w:rPr>
              <w:t>许可排放量</w:t>
            </w:r>
          </w:p>
          <w:p w14:paraId="699BE122">
            <w:pPr>
              <w:pStyle w:val="61"/>
              <w:spacing w:beforeLines="0" w:afterLines="0" w:line="260" w:lineRule="exact"/>
              <w:rPr>
                <w:rFonts w:hint="default" w:ascii="Times New Roman" w:hAnsi="Times New Roman" w:eastAsia="宋体" w:cs="Times New Roman"/>
                <w:b/>
                <w:bCs/>
                <w:snapToGrid w:val="0"/>
                <w:color w:val="auto"/>
                <w:spacing w:val="-6"/>
                <w:kern w:val="21"/>
                <w:szCs w:val="21"/>
              </w:rPr>
            </w:pPr>
            <w:r>
              <w:rPr>
                <w:rFonts w:hint="default" w:ascii="Times New Roman" w:hAnsi="Times New Roman" w:eastAsia="宋体" w:cs="Times New Roman"/>
                <w:b/>
                <w:bCs/>
                <w:snapToGrid w:val="0"/>
                <w:color w:val="auto"/>
                <w:spacing w:val="-6"/>
                <w:kern w:val="21"/>
                <w:szCs w:val="21"/>
              </w:rPr>
              <w:fldChar w:fldCharType="begin"/>
            </w:r>
            <w:r>
              <w:rPr>
                <w:rFonts w:hint="default" w:ascii="Times New Roman" w:hAnsi="Times New Roman" w:eastAsia="宋体" w:cs="Times New Roman"/>
                <w:b/>
                <w:bCs/>
                <w:snapToGrid w:val="0"/>
                <w:color w:val="auto"/>
                <w:spacing w:val="-6"/>
                <w:kern w:val="21"/>
                <w:szCs w:val="21"/>
              </w:rPr>
              <w:instrText xml:space="preserve"> = 2 \* GB3 \* MERGEFORMAT </w:instrText>
            </w:r>
            <w:r>
              <w:rPr>
                <w:rFonts w:hint="default" w:ascii="Times New Roman" w:hAnsi="Times New Roman" w:eastAsia="宋体" w:cs="Times New Roman"/>
                <w:b/>
                <w:bCs/>
                <w:snapToGrid w:val="0"/>
                <w:color w:val="auto"/>
                <w:spacing w:val="-6"/>
                <w:kern w:val="21"/>
                <w:szCs w:val="21"/>
              </w:rPr>
              <w:fldChar w:fldCharType="separate"/>
            </w:r>
            <w:r>
              <w:rPr>
                <w:rFonts w:hint="default" w:ascii="Times New Roman" w:hAnsi="Times New Roman" w:eastAsia="宋体" w:cs="Times New Roman"/>
                <w:b/>
                <w:bCs/>
                <w:snapToGrid w:val="0"/>
                <w:color w:val="auto"/>
                <w:spacing w:val="-6"/>
                <w:kern w:val="21"/>
                <w:szCs w:val="21"/>
              </w:rPr>
              <w:t>②</w:t>
            </w:r>
            <w:r>
              <w:rPr>
                <w:rFonts w:hint="default" w:ascii="Times New Roman" w:hAnsi="Times New Roman" w:eastAsia="宋体" w:cs="Times New Roman"/>
                <w:b/>
                <w:bCs/>
                <w:snapToGrid w:val="0"/>
                <w:color w:val="auto"/>
                <w:spacing w:val="-6"/>
                <w:kern w:val="21"/>
                <w:szCs w:val="21"/>
              </w:rPr>
              <w:fldChar w:fldCharType="end"/>
            </w:r>
          </w:p>
        </w:tc>
        <w:tc>
          <w:tcPr>
            <w:tcW w:w="1701" w:type="dxa"/>
            <w:tcMar>
              <w:left w:w="28" w:type="dxa"/>
              <w:right w:w="28" w:type="dxa"/>
            </w:tcMar>
            <w:vAlign w:val="center"/>
          </w:tcPr>
          <w:p w14:paraId="7FD2AE62">
            <w:pPr>
              <w:pStyle w:val="61"/>
              <w:spacing w:beforeLines="0" w:afterLines="0" w:line="260" w:lineRule="exact"/>
              <w:rPr>
                <w:rFonts w:hint="default" w:ascii="Times New Roman" w:hAnsi="Times New Roman" w:eastAsia="宋体" w:cs="Times New Roman"/>
                <w:b/>
                <w:bCs/>
                <w:snapToGrid w:val="0"/>
                <w:color w:val="auto"/>
                <w:spacing w:val="-6"/>
                <w:kern w:val="21"/>
                <w:szCs w:val="21"/>
              </w:rPr>
            </w:pPr>
            <w:r>
              <w:rPr>
                <w:rFonts w:hint="default" w:ascii="Times New Roman" w:hAnsi="Times New Roman" w:eastAsia="宋体" w:cs="Times New Roman"/>
                <w:b/>
                <w:bCs/>
                <w:snapToGrid w:val="0"/>
                <w:color w:val="auto"/>
                <w:spacing w:val="-6"/>
                <w:kern w:val="21"/>
                <w:szCs w:val="21"/>
              </w:rPr>
              <w:t>在建工程</w:t>
            </w:r>
          </w:p>
          <w:p w14:paraId="1B636EB4">
            <w:pPr>
              <w:pStyle w:val="61"/>
              <w:spacing w:beforeLines="0" w:afterLines="0" w:line="260" w:lineRule="exact"/>
              <w:rPr>
                <w:rFonts w:hint="default" w:ascii="Times New Roman" w:hAnsi="Times New Roman" w:eastAsia="宋体" w:cs="Times New Roman"/>
                <w:b/>
                <w:bCs/>
                <w:snapToGrid w:val="0"/>
                <w:color w:val="auto"/>
                <w:spacing w:val="-6"/>
                <w:kern w:val="21"/>
                <w:szCs w:val="21"/>
              </w:rPr>
            </w:pPr>
            <w:r>
              <w:rPr>
                <w:rFonts w:hint="default" w:ascii="Times New Roman" w:hAnsi="Times New Roman" w:eastAsia="宋体" w:cs="Times New Roman"/>
                <w:b/>
                <w:bCs/>
                <w:snapToGrid w:val="0"/>
                <w:color w:val="auto"/>
                <w:spacing w:val="-6"/>
                <w:kern w:val="21"/>
                <w:szCs w:val="21"/>
              </w:rPr>
              <w:t>排放量（固体废物产生量）</w:t>
            </w:r>
            <w:r>
              <w:rPr>
                <w:rFonts w:hint="default" w:ascii="Times New Roman" w:hAnsi="Times New Roman" w:eastAsia="宋体" w:cs="Times New Roman"/>
                <w:b/>
                <w:bCs/>
                <w:snapToGrid w:val="0"/>
                <w:color w:val="auto"/>
                <w:spacing w:val="-6"/>
                <w:kern w:val="21"/>
                <w:szCs w:val="21"/>
              </w:rPr>
              <w:fldChar w:fldCharType="begin"/>
            </w:r>
            <w:r>
              <w:rPr>
                <w:rFonts w:hint="default" w:ascii="Times New Roman" w:hAnsi="Times New Roman" w:eastAsia="宋体" w:cs="Times New Roman"/>
                <w:b/>
                <w:bCs/>
                <w:snapToGrid w:val="0"/>
                <w:color w:val="auto"/>
                <w:spacing w:val="-6"/>
                <w:kern w:val="21"/>
                <w:szCs w:val="21"/>
              </w:rPr>
              <w:instrText xml:space="preserve"> = 3 \* GB3 \* MERGEFORMAT </w:instrText>
            </w:r>
            <w:r>
              <w:rPr>
                <w:rFonts w:hint="default" w:ascii="Times New Roman" w:hAnsi="Times New Roman" w:eastAsia="宋体" w:cs="Times New Roman"/>
                <w:b/>
                <w:bCs/>
                <w:snapToGrid w:val="0"/>
                <w:color w:val="auto"/>
                <w:spacing w:val="-6"/>
                <w:kern w:val="21"/>
                <w:szCs w:val="21"/>
              </w:rPr>
              <w:fldChar w:fldCharType="separate"/>
            </w:r>
            <w:r>
              <w:rPr>
                <w:rFonts w:hint="default" w:ascii="Times New Roman" w:hAnsi="Times New Roman" w:eastAsia="宋体" w:cs="Times New Roman"/>
                <w:b/>
                <w:bCs/>
                <w:color w:val="auto"/>
                <w:kern w:val="2"/>
                <w:szCs w:val="21"/>
              </w:rPr>
              <w:t>③</w:t>
            </w:r>
            <w:r>
              <w:rPr>
                <w:rFonts w:hint="default" w:ascii="Times New Roman" w:hAnsi="Times New Roman" w:eastAsia="宋体" w:cs="Times New Roman"/>
                <w:b/>
                <w:bCs/>
                <w:snapToGrid w:val="0"/>
                <w:color w:val="auto"/>
                <w:spacing w:val="-6"/>
                <w:kern w:val="21"/>
                <w:szCs w:val="21"/>
              </w:rPr>
              <w:fldChar w:fldCharType="end"/>
            </w:r>
          </w:p>
        </w:tc>
        <w:tc>
          <w:tcPr>
            <w:tcW w:w="1559" w:type="dxa"/>
            <w:tcMar>
              <w:left w:w="28" w:type="dxa"/>
              <w:right w:w="28" w:type="dxa"/>
            </w:tcMar>
            <w:vAlign w:val="center"/>
          </w:tcPr>
          <w:p w14:paraId="27B4D876">
            <w:pPr>
              <w:pStyle w:val="61"/>
              <w:spacing w:beforeLines="0" w:afterLines="0" w:line="260" w:lineRule="exact"/>
              <w:rPr>
                <w:rFonts w:hint="default" w:ascii="Times New Roman" w:hAnsi="Times New Roman" w:eastAsia="宋体" w:cs="Times New Roman"/>
                <w:b/>
                <w:bCs/>
                <w:snapToGrid w:val="0"/>
                <w:color w:val="auto"/>
                <w:spacing w:val="-6"/>
                <w:kern w:val="21"/>
                <w:szCs w:val="21"/>
              </w:rPr>
            </w:pPr>
            <w:r>
              <w:rPr>
                <w:rFonts w:hint="default" w:ascii="Times New Roman" w:hAnsi="Times New Roman" w:eastAsia="宋体" w:cs="Times New Roman"/>
                <w:b/>
                <w:bCs/>
                <w:snapToGrid w:val="0"/>
                <w:color w:val="auto"/>
                <w:spacing w:val="-6"/>
                <w:kern w:val="21"/>
                <w:szCs w:val="21"/>
              </w:rPr>
              <w:t>本项目</w:t>
            </w:r>
          </w:p>
          <w:p w14:paraId="7FE0386D">
            <w:pPr>
              <w:pStyle w:val="61"/>
              <w:spacing w:beforeLines="0" w:afterLines="0" w:line="260" w:lineRule="exact"/>
              <w:rPr>
                <w:rFonts w:hint="default" w:ascii="Times New Roman" w:hAnsi="Times New Roman" w:eastAsia="宋体" w:cs="Times New Roman"/>
                <w:b/>
                <w:bCs/>
                <w:snapToGrid w:val="0"/>
                <w:color w:val="auto"/>
                <w:spacing w:val="-6"/>
                <w:kern w:val="21"/>
                <w:szCs w:val="21"/>
              </w:rPr>
            </w:pPr>
            <w:r>
              <w:rPr>
                <w:rFonts w:hint="default" w:ascii="Times New Roman" w:hAnsi="Times New Roman" w:eastAsia="宋体" w:cs="Times New Roman"/>
                <w:b/>
                <w:bCs/>
                <w:snapToGrid w:val="0"/>
                <w:color w:val="auto"/>
                <w:spacing w:val="-6"/>
                <w:kern w:val="21"/>
                <w:szCs w:val="21"/>
              </w:rPr>
              <w:t>排放量（固体废物产生量）</w:t>
            </w:r>
            <w:r>
              <w:rPr>
                <w:rFonts w:hint="default" w:ascii="Times New Roman" w:hAnsi="Times New Roman" w:eastAsia="宋体" w:cs="Times New Roman"/>
                <w:b/>
                <w:bCs/>
                <w:snapToGrid w:val="0"/>
                <w:color w:val="auto"/>
                <w:spacing w:val="-6"/>
                <w:kern w:val="21"/>
                <w:szCs w:val="21"/>
              </w:rPr>
              <w:fldChar w:fldCharType="begin"/>
            </w:r>
            <w:r>
              <w:rPr>
                <w:rFonts w:hint="default" w:ascii="Times New Roman" w:hAnsi="Times New Roman" w:eastAsia="宋体" w:cs="Times New Roman"/>
                <w:b/>
                <w:bCs/>
                <w:snapToGrid w:val="0"/>
                <w:color w:val="auto"/>
                <w:spacing w:val="-6"/>
                <w:kern w:val="21"/>
                <w:szCs w:val="21"/>
              </w:rPr>
              <w:instrText xml:space="preserve"> = 4 \* GB3 \* MERGEFORMAT </w:instrText>
            </w:r>
            <w:r>
              <w:rPr>
                <w:rFonts w:hint="default" w:ascii="Times New Roman" w:hAnsi="Times New Roman" w:eastAsia="宋体" w:cs="Times New Roman"/>
                <w:b/>
                <w:bCs/>
                <w:snapToGrid w:val="0"/>
                <w:color w:val="auto"/>
                <w:spacing w:val="-6"/>
                <w:kern w:val="21"/>
                <w:szCs w:val="21"/>
              </w:rPr>
              <w:fldChar w:fldCharType="separate"/>
            </w:r>
            <w:r>
              <w:rPr>
                <w:rFonts w:hint="default" w:ascii="Times New Roman" w:hAnsi="Times New Roman" w:eastAsia="宋体" w:cs="Times New Roman"/>
                <w:b/>
                <w:bCs/>
                <w:color w:val="auto"/>
                <w:kern w:val="2"/>
                <w:szCs w:val="21"/>
              </w:rPr>
              <w:t>④</w:t>
            </w:r>
            <w:r>
              <w:rPr>
                <w:rFonts w:hint="default" w:ascii="Times New Roman" w:hAnsi="Times New Roman" w:eastAsia="宋体" w:cs="Times New Roman"/>
                <w:b/>
                <w:bCs/>
                <w:snapToGrid w:val="0"/>
                <w:color w:val="auto"/>
                <w:spacing w:val="-6"/>
                <w:kern w:val="21"/>
                <w:szCs w:val="21"/>
              </w:rPr>
              <w:fldChar w:fldCharType="end"/>
            </w:r>
          </w:p>
        </w:tc>
        <w:tc>
          <w:tcPr>
            <w:tcW w:w="1521" w:type="dxa"/>
            <w:tcMar>
              <w:left w:w="28" w:type="dxa"/>
              <w:right w:w="28" w:type="dxa"/>
            </w:tcMar>
            <w:vAlign w:val="center"/>
          </w:tcPr>
          <w:p w14:paraId="40780C07">
            <w:pPr>
              <w:pStyle w:val="61"/>
              <w:spacing w:beforeLines="0" w:afterLines="0" w:line="260" w:lineRule="exact"/>
              <w:rPr>
                <w:rFonts w:hint="default" w:ascii="Times New Roman" w:hAnsi="Times New Roman" w:eastAsia="宋体" w:cs="Times New Roman"/>
                <w:b/>
                <w:bCs/>
                <w:snapToGrid w:val="0"/>
                <w:color w:val="auto"/>
                <w:spacing w:val="-16"/>
                <w:kern w:val="21"/>
                <w:szCs w:val="21"/>
              </w:rPr>
            </w:pPr>
            <w:r>
              <w:rPr>
                <w:rFonts w:hint="default" w:ascii="Times New Roman" w:hAnsi="Times New Roman" w:eastAsia="宋体" w:cs="Times New Roman"/>
                <w:b/>
                <w:bCs/>
                <w:snapToGrid w:val="0"/>
                <w:color w:val="auto"/>
                <w:spacing w:val="-16"/>
                <w:kern w:val="21"/>
                <w:szCs w:val="21"/>
              </w:rPr>
              <w:t>以新带老削减量</w:t>
            </w:r>
          </w:p>
          <w:p w14:paraId="785A2836">
            <w:pPr>
              <w:pStyle w:val="61"/>
              <w:spacing w:beforeLines="0" w:afterLines="0" w:line="260" w:lineRule="exact"/>
              <w:rPr>
                <w:rFonts w:hint="default" w:ascii="Times New Roman" w:hAnsi="Times New Roman" w:eastAsia="宋体" w:cs="Times New Roman"/>
                <w:b/>
                <w:bCs/>
                <w:snapToGrid w:val="0"/>
                <w:color w:val="auto"/>
                <w:spacing w:val="-16"/>
                <w:kern w:val="21"/>
                <w:szCs w:val="21"/>
              </w:rPr>
            </w:pPr>
            <w:r>
              <w:rPr>
                <w:rFonts w:hint="default" w:ascii="Times New Roman" w:hAnsi="Times New Roman" w:eastAsia="宋体" w:cs="Times New Roman"/>
                <w:b/>
                <w:bCs/>
                <w:snapToGrid w:val="0"/>
                <w:color w:val="auto"/>
                <w:spacing w:val="-16"/>
                <w:kern w:val="21"/>
                <w:szCs w:val="21"/>
              </w:rPr>
              <w:t>（新建项目不填）</w:t>
            </w:r>
            <w:r>
              <w:rPr>
                <w:rFonts w:hint="default" w:ascii="Times New Roman" w:hAnsi="Times New Roman" w:eastAsia="宋体" w:cs="Times New Roman"/>
                <w:b/>
                <w:bCs/>
                <w:snapToGrid w:val="0"/>
                <w:color w:val="auto"/>
                <w:spacing w:val="-16"/>
                <w:kern w:val="21"/>
                <w:szCs w:val="21"/>
              </w:rPr>
              <w:fldChar w:fldCharType="begin"/>
            </w:r>
            <w:r>
              <w:rPr>
                <w:rFonts w:hint="default" w:ascii="Times New Roman" w:hAnsi="Times New Roman" w:eastAsia="宋体" w:cs="Times New Roman"/>
                <w:b/>
                <w:bCs/>
                <w:snapToGrid w:val="0"/>
                <w:color w:val="auto"/>
                <w:spacing w:val="-16"/>
                <w:kern w:val="21"/>
                <w:szCs w:val="21"/>
              </w:rPr>
              <w:instrText xml:space="preserve"> = 5 \* GB3 \* MERGEFORMAT </w:instrText>
            </w:r>
            <w:r>
              <w:rPr>
                <w:rFonts w:hint="default" w:ascii="Times New Roman" w:hAnsi="Times New Roman" w:eastAsia="宋体" w:cs="Times New Roman"/>
                <w:b/>
                <w:bCs/>
                <w:snapToGrid w:val="0"/>
                <w:color w:val="auto"/>
                <w:spacing w:val="-16"/>
                <w:kern w:val="21"/>
                <w:szCs w:val="21"/>
              </w:rPr>
              <w:fldChar w:fldCharType="separate"/>
            </w:r>
            <w:r>
              <w:rPr>
                <w:rFonts w:hint="default" w:ascii="Times New Roman" w:hAnsi="Times New Roman" w:eastAsia="宋体" w:cs="Times New Roman"/>
                <w:b/>
                <w:bCs/>
                <w:color w:val="auto"/>
                <w:kern w:val="2"/>
                <w:szCs w:val="21"/>
              </w:rPr>
              <w:t>⑤</w:t>
            </w:r>
            <w:r>
              <w:rPr>
                <w:rFonts w:hint="default" w:ascii="Times New Roman" w:hAnsi="Times New Roman" w:eastAsia="宋体" w:cs="Times New Roman"/>
                <w:b/>
                <w:bCs/>
                <w:snapToGrid w:val="0"/>
                <w:color w:val="auto"/>
                <w:spacing w:val="-16"/>
                <w:kern w:val="21"/>
                <w:szCs w:val="21"/>
              </w:rPr>
              <w:fldChar w:fldCharType="end"/>
            </w:r>
          </w:p>
        </w:tc>
        <w:tc>
          <w:tcPr>
            <w:tcW w:w="1985" w:type="dxa"/>
            <w:tcMar>
              <w:left w:w="28" w:type="dxa"/>
              <w:right w:w="28" w:type="dxa"/>
            </w:tcMar>
            <w:vAlign w:val="center"/>
          </w:tcPr>
          <w:p w14:paraId="574B6223">
            <w:pPr>
              <w:pStyle w:val="61"/>
              <w:spacing w:beforeLines="0" w:afterLines="0" w:line="260" w:lineRule="exact"/>
              <w:rPr>
                <w:rFonts w:hint="default" w:ascii="Times New Roman" w:hAnsi="Times New Roman" w:eastAsia="宋体" w:cs="Times New Roman"/>
                <w:b/>
                <w:bCs/>
                <w:snapToGrid w:val="0"/>
                <w:color w:val="auto"/>
                <w:spacing w:val="-16"/>
                <w:kern w:val="21"/>
                <w:szCs w:val="21"/>
              </w:rPr>
            </w:pPr>
            <w:r>
              <w:rPr>
                <w:rFonts w:hint="default" w:ascii="Times New Roman" w:hAnsi="Times New Roman" w:eastAsia="宋体" w:cs="Times New Roman"/>
                <w:b/>
                <w:bCs/>
                <w:snapToGrid w:val="0"/>
                <w:color w:val="auto"/>
                <w:spacing w:val="-16"/>
                <w:kern w:val="21"/>
                <w:szCs w:val="21"/>
              </w:rPr>
              <w:t>本项目建成后</w:t>
            </w:r>
          </w:p>
          <w:p w14:paraId="29FE9C7A">
            <w:pPr>
              <w:pStyle w:val="61"/>
              <w:spacing w:beforeLines="0" w:afterLines="0" w:line="260" w:lineRule="exact"/>
              <w:rPr>
                <w:rFonts w:hint="default" w:ascii="Times New Roman" w:hAnsi="Times New Roman" w:eastAsia="宋体" w:cs="Times New Roman"/>
                <w:b/>
                <w:bCs/>
                <w:snapToGrid w:val="0"/>
                <w:color w:val="auto"/>
                <w:spacing w:val="-16"/>
                <w:kern w:val="21"/>
                <w:szCs w:val="21"/>
              </w:rPr>
            </w:pPr>
            <w:r>
              <w:rPr>
                <w:rFonts w:hint="default" w:ascii="Times New Roman" w:hAnsi="Times New Roman" w:eastAsia="宋体" w:cs="Times New Roman"/>
                <w:b/>
                <w:bCs/>
                <w:snapToGrid w:val="0"/>
                <w:color w:val="auto"/>
                <w:spacing w:val="-16"/>
                <w:kern w:val="21"/>
                <w:szCs w:val="21"/>
              </w:rPr>
              <w:t>全厂排放量（固体废物产生量）</w:t>
            </w:r>
            <w:r>
              <w:rPr>
                <w:rFonts w:hint="default" w:ascii="Times New Roman" w:hAnsi="Times New Roman" w:eastAsia="宋体" w:cs="Times New Roman"/>
                <w:b/>
                <w:bCs/>
                <w:snapToGrid w:val="0"/>
                <w:color w:val="auto"/>
                <w:spacing w:val="-16"/>
                <w:kern w:val="21"/>
                <w:szCs w:val="21"/>
              </w:rPr>
              <w:fldChar w:fldCharType="begin"/>
            </w:r>
            <w:r>
              <w:rPr>
                <w:rFonts w:hint="default" w:ascii="Times New Roman" w:hAnsi="Times New Roman" w:eastAsia="宋体" w:cs="Times New Roman"/>
                <w:b/>
                <w:bCs/>
                <w:snapToGrid w:val="0"/>
                <w:color w:val="auto"/>
                <w:spacing w:val="-16"/>
                <w:kern w:val="21"/>
                <w:szCs w:val="21"/>
              </w:rPr>
              <w:instrText xml:space="preserve"> = 6 \* GB3 \* MERGEFORMAT </w:instrText>
            </w:r>
            <w:r>
              <w:rPr>
                <w:rFonts w:hint="default" w:ascii="Times New Roman" w:hAnsi="Times New Roman" w:eastAsia="宋体" w:cs="Times New Roman"/>
                <w:b/>
                <w:bCs/>
                <w:snapToGrid w:val="0"/>
                <w:color w:val="auto"/>
                <w:spacing w:val="-16"/>
                <w:kern w:val="21"/>
                <w:szCs w:val="21"/>
              </w:rPr>
              <w:fldChar w:fldCharType="separate"/>
            </w:r>
            <w:r>
              <w:rPr>
                <w:rFonts w:hint="default" w:ascii="Times New Roman" w:hAnsi="Times New Roman" w:eastAsia="宋体" w:cs="Times New Roman"/>
                <w:b/>
                <w:bCs/>
                <w:color w:val="auto"/>
                <w:kern w:val="2"/>
                <w:szCs w:val="21"/>
              </w:rPr>
              <w:t>⑥</w:t>
            </w:r>
            <w:r>
              <w:rPr>
                <w:rFonts w:hint="default" w:ascii="Times New Roman" w:hAnsi="Times New Roman" w:eastAsia="宋体" w:cs="Times New Roman"/>
                <w:b/>
                <w:bCs/>
                <w:snapToGrid w:val="0"/>
                <w:color w:val="auto"/>
                <w:spacing w:val="-16"/>
                <w:kern w:val="21"/>
                <w:szCs w:val="21"/>
              </w:rPr>
              <w:fldChar w:fldCharType="end"/>
            </w:r>
          </w:p>
        </w:tc>
        <w:tc>
          <w:tcPr>
            <w:tcW w:w="1040" w:type="dxa"/>
            <w:tcMar>
              <w:left w:w="28" w:type="dxa"/>
              <w:right w:w="28" w:type="dxa"/>
            </w:tcMar>
            <w:vAlign w:val="center"/>
          </w:tcPr>
          <w:p w14:paraId="34DEC827">
            <w:pPr>
              <w:pStyle w:val="61"/>
              <w:spacing w:beforeLines="0" w:afterLines="0" w:line="260" w:lineRule="exact"/>
              <w:rPr>
                <w:rFonts w:hint="default" w:ascii="Times New Roman" w:hAnsi="Times New Roman" w:eastAsia="宋体" w:cs="Times New Roman"/>
                <w:b/>
                <w:bCs/>
                <w:snapToGrid w:val="0"/>
                <w:color w:val="auto"/>
                <w:spacing w:val="-6"/>
                <w:kern w:val="21"/>
                <w:szCs w:val="21"/>
              </w:rPr>
            </w:pPr>
            <w:r>
              <w:rPr>
                <w:rFonts w:hint="default" w:ascii="Times New Roman" w:hAnsi="Times New Roman" w:eastAsia="宋体" w:cs="Times New Roman"/>
                <w:b/>
                <w:bCs/>
                <w:snapToGrid w:val="0"/>
                <w:color w:val="auto"/>
                <w:spacing w:val="-6"/>
                <w:kern w:val="21"/>
                <w:szCs w:val="21"/>
              </w:rPr>
              <w:t>变化量</w:t>
            </w:r>
          </w:p>
          <w:p w14:paraId="4DC9C036">
            <w:pPr>
              <w:pStyle w:val="61"/>
              <w:spacing w:beforeLines="0" w:afterLines="0" w:line="260" w:lineRule="exact"/>
              <w:rPr>
                <w:rFonts w:hint="eastAsia" w:ascii="黑体" w:hAnsi="黑体" w:eastAsia="黑体"/>
                <w:b/>
                <w:bCs/>
                <w:snapToGrid w:val="0"/>
                <w:color w:val="auto"/>
                <w:spacing w:val="-6"/>
                <w:kern w:val="21"/>
                <w:szCs w:val="21"/>
              </w:rPr>
            </w:pPr>
            <w:r>
              <w:rPr>
                <w:rFonts w:hint="default" w:ascii="Times New Roman" w:hAnsi="Times New Roman" w:eastAsia="宋体" w:cs="Times New Roman"/>
                <w:b/>
                <w:bCs/>
                <w:snapToGrid w:val="0"/>
                <w:color w:val="auto"/>
                <w:spacing w:val="-6"/>
                <w:kern w:val="21"/>
                <w:szCs w:val="21"/>
              </w:rPr>
              <w:fldChar w:fldCharType="begin"/>
            </w:r>
            <w:r>
              <w:rPr>
                <w:rFonts w:hint="default" w:ascii="Times New Roman" w:hAnsi="Times New Roman" w:eastAsia="宋体" w:cs="Times New Roman"/>
                <w:b/>
                <w:bCs/>
                <w:snapToGrid w:val="0"/>
                <w:color w:val="auto"/>
                <w:spacing w:val="-6"/>
                <w:kern w:val="21"/>
                <w:szCs w:val="21"/>
              </w:rPr>
              <w:instrText xml:space="preserve"> = 7 \* GB3 \* MERGEFORMAT </w:instrText>
            </w:r>
            <w:r>
              <w:rPr>
                <w:rFonts w:hint="default" w:ascii="Times New Roman" w:hAnsi="Times New Roman" w:eastAsia="宋体" w:cs="Times New Roman"/>
                <w:b/>
                <w:bCs/>
                <w:snapToGrid w:val="0"/>
                <w:color w:val="auto"/>
                <w:spacing w:val="-6"/>
                <w:kern w:val="21"/>
                <w:szCs w:val="21"/>
              </w:rPr>
              <w:fldChar w:fldCharType="separate"/>
            </w:r>
            <w:r>
              <w:rPr>
                <w:rFonts w:hint="default" w:ascii="Times New Roman" w:hAnsi="Times New Roman" w:eastAsia="宋体" w:cs="Times New Roman"/>
                <w:b/>
                <w:bCs/>
                <w:color w:val="auto"/>
                <w:kern w:val="2"/>
                <w:szCs w:val="21"/>
              </w:rPr>
              <w:t>⑦</w:t>
            </w:r>
            <w:r>
              <w:rPr>
                <w:rFonts w:hint="default" w:ascii="Times New Roman" w:hAnsi="Times New Roman" w:eastAsia="宋体" w:cs="Times New Roman"/>
                <w:b/>
                <w:bCs/>
                <w:snapToGrid w:val="0"/>
                <w:color w:val="auto"/>
                <w:spacing w:val="-6"/>
                <w:kern w:val="21"/>
                <w:szCs w:val="21"/>
              </w:rPr>
              <w:fldChar w:fldCharType="end"/>
            </w:r>
          </w:p>
        </w:tc>
      </w:tr>
      <w:tr w14:paraId="1F15D1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1588" w:type="dxa"/>
            <w:vMerge w:val="restart"/>
            <w:vAlign w:val="center"/>
          </w:tcPr>
          <w:p w14:paraId="06608065">
            <w:pPr>
              <w:pStyle w:val="61"/>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hAnsi="Times New Roman" w:eastAsia="宋体" w:cs="Times New Roman"/>
                <w:snapToGrid w:val="0"/>
                <w:color w:val="auto"/>
                <w:spacing w:val="-6"/>
                <w:kern w:val="21"/>
                <w:szCs w:val="21"/>
              </w:rPr>
              <w:t>废气</w:t>
            </w:r>
          </w:p>
        </w:tc>
        <w:tc>
          <w:tcPr>
            <w:tcW w:w="1417" w:type="dxa"/>
            <w:vAlign w:val="center"/>
          </w:tcPr>
          <w:p w14:paraId="5CEE9CE6">
            <w:pPr>
              <w:pStyle w:val="61"/>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cs="Times New Roman"/>
                <w:color w:val="auto"/>
                <w:lang w:eastAsia="zh-CN"/>
              </w:rPr>
              <w:t>挥发性有机物（以非甲烷总烃计）</w:t>
            </w:r>
          </w:p>
        </w:tc>
        <w:tc>
          <w:tcPr>
            <w:tcW w:w="1701" w:type="dxa"/>
            <w:vAlign w:val="center"/>
          </w:tcPr>
          <w:p w14:paraId="110A48F2">
            <w:pPr>
              <w:spacing w:beforeLines="0" w:afterLines="0" w:line="260" w:lineRule="exact"/>
              <w:jc w:val="center"/>
              <w:rPr>
                <w:rFonts w:hint="eastAsia" w:ascii="Times New Roman" w:hAnsi="Times New Roman" w:eastAsia="宋体"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w:t>
            </w:r>
          </w:p>
        </w:tc>
        <w:tc>
          <w:tcPr>
            <w:tcW w:w="1276" w:type="dxa"/>
            <w:vAlign w:val="center"/>
          </w:tcPr>
          <w:p w14:paraId="18519B75">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701" w:type="dxa"/>
            <w:vAlign w:val="center"/>
          </w:tcPr>
          <w:p w14:paraId="32EF93B7">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559" w:type="dxa"/>
            <w:vAlign w:val="center"/>
          </w:tcPr>
          <w:p w14:paraId="39BFD8BE">
            <w:pPr>
              <w:spacing w:beforeLines="0" w:afterLines="0" w:line="260" w:lineRule="exact"/>
              <w:jc w:val="center"/>
              <w:rPr>
                <w:rFonts w:hint="default" w:ascii="Times New Roman" w:hAnsi="Times New Roman" w:eastAsia="宋体" w:cs="Times New Roman"/>
                <w:snapToGrid w:val="0"/>
                <w:color w:val="auto"/>
                <w:spacing w:val="-6"/>
                <w:kern w:val="21"/>
                <w:szCs w:val="21"/>
                <w:lang w:val="en-US" w:eastAsia="zh-CN"/>
              </w:rPr>
            </w:pPr>
            <w:r>
              <w:rPr>
                <w:rFonts w:hint="eastAsia" w:cs="Times New Roman"/>
                <w:snapToGrid w:val="0"/>
                <w:color w:val="auto"/>
                <w:spacing w:val="-6"/>
                <w:kern w:val="21"/>
                <w:szCs w:val="21"/>
                <w:lang w:val="en-US" w:eastAsia="zh-CN"/>
              </w:rPr>
              <w:t>1.827</w:t>
            </w:r>
            <w:r>
              <w:rPr>
                <w:rFonts w:hint="eastAsia" w:ascii="Times New Roman" w:hAnsi="Times New Roman" w:eastAsia="宋体" w:cs="Times New Roman"/>
                <w:snapToGrid w:val="0"/>
                <w:color w:val="auto"/>
                <w:spacing w:val="-6"/>
                <w:kern w:val="21"/>
                <w:szCs w:val="21"/>
                <w:lang w:val="en-US" w:eastAsia="zh-CN"/>
              </w:rPr>
              <w:t>t/a</w:t>
            </w:r>
          </w:p>
        </w:tc>
        <w:tc>
          <w:tcPr>
            <w:tcW w:w="1521" w:type="dxa"/>
            <w:vAlign w:val="center"/>
          </w:tcPr>
          <w:p w14:paraId="24B55720">
            <w:pPr>
              <w:spacing w:beforeLines="0" w:afterLines="0" w:line="260" w:lineRule="exact"/>
              <w:jc w:val="center"/>
              <w:rPr>
                <w:rFonts w:hint="default" w:ascii="Times New Roman" w:hAnsi="Times New Roman" w:eastAsia="宋体" w:cs="Times New Roman"/>
                <w:snapToGrid w:val="0"/>
                <w:color w:val="auto"/>
                <w:spacing w:val="-6"/>
                <w:kern w:val="21"/>
                <w:szCs w:val="21"/>
                <w:lang w:val="en-US" w:eastAsia="zh-CN"/>
              </w:rPr>
            </w:pPr>
            <w:r>
              <w:rPr>
                <w:rFonts w:hint="eastAsia" w:ascii="Times New Roman" w:hAnsi="Times New Roman" w:eastAsia="宋体" w:cs="Times New Roman"/>
                <w:snapToGrid w:val="0"/>
                <w:color w:val="auto"/>
                <w:spacing w:val="-6"/>
                <w:kern w:val="21"/>
                <w:szCs w:val="21"/>
                <w:lang w:val="en-US" w:eastAsia="zh-CN"/>
              </w:rPr>
              <w:t>/</w:t>
            </w:r>
          </w:p>
        </w:tc>
        <w:tc>
          <w:tcPr>
            <w:tcW w:w="1985" w:type="dxa"/>
            <w:vAlign w:val="center"/>
          </w:tcPr>
          <w:p w14:paraId="2E463AAB">
            <w:pPr>
              <w:spacing w:beforeLines="0" w:afterLines="0" w:line="260" w:lineRule="exact"/>
              <w:jc w:val="center"/>
              <w:rPr>
                <w:rFonts w:hint="default" w:ascii="Times New Roman" w:hAnsi="Times New Roman" w:eastAsia="宋体" w:cs="Times New Roman"/>
                <w:snapToGrid w:val="0"/>
                <w:color w:val="auto"/>
                <w:spacing w:val="-6"/>
                <w:kern w:val="21"/>
                <w:szCs w:val="21"/>
                <w:lang w:val="en-US" w:eastAsia="zh-CN"/>
              </w:rPr>
            </w:pPr>
            <w:r>
              <w:rPr>
                <w:rFonts w:hint="eastAsia" w:cs="Times New Roman"/>
                <w:snapToGrid w:val="0"/>
                <w:color w:val="auto"/>
                <w:spacing w:val="-6"/>
                <w:kern w:val="21"/>
                <w:szCs w:val="21"/>
                <w:lang w:val="en-US" w:eastAsia="zh-CN"/>
              </w:rPr>
              <w:t>1.827</w:t>
            </w:r>
            <w:r>
              <w:rPr>
                <w:rFonts w:hint="eastAsia" w:ascii="Times New Roman" w:hAnsi="Times New Roman" w:eastAsia="宋体" w:cs="Times New Roman"/>
                <w:snapToGrid w:val="0"/>
                <w:color w:val="auto"/>
                <w:spacing w:val="-6"/>
                <w:kern w:val="21"/>
                <w:szCs w:val="21"/>
                <w:lang w:val="en-US" w:eastAsia="zh-CN"/>
              </w:rPr>
              <w:t>t/a</w:t>
            </w:r>
          </w:p>
        </w:tc>
        <w:tc>
          <w:tcPr>
            <w:tcW w:w="1040" w:type="dxa"/>
            <w:vAlign w:val="center"/>
          </w:tcPr>
          <w:p w14:paraId="60D09B7D">
            <w:pPr>
              <w:spacing w:beforeLines="0" w:afterLines="0" w:line="260" w:lineRule="exact"/>
              <w:jc w:val="center"/>
              <w:rPr>
                <w:rFonts w:hint="eastAsia" w:ascii="Times New Roman" w:hAnsi="Times New Roman" w:eastAsia="宋体" w:cs="Times New Roman"/>
                <w:snapToGrid w:val="0"/>
                <w:color w:val="auto"/>
                <w:spacing w:val="-6"/>
                <w:kern w:val="21"/>
                <w:szCs w:val="21"/>
                <w:lang w:val="en-US" w:eastAsia="zh-CN"/>
              </w:rPr>
            </w:pPr>
            <w:r>
              <w:rPr>
                <w:rFonts w:hint="eastAsia" w:ascii="Times New Roman" w:hAnsi="Times New Roman" w:eastAsia="宋体" w:cs="Times New Roman"/>
                <w:snapToGrid w:val="0"/>
                <w:color w:val="auto"/>
                <w:spacing w:val="-6"/>
                <w:kern w:val="21"/>
                <w:szCs w:val="21"/>
                <w:lang w:val="en-US" w:eastAsia="zh-CN"/>
              </w:rPr>
              <w:t>+</w:t>
            </w:r>
            <w:r>
              <w:rPr>
                <w:rFonts w:hint="eastAsia" w:cs="Times New Roman"/>
                <w:snapToGrid w:val="0"/>
                <w:color w:val="auto"/>
                <w:spacing w:val="-6"/>
                <w:kern w:val="21"/>
                <w:szCs w:val="21"/>
                <w:lang w:val="en-US" w:eastAsia="zh-CN"/>
              </w:rPr>
              <w:t>1.827</w:t>
            </w:r>
            <w:r>
              <w:rPr>
                <w:rFonts w:hint="eastAsia" w:ascii="Times New Roman" w:hAnsi="Times New Roman" w:eastAsia="宋体" w:cs="Times New Roman"/>
                <w:snapToGrid w:val="0"/>
                <w:color w:val="auto"/>
                <w:spacing w:val="-6"/>
                <w:kern w:val="21"/>
                <w:szCs w:val="21"/>
                <w:lang w:val="en-US" w:eastAsia="zh-CN"/>
              </w:rPr>
              <w:t>t/a</w:t>
            </w:r>
          </w:p>
        </w:tc>
      </w:tr>
      <w:tr w14:paraId="447592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1588" w:type="dxa"/>
            <w:vMerge w:val="continue"/>
            <w:vAlign w:val="center"/>
          </w:tcPr>
          <w:p w14:paraId="157AF6C1">
            <w:pPr>
              <w:pStyle w:val="61"/>
              <w:spacing w:beforeLines="0" w:afterLines="0" w:line="260" w:lineRule="exact"/>
              <w:jc w:val="center"/>
              <w:rPr>
                <w:rFonts w:hint="default" w:ascii="Times New Roman" w:hAnsi="Times New Roman" w:eastAsia="宋体" w:cs="Times New Roman"/>
                <w:snapToGrid w:val="0"/>
                <w:color w:val="auto"/>
                <w:spacing w:val="-6"/>
                <w:kern w:val="21"/>
                <w:szCs w:val="21"/>
              </w:rPr>
            </w:pPr>
          </w:p>
        </w:tc>
        <w:tc>
          <w:tcPr>
            <w:tcW w:w="1417" w:type="dxa"/>
            <w:vAlign w:val="center"/>
          </w:tcPr>
          <w:p w14:paraId="291E2B44">
            <w:pPr>
              <w:pStyle w:val="61"/>
              <w:spacing w:beforeLines="0" w:afterLines="0" w:line="260" w:lineRule="exact"/>
              <w:jc w:val="center"/>
              <w:rPr>
                <w:rFonts w:hint="default" w:ascii="Times New Roman"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镍及其化合物</w:t>
            </w:r>
          </w:p>
        </w:tc>
        <w:tc>
          <w:tcPr>
            <w:tcW w:w="1701" w:type="dxa"/>
            <w:vAlign w:val="center"/>
          </w:tcPr>
          <w:p w14:paraId="5165172D">
            <w:pPr>
              <w:spacing w:beforeLines="0" w:afterLines="0" w:line="260" w:lineRule="exact"/>
              <w:jc w:val="center"/>
              <w:rPr>
                <w:rFonts w:hint="default" w:ascii="Times New Roman" w:cs="Times New Roman"/>
                <w:snapToGrid w:val="0"/>
                <w:color w:val="auto"/>
                <w:spacing w:val="-6"/>
                <w:kern w:val="21"/>
                <w:szCs w:val="21"/>
                <w:lang w:val="en-US" w:eastAsia="zh-CN"/>
              </w:rPr>
            </w:pPr>
            <w:r>
              <w:rPr>
                <w:rFonts w:hint="eastAsia" w:cs="Times New Roman"/>
                <w:snapToGrid w:val="0"/>
                <w:color w:val="auto"/>
                <w:spacing w:val="-6"/>
                <w:kern w:val="21"/>
                <w:szCs w:val="21"/>
                <w:lang w:val="en-US" w:eastAsia="zh-CN"/>
              </w:rPr>
              <w:t>/</w:t>
            </w:r>
          </w:p>
        </w:tc>
        <w:tc>
          <w:tcPr>
            <w:tcW w:w="1276" w:type="dxa"/>
            <w:vAlign w:val="center"/>
          </w:tcPr>
          <w:p w14:paraId="67CB0BAF">
            <w:pPr>
              <w:spacing w:beforeLines="0" w:afterLines="0" w:line="260" w:lineRule="exact"/>
              <w:jc w:val="center"/>
              <w:rPr>
                <w:rFonts w:hint="default" w:ascii="Times New Roman" w:cs="Times New Roman"/>
                <w:snapToGrid w:val="0"/>
                <w:color w:val="auto"/>
                <w:spacing w:val="-6"/>
                <w:kern w:val="21"/>
                <w:szCs w:val="21"/>
                <w:lang w:val="en-US" w:eastAsia="zh-CN"/>
              </w:rPr>
            </w:pPr>
            <w:r>
              <w:rPr>
                <w:rFonts w:hint="eastAsia" w:cs="Times New Roman"/>
                <w:snapToGrid w:val="0"/>
                <w:color w:val="auto"/>
                <w:spacing w:val="-6"/>
                <w:kern w:val="21"/>
                <w:szCs w:val="21"/>
                <w:lang w:val="en-US" w:eastAsia="zh-CN"/>
              </w:rPr>
              <w:t>/</w:t>
            </w:r>
          </w:p>
        </w:tc>
        <w:tc>
          <w:tcPr>
            <w:tcW w:w="1701" w:type="dxa"/>
            <w:vAlign w:val="center"/>
          </w:tcPr>
          <w:p w14:paraId="7B2EB712">
            <w:pPr>
              <w:spacing w:beforeLines="0" w:afterLines="0" w:line="260" w:lineRule="exact"/>
              <w:jc w:val="center"/>
              <w:rPr>
                <w:rFonts w:hint="default" w:ascii="Times New Roman" w:cs="Times New Roman"/>
                <w:snapToGrid w:val="0"/>
                <w:color w:val="auto"/>
                <w:spacing w:val="-6"/>
                <w:kern w:val="21"/>
                <w:szCs w:val="21"/>
                <w:lang w:val="en-US" w:eastAsia="zh-CN"/>
              </w:rPr>
            </w:pPr>
            <w:r>
              <w:rPr>
                <w:rFonts w:hint="eastAsia" w:cs="Times New Roman"/>
                <w:snapToGrid w:val="0"/>
                <w:color w:val="auto"/>
                <w:spacing w:val="-6"/>
                <w:kern w:val="21"/>
                <w:szCs w:val="21"/>
                <w:lang w:val="en-US" w:eastAsia="zh-CN"/>
              </w:rPr>
              <w:t>/</w:t>
            </w:r>
          </w:p>
        </w:tc>
        <w:tc>
          <w:tcPr>
            <w:tcW w:w="1559" w:type="dxa"/>
            <w:vAlign w:val="center"/>
          </w:tcPr>
          <w:p w14:paraId="0D9E7B42">
            <w:pPr>
              <w:pStyle w:val="61"/>
              <w:spacing w:beforeLines="0" w:afterLines="0" w:line="260" w:lineRule="exact"/>
              <w:jc w:val="center"/>
              <w:rPr>
                <w:rFonts w:hint="default" w:ascii="Times New Roman"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0.0003t/a</w:t>
            </w:r>
          </w:p>
        </w:tc>
        <w:tc>
          <w:tcPr>
            <w:tcW w:w="1521" w:type="dxa"/>
            <w:vAlign w:val="center"/>
          </w:tcPr>
          <w:p w14:paraId="2F61E8ED">
            <w:pPr>
              <w:spacing w:beforeLines="0" w:afterLines="0" w:line="260" w:lineRule="exact"/>
              <w:jc w:val="center"/>
              <w:rPr>
                <w:rFonts w:hint="default" w:ascii="Times New Roman" w:cs="Times New Roman"/>
                <w:snapToGrid w:val="0"/>
                <w:color w:val="auto"/>
                <w:spacing w:val="-6"/>
                <w:kern w:val="21"/>
                <w:szCs w:val="21"/>
                <w:lang w:val="en-US" w:eastAsia="zh-CN"/>
              </w:rPr>
            </w:pPr>
            <w:r>
              <w:rPr>
                <w:rFonts w:hint="eastAsia" w:cs="Times New Roman"/>
                <w:snapToGrid w:val="0"/>
                <w:color w:val="auto"/>
                <w:spacing w:val="-6"/>
                <w:kern w:val="21"/>
                <w:szCs w:val="21"/>
                <w:lang w:val="en-US" w:eastAsia="zh-CN"/>
              </w:rPr>
              <w:t>/</w:t>
            </w:r>
          </w:p>
        </w:tc>
        <w:tc>
          <w:tcPr>
            <w:tcW w:w="1985" w:type="dxa"/>
            <w:vAlign w:val="center"/>
          </w:tcPr>
          <w:p w14:paraId="746F0859">
            <w:pPr>
              <w:pStyle w:val="61"/>
              <w:spacing w:beforeLines="0" w:afterLines="0" w:line="260" w:lineRule="exact"/>
              <w:jc w:val="center"/>
              <w:rPr>
                <w:rFonts w:hint="default" w:ascii="Times New Roman"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0.0003t/a</w:t>
            </w:r>
          </w:p>
        </w:tc>
        <w:tc>
          <w:tcPr>
            <w:tcW w:w="1040" w:type="dxa"/>
            <w:vAlign w:val="center"/>
          </w:tcPr>
          <w:p w14:paraId="6514D1B7">
            <w:pPr>
              <w:pStyle w:val="61"/>
              <w:spacing w:beforeLines="0" w:afterLines="0" w:line="260" w:lineRule="exact"/>
              <w:jc w:val="center"/>
              <w:rPr>
                <w:rFonts w:hint="default" w:ascii="Times New Roman"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+0.0003t/a</w:t>
            </w:r>
          </w:p>
        </w:tc>
      </w:tr>
      <w:tr w14:paraId="68ED32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1588" w:type="dxa"/>
            <w:vMerge w:val="continue"/>
            <w:vAlign w:val="center"/>
          </w:tcPr>
          <w:p w14:paraId="51792F46">
            <w:pPr>
              <w:pStyle w:val="61"/>
              <w:spacing w:beforeLines="0" w:afterLines="0" w:line="260" w:lineRule="exact"/>
              <w:jc w:val="center"/>
              <w:rPr>
                <w:rFonts w:hint="default" w:ascii="Times New Roman" w:hAnsi="Times New Roman" w:eastAsia="宋体" w:cs="Times New Roman"/>
                <w:snapToGrid w:val="0"/>
                <w:color w:val="auto"/>
                <w:spacing w:val="-6"/>
                <w:kern w:val="21"/>
                <w:szCs w:val="21"/>
              </w:rPr>
            </w:pPr>
          </w:p>
        </w:tc>
        <w:tc>
          <w:tcPr>
            <w:tcW w:w="1417" w:type="dxa"/>
            <w:vAlign w:val="center"/>
          </w:tcPr>
          <w:p w14:paraId="126DAA65">
            <w:pPr>
              <w:pStyle w:val="61"/>
              <w:spacing w:beforeLines="0" w:afterLines="0" w:line="260" w:lineRule="exact"/>
              <w:jc w:val="center"/>
              <w:rPr>
                <w:rFonts w:hint="eastAsia" w:ascii="Times New Roman" w:hAnsi="Times New Roman" w:eastAsia="宋体" w:cs="Times New Roman"/>
                <w:snapToGrid w:val="0"/>
                <w:color w:val="auto"/>
                <w:spacing w:val="-6"/>
                <w:kern w:val="21"/>
                <w:szCs w:val="21"/>
                <w:lang w:eastAsia="zh-CN"/>
              </w:rPr>
            </w:pPr>
            <w:r>
              <w:rPr>
                <w:rFonts w:hint="eastAsia" w:ascii="Times New Roman" w:cs="Times New Roman"/>
                <w:snapToGrid w:val="0"/>
                <w:color w:val="auto"/>
                <w:spacing w:val="-6"/>
                <w:kern w:val="21"/>
                <w:szCs w:val="21"/>
                <w:lang w:val="en-US" w:eastAsia="zh-CN"/>
              </w:rPr>
              <w:t>颗粒物</w:t>
            </w:r>
          </w:p>
        </w:tc>
        <w:tc>
          <w:tcPr>
            <w:tcW w:w="1701" w:type="dxa"/>
            <w:vAlign w:val="center"/>
          </w:tcPr>
          <w:p w14:paraId="749FFEBF">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276" w:type="dxa"/>
            <w:vAlign w:val="center"/>
          </w:tcPr>
          <w:p w14:paraId="55D59065">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701" w:type="dxa"/>
            <w:vAlign w:val="center"/>
          </w:tcPr>
          <w:p w14:paraId="4063949E">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559" w:type="dxa"/>
            <w:vAlign w:val="center"/>
          </w:tcPr>
          <w:p w14:paraId="316E5C78">
            <w:pPr>
              <w:pStyle w:val="61"/>
              <w:spacing w:beforeLines="0" w:afterLines="0" w:line="260" w:lineRule="exact"/>
              <w:jc w:val="center"/>
              <w:rPr>
                <w:rFonts w:hint="default" w:ascii="Times New Roman" w:hAnsi="Times New Roman" w:eastAsia="宋体"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0.0005t/a</w:t>
            </w:r>
          </w:p>
        </w:tc>
        <w:tc>
          <w:tcPr>
            <w:tcW w:w="1521" w:type="dxa"/>
            <w:vAlign w:val="center"/>
          </w:tcPr>
          <w:p w14:paraId="43C1401A">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985" w:type="dxa"/>
            <w:vAlign w:val="center"/>
          </w:tcPr>
          <w:p w14:paraId="631D44FF">
            <w:pPr>
              <w:pStyle w:val="61"/>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0.0005t/a</w:t>
            </w:r>
          </w:p>
        </w:tc>
        <w:tc>
          <w:tcPr>
            <w:tcW w:w="1040" w:type="dxa"/>
            <w:vAlign w:val="center"/>
          </w:tcPr>
          <w:p w14:paraId="71AA8E91">
            <w:pPr>
              <w:pStyle w:val="61"/>
              <w:spacing w:beforeLines="0" w:afterLines="0" w:line="260" w:lineRule="exact"/>
              <w:jc w:val="center"/>
              <w:rPr>
                <w:rFonts w:hint="eastAsia" w:ascii="Times New Roman" w:hAnsi="Times New Roman" w:eastAsia="宋体"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+0.0005t/a</w:t>
            </w:r>
          </w:p>
        </w:tc>
      </w:tr>
      <w:tr w14:paraId="74A4FC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588" w:type="dxa"/>
            <w:vMerge w:val="restart"/>
            <w:vAlign w:val="center"/>
          </w:tcPr>
          <w:p w14:paraId="22F46A7C">
            <w:pPr>
              <w:pStyle w:val="61"/>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hAnsi="Times New Roman" w:eastAsia="宋体" w:cs="Times New Roman"/>
                <w:snapToGrid w:val="0"/>
                <w:color w:val="auto"/>
                <w:spacing w:val="-6"/>
                <w:kern w:val="21"/>
                <w:szCs w:val="21"/>
              </w:rPr>
              <w:t>废水</w:t>
            </w:r>
          </w:p>
        </w:tc>
        <w:tc>
          <w:tcPr>
            <w:tcW w:w="1417" w:type="dxa"/>
            <w:vAlign w:val="center"/>
          </w:tcPr>
          <w:p w14:paraId="6A1C1160">
            <w:pPr>
              <w:pStyle w:val="61"/>
              <w:spacing w:beforeLines="0" w:afterLines="0" w:line="260" w:lineRule="exact"/>
              <w:jc w:val="center"/>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rPr>
              <w:t>COD</w:t>
            </w:r>
          </w:p>
        </w:tc>
        <w:tc>
          <w:tcPr>
            <w:tcW w:w="1701" w:type="dxa"/>
            <w:vAlign w:val="center"/>
          </w:tcPr>
          <w:p w14:paraId="2CFE033E">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276" w:type="dxa"/>
            <w:vAlign w:val="center"/>
          </w:tcPr>
          <w:p w14:paraId="6D712A7D">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701" w:type="dxa"/>
            <w:vAlign w:val="center"/>
          </w:tcPr>
          <w:p w14:paraId="50CABD66">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559" w:type="dxa"/>
            <w:vAlign w:val="center"/>
          </w:tcPr>
          <w:p w14:paraId="1E72F1C0">
            <w:pPr>
              <w:pStyle w:val="61"/>
              <w:spacing w:beforeLines="0" w:afterLines="0" w:line="260" w:lineRule="exact"/>
              <w:jc w:val="center"/>
              <w:rPr>
                <w:rFonts w:hint="default" w:ascii="Times New Roman" w:hAnsi="Times New Roman" w:eastAsia="宋体"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0.54t/a</w:t>
            </w:r>
          </w:p>
        </w:tc>
        <w:tc>
          <w:tcPr>
            <w:tcW w:w="1521" w:type="dxa"/>
            <w:vAlign w:val="center"/>
          </w:tcPr>
          <w:p w14:paraId="2DF2FDAA">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985" w:type="dxa"/>
            <w:vAlign w:val="center"/>
          </w:tcPr>
          <w:p w14:paraId="67AB64A1">
            <w:pPr>
              <w:pStyle w:val="61"/>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0.54t/a</w:t>
            </w:r>
          </w:p>
        </w:tc>
        <w:tc>
          <w:tcPr>
            <w:tcW w:w="1040" w:type="dxa"/>
            <w:vAlign w:val="center"/>
          </w:tcPr>
          <w:p w14:paraId="1331C1AB">
            <w:pPr>
              <w:pStyle w:val="61"/>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+0.54t/a</w:t>
            </w:r>
          </w:p>
        </w:tc>
      </w:tr>
      <w:tr w14:paraId="53C1ED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2" w:hRule="atLeast"/>
          <w:jc w:val="center"/>
        </w:trPr>
        <w:tc>
          <w:tcPr>
            <w:tcW w:w="1588" w:type="dxa"/>
            <w:vMerge w:val="continue"/>
            <w:vAlign w:val="center"/>
          </w:tcPr>
          <w:p w14:paraId="113FE0C7">
            <w:pPr>
              <w:pStyle w:val="61"/>
              <w:spacing w:beforeLines="0" w:afterLines="0" w:line="260" w:lineRule="exact"/>
              <w:jc w:val="center"/>
              <w:rPr>
                <w:rFonts w:hint="default" w:ascii="Times New Roman" w:hAnsi="Times New Roman" w:eastAsia="宋体" w:cs="Times New Roman"/>
                <w:snapToGrid w:val="0"/>
                <w:color w:val="auto"/>
                <w:spacing w:val="-6"/>
                <w:kern w:val="21"/>
                <w:szCs w:val="21"/>
              </w:rPr>
            </w:pPr>
          </w:p>
        </w:tc>
        <w:tc>
          <w:tcPr>
            <w:tcW w:w="1417" w:type="dxa"/>
            <w:vAlign w:val="center"/>
          </w:tcPr>
          <w:p w14:paraId="46A867D0">
            <w:pPr>
              <w:pStyle w:val="61"/>
              <w:spacing w:beforeLines="0" w:afterLines="0" w:line="260" w:lineRule="exact"/>
              <w:jc w:val="center"/>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rPr>
              <w:t>NH</w:t>
            </w:r>
            <w:r>
              <w:rPr>
                <w:rFonts w:hint="default" w:ascii="Times New Roman" w:hAnsi="Times New Roman" w:eastAsia="宋体" w:cs="Times New Roman"/>
                <w:color w:val="auto"/>
                <w:vertAlign w:val="subscript"/>
                <w:lang w:eastAsia="zh-CN"/>
              </w:rPr>
              <w:t>3</w:t>
            </w:r>
            <w:r>
              <w:rPr>
                <w:rFonts w:hint="default" w:ascii="Times New Roman" w:hAnsi="Times New Roman" w:eastAsia="宋体" w:cs="Times New Roman"/>
                <w:color w:val="auto"/>
                <w:lang w:eastAsia="zh-CN"/>
              </w:rPr>
              <w:t>-N</w:t>
            </w:r>
          </w:p>
        </w:tc>
        <w:tc>
          <w:tcPr>
            <w:tcW w:w="1701" w:type="dxa"/>
            <w:vAlign w:val="center"/>
          </w:tcPr>
          <w:p w14:paraId="6E43B317">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276" w:type="dxa"/>
            <w:vAlign w:val="center"/>
          </w:tcPr>
          <w:p w14:paraId="6125B2F2">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701" w:type="dxa"/>
            <w:vAlign w:val="center"/>
          </w:tcPr>
          <w:p w14:paraId="3267ADB1">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559" w:type="dxa"/>
            <w:vAlign w:val="center"/>
          </w:tcPr>
          <w:p w14:paraId="6FA027E4">
            <w:pPr>
              <w:pStyle w:val="61"/>
              <w:spacing w:beforeLines="0" w:afterLines="0" w:line="260" w:lineRule="exact"/>
              <w:jc w:val="center"/>
              <w:rPr>
                <w:rFonts w:hint="default" w:ascii="Times New Roman" w:hAnsi="Times New Roman" w:eastAsia="宋体"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0.11t/a</w:t>
            </w:r>
          </w:p>
        </w:tc>
        <w:tc>
          <w:tcPr>
            <w:tcW w:w="1521" w:type="dxa"/>
            <w:vAlign w:val="center"/>
          </w:tcPr>
          <w:p w14:paraId="2AA8F6B9">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985" w:type="dxa"/>
            <w:vAlign w:val="center"/>
          </w:tcPr>
          <w:p w14:paraId="57DB7E81">
            <w:pPr>
              <w:pStyle w:val="61"/>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0.11t/a</w:t>
            </w:r>
          </w:p>
        </w:tc>
        <w:tc>
          <w:tcPr>
            <w:tcW w:w="1040" w:type="dxa"/>
            <w:vAlign w:val="center"/>
          </w:tcPr>
          <w:p w14:paraId="71E5CFFA">
            <w:pPr>
              <w:pStyle w:val="61"/>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+0.11t/a</w:t>
            </w:r>
          </w:p>
        </w:tc>
      </w:tr>
      <w:tr w14:paraId="6EAD34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1588" w:type="dxa"/>
            <w:vMerge w:val="continue"/>
            <w:vAlign w:val="center"/>
          </w:tcPr>
          <w:p w14:paraId="21F3AFC2">
            <w:pPr>
              <w:pStyle w:val="61"/>
              <w:spacing w:beforeLines="0" w:afterLines="0" w:line="260" w:lineRule="exact"/>
              <w:jc w:val="center"/>
              <w:rPr>
                <w:rFonts w:hint="default" w:ascii="Times New Roman" w:hAnsi="Times New Roman" w:eastAsia="宋体" w:cs="Times New Roman"/>
                <w:snapToGrid w:val="0"/>
                <w:color w:val="auto"/>
                <w:spacing w:val="-6"/>
                <w:kern w:val="21"/>
                <w:szCs w:val="21"/>
              </w:rPr>
            </w:pPr>
          </w:p>
        </w:tc>
        <w:tc>
          <w:tcPr>
            <w:tcW w:w="1417" w:type="dxa"/>
            <w:vAlign w:val="center"/>
          </w:tcPr>
          <w:p w14:paraId="38C941BD">
            <w:pPr>
              <w:pStyle w:val="61"/>
              <w:spacing w:beforeLines="0" w:afterLines="0" w:line="260" w:lineRule="exact"/>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TP</w:t>
            </w:r>
          </w:p>
        </w:tc>
        <w:tc>
          <w:tcPr>
            <w:tcW w:w="1701" w:type="dxa"/>
            <w:vAlign w:val="center"/>
          </w:tcPr>
          <w:p w14:paraId="7D7D9D3E">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276" w:type="dxa"/>
            <w:vAlign w:val="center"/>
          </w:tcPr>
          <w:p w14:paraId="3FA9CBDF">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701" w:type="dxa"/>
            <w:vAlign w:val="center"/>
          </w:tcPr>
          <w:p w14:paraId="727CA90D">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559" w:type="dxa"/>
            <w:vAlign w:val="center"/>
          </w:tcPr>
          <w:p w14:paraId="06AC96CE">
            <w:pPr>
              <w:pStyle w:val="61"/>
              <w:spacing w:beforeLines="0" w:afterLines="0" w:line="260" w:lineRule="exact"/>
              <w:jc w:val="center"/>
              <w:rPr>
                <w:rFonts w:hint="default" w:ascii="Times New Roman" w:hAnsi="Times New Roman" w:eastAsia="宋体"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0.01t/a</w:t>
            </w:r>
          </w:p>
        </w:tc>
        <w:tc>
          <w:tcPr>
            <w:tcW w:w="1521" w:type="dxa"/>
            <w:vAlign w:val="center"/>
          </w:tcPr>
          <w:p w14:paraId="2305A5AA">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985" w:type="dxa"/>
            <w:vAlign w:val="center"/>
          </w:tcPr>
          <w:p w14:paraId="16A94BE6">
            <w:pPr>
              <w:pStyle w:val="61"/>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0.01t/a</w:t>
            </w:r>
          </w:p>
        </w:tc>
        <w:tc>
          <w:tcPr>
            <w:tcW w:w="1040" w:type="dxa"/>
            <w:vAlign w:val="center"/>
          </w:tcPr>
          <w:p w14:paraId="52D67287">
            <w:pPr>
              <w:pStyle w:val="61"/>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+0.01t/a</w:t>
            </w:r>
          </w:p>
        </w:tc>
      </w:tr>
      <w:tr w14:paraId="3DB17E3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1588" w:type="dxa"/>
            <w:vMerge w:val="restart"/>
            <w:vAlign w:val="center"/>
          </w:tcPr>
          <w:p w14:paraId="4A2F0C67">
            <w:pPr>
              <w:pStyle w:val="61"/>
              <w:spacing w:beforeLines="0" w:afterLines="0" w:line="260" w:lineRule="exact"/>
              <w:jc w:val="center"/>
              <w:rPr>
                <w:rFonts w:hint="default" w:ascii="Times New Roman" w:hAnsi="Times New Roman" w:eastAsia="宋体"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生活垃圾</w:t>
            </w:r>
          </w:p>
        </w:tc>
        <w:tc>
          <w:tcPr>
            <w:tcW w:w="1417" w:type="dxa"/>
            <w:vAlign w:val="center"/>
          </w:tcPr>
          <w:p w14:paraId="708D21A9">
            <w:pPr>
              <w:pStyle w:val="61"/>
              <w:spacing w:beforeLines="0" w:afterLines="0" w:line="260" w:lineRule="exact"/>
              <w:jc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生活垃圾</w:t>
            </w:r>
          </w:p>
        </w:tc>
        <w:tc>
          <w:tcPr>
            <w:tcW w:w="1701" w:type="dxa"/>
            <w:vAlign w:val="center"/>
          </w:tcPr>
          <w:p w14:paraId="2878EFD3">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276" w:type="dxa"/>
            <w:vAlign w:val="center"/>
          </w:tcPr>
          <w:p w14:paraId="0959929D">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701" w:type="dxa"/>
            <w:vAlign w:val="center"/>
          </w:tcPr>
          <w:p w14:paraId="35F3042E">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559" w:type="dxa"/>
            <w:vAlign w:val="center"/>
          </w:tcPr>
          <w:p w14:paraId="01164E23">
            <w:pPr>
              <w:pStyle w:val="61"/>
              <w:spacing w:beforeLines="0" w:afterLines="0" w:line="260" w:lineRule="exact"/>
              <w:jc w:val="center"/>
              <w:rPr>
                <w:rFonts w:hint="default" w:ascii="Times New Roman"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2.4t/a</w:t>
            </w:r>
          </w:p>
        </w:tc>
        <w:tc>
          <w:tcPr>
            <w:tcW w:w="1521" w:type="dxa"/>
            <w:vAlign w:val="center"/>
          </w:tcPr>
          <w:p w14:paraId="0C009207">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985" w:type="dxa"/>
            <w:vAlign w:val="center"/>
          </w:tcPr>
          <w:p w14:paraId="641B52A1">
            <w:pPr>
              <w:pStyle w:val="61"/>
              <w:spacing w:beforeLines="0" w:afterLines="0" w:line="260" w:lineRule="exact"/>
              <w:jc w:val="center"/>
              <w:rPr>
                <w:rFonts w:hint="eastAsia" w:ascii="Times New Roman"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2.4t/a</w:t>
            </w:r>
          </w:p>
        </w:tc>
        <w:tc>
          <w:tcPr>
            <w:tcW w:w="1040" w:type="dxa"/>
            <w:vAlign w:val="center"/>
          </w:tcPr>
          <w:p w14:paraId="157CC3EB">
            <w:pPr>
              <w:pStyle w:val="61"/>
              <w:spacing w:beforeLines="0" w:afterLines="0" w:line="260" w:lineRule="exact"/>
              <w:jc w:val="center"/>
              <w:rPr>
                <w:rFonts w:hint="default" w:ascii="Times New Roman"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+2.4t/a</w:t>
            </w:r>
          </w:p>
        </w:tc>
      </w:tr>
      <w:tr w14:paraId="47B189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1588" w:type="dxa"/>
            <w:vMerge w:val="continue"/>
            <w:vAlign w:val="center"/>
          </w:tcPr>
          <w:p w14:paraId="651536EC">
            <w:pPr>
              <w:pStyle w:val="61"/>
              <w:spacing w:beforeLines="0" w:afterLines="0" w:line="260" w:lineRule="exact"/>
              <w:jc w:val="center"/>
              <w:rPr>
                <w:rFonts w:hint="eastAsia" w:ascii="Times New Roman" w:cs="Times New Roman"/>
                <w:snapToGrid w:val="0"/>
                <w:color w:val="auto"/>
                <w:spacing w:val="-6"/>
                <w:kern w:val="21"/>
                <w:szCs w:val="21"/>
                <w:lang w:val="en-US" w:eastAsia="zh-CN"/>
              </w:rPr>
            </w:pPr>
          </w:p>
        </w:tc>
        <w:tc>
          <w:tcPr>
            <w:tcW w:w="1417" w:type="dxa"/>
            <w:vAlign w:val="center"/>
          </w:tcPr>
          <w:p w14:paraId="384EDF52">
            <w:pPr>
              <w:pStyle w:val="61"/>
              <w:spacing w:beforeLines="0" w:afterLines="0" w:line="260" w:lineRule="exact"/>
              <w:jc w:val="center"/>
              <w:rPr>
                <w:rFonts w:hint="default" w:ascii="Times New Roman" w:hAnsi="Times New Roman" w:eastAsia="宋体" w:cs="Times New Roman"/>
                <w:color w:val="auto"/>
                <w:lang w:val="en-US" w:eastAsia="zh-CN"/>
              </w:rPr>
            </w:pPr>
            <w:r>
              <w:rPr>
                <w:rFonts w:hint="eastAsia" w:ascii="Times New Roman" w:cs="Times New Roman"/>
                <w:color w:val="auto"/>
                <w:lang w:val="en-US" w:eastAsia="zh-CN"/>
              </w:rPr>
              <w:t>预处理池污泥</w:t>
            </w:r>
          </w:p>
        </w:tc>
        <w:tc>
          <w:tcPr>
            <w:tcW w:w="1701" w:type="dxa"/>
            <w:vAlign w:val="center"/>
          </w:tcPr>
          <w:p w14:paraId="723C60C6">
            <w:pPr>
              <w:spacing w:beforeLines="0" w:afterLines="0" w:line="260" w:lineRule="exact"/>
              <w:jc w:val="center"/>
              <w:rPr>
                <w:rFonts w:hint="default" w:ascii="Times New Roman" w:cs="Times New Roman"/>
                <w:snapToGrid w:val="0"/>
                <w:color w:val="auto"/>
                <w:spacing w:val="-6"/>
                <w:kern w:val="21"/>
                <w:szCs w:val="21"/>
                <w:lang w:val="en-US" w:eastAsia="zh-CN"/>
              </w:rPr>
            </w:pPr>
            <w:r>
              <w:rPr>
                <w:rFonts w:hint="eastAsia" w:cs="Times New Roman"/>
                <w:snapToGrid w:val="0"/>
                <w:color w:val="auto"/>
                <w:spacing w:val="-6"/>
                <w:kern w:val="21"/>
                <w:szCs w:val="21"/>
                <w:lang w:val="en-US" w:eastAsia="zh-CN"/>
              </w:rPr>
              <w:t>/</w:t>
            </w:r>
          </w:p>
        </w:tc>
        <w:tc>
          <w:tcPr>
            <w:tcW w:w="1276" w:type="dxa"/>
            <w:vAlign w:val="center"/>
          </w:tcPr>
          <w:p w14:paraId="3B603B5F">
            <w:pPr>
              <w:spacing w:beforeLines="0" w:afterLines="0" w:line="260" w:lineRule="exact"/>
              <w:jc w:val="center"/>
              <w:rPr>
                <w:rFonts w:hint="default" w:ascii="Times New Roman" w:cs="Times New Roman"/>
                <w:snapToGrid w:val="0"/>
                <w:color w:val="auto"/>
                <w:spacing w:val="-6"/>
                <w:kern w:val="21"/>
                <w:szCs w:val="21"/>
                <w:lang w:val="en-US" w:eastAsia="zh-CN"/>
              </w:rPr>
            </w:pPr>
            <w:r>
              <w:rPr>
                <w:rFonts w:hint="eastAsia" w:cs="Times New Roman"/>
                <w:snapToGrid w:val="0"/>
                <w:color w:val="auto"/>
                <w:spacing w:val="-6"/>
                <w:kern w:val="21"/>
                <w:szCs w:val="21"/>
                <w:lang w:val="en-US" w:eastAsia="zh-CN"/>
              </w:rPr>
              <w:t>/</w:t>
            </w:r>
          </w:p>
        </w:tc>
        <w:tc>
          <w:tcPr>
            <w:tcW w:w="1701" w:type="dxa"/>
            <w:vAlign w:val="center"/>
          </w:tcPr>
          <w:p w14:paraId="333C958D">
            <w:pPr>
              <w:spacing w:beforeLines="0" w:afterLines="0" w:line="260" w:lineRule="exact"/>
              <w:jc w:val="center"/>
              <w:rPr>
                <w:rFonts w:hint="default" w:ascii="Times New Roman" w:cs="Times New Roman"/>
                <w:snapToGrid w:val="0"/>
                <w:color w:val="auto"/>
                <w:spacing w:val="-6"/>
                <w:kern w:val="21"/>
                <w:szCs w:val="21"/>
                <w:lang w:val="en-US" w:eastAsia="zh-CN"/>
              </w:rPr>
            </w:pPr>
            <w:r>
              <w:rPr>
                <w:rFonts w:hint="eastAsia" w:cs="Times New Roman"/>
                <w:snapToGrid w:val="0"/>
                <w:color w:val="auto"/>
                <w:spacing w:val="-6"/>
                <w:kern w:val="21"/>
                <w:szCs w:val="21"/>
                <w:lang w:val="en-US" w:eastAsia="zh-CN"/>
              </w:rPr>
              <w:t>/</w:t>
            </w:r>
          </w:p>
        </w:tc>
        <w:tc>
          <w:tcPr>
            <w:tcW w:w="1559" w:type="dxa"/>
            <w:vAlign w:val="center"/>
          </w:tcPr>
          <w:p w14:paraId="00ED37F1">
            <w:pPr>
              <w:pStyle w:val="61"/>
              <w:spacing w:beforeLines="0" w:afterLines="0" w:line="260" w:lineRule="exact"/>
              <w:jc w:val="center"/>
              <w:rPr>
                <w:rFonts w:hint="default" w:ascii="Times New Roman"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0.6t/a</w:t>
            </w:r>
          </w:p>
        </w:tc>
        <w:tc>
          <w:tcPr>
            <w:tcW w:w="1521" w:type="dxa"/>
            <w:vAlign w:val="center"/>
          </w:tcPr>
          <w:p w14:paraId="0817C6E5">
            <w:pPr>
              <w:spacing w:beforeLines="0" w:afterLines="0" w:line="260" w:lineRule="exact"/>
              <w:jc w:val="center"/>
              <w:rPr>
                <w:rFonts w:hint="default" w:ascii="Times New Roman" w:cs="Times New Roman"/>
                <w:snapToGrid w:val="0"/>
                <w:color w:val="auto"/>
                <w:spacing w:val="-6"/>
                <w:kern w:val="21"/>
                <w:szCs w:val="21"/>
                <w:lang w:val="en-US" w:eastAsia="zh-CN"/>
              </w:rPr>
            </w:pPr>
            <w:r>
              <w:rPr>
                <w:rFonts w:hint="eastAsia" w:cs="Times New Roman"/>
                <w:snapToGrid w:val="0"/>
                <w:color w:val="auto"/>
                <w:spacing w:val="-6"/>
                <w:kern w:val="21"/>
                <w:szCs w:val="21"/>
                <w:lang w:val="en-US" w:eastAsia="zh-CN"/>
              </w:rPr>
              <w:t>/</w:t>
            </w:r>
          </w:p>
        </w:tc>
        <w:tc>
          <w:tcPr>
            <w:tcW w:w="1985" w:type="dxa"/>
            <w:vAlign w:val="center"/>
          </w:tcPr>
          <w:p w14:paraId="0A9A8063">
            <w:pPr>
              <w:pStyle w:val="61"/>
              <w:spacing w:beforeLines="0" w:afterLines="0" w:line="260" w:lineRule="exact"/>
              <w:jc w:val="center"/>
              <w:rPr>
                <w:rFonts w:hint="default" w:ascii="Times New Roman"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0.6t/a</w:t>
            </w:r>
          </w:p>
        </w:tc>
        <w:tc>
          <w:tcPr>
            <w:tcW w:w="1040" w:type="dxa"/>
            <w:vAlign w:val="center"/>
          </w:tcPr>
          <w:p w14:paraId="1F1E7468">
            <w:pPr>
              <w:pStyle w:val="61"/>
              <w:spacing w:beforeLines="0" w:afterLines="0" w:line="260" w:lineRule="exact"/>
              <w:jc w:val="center"/>
              <w:rPr>
                <w:rFonts w:hint="default" w:ascii="Times New Roman"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+0.6t/a</w:t>
            </w:r>
          </w:p>
        </w:tc>
      </w:tr>
      <w:tr w14:paraId="216066C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1588" w:type="dxa"/>
            <w:vMerge w:val="restart"/>
            <w:vAlign w:val="center"/>
          </w:tcPr>
          <w:p w14:paraId="17A8708D">
            <w:pPr>
              <w:pStyle w:val="61"/>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hAnsi="Times New Roman" w:eastAsia="宋体" w:cs="Times New Roman"/>
                <w:snapToGrid w:val="0"/>
                <w:color w:val="auto"/>
                <w:spacing w:val="-6"/>
                <w:kern w:val="21"/>
                <w:szCs w:val="21"/>
              </w:rPr>
              <w:t>一般固体废物</w:t>
            </w:r>
          </w:p>
        </w:tc>
        <w:tc>
          <w:tcPr>
            <w:tcW w:w="1417" w:type="dxa"/>
            <w:vAlign w:val="center"/>
          </w:tcPr>
          <w:p w14:paraId="6B3AD48C">
            <w:pPr>
              <w:pStyle w:val="61"/>
              <w:spacing w:beforeLines="0" w:afterLines="0" w:line="260" w:lineRule="exact"/>
              <w:jc w:val="center"/>
              <w:rPr>
                <w:rFonts w:hint="default" w:ascii="Times New Roman" w:hAnsi="Times New Roman" w:eastAsia="宋体"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除尘器收集粉尘</w:t>
            </w:r>
          </w:p>
        </w:tc>
        <w:tc>
          <w:tcPr>
            <w:tcW w:w="1701" w:type="dxa"/>
            <w:vAlign w:val="center"/>
          </w:tcPr>
          <w:p w14:paraId="55D9BCF0">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276" w:type="dxa"/>
            <w:vAlign w:val="center"/>
          </w:tcPr>
          <w:p w14:paraId="49E1116D">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701" w:type="dxa"/>
            <w:vAlign w:val="center"/>
          </w:tcPr>
          <w:p w14:paraId="78AD56B3">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559" w:type="dxa"/>
            <w:vAlign w:val="center"/>
          </w:tcPr>
          <w:p w14:paraId="5C93DA91">
            <w:pPr>
              <w:pStyle w:val="61"/>
              <w:spacing w:beforeLines="0" w:afterLines="0" w:line="260" w:lineRule="exact"/>
              <w:jc w:val="center"/>
              <w:rPr>
                <w:rFonts w:hint="default" w:ascii="Times New Roman" w:hAnsi="Times New Roman" w:eastAsia="宋体"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0.07t/a</w:t>
            </w:r>
          </w:p>
        </w:tc>
        <w:tc>
          <w:tcPr>
            <w:tcW w:w="1521" w:type="dxa"/>
            <w:vAlign w:val="center"/>
          </w:tcPr>
          <w:p w14:paraId="43592FCE">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985" w:type="dxa"/>
            <w:vAlign w:val="center"/>
          </w:tcPr>
          <w:p w14:paraId="1C0E800F">
            <w:pPr>
              <w:pStyle w:val="61"/>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0.07t/a</w:t>
            </w:r>
          </w:p>
        </w:tc>
        <w:tc>
          <w:tcPr>
            <w:tcW w:w="1040" w:type="dxa"/>
            <w:vAlign w:val="center"/>
          </w:tcPr>
          <w:p w14:paraId="12DF80CE">
            <w:pPr>
              <w:pStyle w:val="61"/>
              <w:spacing w:beforeLines="0" w:afterLines="0" w:line="260" w:lineRule="exact"/>
              <w:jc w:val="center"/>
              <w:rPr>
                <w:rFonts w:hint="eastAsia" w:ascii="Times New Roman" w:hAnsi="Times New Roman" w:eastAsia="宋体"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+0.07t/a</w:t>
            </w:r>
          </w:p>
        </w:tc>
      </w:tr>
      <w:tr w14:paraId="0D52505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1588" w:type="dxa"/>
            <w:vMerge w:val="continue"/>
            <w:vAlign w:val="center"/>
          </w:tcPr>
          <w:p w14:paraId="48F138A7">
            <w:pPr>
              <w:pStyle w:val="61"/>
              <w:spacing w:beforeLines="0" w:afterLines="0" w:line="260" w:lineRule="exact"/>
              <w:jc w:val="center"/>
              <w:rPr>
                <w:rFonts w:hint="eastAsia" w:ascii="Times New Roman" w:hAnsi="Times New Roman" w:eastAsia="宋体" w:cs="Times New Roman"/>
                <w:snapToGrid w:val="0"/>
                <w:color w:val="auto"/>
                <w:spacing w:val="-6"/>
                <w:kern w:val="21"/>
                <w:szCs w:val="21"/>
              </w:rPr>
            </w:pPr>
          </w:p>
        </w:tc>
        <w:tc>
          <w:tcPr>
            <w:tcW w:w="1417" w:type="dxa"/>
            <w:vAlign w:val="center"/>
          </w:tcPr>
          <w:p w14:paraId="111D01A9">
            <w:pPr>
              <w:autoSpaceDE w:val="0"/>
              <w:autoSpaceDN w:val="0"/>
              <w:adjustRightInd w:val="0"/>
              <w:snapToGrid w:val="0"/>
              <w:jc w:val="center"/>
              <w:rPr>
                <w:rFonts w:hint="eastAsia" w:ascii="Times New Roman" w:cs="Times New Roman"/>
                <w:snapToGrid w:val="0"/>
                <w:color w:val="auto"/>
                <w:spacing w:val="-6"/>
                <w:kern w:val="21"/>
                <w:szCs w:val="21"/>
                <w:lang w:val="en-US" w:eastAsia="zh-CN"/>
              </w:rPr>
            </w:pPr>
            <w:r>
              <w:rPr>
                <w:rFonts w:hint="eastAsia" w:ascii="Times New Roman" w:hAnsi="Times New Roman" w:eastAsia="宋体" w:cs="Times New Roman"/>
                <w:color w:val="auto"/>
                <w:kern w:val="0"/>
                <w:sz w:val="21"/>
                <w:szCs w:val="21"/>
                <w:lang w:val="en-US" w:eastAsia="zh-CN"/>
              </w:rPr>
              <w:t>废隔膜、废极片</w:t>
            </w:r>
          </w:p>
        </w:tc>
        <w:tc>
          <w:tcPr>
            <w:tcW w:w="1701" w:type="dxa"/>
            <w:vAlign w:val="center"/>
          </w:tcPr>
          <w:p w14:paraId="0655AB54">
            <w:pPr>
              <w:spacing w:beforeLines="0" w:afterLines="0" w:line="260" w:lineRule="exact"/>
              <w:jc w:val="center"/>
              <w:rPr>
                <w:rFonts w:hint="eastAsia" w:ascii="Times New Roman"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w:t>
            </w:r>
          </w:p>
        </w:tc>
        <w:tc>
          <w:tcPr>
            <w:tcW w:w="1276" w:type="dxa"/>
            <w:vAlign w:val="center"/>
          </w:tcPr>
          <w:p w14:paraId="58E55E4D">
            <w:pPr>
              <w:spacing w:beforeLines="0" w:afterLines="0" w:line="260" w:lineRule="exact"/>
              <w:jc w:val="center"/>
              <w:rPr>
                <w:rFonts w:hint="eastAsia" w:ascii="Times New Roman"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w:t>
            </w:r>
          </w:p>
        </w:tc>
        <w:tc>
          <w:tcPr>
            <w:tcW w:w="1701" w:type="dxa"/>
            <w:vAlign w:val="center"/>
          </w:tcPr>
          <w:p w14:paraId="3787E800">
            <w:pPr>
              <w:spacing w:beforeLines="0" w:afterLines="0" w:line="260" w:lineRule="exact"/>
              <w:jc w:val="center"/>
              <w:rPr>
                <w:rFonts w:hint="eastAsia" w:ascii="Times New Roman"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w:t>
            </w:r>
          </w:p>
        </w:tc>
        <w:tc>
          <w:tcPr>
            <w:tcW w:w="1559" w:type="dxa"/>
            <w:vAlign w:val="center"/>
          </w:tcPr>
          <w:p w14:paraId="46840B61">
            <w:pPr>
              <w:pStyle w:val="61"/>
              <w:spacing w:beforeLines="0" w:afterLines="0" w:line="260" w:lineRule="exact"/>
              <w:jc w:val="center"/>
              <w:rPr>
                <w:rFonts w:hint="default" w:ascii="Times New Roman" w:hAnsi="Times New Roman" w:cs="Times New Roman"/>
                <w:color w:val="auto"/>
                <w:kern w:val="0"/>
                <w:sz w:val="21"/>
                <w:szCs w:val="21"/>
                <w:shd w:val="clear"/>
                <w:lang w:val="en-US" w:eastAsia="zh-CN"/>
              </w:rPr>
            </w:pPr>
            <w:r>
              <w:rPr>
                <w:rFonts w:hint="eastAsia" w:ascii="Times New Roman" w:hAnsi="Times New Roman" w:cs="Times New Roman"/>
                <w:color w:val="auto"/>
                <w:kern w:val="0"/>
                <w:sz w:val="21"/>
                <w:szCs w:val="21"/>
                <w:shd w:val="clear"/>
                <w:lang w:val="en-US" w:eastAsia="zh-CN"/>
              </w:rPr>
              <w:t>0.</w:t>
            </w:r>
            <w:r>
              <w:rPr>
                <w:rFonts w:hint="eastAsia" w:ascii="Times New Roman" w:cs="Times New Roman"/>
                <w:color w:val="auto"/>
                <w:kern w:val="0"/>
                <w:sz w:val="21"/>
                <w:szCs w:val="21"/>
                <w:shd w:val="clear"/>
                <w:lang w:val="en-US" w:eastAsia="zh-CN"/>
              </w:rPr>
              <w:t>565t/a</w:t>
            </w:r>
          </w:p>
        </w:tc>
        <w:tc>
          <w:tcPr>
            <w:tcW w:w="1521" w:type="dxa"/>
            <w:vAlign w:val="center"/>
          </w:tcPr>
          <w:p w14:paraId="0689D9AB">
            <w:pPr>
              <w:spacing w:beforeLines="0" w:afterLines="0" w:line="260" w:lineRule="exact"/>
              <w:jc w:val="center"/>
              <w:rPr>
                <w:rFonts w:hint="eastAsia" w:ascii="Times New Roman"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w:t>
            </w:r>
          </w:p>
        </w:tc>
        <w:tc>
          <w:tcPr>
            <w:tcW w:w="1985" w:type="dxa"/>
            <w:vAlign w:val="center"/>
          </w:tcPr>
          <w:p w14:paraId="1E701B2A">
            <w:pPr>
              <w:pStyle w:val="61"/>
              <w:spacing w:beforeLines="0" w:afterLines="0" w:line="260" w:lineRule="exact"/>
              <w:jc w:val="center"/>
              <w:rPr>
                <w:rFonts w:hint="eastAsia" w:ascii="Times New Roman" w:cs="Times New Roman"/>
                <w:snapToGrid w:val="0"/>
                <w:color w:val="auto"/>
                <w:spacing w:val="-6"/>
                <w:kern w:val="21"/>
                <w:szCs w:val="21"/>
                <w:lang w:val="en-US" w:eastAsia="zh-CN"/>
              </w:rPr>
            </w:pPr>
            <w:r>
              <w:rPr>
                <w:rFonts w:hint="eastAsia" w:ascii="Times New Roman" w:hAnsi="Times New Roman" w:cs="Times New Roman"/>
                <w:color w:val="auto"/>
                <w:kern w:val="0"/>
                <w:sz w:val="21"/>
                <w:szCs w:val="21"/>
                <w:shd w:val="clear"/>
                <w:lang w:val="en-US" w:eastAsia="zh-CN"/>
              </w:rPr>
              <w:t>0.</w:t>
            </w:r>
            <w:r>
              <w:rPr>
                <w:rFonts w:hint="eastAsia" w:ascii="Times New Roman" w:cs="Times New Roman"/>
                <w:color w:val="auto"/>
                <w:kern w:val="0"/>
                <w:sz w:val="21"/>
                <w:szCs w:val="21"/>
                <w:shd w:val="clear"/>
                <w:lang w:val="en-US" w:eastAsia="zh-CN"/>
              </w:rPr>
              <w:t>565t/a</w:t>
            </w:r>
          </w:p>
        </w:tc>
        <w:tc>
          <w:tcPr>
            <w:tcW w:w="1040" w:type="dxa"/>
            <w:vAlign w:val="center"/>
          </w:tcPr>
          <w:p w14:paraId="6345DB55">
            <w:pPr>
              <w:pStyle w:val="61"/>
              <w:spacing w:beforeLines="0" w:afterLines="0" w:line="260" w:lineRule="exact"/>
              <w:jc w:val="center"/>
              <w:rPr>
                <w:rFonts w:hint="eastAsia" w:ascii="Times New Roman" w:cs="Times New Roman"/>
                <w:snapToGrid w:val="0"/>
                <w:color w:val="auto"/>
                <w:spacing w:val="-6"/>
                <w:kern w:val="21"/>
                <w:szCs w:val="21"/>
                <w:lang w:val="en-US" w:eastAsia="zh-CN"/>
              </w:rPr>
            </w:pPr>
            <w:r>
              <w:rPr>
                <w:rFonts w:hint="eastAsia" w:ascii="Times New Roman" w:cs="Times New Roman"/>
                <w:color w:val="auto"/>
                <w:kern w:val="0"/>
                <w:sz w:val="21"/>
                <w:szCs w:val="21"/>
                <w:shd w:val="clear"/>
                <w:lang w:val="en-US" w:eastAsia="zh-CN"/>
              </w:rPr>
              <w:t>+</w:t>
            </w:r>
            <w:r>
              <w:rPr>
                <w:rFonts w:hint="eastAsia" w:ascii="Times New Roman" w:hAnsi="Times New Roman" w:cs="Times New Roman"/>
                <w:color w:val="auto"/>
                <w:kern w:val="0"/>
                <w:sz w:val="21"/>
                <w:szCs w:val="21"/>
                <w:shd w:val="clear"/>
                <w:lang w:val="en-US" w:eastAsia="zh-CN"/>
              </w:rPr>
              <w:t>0.</w:t>
            </w:r>
            <w:r>
              <w:rPr>
                <w:rFonts w:hint="eastAsia" w:ascii="Times New Roman" w:cs="Times New Roman"/>
                <w:color w:val="auto"/>
                <w:kern w:val="0"/>
                <w:sz w:val="21"/>
                <w:szCs w:val="21"/>
                <w:shd w:val="clear"/>
                <w:lang w:val="en-US" w:eastAsia="zh-CN"/>
              </w:rPr>
              <w:t>565t/a</w:t>
            </w:r>
          </w:p>
        </w:tc>
      </w:tr>
      <w:tr w14:paraId="514838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1588" w:type="dxa"/>
            <w:vMerge w:val="continue"/>
            <w:vAlign w:val="center"/>
          </w:tcPr>
          <w:p w14:paraId="665C123B">
            <w:pPr>
              <w:pStyle w:val="61"/>
              <w:spacing w:beforeLines="0" w:afterLines="0" w:line="260" w:lineRule="exact"/>
              <w:jc w:val="center"/>
              <w:rPr>
                <w:rFonts w:hint="eastAsia" w:ascii="Times New Roman" w:hAnsi="Times New Roman" w:eastAsia="宋体" w:cs="Times New Roman"/>
                <w:snapToGrid w:val="0"/>
                <w:color w:val="auto"/>
                <w:spacing w:val="-6"/>
                <w:kern w:val="21"/>
                <w:szCs w:val="21"/>
              </w:rPr>
            </w:pPr>
          </w:p>
        </w:tc>
        <w:tc>
          <w:tcPr>
            <w:tcW w:w="1417" w:type="dxa"/>
            <w:vAlign w:val="center"/>
          </w:tcPr>
          <w:p w14:paraId="1A2CEFFE">
            <w:pPr>
              <w:autoSpaceDE w:val="0"/>
              <w:autoSpaceDN w:val="0"/>
              <w:adjustRightInd w:val="0"/>
              <w:snapToGrid w:val="0"/>
              <w:jc w:val="center"/>
              <w:rPr>
                <w:rFonts w:hint="eastAsia" w:ascii="Times New Roman" w:cs="Times New Roman"/>
                <w:snapToGrid w:val="0"/>
                <w:color w:val="auto"/>
                <w:spacing w:val="-6"/>
                <w:kern w:val="21"/>
                <w:szCs w:val="21"/>
                <w:lang w:val="en-US" w:eastAsia="zh-CN"/>
              </w:rPr>
            </w:pPr>
            <w:r>
              <w:rPr>
                <w:rFonts w:hint="eastAsia" w:ascii="Times New Roman" w:hAnsi="Times New Roman" w:eastAsia="宋体" w:cs="Times New Roman"/>
                <w:color w:val="auto"/>
                <w:kern w:val="0"/>
                <w:sz w:val="21"/>
                <w:szCs w:val="21"/>
                <w:lang w:val="en-US" w:eastAsia="zh-CN"/>
              </w:rPr>
              <w:t>沾染浆料的废手套</w:t>
            </w:r>
          </w:p>
        </w:tc>
        <w:tc>
          <w:tcPr>
            <w:tcW w:w="1701" w:type="dxa"/>
            <w:vAlign w:val="center"/>
          </w:tcPr>
          <w:p w14:paraId="4D4EB63A">
            <w:pPr>
              <w:spacing w:beforeLines="0" w:afterLines="0" w:line="260" w:lineRule="exact"/>
              <w:jc w:val="center"/>
              <w:rPr>
                <w:rFonts w:hint="eastAsia" w:ascii="Times New Roman"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w:t>
            </w:r>
          </w:p>
        </w:tc>
        <w:tc>
          <w:tcPr>
            <w:tcW w:w="1276" w:type="dxa"/>
            <w:vAlign w:val="center"/>
          </w:tcPr>
          <w:p w14:paraId="0E34CAC4">
            <w:pPr>
              <w:spacing w:beforeLines="0" w:afterLines="0" w:line="260" w:lineRule="exact"/>
              <w:jc w:val="center"/>
              <w:rPr>
                <w:rFonts w:hint="eastAsia" w:ascii="Times New Roman"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w:t>
            </w:r>
          </w:p>
        </w:tc>
        <w:tc>
          <w:tcPr>
            <w:tcW w:w="1701" w:type="dxa"/>
            <w:vAlign w:val="center"/>
          </w:tcPr>
          <w:p w14:paraId="1F350371">
            <w:pPr>
              <w:spacing w:beforeLines="0" w:afterLines="0" w:line="260" w:lineRule="exact"/>
              <w:jc w:val="center"/>
              <w:rPr>
                <w:rFonts w:hint="eastAsia" w:ascii="Times New Roman"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w:t>
            </w:r>
          </w:p>
        </w:tc>
        <w:tc>
          <w:tcPr>
            <w:tcW w:w="1559" w:type="dxa"/>
            <w:vAlign w:val="center"/>
          </w:tcPr>
          <w:p w14:paraId="08B79C87">
            <w:pPr>
              <w:pStyle w:val="61"/>
              <w:spacing w:beforeLines="0" w:afterLines="0" w:line="260" w:lineRule="exact"/>
              <w:jc w:val="center"/>
              <w:rPr>
                <w:rFonts w:hint="eastAsia" w:ascii="Times New Roman" w:hAnsi="Times New Roman" w:cs="Times New Roman"/>
                <w:color w:val="auto"/>
                <w:kern w:val="0"/>
                <w:sz w:val="21"/>
                <w:szCs w:val="21"/>
                <w:shd w:val="clear"/>
                <w:lang w:val="en-US" w:eastAsia="zh-CN"/>
              </w:rPr>
            </w:pPr>
            <w:r>
              <w:rPr>
                <w:rFonts w:hint="eastAsia" w:ascii="Times New Roman" w:hAnsi="Times New Roman" w:cs="Times New Roman"/>
                <w:color w:val="auto"/>
                <w:kern w:val="0"/>
                <w:sz w:val="21"/>
                <w:szCs w:val="21"/>
                <w:shd w:val="clear"/>
                <w:lang w:val="en-US" w:eastAsia="zh-CN"/>
              </w:rPr>
              <w:t>1</w:t>
            </w:r>
            <w:r>
              <w:rPr>
                <w:rFonts w:hint="eastAsia" w:ascii="Times New Roman" w:cs="Times New Roman"/>
                <w:color w:val="auto"/>
                <w:kern w:val="0"/>
                <w:sz w:val="21"/>
                <w:szCs w:val="21"/>
                <w:shd w:val="clear"/>
                <w:lang w:val="en-US" w:eastAsia="zh-CN"/>
              </w:rPr>
              <w:t>t/a</w:t>
            </w:r>
          </w:p>
        </w:tc>
        <w:tc>
          <w:tcPr>
            <w:tcW w:w="1521" w:type="dxa"/>
            <w:vAlign w:val="center"/>
          </w:tcPr>
          <w:p w14:paraId="1EB38E4A">
            <w:pPr>
              <w:spacing w:beforeLines="0" w:afterLines="0" w:line="260" w:lineRule="exact"/>
              <w:jc w:val="center"/>
              <w:rPr>
                <w:rFonts w:hint="eastAsia" w:ascii="Times New Roman"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w:t>
            </w:r>
          </w:p>
        </w:tc>
        <w:tc>
          <w:tcPr>
            <w:tcW w:w="1985" w:type="dxa"/>
            <w:vAlign w:val="center"/>
          </w:tcPr>
          <w:p w14:paraId="28147DAE">
            <w:pPr>
              <w:pStyle w:val="61"/>
              <w:spacing w:beforeLines="0" w:afterLines="0" w:line="260" w:lineRule="exact"/>
              <w:jc w:val="center"/>
              <w:rPr>
                <w:rFonts w:hint="eastAsia" w:ascii="Times New Roman" w:cs="Times New Roman"/>
                <w:snapToGrid w:val="0"/>
                <w:color w:val="auto"/>
                <w:spacing w:val="-6"/>
                <w:kern w:val="21"/>
                <w:szCs w:val="21"/>
                <w:lang w:val="en-US" w:eastAsia="zh-CN"/>
              </w:rPr>
            </w:pPr>
            <w:r>
              <w:rPr>
                <w:rFonts w:hint="eastAsia" w:ascii="Times New Roman" w:hAnsi="Times New Roman" w:cs="Times New Roman"/>
                <w:color w:val="auto"/>
                <w:kern w:val="0"/>
                <w:sz w:val="21"/>
                <w:szCs w:val="21"/>
                <w:shd w:val="clear"/>
                <w:lang w:val="en-US" w:eastAsia="zh-CN"/>
              </w:rPr>
              <w:t>1</w:t>
            </w:r>
            <w:r>
              <w:rPr>
                <w:rFonts w:hint="eastAsia" w:ascii="Times New Roman" w:cs="Times New Roman"/>
                <w:color w:val="auto"/>
                <w:kern w:val="0"/>
                <w:sz w:val="21"/>
                <w:szCs w:val="21"/>
                <w:shd w:val="clear"/>
                <w:lang w:val="en-US" w:eastAsia="zh-CN"/>
              </w:rPr>
              <w:t>t/a</w:t>
            </w:r>
          </w:p>
        </w:tc>
        <w:tc>
          <w:tcPr>
            <w:tcW w:w="1040" w:type="dxa"/>
            <w:vAlign w:val="center"/>
          </w:tcPr>
          <w:p w14:paraId="01B4946D">
            <w:pPr>
              <w:pStyle w:val="61"/>
              <w:spacing w:beforeLines="0" w:afterLines="0" w:line="260" w:lineRule="exact"/>
              <w:jc w:val="center"/>
              <w:rPr>
                <w:rFonts w:hint="eastAsia" w:ascii="Times New Roman" w:cs="Times New Roman"/>
                <w:snapToGrid w:val="0"/>
                <w:color w:val="auto"/>
                <w:spacing w:val="-6"/>
                <w:kern w:val="21"/>
                <w:szCs w:val="21"/>
                <w:lang w:val="en-US" w:eastAsia="zh-CN"/>
              </w:rPr>
            </w:pPr>
            <w:r>
              <w:rPr>
                <w:rFonts w:hint="eastAsia" w:ascii="Times New Roman" w:cs="Times New Roman"/>
                <w:color w:val="auto"/>
                <w:kern w:val="0"/>
                <w:sz w:val="21"/>
                <w:szCs w:val="21"/>
                <w:shd w:val="clear"/>
                <w:lang w:val="en-US" w:eastAsia="zh-CN"/>
              </w:rPr>
              <w:t>+</w:t>
            </w:r>
            <w:r>
              <w:rPr>
                <w:rFonts w:hint="eastAsia" w:ascii="Times New Roman" w:hAnsi="Times New Roman" w:cs="Times New Roman"/>
                <w:color w:val="auto"/>
                <w:kern w:val="0"/>
                <w:sz w:val="21"/>
                <w:szCs w:val="21"/>
                <w:shd w:val="clear"/>
                <w:lang w:val="en-US" w:eastAsia="zh-CN"/>
              </w:rPr>
              <w:t>1</w:t>
            </w:r>
            <w:r>
              <w:rPr>
                <w:rFonts w:hint="eastAsia" w:ascii="Times New Roman" w:cs="Times New Roman"/>
                <w:color w:val="auto"/>
                <w:kern w:val="0"/>
                <w:sz w:val="21"/>
                <w:szCs w:val="21"/>
                <w:shd w:val="clear"/>
                <w:lang w:val="en-US" w:eastAsia="zh-CN"/>
              </w:rPr>
              <w:t>t/a</w:t>
            </w:r>
          </w:p>
        </w:tc>
      </w:tr>
      <w:tr w14:paraId="4E4C3D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1588" w:type="dxa"/>
            <w:vMerge w:val="continue"/>
            <w:vAlign w:val="center"/>
          </w:tcPr>
          <w:p w14:paraId="009E5E51">
            <w:pPr>
              <w:pStyle w:val="61"/>
              <w:spacing w:beforeLines="0" w:afterLines="0" w:line="260" w:lineRule="exact"/>
              <w:jc w:val="center"/>
              <w:rPr>
                <w:rFonts w:hint="eastAsia" w:ascii="Times New Roman" w:hAnsi="Times New Roman" w:eastAsia="宋体" w:cs="Times New Roman"/>
                <w:snapToGrid w:val="0"/>
                <w:color w:val="auto"/>
                <w:spacing w:val="-6"/>
                <w:kern w:val="21"/>
                <w:szCs w:val="21"/>
              </w:rPr>
            </w:pPr>
          </w:p>
        </w:tc>
        <w:tc>
          <w:tcPr>
            <w:tcW w:w="1417" w:type="dxa"/>
            <w:vAlign w:val="center"/>
          </w:tcPr>
          <w:p w14:paraId="09FE3FF1">
            <w:pPr>
              <w:autoSpaceDE w:val="0"/>
              <w:autoSpaceDN w:val="0"/>
              <w:adjustRightInd w:val="0"/>
              <w:snapToGrid w:val="0"/>
              <w:jc w:val="center"/>
              <w:rPr>
                <w:rFonts w:hint="default" w:ascii="Times New Roman" w:hAnsi="Times New Roman" w:eastAsia="宋体" w:cs="Times New Roman"/>
                <w:color w:val="auto"/>
                <w:kern w:val="0"/>
                <w:sz w:val="21"/>
                <w:szCs w:val="21"/>
                <w:lang w:val="en-US" w:eastAsia="zh-CN"/>
              </w:rPr>
            </w:pPr>
            <w:r>
              <w:rPr>
                <w:rFonts w:hint="eastAsia" w:cs="Times New Roman"/>
                <w:color w:val="auto"/>
                <w:kern w:val="0"/>
                <w:sz w:val="21"/>
                <w:szCs w:val="21"/>
                <w:lang w:val="en-US" w:eastAsia="zh-CN"/>
              </w:rPr>
              <w:t>废滤芯</w:t>
            </w:r>
          </w:p>
        </w:tc>
        <w:tc>
          <w:tcPr>
            <w:tcW w:w="1701" w:type="dxa"/>
            <w:vAlign w:val="center"/>
          </w:tcPr>
          <w:p w14:paraId="4C56C513">
            <w:pPr>
              <w:spacing w:beforeLines="0" w:afterLines="0" w:line="260" w:lineRule="exact"/>
              <w:jc w:val="center"/>
              <w:rPr>
                <w:rFonts w:hint="default" w:ascii="Times New Roman" w:cs="Times New Roman"/>
                <w:snapToGrid w:val="0"/>
                <w:color w:val="auto"/>
                <w:spacing w:val="-6"/>
                <w:kern w:val="21"/>
                <w:szCs w:val="21"/>
                <w:lang w:val="en-US" w:eastAsia="zh-CN"/>
              </w:rPr>
            </w:pPr>
            <w:r>
              <w:rPr>
                <w:rFonts w:hint="eastAsia" w:cs="Times New Roman"/>
                <w:snapToGrid w:val="0"/>
                <w:color w:val="auto"/>
                <w:spacing w:val="-6"/>
                <w:kern w:val="21"/>
                <w:szCs w:val="21"/>
                <w:lang w:val="en-US" w:eastAsia="zh-CN"/>
              </w:rPr>
              <w:t>/</w:t>
            </w:r>
          </w:p>
        </w:tc>
        <w:tc>
          <w:tcPr>
            <w:tcW w:w="1276" w:type="dxa"/>
            <w:vAlign w:val="center"/>
          </w:tcPr>
          <w:p w14:paraId="67A4828D">
            <w:pPr>
              <w:spacing w:beforeLines="0" w:afterLines="0" w:line="260" w:lineRule="exact"/>
              <w:jc w:val="center"/>
              <w:rPr>
                <w:rFonts w:hint="default" w:ascii="Times New Roman" w:cs="Times New Roman"/>
                <w:snapToGrid w:val="0"/>
                <w:color w:val="auto"/>
                <w:spacing w:val="-6"/>
                <w:kern w:val="21"/>
                <w:szCs w:val="21"/>
                <w:lang w:val="en-US" w:eastAsia="zh-CN"/>
              </w:rPr>
            </w:pPr>
            <w:r>
              <w:rPr>
                <w:rFonts w:hint="eastAsia" w:cs="Times New Roman"/>
                <w:snapToGrid w:val="0"/>
                <w:color w:val="auto"/>
                <w:spacing w:val="-6"/>
                <w:kern w:val="21"/>
                <w:szCs w:val="21"/>
                <w:lang w:val="en-US" w:eastAsia="zh-CN"/>
              </w:rPr>
              <w:t>/</w:t>
            </w:r>
          </w:p>
        </w:tc>
        <w:tc>
          <w:tcPr>
            <w:tcW w:w="1701" w:type="dxa"/>
            <w:vAlign w:val="center"/>
          </w:tcPr>
          <w:p w14:paraId="4319C433">
            <w:pPr>
              <w:spacing w:beforeLines="0" w:afterLines="0" w:line="260" w:lineRule="exact"/>
              <w:jc w:val="center"/>
              <w:rPr>
                <w:rFonts w:hint="default" w:ascii="Times New Roman" w:cs="Times New Roman"/>
                <w:snapToGrid w:val="0"/>
                <w:color w:val="auto"/>
                <w:spacing w:val="-6"/>
                <w:kern w:val="21"/>
                <w:szCs w:val="21"/>
                <w:lang w:val="en-US" w:eastAsia="zh-CN"/>
              </w:rPr>
            </w:pPr>
            <w:r>
              <w:rPr>
                <w:rFonts w:hint="eastAsia" w:cs="Times New Roman"/>
                <w:snapToGrid w:val="0"/>
                <w:color w:val="auto"/>
                <w:spacing w:val="-6"/>
                <w:kern w:val="21"/>
                <w:szCs w:val="21"/>
                <w:lang w:val="en-US" w:eastAsia="zh-CN"/>
              </w:rPr>
              <w:t>/</w:t>
            </w:r>
          </w:p>
        </w:tc>
        <w:tc>
          <w:tcPr>
            <w:tcW w:w="1559" w:type="dxa"/>
            <w:vAlign w:val="center"/>
          </w:tcPr>
          <w:p w14:paraId="3D002D12">
            <w:pPr>
              <w:pStyle w:val="61"/>
              <w:spacing w:beforeLines="0" w:afterLines="0" w:line="260" w:lineRule="exact"/>
              <w:jc w:val="center"/>
              <w:rPr>
                <w:rFonts w:hint="default" w:ascii="Times New Roman" w:hAnsi="Times New Roman" w:cs="Times New Roman"/>
                <w:color w:val="auto"/>
                <w:kern w:val="0"/>
                <w:sz w:val="21"/>
                <w:szCs w:val="21"/>
                <w:shd w:val="clear"/>
                <w:lang w:val="en-US" w:eastAsia="zh-CN"/>
              </w:rPr>
            </w:pPr>
            <w:r>
              <w:rPr>
                <w:rFonts w:hint="eastAsia" w:ascii="Times New Roman" w:cs="Times New Roman"/>
                <w:color w:val="auto"/>
                <w:kern w:val="0"/>
                <w:sz w:val="21"/>
                <w:szCs w:val="21"/>
                <w:shd w:val="clear"/>
                <w:lang w:val="en-US" w:eastAsia="zh-CN"/>
              </w:rPr>
              <w:t>0.5t/a</w:t>
            </w:r>
          </w:p>
        </w:tc>
        <w:tc>
          <w:tcPr>
            <w:tcW w:w="1521" w:type="dxa"/>
            <w:vAlign w:val="center"/>
          </w:tcPr>
          <w:p w14:paraId="4FC09061">
            <w:pPr>
              <w:spacing w:beforeLines="0" w:afterLines="0" w:line="260" w:lineRule="exact"/>
              <w:jc w:val="center"/>
              <w:rPr>
                <w:rFonts w:hint="default" w:ascii="Times New Roman" w:cs="Times New Roman"/>
                <w:snapToGrid w:val="0"/>
                <w:color w:val="auto"/>
                <w:spacing w:val="-6"/>
                <w:kern w:val="21"/>
                <w:szCs w:val="21"/>
                <w:lang w:val="en-US" w:eastAsia="zh-CN"/>
              </w:rPr>
            </w:pPr>
            <w:r>
              <w:rPr>
                <w:rFonts w:hint="eastAsia" w:cs="Times New Roman"/>
                <w:snapToGrid w:val="0"/>
                <w:color w:val="auto"/>
                <w:spacing w:val="-6"/>
                <w:kern w:val="21"/>
                <w:szCs w:val="21"/>
                <w:lang w:val="en-US" w:eastAsia="zh-CN"/>
              </w:rPr>
              <w:t>/</w:t>
            </w:r>
          </w:p>
        </w:tc>
        <w:tc>
          <w:tcPr>
            <w:tcW w:w="1985" w:type="dxa"/>
            <w:vAlign w:val="center"/>
          </w:tcPr>
          <w:p w14:paraId="069AD4F9">
            <w:pPr>
              <w:pStyle w:val="61"/>
              <w:spacing w:beforeLines="0" w:afterLines="0" w:line="260" w:lineRule="exact"/>
              <w:jc w:val="center"/>
              <w:rPr>
                <w:rFonts w:hint="default" w:ascii="Times New Roman" w:hAnsi="Times New Roman" w:cs="Times New Roman"/>
                <w:color w:val="auto"/>
                <w:kern w:val="0"/>
                <w:sz w:val="21"/>
                <w:szCs w:val="21"/>
                <w:shd w:val="clear"/>
                <w:lang w:val="en-US" w:eastAsia="zh-CN"/>
              </w:rPr>
            </w:pPr>
            <w:r>
              <w:rPr>
                <w:rFonts w:hint="eastAsia" w:ascii="Times New Roman" w:cs="Times New Roman"/>
                <w:color w:val="auto"/>
                <w:kern w:val="0"/>
                <w:sz w:val="21"/>
                <w:szCs w:val="21"/>
                <w:shd w:val="clear"/>
                <w:lang w:val="en-US" w:eastAsia="zh-CN"/>
              </w:rPr>
              <w:t>0.5t/a</w:t>
            </w:r>
          </w:p>
        </w:tc>
        <w:tc>
          <w:tcPr>
            <w:tcW w:w="1040" w:type="dxa"/>
            <w:vAlign w:val="center"/>
          </w:tcPr>
          <w:p w14:paraId="4190B582">
            <w:pPr>
              <w:pStyle w:val="61"/>
              <w:spacing w:beforeLines="0" w:afterLines="0" w:line="260" w:lineRule="exact"/>
              <w:jc w:val="center"/>
              <w:rPr>
                <w:rFonts w:hint="default" w:ascii="Times New Roman" w:cs="Times New Roman"/>
                <w:color w:val="auto"/>
                <w:kern w:val="0"/>
                <w:sz w:val="21"/>
                <w:szCs w:val="21"/>
                <w:shd w:val="clear"/>
                <w:lang w:val="en-US" w:eastAsia="zh-CN"/>
              </w:rPr>
            </w:pPr>
            <w:r>
              <w:rPr>
                <w:rFonts w:hint="eastAsia" w:ascii="Times New Roman" w:cs="Times New Roman"/>
                <w:color w:val="auto"/>
                <w:kern w:val="0"/>
                <w:sz w:val="21"/>
                <w:szCs w:val="21"/>
                <w:shd w:val="clear"/>
                <w:lang w:val="en-US" w:eastAsia="zh-CN"/>
              </w:rPr>
              <w:t>+0.5t/a</w:t>
            </w:r>
          </w:p>
        </w:tc>
      </w:tr>
      <w:tr w14:paraId="7C3B3E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1588" w:type="dxa"/>
            <w:vMerge w:val="continue"/>
            <w:vAlign w:val="center"/>
          </w:tcPr>
          <w:p w14:paraId="3D166E92">
            <w:pPr>
              <w:pStyle w:val="61"/>
              <w:spacing w:beforeLines="0" w:afterLines="0" w:line="260" w:lineRule="exact"/>
              <w:jc w:val="center"/>
              <w:rPr>
                <w:rFonts w:hint="eastAsia" w:ascii="Times New Roman" w:hAnsi="Times New Roman" w:eastAsia="宋体" w:cs="Times New Roman"/>
                <w:snapToGrid w:val="0"/>
                <w:color w:val="auto"/>
                <w:spacing w:val="-6"/>
                <w:kern w:val="21"/>
                <w:szCs w:val="21"/>
              </w:rPr>
            </w:pPr>
          </w:p>
        </w:tc>
        <w:tc>
          <w:tcPr>
            <w:tcW w:w="1417" w:type="dxa"/>
            <w:vAlign w:val="center"/>
          </w:tcPr>
          <w:p w14:paraId="4B10DDB1">
            <w:pPr>
              <w:pStyle w:val="61"/>
              <w:spacing w:beforeLines="0" w:afterLines="0" w:line="260" w:lineRule="exact"/>
              <w:jc w:val="center"/>
              <w:rPr>
                <w:rFonts w:hint="eastAsia" w:ascii="Times New Roman" w:cs="Times New Roman"/>
                <w:snapToGrid w:val="0"/>
                <w:color w:val="auto"/>
                <w:spacing w:val="-6"/>
                <w:kern w:val="21"/>
                <w:szCs w:val="21"/>
                <w:lang w:val="en-US" w:eastAsia="zh-CN"/>
              </w:rPr>
            </w:pPr>
            <w:r>
              <w:rPr>
                <w:rFonts w:hint="eastAsia" w:ascii="Times New Roman" w:hAnsi="Times New Roman" w:eastAsia="宋体" w:cs="Times New Roman"/>
                <w:color w:val="auto"/>
                <w:kern w:val="0"/>
                <w:sz w:val="21"/>
                <w:szCs w:val="21"/>
                <w:lang w:val="en-US" w:eastAsia="zh-CN"/>
              </w:rPr>
              <w:t>废NMP包装桶</w:t>
            </w:r>
          </w:p>
        </w:tc>
        <w:tc>
          <w:tcPr>
            <w:tcW w:w="1701" w:type="dxa"/>
            <w:vAlign w:val="center"/>
          </w:tcPr>
          <w:p w14:paraId="0E33F62E">
            <w:pPr>
              <w:spacing w:beforeLines="0" w:afterLines="0" w:line="260" w:lineRule="exact"/>
              <w:jc w:val="center"/>
              <w:rPr>
                <w:rFonts w:hint="eastAsia" w:ascii="Times New Roman"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w:t>
            </w:r>
          </w:p>
        </w:tc>
        <w:tc>
          <w:tcPr>
            <w:tcW w:w="1276" w:type="dxa"/>
            <w:vAlign w:val="center"/>
          </w:tcPr>
          <w:p w14:paraId="1866CB82">
            <w:pPr>
              <w:spacing w:beforeLines="0" w:afterLines="0" w:line="260" w:lineRule="exact"/>
              <w:jc w:val="center"/>
              <w:rPr>
                <w:rFonts w:hint="eastAsia" w:ascii="Times New Roman"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w:t>
            </w:r>
          </w:p>
        </w:tc>
        <w:tc>
          <w:tcPr>
            <w:tcW w:w="1701" w:type="dxa"/>
            <w:vAlign w:val="center"/>
          </w:tcPr>
          <w:p w14:paraId="26D4244F">
            <w:pPr>
              <w:spacing w:beforeLines="0" w:afterLines="0" w:line="260" w:lineRule="exact"/>
              <w:jc w:val="center"/>
              <w:rPr>
                <w:rFonts w:hint="eastAsia" w:ascii="Times New Roman"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w:t>
            </w:r>
          </w:p>
        </w:tc>
        <w:tc>
          <w:tcPr>
            <w:tcW w:w="1559" w:type="dxa"/>
            <w:vAlign w:val="center"/>
          </w:tcPr>
          <w:p w14:paraId="654AB236">
            <w:pPr>
              <w:pStyle w:val="61"/>
              <w:spacing w:beforeLines="0" w:afterLines="0" w:line="260" w:lineRule="exact"/>
              <w:jc w:val="center"/>
              <w:rPr>
                <w:rFonts w:hint="eastAsia" w:ascii="Times New Roman" w:hAnsi="Times New Roman" w:cs="Times New Roman"/>
                <w:color w:val="auto"/>
                <w:kern w:val="0"/>
                <w:sz w:val="21"/>
                <w:szCs w:val="21"/>
                <w:shd w:val="clear"/>
                <w:lang w:val="en-US" w:eastAsia="zh-CN"/>
              </w:rPr>
            </w:pPr>
            <w:r>
              <w:rPr>
                <w:rFonts w:hint="eastAsia" w:ascii="Times New Roman" w:hAnsi="Times New Roman" w:cs="Times New Roman"/>
                <w:color w:val="auto"/>
                <w:kern w:val="0"/>
                <w:sz w:val="21"/>
                <w:szCs w:val="21"/>
                <w:shd w:val="clear"/>
                <w:lang w:val="en-US" w:eastAsia="zh-CN"/>
              </w:rPr>
              <w:t>3</w:t>
            </w:r>
            <w:r>
              <w:rPr>
                <w:rFonts w:hint="eastAsia" w:ascii="Times New Roman" w:cs="Times New Roman"/>
                <w:color w:val="auto"/>
                <w:kern w:val="0"/>
                <w:sz w:val="21"/>
                <w:szCs w:val="21"/>
                <w:shd w:val="clear"/>
                <w:lang w:val="en-US" w:eastAsia="zh-CN"/>
              </w:rPr>
              <w:t>t/a</w:t>
            </w:r>
          </w:p>
        </w:tc>
        <w:tc>
          <w:tcPr>
            <w:tcW w:w="1521" w:type="dxa"/>
            <w:vAlign w:val="center"/>
          </w:tcPr>
          <w:p w14:paraId="0691A901">
            <w:pPr>
              <w:spacing w:beforeLines="0" w:afterLines="0" w:line="260" w:lineRule="exact"/>
              <w:jc w:val="center"/>
              <w:rPr>
                <w:rFonts w:hint="eastAsia" w:ascii="Times New Roman"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w:t>
            </w:r>
          </w:p>
        </w:tc>
        <w:tc>
          <w:tcPr>
            <w:tcW w:w="1985" w:type="dxa"/>
            <w:vAlign w:val="center"/>
          </w:tcPr>
          <w:p w14:paraId="1C55B1C4">
            <w:pPr>
              <w:pStyle w:val="61"/>
              <w:spacing w:beforeLines="0" w:afterLines="0" w:line="260" w:lineRule="exact"/>
              <w:jc w:val="center"/>
              <w:rPr>
                <w:rFonts w:hint="eastAsia" w:ascii="Times New Roman" w:cs="Times New Roman"/>
                <w:snapToGrid w:val="0"/>
                <w:color w:val="auto"/>
                <w:spacing w:val="-6"/>
                <w:kern w:val="21"/>
                <w:szCs w:val="21"/>
                <w:lang w:val="en-US" w:eastAsia="zh-CN"/>
              </w:rPr>
            </w:pPr>
            <w:r>
              <w:rPr>
                <w:rFonts w:hint="eastAsia" w:ascii="Times New Roman" w:hAnsi="Times New Roman" w:cs="Times New Roman"/>
                <w:color w:val="auto"/>
                <w:kern w:val="0"/>
                <w:sz w:val="21"/>
                <w:szCs w:val="21"/>
                <w:shd w:val="clear"/>
                <w:lang w:val="en-US" w:eastAsia="zh-CN"/>
              </w:rPr>
              <w:t>3</w:t>
            </w:r>
            <w:r>
              <w:rPr>
                <w:rFonts w:hint="eastAsia" w:ascii="Times New Roman" w:cs="Times New Roman"/>
                <w:color w:val="auto"/>
                <w:kern w:val="0"/>
                <w:sz w:val="21"/>
                <w:szCs w:val="21"/>
                <w:shd w:val="clear"/>
                <w:lang w:val="en-US" w:eastAsia="zh-CN"/>
              </w:rPr>
              <w:t>t/a</w:t>
            </w:r>
          </w:p>
        </w:tc>
        <w:tc>
          <w:tcPr>
            <w:tcW w:w="1040" w:type="dxa"/>
            <w:vAlign w:val="center"/>
          </w:tcPr>
          <w:p w14:paraId="55304448">
            <w:pPr>
              <w:pStyle w:val="61"/>
              <w:spacing w:beforeLines="0" w:afterLines="0" w:line="260" w:lineRule="exact"/>
              <w:jc w:val="center"/>
              <w:rPr>
                <w:rFonts w:hint="eastAsia" w:ascii="Times New Roman" w:cs="Times New Roman"/>
                <w:snapToGrid w:val="0"/>
                <w:color w:val="auto"/>
                <w:spacing w:val="-6"/>
                <w:kern w:val="21"/>
                <w:szCs w:val="21"/>
                <w:lang w:val="en-US" w:eastAsia="zh-CN"/>
              </w:rPr>
            </w:pPr>
            <w:r>
              <w:rPr>
                <w:rFonts w:hint="eastAsia" w:ascii="Times New Roman" w:cs="Times New Roman"/>
                <w:color w:val="auto"/>
                <w:kern w:val="0"/>
                <w:sz w:val="21"/>
                <w:szCs w:val="21"/>
                <w:shd w:val="clear"/>
                <w:lang w:val="en-US" w:eastAsia="zh-CN"/>
              </w:rPr>
              <w:t>+</w:t>
            </w:r>
            <w:r>
              <w:rPr>
                <w:rFonts w:hint="eastAsia" w:ascii="Times New Roman" w:hAnsi="Times New Roman" w:cs="Times New Roman"/>
                <w:color w:val="auto"/>
                <w:kern w:val="0"/>
                <w:sz w:val="21"/>
                <w:szCs w:val="21"/>
                <w:shd w:val="clear"/>
                <w:lang w:val="en-US" w:eastAsia="zh-CN"/>
              </w:rPr>
              <w:t>3</w:t>
            </w:r>
            <w:r>
              <w:rPr>
                <w:rFonts w:hint="eastAsia" w:ascii="Times New Roman" w:cs="Times New Roman"/>
                <w:color w:val="auto"/>
                <w:kern w:val="0"/>
                <w:sz w:val="21"/>
                <w:szCs w:val="21"/>
                <w:shd w:val="clear"/>
                <w:lang w:val="en-US" w:eastAsia="zh-CN"/>
              </w:rPr>
              <w:t>t/a</w:t>
            </w:r>
          </w:p>
        </w:tc>
      </w:tr>
      <w:tr w14:paraId="1C6BA9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1588" w:type="dxa"/>
            <w:vMerge w:val="continue"/>
            <w:vAlign w:val="center"/>
          </w:tcPr>
          <w:p w14:paraId="08440FE3">
            <w:pPr>
              <w:pStyle w:val="61"/>
              <w:spacing w:beforeLines="0" w:afterLines="0" w:line="260" w:lineRule="exact"/>
              <w:jc w:val="center"/>
              <w:rPr>
                <w:rFonts w:hint="eastAsia" w:ascii="Times New Roman" w:hAnsi="Times New Roman" w:eastAsia="宋体" w:cs="Times New Roman"/>
                <w:snapToGrid w:val="0"/>
                <w:color w:val="auto"/>
                <w:spacing w:val="-6"/>
                <w:kern w:val="21"/>
                <w:szCs w:val="21"/>
              </w:rPr>
            </w:pPr>
          </w:p>
        </w:tc>
        <w:tc>
          <w:tcPr>
            <w:tcW w:w="1417" w:type="dxa"/>
            <w:vAlign w:val="center"/>
          </w:tcPr>
          <w:p w14:paraId="22CEB43E">
            <w:pPr>
              <w:pStyle w:val="61"/>
              <w:spacing w:beforeLines="0" w:afterLines="0" w:line="260" w:lineRule="exact"/>
              <w:jc w:val="center"/>
              <w:rPr>
                <w:rFonts w:hint="eastAsia" w:ascii="Times New Roman" w:cs="Times New Roman"/>
                <w:snapToGrid w:val="0"/>
                <w:color w:val="auto"/>
                <w:spacing w:val="-6"/>
                <w:kern w:val="21"/>
                <w:szCs w:val="21"/>
                <w:lang w:val="en-US" w:eastAsia="zh-CN"/>
              </w:rPr>
            </w:pPr>
            <w:r>
              <w:rPr>
                <w:rFonts w:hint="eastAsia" w:ascii="Times New Roman" w:hAnsi="Times New Roman" w:eastAsia="宋体" w:cs="Times New Roman"/>
                <w:color w:val="auto"/>
                <w:kern w:val="0"/>
                <w:sz w:val="21"/>
                <w:szCs w:val="21"/>
                <w:lang w:val="en-US" w:eastAsia="zh-CN"/>
              </w:rPr>
              <w:t>废边角料</w:t>
            </w:r>
          </w:p>
        </w:tc>
        <w:tc>
          <w:tcPr>
            <w:tcW w:w="1701" w:type="dxa"/>
            <w:vAlign w:val="center"/>
          </w:tcPr>
          <w:p w14:paraId="2E74F020">
            <w:pPr>
              <w:spacing w:beforeLines="0" w:afterLines="0" w:line="260" w:lineRule="exact"/>
              <w:jc w:val="center"/>
              <w:rPr>
                <w:rFonts w:hint="eastAsia" w:ascii="Times New Roman"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w:t>
            </w:r>
          </w:p>
        </w:tc>
        <w:tc>
          <w:tcPr>
            <w:tcW w:w="1276" w:type="dxa"/>
            <w:vAlign w:val="center"/>
          </w:tcPr>
          <w:p w14:paraId="64B4EC5D">
            <w:pPr>
              <w:spacing w:beforeLines="0" w:afterLines="0" w:line="260" w:lineRule="exact"/>
              <w:jc w:val="center"/>
              <w:rPr>
                <w:rFonts w:hint="eastAsia" w:ascii="Times New Roman"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w:t>
            </w:r>
          </w:p>
        </w:tc>
        <w:tc>
          <w:tcPr>
            <w:tcW w:w="1701" w:type="dxa"/>
            <w:vAlign w:val="center"/>
          </w:tcPr>
          <w:p w14:paraId="1F682CA4">
            <w:pPr>
              <w:spacing w:beforeLines="0" w:afterLines="0" w:line="260" w:lineRule="exact"/>
              <w:jc w:val="center"/>
              <w:rPr>
                <w:rFonts w:hint="default" w:ascii="Times New Roman" w:cs="Times New Roman"/>
                <w:snapToGrid w:val="0"/>
                <w:color w:val="auto"/>
                <w:spacing w:val="-6"/>
                <w:kern w:val="21"/>
                <w:szCs w:val="21"/>
                <w:lang w:val="en-US" w:eastAsia="zh-CN"/>
              </w:rPr>
            </w:pPr>
            <w:r>
              <w:rPr>
                <w:rFonts w:hint="eastAsia" w:cs="Times New Roman"/>
                <w:snapToGrid w:val="0"/>
                <w:color w:val="auto"/>
                <w:spacing w:val="-6"/>
                <w:kern w:val="21"/>
                <w:szCs w:val="21"/>
                <w:lang w:val="en-US" w:eastAsia="zh-CN"/>
              </w:rPr>
              <w:t>/</w:t>
            </w:r>
          </w:p>
        </w:tc>
        <w:tc>
          <w:tcPr>
            <w:tcW w:w="1559" w:type="dxa"/>
            <w:vAlign w:val="center"/>
          </w:tcPr>
          <w:p w14:paraId="440F20D4">
            <w:pPr>
              <w:pStyle w:val="61"/>
              <w:spacing w:beforeLines="0" w:afterLines="0" w:line="260" w:lineRule="exact"/>
              <w:jc w:val="center"/>
              <w:rPr>
                <w:rFonts w:hint="default" w:ascii="Times New Roman" w:hAnsi="Times New Roman" w:cs="Times New Roman"/>
                <w:color w:val="auto"/>
                <w:kern w:val="0"/>
                <w:sz w:val="21"/>
                <w:szCs w:val="21"/>
                <w:shd w:val="clear"/>
                <w:lang w:val="en-US" w:eastAsia="zh-CN"/>
              </w:rPr>
            </w:pPr>
            <w:r>
              <w:rPr>
                <w:rFonts w:hint="eastAsia" w:ascii="Times New Roman" w:hAnsi="Times New Roman" w:cs="Times New Roman"/>
                <w:color w:val="auto"/>
                <w:kern w:val="0"/>
                <w:sz w:val="21"/>
                <w:szCs w:val="21"/>
                <w:shd w:val="clear"/>
                <w:lang w:val="en-US" w:eastAsia="zh-CN"/>
              </w:rPr>
              <w:t>0.</w:t>
            </w:r>
            <w:r>
              <w:rPr>
                <w:rFonts w:hint="eastAsia" w:ascii="Times New Roman" w:cs="Times New Roman"/>
                <w:color w:val="auto"/>
                <w:kern w:val="0"/>
                <w:sz w:val="21"/>
                <w:szCs w:val="21"/>
                <w:shd w:val="clear"/>
                <w:lang w:val="en-US" w:eastAsia="zh-CN"/>
              </w:rPr>
              <w:t>2t/a</w:t>
            </w:r>
          </w:p>
        </w:tc>
        <w:tc>
          <w:tcPr>
            <w:tcW w:w="1521" w:type="dxa"/>
            <w:vAlign w:val="center"/>
          </w:tcPr>
          <w:p w14:paraId="375C721E">
            <w:pPr>
              <w:spacing w:beforeLines="0" w:afterLines="0" w:line="260" w:lineRule="exact"/>
              <w:jc w:val="center"/>
              <w:rPr>
                <w:rFonts w:hint="default" w:ascii="Times New Roman" w:cs="Times New Roman"/>
                <w:snapToGrid w:val="0"/>
                <w:color w:val="auto"/>
                <w:spacing w:val="-6"/>
                <w:kern w:val="21"/>
                <w:szCs w:val="21"/>
                <w:lang w:val="en-US" w:eastAsia="zh-CN"/>
              </w:rPr>
            </w:pPr>
            <w:r>
              <w:rPr>
                <w:rFonts w:hint="eastAsia" w:cs="Times New Roman"/>
                <w:snapToGrid w:val="0"/>
                <w:color w:val="auto"/>
                <w:spacing w:val="-6"/>
                <w:kern w:val="21"/>
                <w:szCs w:val="21"/>
                <w:lang w:val="en-US" w:eastAsia="zh-CN"/>
              </w:rPr>
              <w:t>/</w:t>
            </w:r>
          </w:p>
        </w:tc>
        <w:tc>
          <w:tcPr>
            <w:tcW w:w="1985" w:type="dxa"/>
            <w:vAlign w:val="center"/>
          </w:tcPr>
          <w:p w14:paraId="34506CB3">
            <w:pPr>
              <w:pStyle w:val="61"/>
              <w:spacing w:beforeLines="0" w:afterLines="0" w:line="260" w:lineRule="exact"/>
              <w:jc w:val="center"/>
              <w:rPr>
                <w:rFonts w:hint="eastAsia" w:ascii="Times New Roman" w:cs="Times New Roman"/>
                <w:snapToGrid w:val="0"/>
                <w:color w:val="auto"/>
                <w:spacing w:val="-6"/>
                <w:kern w:val="21"/>
                <w:szCs w:val="21"/>
                <w:lang w:val="en-US" w:eastAsia="zh-CN"/>
              </w:rPr>
            </w:pPr>
            <w:r>
              <w:rPr>
                <w:rFonts w:hint="eastAsia" w:ascii="Times New Roman" w:hAnsi="Times New Roman" w:cs="Times New Roman"/>
                <w:color w:val="auto"/>
                <w:kern w:val="0"/>
                <w:sz w:val="21"/>
                <w:szCs w:val="21"/>
                <w:shd w:val="clear"/>
                <w:lang w:val="en-US" w:eastAsia="zh-CN"/>
              </w:rPr>
              <w:t>0.</w:t>
            </w:r>
            <w:r>
              <w:rPr>
                <w:rFonts w:hint="eastAsia" w:ascii="Times New Roman" w:cs="Times New Roman"/>
                <w:color w:val="auto"/>
                <w:kern w:val="0"/>
                <w:sz w:val="21"/>
                <w:szCs w:val="21"/>
                <w:shd w:val="clear"/>
                <w:lang w:val="en-US" w:eastAsia="zh-CN"/>
              </w:rPr>
              <w:t>2t/a</w:t>
            </w:r>
          </w:p>
        </w:tc>
        <w:tc>
          <w:tcPr>
            <w:tcW w:w="1040" w:type="dxa"/>
            <w:vAlign w:val="center"/>
          </w:tcPr>
          <w:p w14:paraId="683B7643">
            <w:pPr>
              <w:pStyle w:val="61"/>
              <w:spacing w:beforeLines="0" w:afterLines="0" w:line="260" w:lineRule="exact"/>
              <w:jc w:val="center"/>
              <w:rPr>
                <w:rFonts w:hint="eastAsia" w:ascii="Times New Roman" w:cs="Times New Roman"/>
                <w:snapToGrid w:val="0"/>
                <w:color w:val="auto"/>
                <w:spacing w:val="-6"/>
                <w:kern w:val="21"/>
                <w:szCs w:val="21"/>
                <w:lang w:val="en-US" w:eastAsia="zh-CN"/>
              </w:rPr>
            </w:pPr>
            <w:r>
              <w:rPr>
                <w:rFonts w:hint="eastAsia" w:ascii="Times New Roman" w:cs="Times New Roman"/>
                <w:color w:val="auto"/>
                <w:kern w:val="0"/>
                <w:sz w:val="21"/>
                <w:szCs w:val="21"/>
                <w:shd w:val="clear"/>
                <w:lang w:val="en-US" w:eastAsia="zh-CN"/>
              </w:rPr>
              <w:t>+</w:t>
            </w:r>
            <w:r>
              <w:rPr>
                <w:rFonts w:hint="eastAsia" w:ascii="Times New Roman" w:hAnsi="Times New Roman" w:cs="Times New Roman"/>
                <w:color w:val="auto"/>
                <w:kern w:val="0"/>
                <w:sz w:val="21"/>
                <w:szCs w:val="21"/>
                <w:shd w:val="clear"/>
                <w:lang w:val="en-US" w:eastAsia="zh-CN"/>
              </w:rPr>
              <w:t>0.</w:t>
            </w:r>
            <w:r>
              <w:rPr>
                <w:rFonts w:hint="eastAsia" w:ascii="Times New Roman" w:cs="Times New Roman"/>
                <w:color w:val="auto"/>
                <w:kern w:val="0"/>
                <w:sz w:val="21"/>
                <w:szCs w:val="21"/>
                <w:shd w:val="clear"/>
                <w:lang w:val="en-US" w:eastAsia="zh-CN"/>
              </w:rPr>
              <w:t>2t/a</w:t>
            </w:r>
          </w:p>
        </w:tc>
      </w:tr>
      <w:tr w14:paraId="189A65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88" w:type="dxa"/>
            <w:vMerge w:val="continue"/>
            <w:vAlign w:val="center"/>
          </w:tcPr>
          <w:p w14:paraId="49682825">
            <w:pPr>
              <w:pStyle w:val="61"/>
              <w:spacing w:beforeLines="0" w:afterLines="0" w:line="260" w:lineRule="exact"/>
              <w:jc w:val="center"/>
              <w:rPr>
                <w:rFonts w:hint="eastAsia" w:ascii="Times New Roman" w:hAnsi="Times New Roman" w:eastAsia="宋体" w:cs="Times New Roman"/>
                <w:snapToGrid w:val="0"/>
                <w:color w:val="auto"/>
                <w:spacing w:val="-6"/>
                <w:kern w:val="21"/>
                <w:szCs w:val="21"/>
              </w:rPr>
            </w:pPr>
          </w:p>
        </w:tc>
        <w:tc>
          <w:tcPr>
            <w:tcW w:w="1417" w:type="dxa"/>
            <w:vAlign w:val="center"/>
          </w:tcPr>
          <w:p w14:paraId="539272D9">
            <w:pPr>
              <w:pStyle w:val="61"/>
              <w:spacing w:beforeLines="0" w:afterLines="0" w:line="260" w:lineRule="exact"/>
              <w:jc w:val="center"/>
              <w:rPr>
                <w:rFonts w:hint="eastAsia" w:ascii="Times New Roman" w:hAnsi="Times New Roman" w:eastAsia="宋体" w:cs="Times New Roman"/>
                <w:snapToGrid w:val="0"/>
                <w:color w:val="auto"/>
                <w:spacing w:val="-6"/>
                <w:kern w:val="21"/>
                <w:szCs w:val="21"/>
              </w:rPr>
            </w:pPr>
            <w:r>
              <w:rPr>
                <w:rFonts w:hint="eastAsia"/>
                <w:color w:val="auto"/>
                <w:kern w:val="0"/>
                <w:sz w:val="21"/>
                <w:szCs w:val="21"/>
                <w:lang w:val="en-US" w:eastAsia="zh-CN"/>
              </w:rPr>
              <w:t>废包装材料</w:t>
            </w:r>
          </w:p>
        </w:tc>
        <w:tc>
          <w:tcPr>
            <w:tcW w:w="1701" w:type="dxa"/>
            <w:vAlign w:val="center"/>
          </w:tcPr>
          <w:p w14:paraId="39352860">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cs="Times New Roman"/>
                <w:snapToGrid w:val="0"/>
                <w:color w:val="auto"/>
                <w:spacing w:val="-6"/>
                <w:kern w:val="21"/>
                <w:szCs w:val="21"/>
                <w:lang w:val="en-US" w:eastAsia="zh-CN"/>
              </w:rPr>
              <w:t>/</w:t>
            </w:r>
          </w:p>
        </w:tc>
        <w:tc>
          <w:tcPr>
            <w:tcW w:w="1276" w:type="dxa"/>
            <w:vAlign w:val="center"/>
          </w:tcPr>
          <w:p w14:paraId="1794388C">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cs="Times New Roman"/>
                <w:snapToGrid w:val="0"/>
                <w:color w:val="auto"/>
                <w:spacing w:val="-6"/>
                <w:kern w:val="21"/>
                <w:szCs w:val="21"/>
                <w:lang w:val="en-US" w:eastAsia="zh-CN"/>
              </w:rPr>
              <w:t>/</w:t>
            </w:r>
          </w:p>
        </w:tc>
        <w:tc>
          <w:tcPr>
            <w:tcW w:w="1701" w:type="dxa"/>
            <w:vAlign w:val="center"/>
          </w:tcPr>
          <w:p w14:paraId="795FA72C">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559" w:type="dxa"/>
            <w:vAlign w:val="center"/>
          </w:tcPr>
          <w:p w14:paraId="76E014BA">
            <w:pPr>
              <w:pStyle w:val="61"/>
              <w:spacing w:beforeLines="0" w:afterLines="0" w:line="260" w:lineRule="exact"/>
              <w:jc w:val="center"/>
              <w:rPr>
                <w:rFonts w:hint="default" w:ascii="Times New Roman" w:hAnsi="Times New Roman" w:cs="Times New Roman"/>
                <w:color w:val="auto"/>
                <w:kern w:val="0"/>
                <w:sz w:val="21"/>
                <w:szCs w:val="21"/>
                <w:shd w:val="clear"/>
                <w:lang w:val="en-US" w:eastAsia="zh-CN"/>
              </w:rPr>
            </w:pPr>
            <w:r>
              <w:rPr>
                <w:rFonts w:hint="eastAsia" w:ascii="Times New Roman" w:hAnsi="Times New Roman" w:cs="Times New Roman"/>
                <w:color w:val="auto"/>
                <w:kern w:val="0"/>
                <w:sz w:val="21"/>
                <w:szCs w:val="21"/>
                <w:shd w:val="clear"/>
                <w:lang w:val="en-US" w:eastAsia="zh-CN"/>
              </w:rPr>
              <w:t>0.2t/a</w:t>
            </w:r>
          </w:p>
        </w:tc>
        <w:tc>
          <w:tcPr>
            <w:tcW w:w="1521" w:type="dxa"/>
            <w:vAlign w:val="center"/>
          </w:tcPr>
          <w:p w14:paraId="72516495">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985" w:type="dxa"/>
            <w:vAlign w:val="center"/>
          </w:tcPr>
          <w:p w14:paraId="51FF3E7C">
            <w:pPr>
              <w:pStyle w:val="61"/>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0.2t/a</w:t>
            </w:r>
          </w:p>
        </w:tc>
        <w:tc>
          <w:tcPr>
            <w:tcW w:w="1040" w:type="dxa"/>
            <w:vAlign w:val="center"/>
          </w:tcPr>
          <w:p w14:paraId="0B303E50">
            <w:pPr>
              <w:pStyle w:val="61"/>
              <w:spacing w:beforeLines="0" w:afterLines="0" w:line="260" w:lineRule="exact"/>
              <w:jc w:val="center"/>
              <w:rPr>
                <w:rFonts w:hint="eastAsia" w:ascii="Times New Roman" w:hAnsi="Times New Roman" w:eastAsia="宋体"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+0.2t/a</w:t>
            </w:r>
          </w:p>
        </w:tc>
      </w:tr>
      <w:tr w14:paraId="067FBF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1588" w:type="dxa"/>
            <w:vMerge w:val="continue"/>
            <w:vAlign w:val="center"/>
          </w:tcPr>
          <w:p w14:paraId="123EC48C">
            <w:pPr>
              <w:pStyle w:val="61"/>
              <w:spacing w:beforeLines="0" w:afterLines="0" w:line="260" w:lineRule="exact"/>
              <w:jc w:val="center"/>
              <w:rPr>
                <w:rFonts w:hint="eastAsia" w:ascii="Times New Roman" w:hAnsi="Times New Roman" w:eastAsia="宋体" w:cs="Times New Roman"/>
                <w:snapToGrid w:val="0"/>
                <w:color w:val="auto"/>
                <w:spacing w:val="-6"/>
                <w:kern w:val="21"/>
                <w:szCs w:val="21"/>
              </w:rPr>
            </w:pPr>
          </w:p>
        </w:tc>
        <w:tc>
          <w:tcPr>
            <w:tcW w:w="1417" w:type="dxa"/>
            <w:vAlign w:val="center"/>
          </w:tcPr>
          <w:p w14:paraId="306ED518">
            <w:pPr>
              <w:pStyle w:val="61"/>
              <w:spacing w:beforeLines="0" w:afterLines="0" w:line="260" w:lineRule="exact"/>
              <w:jc w:val="center"/>
              <w:rPr>
                <w:rFonts w:hint="default"/>
                <w:color w:val="auto"/>
                <w:kern w:val="0"/>
                <w:sz w:val="21"/>
                <w:szCs w:val="21"/>
                <w:lang w:val="en-US" w:eastAsia="zh-CN"/>
              </w:rPr>
            </w:pPr>
            <w:r>
              <w:rPr>
                <w:rFonts w:hint="eastAsia"/>
                <w:color w:val="auto"/>
                <w:kern w:val="0"/>
                <w:sz w:val="21"/>
                <w:szCs w:val="21"/>
                <w:lang w:val="en-US" w:eastAsia="zh-CN"/>
              </w:rPr>
              <w:t>废浆料</w:t>
            </w:r>
          </w:p>
        </w:tc>
        <w:tc>
          <w:tcPr>
            <w:tcW w:w="1701" w:type="dxa"/>
            <w:vAlign w:val="center"/>
          </w:tcPr>
          <w:p w14:paraId="1D2D6C35">
            <w:pPr>
              <w:spacing w:beforeLines="0" w:afterLines="0" w:line="260" w:lineRule="exact"/>
              <w:jc w:val="center"/>
              <w:rPr>
                <w:rFonts w:hint="default" w:ascii="Times New Roman" w:cs="Times New Roman"/>
                <w:snapToGrid w:val="0"/>
                <w:color w:val="auto"/>
                <w:spacing w:val="-6"/>
                <w:kern w:val="21"/>
                <w:szCs w:val="21"/>
                <w:lang w:val="en-US" w:eastAsia="zh-CN"/>
              </w:rPr>
            </w:pPr>
            <w:r>
              <w:rPr>
                <w:rFonts w:hint="eastAsia" w:cs="Times New Roman"/>
                <w:snapToGrid w:val="0"/>
                <w:color w:val="auto"/>
                <w:spacing w:val="-6"/>
                <w:kern w:val="21"/>
                <w:szCs w:val="21"/>
                <w:lang w:val="en-US" w:eastAsia="zh-CN"/>
              </w:rPr>
              <w:t>/</w:t>
            </w:r>
          </w:p>
        </w:tc>
        <w:tc>
          <w:tcPr>
            <w:tcW w:w="1276" w:type="dxa"/>
            <w:vAlign w:val="center"/>
          </w:tcPr>
          <w:p w14:paraId="5C643097">
            <w:pPr>
              <w:spacing w:beforeLines="0" w:afterLines="0" w:line="260" w:lineRule="exact"/>
              <w:jc w:val="center"/>
              <w:rPr>
                <w:rFonts w:hint="default" w:ascii="Times New Roman" w:cs="Times New Roman"/>
                <w:snapToGrid w:val="0"/>
                <w:color w:val="auto"/>
                <w:spacing w:val="-6"/>
                <w:kern w:val="21"/>
                <w:szCs w:val="21"/>
                <w:lang w:val="en-US" w:eastAsia="zh-CN"/>
              </w:rPr>
            </w:pPr>
            <w:r>
              <w:rPr>
                <w:rFonts w:hint="eastAsia" w:cs="Times New Roman"/>
                <w:snapToGrid w:val="0"/>
                <w:color w:val="auto"/>
                <w:spacing w:val="-6"/>
                <w:kern w:val="21"/>
                <w:szCs w:val="21"/>
                <w:lang w:val="en-US" w:eastAsia="zh-CN"/>
              </w:rPr>
              <w:t>/</w:t>
            </w:r>
          </w:p>
        </w:tc>
        <w:tc>
          <w:tcPr>
            <w:tcW w:w="1701" w:type="dxa"/>
            <w:vAlign w:val="center"/>
          </w:tcPr>
          <w:p w14:paraId="53D6416E">
            <w:pPr>
              <w:spacing w:beforeLines="0" w:afterLines="0" w:line="260" w:lineRule="exact"/>
              <w:jc w:val="center"/>
              <w:rPr>
                <w:rFonts w:hint="default" w:ascii="Times New Roman" w:cs="Times New Roman"/>
                <w:snapToGrid w:val="0"/>
                <w:color w:val="auto"/>
                <w:spacing w:val="-6"/>
                <w:kern w:val="21"/>
                <w:szCs w:val="21"/>
                <w:lang w:val="en-US" w:eastAsia="zh-CN"/>
              </w:rPr>
            </w:pPr>
            <w:r>
              <w:rPr>
                <w:rFonts w:hint="eastAsia" w:cs="Times New Roman"/>
                <w:snapToGrid w:val="0"/>
                <w:color w:val="auto"/>
                <w:spacing w:val="-6"/>
                <w:kern w:val="21"/>
                <w:szCs w:val="21"/>
                <w:lang w:val="en-US" w:eastAsia="zh-CN"/>
              </w:rPr>
              <w:t>/</w:t>
            </w:r>
          </w:p>
        </w:tc>
        <w:tc>
          <w:tcPr>
            <w:tcW w:w="1559" w:type="dxa"/>
            <w:vAlign w:val="center"/>
          </w:tcPr>
          <w:p w14:paraId="4D70561D">
            <w:pPr>
              <w:pStyle w:val="61"/>
              <w:spacing w:beforeLines="0" w:afterLines="0" w:line="260" w:lineRule="exact"/>
              <w:jc w:val="center"/>
              <w:rPr>
                <w:rFonts w:hint="default" w:ascii="Times New Roman" w:hAnsi="Times New Roman" w:cs="Times New Roman"/>
                <w:color w:val="auto"/>
                <w:kern w:val="0"/>
                <w:sz w:val="21"/>
                <w:szCs w:val="21"/>
                <w:shd w:val="clear"/>
                <w:lang w:val="en-US" w:eastAsia="zh-CN"/>
              </w:rPr>
            </w:pPr>
            <w:r>
              <w:rPr>
                <w:rFonts w:hint="eastAsia" w:ascii="Times New Roman" w:hAnsi="Times New Roman" w:cs="Times New Roman"/>
                <w:color w:val="auto"/>
                <w:kern w:val="0"/>
                <w:sz w:val="21"/>
                <w:szCs w:val="21"/>
                <w:shd w:val="clear"/>
                <w:lang w:val="en-US" w:eastAsia="zh-CN"/>
              </w:rPr>
              <w:t>0.2t/a</w:t>
            </w:r>
          </w:p>
        </w:tc>
        <w:tc>
          <w:tcPr>
            <w:tcW w:w="1521" w:type="dxa"/>
            <w:vAlign w:val="center"/>
          </w:tcPr>
          <w:p w14:paraId="23DF3BB4">
            <w:pPr>
              <w:spacing w:beforeLines="0" w:afterLines="0" w:line="260" w:lineRule="exact"/>
              <w:jc w:val="center"/>
              <w:rPr>
                <w:rFonts w:hint="eastAsia" w:ascii="Times New Roman"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w:t>
            </w:r>
          </w:p>
        </w:tc>
        <w:tc>
          <w:tcPr>
            <w:tcW w:w="1985" w:type="dxa"/>
            <w:vAlign w:val="center"/>
          </w:tcPr>
          <w:p w14:paraId="50FA139E">
            <w:pPr>
              <w:pStyle w:val="61"/>
              <w:spacing w:beforeLines="0" w:afterLines="0" w:line="260" w:lineRule="exact"/>
              <w:jc w:val="center"/>
              <w:rPr>
                <w:rFonts w:hint="eastAsia" w:ascii="Times New Roman"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0.2t/a</w:t>
            </w:r>
          </w:p>
        </w:tc>
        <w:tc>
          <w:tcPr>
            <w:tcW w:w="1040" w:type="dxa"/>
            <w:vAlign w:val="center"/>
          </w:tcPr>
          <w:p w14:paraId="73D4B851">
            <w:pPr>
              <w:pStyle w:val="61"/>
              <w:spacing w:beforeLines="0" w:afterLines="0" w:line="260" w:lineRule="exact"/>
              <w:jc w:val="center"/>
              <w:rPr>
                <w:rFonts w:hint="eastAsia" w:ascii="Times New Roman"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+0.2t/a</w:t>
            </w:r>
          </w:p>
        </w:tc>
      </w:tr>
      <w:tr w14:paraId="6511CD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1588" w:type="dxa"/>
            <w:vMerge w:val="continue"/>
            <w:vAlign w:val="center"/>
          </w:tcPr>
          <w:p w14:paraId="538BACAF">
            <w:pPr>
              <w:pStyle w:val="61"/>
              <w:spacing w:beforeLines="0" w:afterLines="0" w:line="260" w:lineRule="exact"/>
              <w:jc w:val="center"/>
              <w:rPr>
                <w:rFonts w:hint="eastAsia" w:ascii="Times New Roman" w:hAnsi="Times New Roman" w:eastAsia="宋体" w:cs="Times New Roman"/>
                <w:snapToGrid w:val="0"/>
                <w:color w:val="auto"/>
                <w:spacing w:val="-6"/>
                <w:kern w:val="21"/>
                <w:szCs w:val="21"/>
              </w:rPr>
            </w:pPr>
          </w:p>
        </w:tc>
        <w:tc>
          <w:tcPr>
            <w:tcW w:w="1417" w:type="dxa"/>
            <w:vAlign w:val="center"/>
          </w:tcPr>
          <w:p w14:paraId="4580A081">
            <w:pPr>
              <w:pStyle w:val="61"/>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default" w:ascii="Times New Roman" w:hAnsi="Times New Roman" w:cs="Times New Roman"/>
                <w:color w:val="auto"/>
                <w:kern w:val="0"/>
                <w:sz w:val="21"/>
                <w:szCs w:val="21"/>
                <w:lang w:val="en-US" w:eastAsia="zh-CN"/>
              </w:rPr>
              <w:t>NMP回收液</w:t>
            </w:r>
          </w:p>
        </w:tc>
        <w:tc>
          <w:tcPr>
            <w:tcW w:w="1701" w:type="dxa"/>
            <w:vAlign w:val="center"/>
          </w:tcPr>
          <w:p w14:paraId="5C2EFB25">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276" w:type="dxa"/>
            <w:vAlign w:val="center"/>
          </w:tcPr>
          <w:p w14:paraId="18284B6F">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701" w:type="dxa"/>
            <w:vAlign w:val="center"/>
          </w:tcPr>
          <w:p w14:paraId="71C9B21D">
            <w:pPr>
              <w:pStyle w:val="61"/>
              <w:spacing w:beforeLines="0" w:afterLines="0" w:line="260" w:lineRule="exact"/>
              <w:jc w:val="center"/>
              <w:rPr>
                <w:rFonts w:hint="default" w:ascii="Times New Roman" w:hAnsi="Times New Roman" w:eastAsia="宋体" w:cs="Times New Roman"/>
                <w:color w:val="auto"/>
                <w:kern w:val="0"/>
                <w:sz w:val="21"/>
                <w:szCs w:val="21"/>
                <w:shd w:val="clear"/>
                <w:lang w:val="en-US" w:eastAsia="zh-CN"/>
              </w:rPr>
            </w:pPr>
            <w:r>
              <w:rPr>
                <w:rFonts w:hint="eastAsia" w:ascii="Times New Roman" w:hAnsi="Times New Roman" w:eastAsia="宋体" w:cs="Times New Roman"/>
                <w:color w:val="auto"/>
                <w:kern w:val="0"/>
                <w:sz w:val="21"/>
                <w:szCs w:val="21"/>
                <w:shd w:val="clear"/>
                <w:lang w:val="en-US" w:eastAsia="zh-CN"/>
              </w:rPr>
              <w:t>/</w:t>
            </w:r>
          </w:p>
        </w:tc>
        <w:tc>
          <w:tcPr>
            <w:tcW w:w="1559" w:type="dxa"/>
            <w:vAlign w:val="center"/>
          </w:tcPr>
          <w:p w14:paraId="5E46108E">
            <w:pPr>
              <w:pStyle w:val="61"/>
              <w:spacing w:beforeLines="0" w:afterLines="0" w:line="260" w:lineRule="exact"/>
              <w:jc w:val="center"/>
              <w:rPr>
                <w:rFonts w:hint="default" w:ascii="Times New Roman" w:hAnsi="Times New Roman" w:eastAsia="宋体" w:cs="Times New Roman"/>
                <w:color w:val="auto"/>
                <w:kern w:val="0"/>
                <w:sz w:val="21"/>
                <w:szCs w:val="21"/>
                <w:shd w:val="clear"/>
                <w:lang w:val="en-US" w:eastAsia="zh-CN"/>
              </w:rPr>
            </w:pPr>
            <w:r>
              <w:rPr>
                <w:rFonts w:hint="eastAsia" w:ascii="Times New Roman" w:cs="Times New Roman"/>
                <w:color w:val="auto"/>
                <w:kern w:val="0"/>
                <w:sz w:val="21"/>
                <w:szCs w:val="21"/>
                <w:shd w:val="clear"/>
                <w:lang w:val="en-US" w:eastAsia="zh-CN"/>
              </w:rPr>
              <w:t>1526.64</w:t>
            </w:r>
            <w:r>
              <w:rPr>
                <w:rFonts w:hint="default" w:ascii="Times New Roman" w:hAnsi="Times New Roman" w:eastAsia="宋体" w:cs="Times New Roman"/>
                <w:color w:val="auto"/>
                <w:kern w:val="0"/>
                <w:sz w:val="21"/>
                <w:szCs w:val="21"/>
                <w:shd w:val="clear"/>
                <w:lang w:val="en-US" w:eastAsia="zh-CN"/>
              </w:rPr>
              <w:t>t/a</w:t>
            </w:r>
          </w:p>
        </w:tc>
        <w:tc>
          <w:tcPr>
            <w:tcW w:w="1521" w:type="dxa"/>
            <w:vAlign w:val="center"/>
          </w:tcPr>
          <w:p w14:paraId="3E81DF88">
            <w:pPr>
              <w:pStyle w:val="61"/>
              <w:spacing w:beforeLines="0" w:afterLines="0" w:line="260" w:lineRule="exact"/>
              <w:jc w:val="center"/>
              <w:rPr>
                <w:rFonts w:hint="default" w:ascii="Times New Roman" w:hAnsi="Times New Roman" w:eastAsia="宋体" w:cs="Times New Roman"/>
                <w:color w:val="auto"/>
                <w:kern w:val="0"/>
                <w:sz w:val="21"/>
                <w:szCs w:val="21"/>
                <w:shd w:val="clear"/>
                <w:lang w:val="en-US" w:eastAsia="zh-CN"/>
              </w:rPr>
            </w:pPr>
            <w:r>
              <w:rPr>
                <w:rFonts w:hint="eastAsia" w:ascii="Times New Roman" w:hAnsi="Times New Roman" w:eastAsia="宋体" w:cs="Times New Roman"/>
                <w:color w:val="auto"/>
                <w:kern w:val="0"/>
                <w:sz w:val="21"/>
                <w:szCs w:val="21"/>
                <w:shd w:val="clear"/>
                <w:lang w:val="en-US" w:eastAsia="zh-CN"/>
              </w:rPr>
              <w:t>/</w:t>
            </w:r>
          </w:p>
        </w:tc>
        <w:tc>
          <w:tcPr>
            <w:tcW w:w="1985" w:type="dxa"/>
            <w:vAlign w:val="center"/>
          </w:tcPr>
          <w:p w14:paraId="549F1780">
            <w:pPr>
              <w:pStyle w:val="61"/>
              <w:spacing w:beforeLines="0" w:afterLines="0" w:line="260" w:lineRule="exact"/>
              <w:jc w:val="center"/>
              <w:rPr>
                <w:rFonts w:hint="default" w:ascii="Times New Roman" w:hAnsi="Times New Roman" w:eastAsia="宋体" w:cs="Times New Roman"/>
                <w:color w:val="auto"/>
                <w:kern w:val="0"/>
                <w:sz w:val="21"/>
                <w:szCs w:val="21"/>
                <w:shd w:val="clear"/>
                <w:lang w:val="en-US" w:eastAsia="zh-CN"/>
              </w:rPr>
            </w:pPr>
            <w:r>
              <w:rPr>
                <w:rFonts w:hint="eastAsia" w:ascii="Times New Roman" w:cs="Times New Roman"/>
                <w:color w:val="auto"/>
                <w:kern w:val="0"/>
                <w:sz w:val="21"/>
                <w:szCs w:val="21"/>
                <w:shd w:val="clear"/>
                <w:lang w:val="en-US" w:eastAsia="zh-CN"/>
              </w:rPr>
              <w:t>1526.64</w:t>
            </w:r>
            <w:r>
              <w:rPr>
                <w:rFonts w:hint="default" w:ascii="Times New Roman" w:hAnsi="Times New Roman" w:eastAsia="宋体" w:cs="Times New Roman"/>
                <w:color w:val="auto"/>
                <w:kern w:val="0"/>
                <w:sz w:val="21"/>
                <w:szCs w:val="21"/>
                <w:shd w:val="clear"/>
                <w:lang w:val="en-US" w:eastAsia="zh-CN"/>
              </w:rPr>
              <w:t>t/a</w:t>
            </w:r>
          </w:p>
        </w:tc>
        <w:tc>
          <w:tcPr>
            <w:tcW w:w="1040" w:type="dxa"/>
            <w:vAlign w:val="center"/>
          </w:tcPr>
          <w:p w14:paraId="033FE59E">
            <w:pPr>
              <w:pStyle w:val="61"/>
              <w:spacing w:beforeLines="0" w:afterLines="0" w:line="260" w:lineRule="exact"/>
              <w:jc w:val="center"/>
              <w:rPr>
                <w:rFonts w:hint="default" w:ascii="Times New Roman" w:hAnsi="Times New Roman" w:eastAsia="宋体" w:cs="Times New Roman"/>
                <w:color w:val="auto"/>
                <w:kern w:val="0"/>
                <w:sz w:val="21"/>
                <w:szCs w:val="21"/>
                <w:shd w:val="clear"/>
                <w:lang w:val="en-US" w:eastAsia="zh-CN"/>
              </w:rPr>
            </w:pPr>
            <w:r>
              <w:rPr>
                <w:rFonts w:hint="default" w:ascii="Times New Roman" w:hAnsi="Times New Roman" w:eastAsia="宋体" w:cs="Times New Roman"/>
                <w:color w:val="auto"/>
                <w:kern w:val="0"/>
                <w:sz w:val="21"/>
                <w:szCs w:val="21"/>
                <w:shd w:val="clear"/>
                <w:lang w:val="en-US" w:eastAsia="zh-CN"/>
              </w:rPr>
              <w:t>+</w:t>
            </w:r>
            <w:r>
              <w:rPr>
                <w:rFonts w:hint="eastAsia" w:ascii="Times New Roman" w:cs="Times New Roman"/>
                <w:color w:val="auto"/>
                <w:kern w:val="0"/>
                <w:sz w:val="21"/>
                <w:szCs w:val="21"/>
                <w:shd w:val="clear"/>
                <w:lang w:val="en-US" w:eastAsia="zh-CN"/>
              </w:rPr>
              <w:t>1526.64</w:t>
            </w:r>
            <w:r>
              <w:rPr>
                <w:rFonts w:hint="default" w:ascii="Times New Roman" w:hAnsi="Times New Roman" w:eastAsia="宋体" w:cs="Times New Roman"/>
                <w:color w:val="auto"/>
                <w:kern w:val="0"/>
                <w:sz w:val="21"/>
                <w:szCs w:val="21"/>
                <w:shd w:val="clear"/>
                <w:lang w:val="en-US" w:eastAsia="zh-CN"/>
              </w:rPr>
              <w:t>t/a</w:t>
            </w:r>
          </w:p>
        </w:tc>
      </w:tr>
      <w:tr w14:paraId="3DB3DB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588" w:type="dxa"/>
            <w:vMerge w:val="continue"/>
            <w:vAlign w:val="center"/>
          </w:tcPr>
          <w:p w14:paraId="3F338BA8">
            <w:pPr>
              <w:pStyle w:val="61"/>
              <w:spacing w:beforeLines="0" w:afterLines="0" w:line="260" w:lineRule="exact"/>
              <w:jc w:val="center"/>
              <w:rPr>
                <w:rFonts w:hint="eastAsia" w:ascii="Times New Roman" w:hAnsi="Times New Roman" w:eastAsia="宋体" w:cs="Times New Roman"/>
                <w:snapToGrid w:val="0"/>
                <w:color w:val="auto"/>
                <w:spacing w:val="-6"/>
                <w:kern w:val="21"/>
                <w:szCs w:val="21"/>
              </w:rPr>
            </w:pPr>
          </w:p>
        </w:tc>
        <w:tc>
          <w:tcPr>
            <w:tcW w:w="1417" w:type="dxa"/>
            <w:vAlign w:val="center"/>
          </w:tcPr>
          <w:p w14:paraId="7694E50C">
            <w:pPr>
              <w:pStyle w:val="61"/>
              <w:spacing w:beforeLines="0" w:afterLines="0" w:line="260" w:lineRule="exact"/>
              <w:jc w:val="center"/>
              <w:rPr>
                <w:rFonts w:hint="default" w:ascii="Times New Roman" w:hAnsi="Times New Roman"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纯水制备废过滤材料</w:t>
            </w:r>
          </w:p>
        </w:tc>
        <w:tc>
          <w:tcPr>
            <w:tcW w:w="1701" w:type="dxa"/>
            <w:vAlign w:val="center"/>
          </w:tcPr>
          <w:p w14:paraId="4177FEC9">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276" w:type="dxa"/>
            <w:vAlign w:val="center"/>
          </w:tcPr>
          <w:p w14:paraId="143BEFE4">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701" w:type="dxa"/>
            <w:vAlign w:val="center"/>
          </w:tcPr>
          <w:p w14:paraId="2C413A3D">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559" w:type="dxa"/>
            <w:vAlign w:val="center"/>
          </w:tcPr>
          <w:p w14:paraId="08DB3C15">
            <w:pPr>
              <w:pStyle w:val="61"/>
              <w:spacing w:beforeLines="0" w:afterLines="0" w:line="260" w:lineRule="exact"/>
              <w:jc w:val="center"/>
              <w:rPr>
                <w:rFonts w:hint="default" w:ascii="Times New Roman" w:hAnsi="Times New Roman" w:cs="Times New Roman"/>
                <w:color w:val="auto"/>
                <w:kern w:val="0"/>
                <w:sz w:val="21"/>
                <w:szCs w:val="21"/>
                <w:shd w:val="clear"/>
                <w:lang w:val="en-US" w:eastAsia="zh-CN"/>
              </w:rPr>
            </w:pPr>
            <w:r>
              <w:rPr>
                <w:rFonts w:hint="eastAsia" w:ascii="Times New Roman" w:hAnsi="Times New Roman" w:cs="Times New Roman"/>
                <w:color w:val="auto"/>
                <w:kern w:val="0"/>
                <w:sz w:val="21"/>
                <w:szCs w:val="21"/>
                <w:shd w:val="clear"/>
                <w:lang w:val="en-US" w:eastAsia="zh-CN"/>
              </w:rPr>
              <w:t>0.2t/a</w:t>
            </w:r>
          </w:p>
        </w:tc>
        <w:tc>
          <w:tcPr>
            <w:tcW w:w="1521" w:type="dxa"/>
            <w:vAlign w:val="center"/>
          </w:tcPr>
          <w:p w14:paraId="497E5CF8">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985" w:type="dxa"/>
            <w:vAlign w:val="center"/>
          </w:tcPr>
          <w:p w14:paraId="350E4158">
            <w:pPr>
              <w:pStyle w:val="61"/>
              <w:spacing w:beforeLines="0" w:afterLines="0" w:line="260" w:lineRule="exact"/>
              <w:jc w:val="center"/>
              <w:rPr>
                <w:rFonts w:hint="default" w:ascii="Times New Roman" w:hAnsi="Times New Roman" w:cs="Times New Roman"/>
                <w:color w:val="auto"/>
                <w:kern w:val="0"/>
                <w:sz w:val="21"/>
                <w:szCs w:val="21"/>
                <w:shd w:val="clear"/>
                <w:lang w:val="en-US" w:eastAsia="zh-CN"/>
              </w:rPr>
            </w:pPr>
            <w:r>
              <w:rPr>
                <w:rFonts w:hint="eastAsia" w:ascii="Times New Roman" w:hAnsi="Times New Roman" w:eastAsia="宋体" w:cs="Times New Roman"/>
                <w:color w:val="auto"/>
                <w:kern w:val="0"/>
                <w:sz w:val="21"/>
                <w:szCs w:val="21"/>
                <w:lang w:val="en-US" w:eastAsia="zh-CN"/>
              </w:rPr>
              <w:t>0.2t/a</w:t>
            </w:r>
          </w:p>
        </w:tc>
        <w:tc>
          <w:tcPr>
            <w:tcW w:w="1040" w:type="dxa"/>
            <w:vAlign w:val="center"/>
          </w:tcPr>
          <w:p w14:paraId="74E5D062">
            <w:pPr>
              <w:pStyle w:val="61"/>
              <w:spacing w:beforeLines="0" w:afterLines="0" w:line="260" w:lineRule="exact"/>
              <w:jc w:val="center"/>
              <w:rPr>
                <w:rFonts w:hint="default" w:ascii="Times New Roman" w:hAnsi="Times New Roman" w:cs="Times New Roman"/>
                <w:snapToGrid w:val="0"/>
                <w:color w:val="auto"/>
                <w:spacing w:val="-6"/>
                <w:kern w:val="21"/>
                <w:szCs w:val="21"/>
                <w:lang w:val="en-US" w:eastAsia="zh-CN"/>
              </w:rPr>
            </w:pPr>
            <w:r>
              <w:rPr>
                <w:rFonts w:hint="eastAsia" w:ascii="Times New Roman" w:hAnsi="Times New Roman" w:cs="Times New Roman"/>
                <w:snapToGrid w:val="0"/>
                <w:color w:val="auto"/>
                <w:spacing w:val="-6"/>
                <w:kern w:val="21"/>
                <w:szCs w:val="21"/>
                <w:lang w:val="en-US" w:eastAsia="zh-CN"/>
              </w:rPr>
              <w:t>+</w:t>
            </w:r>
            <w:r>
              <w:rPr>
                <w:rFonts w:hint="eastAsia" w:ascii="Times New Roman" w:hAnsi="Times New Roman" w:eastAsia="宋体" w:cs="Times New Roman"/>
                <w:color w:val="auto"/>
                <w:kern w:val="0"/>
                <w:sz w:val="21"/>
                <w:szCs w:val="21"/>
                <w:lang w:val="en-US" w:eastAsia="zh-CN"/>
              </w:rPr>
              <w:t>0.2t/a</w:t>
            </w:r>
          </w:p>
        </w:tc>
      </w:tr>
      <w:tr w14:paraId="4D4A80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1588" w:type="dxa"/>
            <w:vMerge w:val="continue"/>
            <w:vAlign w:val="center"/>
          </w:tcPr>
          <w:p w14:paraId="74A9757C">
            <w:pPr>
              <w:pStyle w:val="61"/>
              <w:spacing w:beforeLines="0" w:afterLines="0" w:line="260" w:lineRule="exact"/>
              <w:jc w:val="center"/>
              <w:rPr>
                <w:rFonts w:hint="eastAsia" w:ascii="Times New Roman" w:hAnsi="Times New Roman" w:eastAsia="宋体" w:cs="Times New Roman"/>
                <w:snapToGrid w:val="0"/>
                <w:color w:val="auto"/>
                <w:spacing w:val="-6"/>
                <w:kern w:val="21"/>
                <w:szCs w:val="21"/>
              </w:rPr>
            </w:pPr>
          </w:p>
        </w:tc>
        <w:tc>
          <w:tcPr>
            <w:tcW w:w="1417" w:type="dxa"/>
            <w:vAlign w:val="center"/>
          </w:tcPr>
          <w:p w14:paraId="01862A06">
            <w:pPr>
              <w:pStyle w:val="61"/>
              <w:spacing w:beforeLines="0" w:afterLines="0" w:line="260" w:lineRule="exact"/>
              <w:jc w:val="center"/>
              <w:rPr>
                <w:rFonts w:hint="default" w:ascii="Times New Roman" w:hAnsi="Times New Roman" w:cs="Times New Roman"/>
                <w:color w:val="auto"/>
                <w:kern w:val="0"/>
                <w:sz w:val="21"/>
                <w:szCs w:val="21"/>
                <w:lang w:val="en-US" w:eastAsia="zh-CN"/>
              </w:rPr>
            </w:pPr>
            <w:r>
              <w:rPr>
                <w:rFonts w:hint="eastAsia"/>
                <w:color w:val="auto"/>
                <w:kern w:val="0"/>
                <w:sz w:val="21"/>
                <w:szCs w:val="21"/>
                <w:lang w:val="en-US" w:eastAsia="zh-CN"/>
              </w:rPr>
              <w:t>废分子筛</w:t>
            </w:r>
          </w:p>
        </w:tc>
        <w:tc>
          <w:tcPr>
            <w:tcW w:w="1701" w:type="dxa"/>
            <w:vAlign w:val="center"/>
          </w:tcPr>
          <w:p w14:paraId="59196C82">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276" w:type="dxa"/>
            <w:vAlign w:val="center"/>
          </w:tcPr>
          <w:p w14:paraId="25DE9FF3">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701" w:type="dxa"/>
            <w:vAlign w:val="center"/>
          </w:tcPr>
          <w:p w14:paraId="3645A939">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559" w:type="dxa"/>
            <w:vAlign w:val="center"/>
          </w:tcPr>
          <w:p w14:paraId="68ECD6EA">
            <w:pPr>
              <w:pStyle w:val="61"/>
              <w:spacing w:beforeLines="0" w:afterLines="0" w:line="260" w:lineRule="exact"/>
              <w:jc w:val="center"/>
              <w:rPr>
                <w:rFonts w:hint="default" w:ascii="Times New Roman" w:hAnsi="Times New Roman" w:cs="Times New Roman"/>
                <w:color w:val="auto"/>
                <w:kern w:val="0"/>
                <w:sz w:val="21"/>
                <w:szCs w:val="21"/>
                <w:shd w:val="clear"/>
                <w:lang w:val="en-US" w:eastAsia="zh-CN"/>
              </w:rPr>
            </w:pPr>
            <w:r>
              <w:rPr>
                <w:rFonts w:hint="eastAsia" w:ascii="Times New Roman" w:hAnsi="Times New Roman" w:cs="Times New Roman"/>
                <w:color w:val="auto"/>
                <w:kern w:val="0"/>
                <w:sz w:val="21"/>
                <w:szCs w:val="21"/>
                <w:shd w:val="clear"/>
                <w:lang w:val="en-US" w:eastAsia="zh-CN"/>
              </w:rPr>
              <w:t>0.2t/a</w:t>
            </w:r>
          </w:p>
        </w:tc>
        <w:tc>
          <w:tcPr>
            <w:tcW w:w="1521" w:type="dxa"/>
            <w:vAlign w:val="center"/>
          </w:tcPr>
          <w:p w14:paraId="3A98018E">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985" w:type="dxa"/>
            <w:shd w:val="clear" w:color="auto" w:fill="auto"/>
            <w:vAlign w:val="center"/>
          </w:tcPr>
          <w:p w14:paraId="6278426A">
            <w:pPr>
              <w:pStyle w:val="61"/>
              <w:spacing w:beforeLines="0" w:afterLines="0" w:line="260" w:lineRule="exact"/>
              <w:jc w:val="center"/>
              <w:rPr>
                <w:rFonts w:hint="default" w:ascii="Times New Roman" w:hAnsi="Times New Roman" w:eastAsia="宋体" w:cs="Times New Roman"/>
                <w:color w:val="auto"/>
                <w:kern w:val="0"/>
                <w:sz w:val="21"/>
                <w:szCs w:val="21"/>
                <w:shd w:val="clear"/>
                <w:lang w:val="en-US" w:eastAsia="zh-CN" w:bidi="ar-SA"/>
              </w:rPr>
            </w:pPr>
            <w:r>
              <w:rPr>
                <w:rFonts w:hint="eastAsia" w:ascii="Times New Roman" w:hAnsi="Times New Roman" w:eastAsia="宋体" w:cs="Times New Roman"/>
                <w:color w:val="auto"/>
                <w:kern w:val="0"/>
                <w:sz w:val="21"/>
                <w:szCs w:val="21"/>
                <w:lang w:val="en-US" w:eastAsia="zh-CN"/>
              </w:rPr>
              <w:t>0.2t/a</w:t>
            </w:r>
          </w:p>
        </w:tc>
        <w:tc>
          <w:tcPr>
            <w:tcW w:w="1040" w:type="dxa"/>
            <w:shd w:val="clear" w:color="auto" w:fill="auto"/>
            <w:vAlign w:val="center"/>
          </w:tcPr>
          <w:p w14:paraId="41B7C6EC">
            <w:pPr>
              <w:pStyle w:val="61"/>
              <w:spacing w:beforeLines="0" w:afterLines="0" w:line="260" w:lineRule="exact"/>
              <w:jc w:val="center"/>
              <w:rPr>
                <w:rFonts w:hint="default" w:ascii="Times New Roman" w:hAnsi="Times New Roman" w:eastAsia="宋体" w:cs="Times New Roman"/>
                <w:snapToGrid w:val="0"/>
                <w:color w:val="auto"/>
                <w:spacing w:val="-6"/>
                <w:kern w:val="21"/>
                <w:sz w:val="21"/>
                <w:szCs w:val="21"/>
                <w:lang w:val="en-US" w:eastAsia="zh-CN" w:bidi="ar-SA"/>
              </w:rPr>
            </w:pPr>
            <w:r>
              <w:rPr>
                <w:rFonts w:hint="eastAsia" w:ascii="Times New Roman" w:hAnsi="Times New Roman" w:cs="Times New Roman"/>
                <w:snapToGrid w:val="0"/>
                <w:color w:val="auto"/>
                <w:spacing w:val="-6"/>
                <w:kern w:val="21"/>
                <w:szCs w:val="21"/>
                <w:lang w:val="en-US" w:eastAsia="zh-CN"/>
              </w:rPr>
              <w:t>+</w:t>
            </w:r>
            <w:r>
              <w:rPr>
                <w:rFonts w:hint="eastAsia" w:ascii="Times New Roman" w:hAnsi="Times New Roman" w:eastAsia="宋体" w:cs="Times New Roman"/>
                <w:color w:val="auto"/>
                <w:kern w:val="0"/>
                <w:sz w:val="21"/>
                <w:szCs w:val="21"/>
                <w:lang w:val="en-US" w:eastAsia="zh-CN"/>
              </w:rPr>
              <w:t>0.2t/a</w:t>
            </w:r>
          </w:p>
        </w:tc>
      </w:tr>
      <w:tr w14:paraId="569FAC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1588" w:type="dxa"/>
            <w:vMerge w:val="continue"/>
            <w:vAlign w:val="center"/>
          </w:tcPr>
          <w:p w14:paraId="57396C17">
            <w:pPr>
              <w:pStyle w:val="61"/>
              <w:spacing w:beforeLines="0" w:afterLines="0" w:line="260" w:lineRule="exact"/>
              <w:jc w:val="center"/>
              <w:rPr>
                <w:rFonts w:hint="eastAsia" w:ascii="Times New Roman" w:hAnsi="Times New Roman" w:eastAsia="宋体" w:cs="Times New Roman"/>
                <w:snapToGrid w:val="0"/>
                <w:color w:val="auto"/>
                <w:spacing w:val="-6"/>
                <w:kern w:val="21"/>
                <w:szCs w:val="21"/>
              </w:rPr>
            </w:pPr>
          </w:p>
        </w:tc>
        <w:tc>
          <w:tcPr>
            <w:tcW w:w="1417" w:type="dxa"/>
            <w:vAlign w:val="center"/>
          </w:tcPr>
          <w:p w14:paraId="0E5FA43F">
            <w:pPr>
              <w:pStyle w:val="61"/>
              <w:spacing w:beforeLines="0" w:afterLines="0" w:line="260" w:lineRule="exact"/>
              <w:jc w:val="center"/>
              <w:rPr>
                <w:rFonts w:hint="default" w:ascii="Times New Roman" w:hAnsi="Times New Roman" w:cs="Times New Roman"/>
                <w:color w:val="auto"/>
                <w:kern w:val="0"/>
                <w:sz w:val="21"/>
                <w:szCs w:val="21"/>
                <w:lang w:val="en-US" w:eastAsia="zh-CN"/>
              </w:rPr>
            </w:pPr>
            <w:r>
              <w:rPr>
                <w:rFonts w:hint="eastAsia"/>
                <w:color w:val="auto"/>
                <w:kern w:val="0"/>
                <w:sz w:val="21"/>
                <w:szCs w:val="21"/>
                <w:lang w:val="en-US" w:eastAsia="zh-CN"/>
              </w:rPr>
              <w:t>不合格品</w:t>
            </w:r>
          </w:p>
        </w:tc>
        <w:tc>
          <w:tcPr>
            <w:tcW w:w="1701" w:type="dxa"/>
            <w:vAlign w:val="center"/>
          </w:tcPr>
          <w:p w14:paraId="7195AB1B">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276" w:type="dxa"/>
            <w:vAlign w:val="center"/>
          </w:tcPr>
          <w:p w14:paraId="235A9B9D">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701" w:type="dxa"/>
            <w:vAlign w:val="center"/>
          </w:tcPr>
          <w:p w14:paraId="3E8FCB3A">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559" w:type="dxa"/>
            <w:vAlign w:val="center"/>
          </w:tcPr>
          <w:p w14:paraId="4466D314">
            <w:pPr>
              <w:pStyle w:val="61"/>
              <w:spacing w:beforeLines="0" w:afterLines="0" w:line="260" w:lineRule="exact"/>
              <w:jc w:val="center"/>
              <w:rPr>
                <w:rFonts w:hint="default" w:ascii="Times New Roman" w:hAnsi="Times New Roman" w:cs="Times New Roman"/>
                <w:color w:val="auto"/>
                <w:kern w:val="0"/>
                <w:sz w:val="21"/>
                <w:szCs w:val="21"/>
                <w:shd w:val="clear"/>
                <w:lang w:val="en-US" w:eastAsia="zh-CN"/>
              </w:rPr>
            </w:pPr>
            <w:r>
              <w:rPr>
                <w:rFonts w:hint="eastAsia" w:ascii="Times New Roman" w:hAnsi="Times New Roman" w:cs="Times New Roman"/>
                <w:color w:val="auto"/>
                <w:kern w:val="0"/>
                <w:sz w:val="21"/>
                <w:szCs w:val="21"/>
                <w:shd w:val="clear"/>
                <w:lang w:val="en-US" w:eastAsia="zh-CN"/>
              </w:rPr>
              <w:t>0.</w:t>
            </w:r>
            <w:r>
              <w:rPr>
                <w:rFonts w:hint="eastAsia" w:ascii="Times New Roman" w:cs="Times New Roman"/>
                <w:color w:val="auto"/>
                <w:kern w:val="0"/>
                <w:sz w:val="21"/>
                <w:szCs w:val="21"/>
                <w:shd w:val="clear"/>
                <w:lang w:val="en-US" w:eastAsia="zh-CN"/>
              </w:rPr>
              <w:t>7</w:t>
            </w:r>
            <w:r>
              <w:rPr>
                <w:rFonts w:hint="eastAsia" w:ascii="Times New Roman" w:hAnsi="Times New Roman" w:cs="Times New Roman"/>
                <w:color w:val="auto"/>
                <w:kern w:val="0"/>
                <w:sz w:val="21"/>
                <w:szCs w:val="21"/>
                <w:shd w:val="clear"/>
                <w:lang w:val="en-US" w:eastAsia="zh-CN"/>
              </w:rPr>
              <w:t>t/a</w:t>
            </w:r>
          </w:p>
        </w:tc>
        <w:tc>
          <w:tcPr>
            <w:tcW w:w="1521" w:type="dxa"/>
            <w:vAlign w:val="center"/>
          </w:tcPr>
          <w:p w14:paraId="4D369E45">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985" w:type="dxa"/>
            <w:shd w:val="clear" w:color="auto" w:fill="auto"/>
            <w:vAlign w:val="center"/>
          </w:tcPr>
          <w:p w14:paraId="14262D49">
            <w:pPr>
              <w:pStyle w:val="61"/>
              <w:spacing w:beforeLines="0" w:afterLines="0" w:line="260" w:lineRule="exact"/>
              <w:jc w:val="center"/>
              <w:rPr>
                <w:rFonts w:hint="default" w:ascii="Times New Roman" w:hAnsi="Times New Roman" w:eastAsia="宋体" w:cs="Times New Roman"/>
                <w:color w:val="auto"/>
                <w:kern w:val="0"/>
                <w:sz w:val="21"/>
                <w:szCs w:val="21"/>
                <w:shd w:val="clear"/>
                <w:lang w:val="en-US" w:eastAsia="zh-CN" w:bidi="ar-SA"/>
              </w:rPr>
            </w:pPr>
            <w:r>
              <w:rPr>
                <w:rFonts w:hint="eastAsia" w:ascii="Times New Roman" w:hAnsi="Times New Roman" w:eastAsia="宋体" w:cs="Times New Roman"/>
                <w:color w:val="auto"/>
                <w:kern w:val="0"/>
                <w:sz w:val="21"/>
                <w:szCs w:val="21"/>
                <w:lang w:val="en-US" w:eastAsia="zh-CN"/>
              </w:rPr>
              <w:t>0.</w:t>
            </w:r>
            <w:r>
              <w:rPr>
                <w:rFonts w:hint="eastAsia" w:ascii="Times New Roman" w:cs="Times New Roman"/>
                <w:color w:val="auto"/>
                <w:kern w:val="0"/>
                <w:sz w:val="21"/>
                <w:szCs w:val="21"/>
                <w:lang w:val="en-US" w:eastAsia="zh-CN"/>
              </w:rPr>
              <w:t>7</w:t>
            </w:r>
            <w:r>
              <w:rPr>
                <w:rFonts w:hint="eastAsia" w:ascii="Times New Roman" w:hAnsi="Times New Roman" w:eastAsia="宋体" w:cs="Times New Roman"/>
                <w:color w:val="auto"/>
                <w:kern w:val="0"/>
                <w:sz w:val="21"/>
                <w:szCs w:val="21"/>
                <w:lang w:val="en-US" w:eastAsia="zh-CN"/>
              </w:rPr>
              <w:t>t/a</w:t>
            </w:r>
          </w:p>
        </w:tc>
        <w:tc>
          <w:tcPr>
            <w:tcW w:w="1040" w:type="dxa"/>
            <w:shd w:val="clear" w:color="auto" w:fill="auto"/>
            <w:vAlign w:val="center"/>
          </w:tcPr>
          <w:p w14:paraId="5515B437">
            <w:pPr>
              <w:pStyle w:val="61"/>
              <w:spacing w:beforeLines="0" w:afterLines="0" w:line="260" w:lineRule="exact"/>
              <w:jc w:val="center"/>
              <w:rPr>
                <w:rFonts w:hint="default" w:ascii="Times New Roman" w:hAnsi="Times New Roman" w:eastAsia="宋体" w:cs="Times New Roman"/>
                <w:snapToGrid w:val="0"/>
                <w:color w:val="auto"/>
                <w:spacing w:val="-6"/>
                <w:kern w:val="21"/>
                <w:sz w:val="21"/>
                <w:szCs w:val="21"/>
                <w:lang w:val="en-US" w:eastAsia="zh-CN" w:bidi="ar-SA"/>
              </w:rPr>
            </w:pPr>
            <w:r>
              <w:rPr>
                <w:rFonts w:hint="eastAsia" w:ascii="Times New Roman" w:hAnsi="Times New Roman" w:cs="Times New Roman"/>
                <w:snapToGrid w:val="0"/>
                <w:color w:val="auto"/>
                <w:spacing w:val="-6"/>
                <w:kern w:val="21"/>
                <w:szCs w:val="21"/>
                <w:lang w:val="en-US" w:eastAsia="zh-CN"/>
              </w:rPr>
              <w:t>+</w:t>
            </w:r>
            <w:r>
              <w:rPr>
                <w:rFonts w:hint="eastAsia" w:ascii="Times New Roman" w:hAnsi="Times New Roman" w:eastAsia="宋体" w:cs="Times New Roman"/>
                <w:color w:val="auto"/>
                <w:kern w:val="0"/>
                <w:sz w:val="21"/>
                <w:szCs w:val="21"/>
                <w:lang w:val="en-US" w:eastAsia="zh-CN"/>
              </w:rPr>
              <w:t>0.</w:t>
            </w:r>
            <w:r>
              <w:rPr>
                <w:rFonts w:hint="eastAsia" w:ascii="Times New Roman" w:cs="Times New Roman"/>
                <w:color w:val="auto"/>
                <w:kern w:val="0"/>
                <w:sz w:val="21"/>
                <w:szCs w:val="21"/>
                <w:lang w:val="en-US" w:eastAsia="zh-CN"/>
              </w:rPr>
              <w:t>7</w:t>
            </w:r>
            <w:r>
              <w:rPr>
                <w:rFonts w:hint="eastAsia" w:ascii="Times New Roman" w:hAnsi="Times New Roman" w:eastAsia="宋体" w:cs="Times New Roman"/>
                <w:color w:val="auto"/>
                <w:kern w:val="0"/>
                <w:sz w:val="21"/>
                <w:szCs w:val="21"/>
                <w:lang w:val="en-US" w:eastAsia="zh-CN"/>
              </w:rPr>
              <w:t>t/a</w:t>
            </w:r>
          </w:p>
        </w:tc>
      </w:tr>
      <w:tr w14:paraId="257906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1588" w:type="dxa"/>
            <w:vMerge w:val="restart"/>
            <w:vAlign w:val="center"/>
          </w:tcPr>
          <w:p w14:paraId="704D6FE0">
            <w:pPr>
              <w:pStyle w:val="61"/>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hAnsi="Times New Roman" w:eastAsia="宋体" w:cs="Times New Roman"/>
                <w:snapToGrid w:val="0"/>
                <w:color w:val="auto"/>
                <w:spacing w:val="-6"/>
                <w:kern w:val="21"/>
                <w:szCs w:val="21"/>
              </w:rPr>
              <w:t>危险废物</w:t>
            </w:r>
          </w:p>
        </w:tc>
        <w:tc>
          <w:tcPr>
            <w:tcW w:w="1417" w:type="dxa"/>
            <w:vAlign w:val="center"/>
          </w:tcPr>
          <w:p w14:paraId="761BB0DC">
            <w:pPr>
              <w:pStyle w:val="61"/>
              <w:spacing w:beforeLines="0" w:afterLines="0" w:line="260" w:lineRule="exact"/>
              <w:jc w:val="center"/>
              <w:rPr>
                <w:rFonts w:hint="eastAsia" w:ascii="Times New Roman" w:hAnsi="Times New Roman" w:eastAsia="宋体"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废活性炭</w:t>
            </w:r>
          </w:p>
        </w:tc>
        <w:tc>
          <w:tcPr>
            <w:tcW w:w="1701" w:type="dxa"/>
            <w:vAlign w:val="center"/>
          </w:tcPr>
          <w:p w14:paraId="25376C20">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276" w:type="dxa"/>
            <w:vAlign w:val="center"/>
          </w:tcPr>
          <w:p w14:paraId="4E4FA5B5">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701" w:type="dxa"/>
            <w:vAlign w:val="center"/>
          </w:tcPr>
          <w:p w14:paraId="4421757E">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559" w:type="dxa"/>
            <w:vAlign w:val="center"/>
          </w:tcPr>
          <w:p w14:paraId="095046E3">
            <w:pPr>
              <w:pStyle w:val="61"/>
              <w:spacing w:beforeLines="0" w:afterLines="0" w:line="260" w:lineRule="exact"/>
              <w:jc w:val="center"/>
              <w:rPr>
                <w:rFonts w:hint="default" w:ascii="Times New Roman" w:hAnsi="Times New Roman" w:eastAsia="宋体"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8.76422t/a</w:t>
            </w:r>
          </w:p>
        </w:tc>
        <w:tc>
          <w:tcPr>
            <w:tcW w:w="1521" w:type="dxa"/>
            <w:vAlign w:val="center"/>
          </w:tcPr>
          <w:p w14:paraId="3E2419E8">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985" w:type="dxa"/>
            <w:vAlign w:val="center"/>
          </w:tcPr>
          <w:p w14:paraId="083AE5F2">
            <w:pPr>
              <w:pStyle w:val="61"/>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8.76422t/a</w:t>
            </w:r>
          </w:p>
        </w:tc>
        <w:tc>
          <w:tcPr>
            <w:tcW w:w="1040" w:type="dxa"/>
            <w:vAlign w:val="center"/>
          </w:tcPr>
          <w:p w14:paraId="613370F4">
            <w:pPr>
              <w:pStyle w:val="61"/>
              <w:spacing w:beforeLines="0" w:afterLines="0" w:line="260" w:lineRule="exact"/>
              <w:jc w:val="center"/>
              <w:rPr>
                <w:rFonts w:hint="eastAsia" w:ascii="Times New Roman" w:hAnsi="Times New Roman" w:eastAsia="宋体"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+8.76422t/a</w:t>
            </w:r>
          </w:p>
        </w:tc>
      </w:tr>
      <w:tr w14:paraId="33D7C1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1588" w:type="dxa"/>
            <w:vMerge w:val="continue"/>
            <w:vAlign w:val="center"/>
          </w:tcPr>
          <w:p w14:paraId="60E31383">
            <w:pPr>
              <w:pStyle w:val="61"/>
              <w:spacing w:beforeLines="0" w:afterLines="0" w:line="260" w:lineRule="exact"/>
              <w:jc w:val="center"/>
              <w:rPr>
                <w:rFonts w:hint="eastAsia" w:ascii="Times New Roman" w:hAnsi="Times New Roman" w:eastAsia="宋体" w:cs="Times New Roman"/>
                <w:snapToGrid w:val="0"/>
                <w:color w:val="auto"/>
                <w:spacing w:val="-6"/>
                <w:kern w:val="21"/>
                <w:szCs w:val="21"/>
              </w:rPr>
            </w:pPr>
          </w:p>
        </w:tc>
        <w:tc>
          <w:tcPr>
            <w:tcW w:w="1417" w:type="dxa"/>
            <w:vAlign w:val="center"/>
          </w:tcPr>
          <w:p w14:paraId="58C27DF9">
            <w:pPr>
              <w:pStyle w:val="61"/>
              <w:spacing w:beforeLines="0" w:afterLines="0" w:line="260" w:lineRule="exact"/>
              <w:jc w:val="center"/>
              <w:rPr>
                <w:rFonts w:hint="default" w:ascii="Times New Roman" w:hAnsi="Times New Roman" w:eastAsia="宋体"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废水处理污泥</w:t>
            </w:r>
          </w:p>
        </w:tc>
        <w:tc>
          <w:tcPr>
            <w:tcW w:w="1701" w:type="dxa"/>
            <w:vAlign w:val="center"/>
          </w:tcPr>
          <w:p w14:paraId="74FB0175">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276" w:type="dxa"/>
            <w:vAlign w:val="center"/>
          </w:tcPr>
          <w:p w14:paraId="187B4207">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701" w:type="dxa"/>
            <w:vAlign w:val="center"/>
          </w:tcPr>
          <w:p w14:paraId="29EF6282">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559" w:type="dxa"/>
            <w:vAlign w:val="center"/>
          </w:tcPr>
          <w:p w14:paraId="7F00DE4E">
            <w:pPr>
              <w:pStyle w:val="61"/>
              <w:spacing w:beforeLines="0" w:afterLines="0" w:line="260" w:lineRule="exact"/>
              <w:jc w:val="center"/>
              <w:rPr>
                <w:rFonts w:hint="default" w:ascii="Times New Roman" w:hAnsi="Times New Roman" w:eastAsia="宋体"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0.13t/a</w:t>
            </w:r>
          </w:p>
        </w:tc>
        <w:tc>
          <w:tcPr>
            <w:tcW w:w="1521" w:type="dxa"/>
            <w:vAlign w:val="center"/>
          </w:tcPr>
          <w:p w14:paraId="3004ECC1">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985" w:type="dxa"/>
            <w:vAlign w:val="center"/>
          </w:tcPr>
          <w:p w14:paraId="51CCB6F7">
            <w:pPr>
              <w:pStyle w:val="61"/>
              <w:spacing w:beforeLines="0" w:afterLines="0" w:line="260" w:lineRule="exact"/>
              <w:jc w:val="center"/>
              <w:rPr>
                <w:rFonts w:hint="default" w:ascii="Times New Roman" w:hAnsi="Times New Roman" w:eastAsia="宋体"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0.13t/a</w:t>
            </w:r>
          </w:p>
        </w:tc>
        <w:tc>
          <w:tcPr>
            <w:tcW w:w="1040" w:type="dxa"/>
            <w:vAlign w:val="center"/>
          </w:tcPr>
          <w:p w14:paraId="4A0A03EA">
            <w:pPr>
              <w:pStyle w:val="61"/>
              <w:spacing w:beforeLines="0" w:afterLines="0" w:line="260" w:lineRule="exact"/>
              <w:jc w:val="center"/>
              <w:rPr>
                <w:rFonts w:hint="default" w:ascii="Times New Roman" w:hAnsi="Times New Roman" w:eastAsia="宋体"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+0.13t/a</w:t>
            </w:r>
          </w:p>
        </w:tc>
      </w:tr>
      <w:tr w14:paraId="272A76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1588" w:type="dxa"/>
            <w:vMerge w:val="continue"/>
            <w:vAlign w:val="center"/>
          </w:tcPr>
          <w:p w14:paraId="24EEF838">
            <w:pPr>
              <w:pStyle w:val="61"/>
              <w:spacing w:beforeLines="0" w:afterLines="0" w:line="260" w:lineRule="exact"/>
              <w:jc w:val="center"/>
              <w:rPr>
                <w:rFonts w:hint="eastAsia" w:ascii="Times New Roman" w:hAnsi="Times New Roman" w:eastAsia="宋体" w:cs="Times New Roman"/>
                <w:snapToGrid w:val="0"/>
                <w:color w:val="auto"/>
                <w:spacing w:val="-6"/>
                <w:kern w:val="21"/>
                <w:szCs w:val="21"/>
              </w:rPr>
            </w:pPr>
          </w:p>
        </w:tc>
        <w:tc>
          <w:tcPr>
            <w:tcW w:w="1417" w:type="dxa"/>
            <w:vAlign w:val="center"/>
          </w:tcPr>
          <w:p w14:paraId="3C3F9414">
            <w:pPr>
              <w:pStyle w:val="61"/>
              <w:spacing w:beforeLines="0" w:afterLines="0" w:line="260" w:lineRule="exact"/>
              <w:jc w:val="center"/>
              <w:rPr>
                <w:rFonts w:hint="eastAsia" w:ascii="Times New Roman" w:hAnsi="Times New Roman" w:eastAsia="宋体"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废机油</w:t>
            </w:r>
          </w:p>
        </w:tc>
        <w:tc>
          <w:tcPr>
            <w:tcW w:w="1701" w:type="dxa"/>
            <w:vAlign w:val="center"/>
          </w:tcPr>
          <w:p w14:paraId="0D186D22">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276" w:type="dxa"/>
            <w:vAlign w:val="center"/>
          </w:tcPr>
          <w:p w14:paraId="000E24A9">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701" w:type="dxa"/>
            <w:vAlign w:val="center"/>
          </w:tcPr>
          <w:p w14:paraId="5CBF8AB4">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559" w:type="dxa"/>
            <w:vAlign w:val="center"/>
          </w:tcPr>
          <w:p w14:paraId="27E0A58D">
            <w:pPr>
              <w:pStyle w:val="61"/>
              <w:spacing w:beforeLines="0" w:afterLines="0" w:line="260" w:lineRule="exact"/>
              <w:jc w:val="center"/>
              <w:rPr>
                <w:rFonts w:hint="default" w:ascii="Times New Roman" w:hAnsi="Times New Roman" w:eastAsia="宋体"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0.01t/a</w:t>
            </w:r>
          </w:p>
        </w:tc>
        <w:tc>
          <w:tcPr>
            <w:tcW w:w="1521" w:type="dxa"/>
            <w:vAlign w:val="center"/>
          </w:tcPr>
          <w:p w14:paraId="2796F64A">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985" w:type="dxa"/>
            <w:vAlign w:val="center"/>
          </w:tcPr>
          <w:p w14:paraId="1DEE4CE0">
            <w:pPr>
              <w:pStyle w:val="61"/>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0.01t/a</w:t>
            </w:r>
          </w:p>
        </w:tc>
        <w:tc>
          <w:tcPr>
            <w:tcW w:w="1040" w:type="dxa"/>
            <w:vAlign w:val="center"/>
          </w:tcPr>
          <w:p w14:paraId="0D422A5A">
            <w:pPr>
              <w:pStyle w:val="61"/>
              <w:spacing w:beforeLines="0" w:afterLines="0" w:line="260" w:lineRule="exact"/>
              <w:jc w:val="center"/>
              <w:rPr>
                <w:rFonts w:hint="eastAsia" w:ascii="Times New Roman" w:hAnsi="Times New Roman" w:eastAsia="宋体"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+0.01t/a</w:t>
            </w:r>
          </w:p>
        </w:tc>
      </w:tr>
      <w:tr w14:paraId="1B1B25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1588" w:type="dxa"/>
            <w:vMerge w:val="continue"/>
            <w:vAlign w:val="center"/>
          </w:tcPr>
          <w:p w14:paraId="61C162B4">
            <w:pPr>
              <w:pStyle w:val="61"/>
              <w:spacing w:beforeLines="0" w:afterLines="0" w:line="260" w:lineRule="exact"/>
              <w:jc w:val="center"/>
              <w:rPr>
                <w:rFonts w:hint="eastAsia" w:ascii="Times New Roman" w:hAnsi="Times New Roman" w:eastAsia="宋体" w:cs="Times New Roman"/>
                <w:snapToGrid w:val="0"/>
                <w:color w:val="auto"/>
                <w:spacing w:val="-6"/>
                <w:kern w:val="21"/>
                <w:szCs w:val="21"/>
              </w:rPr>
            </w:pPr>
          </w:p>
        </w:tc>
        <w:tc>
          <w:tcPr>
            <w:tcW w:w="1417" w:type="dxa"/>
            <w:vAlign w:val="center"/>
          </w:tcPr>
          <w:p w14:paraId="53B245F9">
            <w:pPr>
              <w:pStyle w:val="61"/>
              <w:spacing w:beforeLines="0" w:afterLines="0" w:line="260" w:lineRule="exact"/>
              <w:jc w:val="center"/>
              <w:rPr>
                <w:rFonts w:hint="default" w:ascii="Times New Roman" w:hAnsi="Times New Roman" w:eastAsia="宋体"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含油棉纱手套、抹布</w:t>
            </w:r>
          </w:p>
        </w:tc>
        <w:tc>
          <w:tcPr>
            <w:tcW w:w="1701" w:type="dxa"/>
            <w:vAlign w:val="center"/>
          </w:tcPr>
          <w:p w14:paraId="43D3A18A">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276" w:type="dxa"/>
            <w:vAlign w:val="center"/>
          </w:tcPr>
          <w:p w14:paraId="51795127">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701" w:type="dxa"/>
            <w:vAlign w:val="center"/>
          </w:tcPr>
          <w:p w14:paraId="2D275A2C">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559" w:type="dxa"/>
            <w:shd w:val="clear" w:color="auto" w:fill="auto"/>
            <w:vAlign w:val="center"/>
          </w:tcPr>
          <w:p w14:paraId="136114E3">
            <w:pPr>
              <w:pStyle w:val="61"/>
              <w:spacing w:beforeLines="0" w:afterLines="0" w:line="260" w:lineRule="exact"/>
              <w:jc w:val="center"/>
              <w:rPr>
                <w:rFonts w:hint="default" w:ascii="Times New Roman" w:hAnsi="Times New Roman" w:eastAsia="宋体" w:cs="Times New Roman"/>
                <w:snapToGrid w:val="0"/>
                <w:color w:val="auto"/>
                <w:spacing w:val="-6"/>
                <w:kern w:val="21"/>
                <w:sz w:val="21"/>
                <w:szCs w:val="21"/>
                <w:lang w:val="en-US" w:eastAsia="zh-CN" w:bidi="ar-SA"/>
              </w:rPr>
            </w:pPr>
            <w:r>
              <w:rPr>
                <w:rFonts w:hint="eastAsia" w:ascii="Times New Roman" w:cs="Times New Roman"/>
                <w:snapToGrid w:val="0"/>
                <w:color w:val="auto"/>
                <w:spacing w:val="-6"/>
                <w:kern w:val="21"/>
                <w:szCs w:val="21"/>
                <w:lang w:val="en-US" w:eastAsia="zh-CN"/>
              </w:rPr>
              <w:t>0.01t/a</w:t>
            </w:r>
          </w:p>
        </w:tc>
        <w:tc>
          <w:tcPr>
            <w:tcW w:w="1521" w:type="dxa"/>
            <w:shd w:val="clear" w:color="auto" w:fill="auto"/>
            <w:vAlign w:val="center"/>
          </w:tcPr>
          <w:p w14:paraId="5D58FADB">
            <w:pPr>
              <w:spacing w:beforeLines="0" w:afterLines="0" w:line="260" w:lineRule="exact"/>
              <w:jc w:val="center"/>
              <w:rPr>
                <w:rFonts w:hint="default" w:ascii="Times New Roman" w:hAnsi="Times New Roman" w:eastAsia="宋体" w:cs="Times New Roman"/>
                <w:snapToGrid w:val="0"/>
                <w:color w:val="auto"/>
                <w:spacing w:val="-6"/>
                <w:kern w:val="21"/>
                <w:sz w:val="21"/>
                <w:szCs w:val="21"/>
                <w:lang w:val="en-US" w:eastAsia="zh-CN" w:bidi="ar-SA"/>
              </w:rPr>
            </w:pPr>
            <w:r>
              <w:rPr>
                <w:rFonts w:hint="eastAsia" w:ascii="Times New Roman" w:cs="Times New Roman"/>
                <w:snapToGrid w:val="0"/>
                <w:color w:val="auto"/>
                <w:spacing w:val="-6"/>
                <w:kern w:val="21"/>
                <w:szCs w:val="21"/>
                <w:lang w:val="en-US" w:eastAsia="zh-CN"/>
              </w:rPr>
              <w:t>/</w:t>
            </w:r>
          </w:p>
        </w:tc>
        <w:tc>
          <w:tcPr>
            <w:tcW w:w="1985" w:type="dxa"/>
            <w:shd w:val="clear" w:color="auto" w:fill="auto"/>
            <w:vAlign w:val="center"/>
          </w:tcPr>
          <w:p w14:paraId="053C1ECA">
            <w:pPr>
              <w:pStyle w:val="61"/>
              <w:spacing w:beforeLines="0" w:afterLines="0" w:line="260" w:lineRule="exact"/>
              <w:jc w:val="center"/>
              <w:rPr>
                <w:rFonts w:hint="default" w:ascii="Times New Roman" w:hAnsi="Times New Roman" w:eastAsia="宋体" w:cs="Times New Roman"/>
                <w:snapToGrid w:val="0"/>
                <w:color w:val="auto"/>
                <w:spacing w:val="-6"/>
                <w:kern w:val="21"/>
                <w:sz w:val="21"/>
                <w:szCs w:val="21"/>
                <w:lang w:val="en-US" w:eastAsia="zh-CN" w:bidi="ar-SA"/>
              </w:rPr>
            </w:pPr>
            <w:r>
              <w:rPr>
                <w:rFonts w:hint="eastAsia" w:ascii="Times New Roman" w:cs="Times New Roman"/>
                <w:snapToGrid w:val="0"/>
                <w:color w:val="auto"/>
                <w:spacing w:val="-6"/>
                <w:kern w:val="21"/>
                <w:szCs w:val="21"/>
                <w:lang w:val="en-US" w:eastAsia="zh-CN"/>
              </w:rPr>
              <w:t>0.01t/a</w:t>
            </w:r>
          </w:p>
        </w:tc>
        <w:tc>
          <w:tcPr>
            <w:tcW w:w="1040" w:type="dxa"/>
            <w:shd w:val="clear" w:color="auto" w:fill="auto"/>
            <w:vAlign w:val="center"/>
          </w:tcPr>
          <w:p w14:paraId="0572B4A4">
            <w:pPr>
              <w:pStyle w:val="61"/>
              <w:spacing w:beforeLines="0" w:afterLines="0" w:line="260" w:lineRule="exact"/>
              <w:jc w:val="center"/>
              <w:rPr>
                <w:rFonts w:hint="default" w:ascii="Times New Roman" w:hAnsi="Times New Roman" w:eastAsia="宋体" w:cs="Times New Roman"/>
                <w:snapToGrid w:val="0"/>
                <w:color w:val="auto"/>
                <w:spacing w:val="-6"/>
                <w:kern w:val="21"/>
                <w:sz w:val="21"/>
                <w:szCs w:val="21"/>
                <w:lang w:val="en-US" w:eastAsia="zh-CN" w:bidi="ar-SA"/>
              </w:rPr>
            </w:pPr>
            <w:r>
              <w:rPr>
                <w:rFonts w:hint="eastAsia" w:ascii="Times New Roman" w:cs="Times New Roman"/>
                <w:snapToGrid w:val="0"/>
                <w:color w:val="auto"/>
                <w:spacing w:val="-6"/>
                <w:kern w:val="21"/>
                <w:szCs w:val="21"/>
                <w:lang w:val="en-US" w:eastAsia="zh-CN"/>
              </w:rPr>
              <w:t>+0.01t/a</w:t>
            </w:r>
          </w:p>
        </w:tc>
      </w:tr>
      <w:tr w14:paraId="19A681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1588" w:type="dxa"/>
            <w:vMerge w:val="continue"/>
            <w:vAlign w:val="center"/>
          </w:tcPr>
          <w:p w14:paraId="6C6E32DE">
            <w:pPr>
              <w:pStyle w:val="61"/>
              <w:spacing w:beforeLines="0" w:afterLines="0" w:line="260" w:lineRule="exact"/>
              <w:jc w:val="center"/>
              <w:rPr>
                <w:rFonts w:hint="eastAsia" w:ascii="Times New Roman" w:hAnsi="Times New Roman" w:eastAsia="宋体" w:cs="Times New Roman"/>
                <w:snapToGrid w:val="0"/>
                <w:color w:val="auto"/>
                <w:spacing w:val="-6"/>
                <w:kern w:val="21"/>
                <w:szCs w:val="21"/>
              </w:rPr>
            </w:pPr>
          </w:p>
        </w:tc>
        <w:tc>
          <w:tcPr>
            <w:tcW w:w="1417" w:type="dxa"/>
            <w:vAlign w:val="center"/>
          </w:tcPr>
          <w:p w14:paraId="52ACD5F7">
            <w:pPr>
              <w:pStyle w:val="61"/>
              <w:spacing w:beforeLines="0" w:afterLines="0" w:line="260" w:lineRule="exact"/>
              <w:jc w:val="center"/>
              <w:rPr>
                <w:rFonts w:hint="default" w:ascii="Times New Roman"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沾染危险物质的废包装材料</w:t>
            </w:r>
          </w:p>
        </w:tc>
        <w:tc>
          <w:tcPr>
            <w:tcW w:w="1701" w:type="dxa"/>
            <w:vAlign w:val="center"/>
          </w:tcPr>
          <w:p w14:paraId="6D1D5FB9">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276" w:type="dxa"/>
            <w:vAlign w:val="center"/>
          </w:tcPr>
          <w:p w14:paraId="7D0C5B9C">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701" w:type="dxa"/>
            <w:vAlign w:val="center"/>
          </w:tcPr>
          <w:p w14:paraId="2551EB56">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559" w:type="dxa"/>
            <w:shd w:val="clear" w:color="auto" w:fill="auto"/>
            <w:vAlign w:val="center"/>
          </w:tcPr>
          <w:p w14:paraId="6CEBFB24">
            <w:pPr>
              <w:pStyle w:val="61"/>
              <w:spacing w:beforeLines="0" w:afterLines="0" w:line="260" w:lineRule="exact"/>
              <w:jc w:val="center"/>
              <w:rPr>
                <w:rFonts w:hint="default" w:ascii="Times New Roman"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3t/a</w:t>
            </w:r>
          </w:p>
        </w:tc>
        <w:tc>
          <w:tcPr>
            <w:tcW w:w="1521" w:type="dxa"/>
            <w:shd w:val="clear" w:color="auto" w:fill="auto"/>
            <w:vAlign w:val="center"/>
          </w:tcPr>
          <w:p w14:paraId="5C8056E6">
            <w:pPr>
              <w:spacing w:beforeLines="0" w:afterLines="0" w:line="260" w:lineRule="exact"/>
              <w:jc w:val="center"/>
              <w:rPr>
                <w:rFonts w:hint="default" w:ascii="Times New Roman" w:hAnsi="Times New Roman" w:eastAsia="宋体" w:cs="Times New Roman"/>
                <w:snapToGrid w:val="0"/>
                <w:color w:val="auto"/>
                <w:spacing w:val="-6"/>
                <w:kern w:val="21"/>
                <w:sz w:val="21"/>
                <w:szCs w:val="21"/>
                <w:lang w:val="en-US" w:eastAsia="zh-CN" w:bidi="ar-SA"/>
              </w:rPr>
            </w:pPr>
            <w:r>
              <w:rPr>
                <w:rFonts w:hint="eastAsia" w:ascii="Times New Roman" w:cs="Times New Roman"/>
                <w:snapToGrid w:val="0"/>
                <w:color w:val="auto"/>
                <w:spacing w:val="-6"/>
                <w:kern w:val="21"/>
                <w:szCs w:val="21"/>
                <w:lang w:val="en-US" w:eastAsia="zh-CN"/>
              </w:rPr>
              <w:t>/</w:t>
            </w:r>
          </w:p>
        </w:tc>
        <w:tc>
          <w:tcPr>
            <w:tcW w:w="1985" w:type="dxa"/>
            <w:shd w:val="clear" w:color="auto" w:fill="auto"/>
            <w:vAlign w:val="center"/>
          </w:tcPr>
          <w:p w14:paraId="11474765">
            <w:pPr>
              <w:pStyle w:val="61"/>
              <w:spacing w:beforeLines="0" w:afterLines="0" w:line="260" w:lineRule="exact"/>
              <w:jc w:val="center"/>
              <w:rPr>
                <w:rFonts w:hint="eastAsia" w:ascii="Times New Roman"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3t/a</w:t>
            </w:r>
          </w:p>
        </w:tc>
        <w:tc>
          <w:tcPr>
            <w:tcW w:w="1040" w:type="dxa"/>
            <w:shd w:val="clear" w:color="auto" w:fill="auto"/>
            <w:vAlign w:val="center"/>
          </w:tcPr>
          <w:p w14:paraId="3C9095EA">
            <w:pPr>
              <w:pStyle w:val="61"/>
              <w:spacing w:beforeLines="0" w:afterLines="0" w:line="260" w:lineRule="exact"/>
              <w:jc w:val="center"/>
              <w:rPr>
                <w:rFonts w:hint="default" w:ascii="Times New Roman"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+3t/a</w:t>
            </w:r>
          </w:p>
        </w:tc>
      </w:tr>
      <w:tr w14:paraId="0BFE81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1588" w:type="dxa"/>
            <w:vMerge w:val="continue"/>
            <w:vAlign w:val="center"/>
          </w:tcPr>
          <w:p w14:paraId="312BEED1">
            <w:pPr>
              <w:pStyle w:val="61"/>
              <w:spacing w:beforeLines="0" w:afterLines="0" w:line="260" w:lineRule="exact"/>
              <w:jc w:val="center"/>
              <w:rPr>
                <w:rFonts w:hint="eastAsia" w:ascii="Times New Roman" w:hAnsi="Times New Roman" w:eastAsia="宋体" w:cs="Times New Roman"/>
                <w:snapToGrid w:val="0"/>
                <w:color w:val="auto"/>
                <w:spacing w:val="-6"/>
                <w:kern w:val="21"/>
                <w:szCs w:val="21"/>
              </w:rPr>
            </w:pPr>
          </w:p>
        </w:tc>
        <w:tc>
          <w:tcPr>
            <w:tcW w:w="1417" w:type="dxa"/>
            <w:vAlign w:val="center"/>
          </w:tcPr>
          <w:p w14:paraId="1543DA79">
            <w:pPr>
              <w:pStyle w:val="61"/>
              <w:spacing w:beforeLines="0" w:afterLines="0" w:line="260" w:lineRule="exact"/>
              <w:jc w:val="center"/>
              <w:rPr>
                <w:rFonts w:hint="default" w:ascii="Times New Roman"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废沸石转轮</w:t>
            </w:r>
          </w:p>
        </w:tc>
        <w:tc>
          <w:tcPr>
            <w:tcW w:w="1701" w:type="dxa"/>
            <w:vAlign w:val="center"/>
          </w:tcPr>
          <w:p w14:paraId="0393BC3B">
            <w:pPr>
              <w:spacing w:beforeLines="0" w:afterLines="0" w:line="260" w:lineRule="exact"/>
              <w:jc w:val="center"/>
              <w:rPr>
                <w:rFonts w:hint="default" w:ascii="Times New Roman" w:cs="Times New Roman"/>
                <w:snapToGrid w:val="0"/>
                <w:color w:val="auto"/>
                <w:spacing w:val="-6"/>
                <w:kern w:val="21"/>
                <w:szCs w:val="21"/>
                <w:lang w:val="en-US" w:eastAsia="zh-CN"/>
              </w:rPr>
            </w:pPr>
            <w:r>
              <w:rPr>
                <w:rFonts w:hint="eastAsia" w:cs="Times New Roman"/>
                <w:snapToGrid w:val="0"/>
                <w:color w:val="auto"/>
                <w:spacing w:val="-6"/>
                <w:kern w:val="21"/>
                <w:szCs w:val="21"/>
                <w:lang w:val="en-US" w:eastAsia="zh-CN"/>
              </w:rPr>
              <w:t>/</w:t>
            </w:r>
          </w:p>
        </w:tc>
        <w:tc>
          <w:tcPr>
            <w:tcW w:w="1276" w:type="dxa"/>
            <w:vAlign w:val="center"/>
          </w:tcPr>
          <w:p w14:paraId="79547B97">
            <w:pPr>
              <w:spacing w:beforeLines="0" w:afterLines="0" w:line="260" w:lineRule="exact"/>
              <w:jc w:val="center"/>
              <w:rPr>
                <w:rFonts w:hint="default" w:ascii="Times New Roman" w:cs="Times New Roman"/>
                <w:snapToGrid w:val="0"/>
                <w:color w:val="auto"/>
                <w:spacing w:val="-6"/>
                <w:kern w:val="21"/>
                <w:szCs w:val="21"/>
                <w:lang w:val="en-US" w:eastAsia="zh-CN"/>
              </w:rPr>
            </w:pPr>
            <w:r>
              <w:rPr>
                <w:rFonts w:hint="eastAsia" w:cs="Times New Roman"/>
                <w:snapToGrid w:val="0"/>
                <w:color w:val="auto"/>
                <w:spacing w:val="-6"/>
                <w:kern w:val="21"/>
                <w:szCs w:val="21"/>
                <w:lang w:val="en-US" w:eastAsia="zh-CN"/>
              </w:rPr>
              <w:t>/</w:t>
            </w:r>
          </w:p>
        </w:tc>
        <w:tc>
          <w:tcPr>
            <w:tcW w:w="1701" w:type="dxa"/>
            <w:vAlign w:val="center"/>
          </w:tcPr>
          <w:p w14:paraId="62D3D090">
            <w:pPr>
              <w:spacing w:beforeLines="0" w:afterLines="0" w:line="260" w:lineRule="exact"/>
              <w:jc w:val="center"/>
              <w:rPr>
                <w:rFonts w:hint="default" w:ascii="Times New Roman" w:cs="Times New Roman"/>
                <w:snapToGrid w:val="0"/>
                <w:color w:val="auto"/>
                <w:spacing w:val="-6"/>
                <w:kern w:val="21"/>
                <w:szCs w:val="21"/>
                <w:lang w:val="en-US" w:eastAsia="zh-CN"/>
              </w:rPr>
            </w:pPr>
            <w:r>
              <w:rPr>
                <w:rFonts w:hint="eastAsia" w:cs="Times New Roman"/>
                <w:snapToGrid w:val="0"/>
                <w:color w:val="auto"/>
                <w:spacing w:val="-6"/>
                <w:kern w:val="21"/>
                <w:szCs w:val="21"/>
                <w:lang w:val="en-US" w:eastAsia="zh-CN"/>
              </w:rPr>
              <w:t>/</w:t>
            </w:r>
          </w:p>
        </w:tc>
        <w:tc>
          <w:tcPr>
            <w:tcW w:w="1559" w:type="dxa"/>
            <w:shd w:val="clear" w:color="auto" w:fill="auto"/>
            <w:vAlign w:val="center"/>
          </w:tcPr>
          <w:p w14:paraId="41A52363">
            <w:pPr>
              <w:pStyle w:val="61"/>
              <w:spacing w:beforeLines="0" w:afterLines="0" w:line="260" w:lineRule="exact"/>
              <w:jc w:val="center"/>
              <w:rPr>
                <w:rFonts w:hint="default" w:ascii="Times New Roman"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1t/a</w:t>
            </w:r>
          </w:p>
        </w:tc>
        <w:tc>
          <w:tcPr>
            <w:tcW w:w="1521" w:type="dxa"/>
            <w:shd w:val="clear" w:color="auto" w:fill="auto"/>
            <w:vAlign w:val="center"/>
          </w:tcPr>
          <w:p w14:paraId="4A70BB42">
            <w:pPr>
              <w:spacing w:beforeLines="0" w:afterLines="0" w:line="260" w:lineRule="exact"/>
              <w:jc w:val="center"/>
              <w:rPr>
                <w:rFonts w:hint="default" w:ascii="Times New Roman" w:cs="Times New Roman"/>
                <w:snapToGrid w:val="0"/>
                <w:color w:val="auto"/>
                <w:spacing w:val="-6"/>
                <w:kern w:val="21"/>
                <w:szCs w:val="21"/>
                <w:lang w:val="en-US" w:eastAsia="zh-CN"/>
              </w:rPr>
            </w:pPr>
            <w:r>
              <w:rPr>
                <w:rFonts w:hint="eastAsia" w:cs="Times New Roman"/>
                <w:snapToGrid w:val="0"/>
                <w:color w:val="auto"/>
                <w:spacing w:val="-6"/>
                <w:kern w:val="21"/>
                <w:szCs w:val="21"/>
                <w:lang w:val="en-US" w:eastAsia="zh-CN"/>
              </w:rPr>
              <w:t>/</w:t>
            </w:r>
          </w:p>
        </w:tc>
        <w:tc>
          <w:tcPr>
            <w:tcW w:w="1985" w:type="dxa"/>
            <w:shd w:val="clear" w:color="auto" w:fill="auto"/>
            <w:vAlign w:val="center"/>
          </w:tcPr>
          <w:p w14:paraId="2B07B930">
            <w:pPr>
              <w:pStyle w:val="61"/>
              <w:spacing w:beforeLines="0" w:afterLines="0" w:line="260" w:lineRule="exact"/>
              <w:jc w:val="center"/>
              <w:rPr>
                <w:rFonts w:hint="default" w:ascii="Times New Roman"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1t/a</w:t>
            </w:r>
          </w:p>
        </w:tc>
        <w:tc>
          <w:tcPr>
            <w:tcW w:w="1040" w:type="dxa"/>
            <w:shd w:val="clear" w:color="auto" w:fill="auto"/>
            <w:vAlign w:val="center"/>
          </w:tcPr>
          <w:p w14:paraId="441C92AB">
            <w:pPr>
              <w:pStyle w:val="61"/>
              <w:spacing w:beforeLines="0" w:afterLines="0" w:line="260" w:lineRule="exact"/>
              <w:jc w:val="center"/>
              <w:rPr>
                <w:rFonts w:hint="default" w:ascii="Times New Roman"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+1t/a</w:t>
            </w:r>
          </w:p>
        </w:tc>
      </w:tr>
      <w:tr w14:paraId="770CD1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1588" w:type="dxa"/>
            <w:vMerge w:val="continue"/>
            <w:vAlign w:val="center"/>
          </w:tcPr>
          <w:p w14:paraId="3FA5CD60">
            <w:pPr>
              <w:pStyle w:val="61"/>
              <w:spacing w:beforeLines="0" w:afterLines="0" w:line="260" w:lineRule="exact"/>
              <w:jc w:val="center"/>
              <w:rPr>
                <w:rFonts w:hint="eastAsia" w:ascii="Times New Roman" w:hAnsi="Times New Roman" w:eastAsia="宋体" w:cs="Times New Roman"/>
                <w:snapToGrid w:val="0"/>
                <w:color w:val="auto"/>
                <w:spacing w:val="-6"/>
                <w:kern w:val="21"/>
                <w:szCs w:val="21"/>
              </w:rPr>
            </w:pPr>
          </w:p>
        </w:tc>
        <w:tc>
          <w:tcPr>
            <w:tcW w:w="1417" w:type="dxa"/>
            <w:vAlign w:val="center"/>
          </w:tcPr>
          <w:p w14:paraId="62A10C34">
            <w:pPr>
              <w:pStyle w:val="61"/>
              <w:spacing w:beforeLines="0" w:afterLines="0" w:line="260" w:lineRule="exact"/>
              <w:jc w:val="center"/>
              <w:rPr>
                <w:rFonts w:hint="default" w:ascii="Times New Roman"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沾染危险物质的废组件</w:t>
            </w:r>
          </w:p>
        </w:tc>
        <w:tc>
          <w:tcPr>
            <w:tcW w:w="1701" w:type="dxa"/>
            <w:vAlign w:val="center"/>
          </w:tcPr>
          <w:p w14:paraId="78BF4514">
            <w:pPr>
              <w:spacing w:beforeLines="0" w:afterLines="0" w:line="260" w:lineRule="exact"/>
              <w:jc w:val="center"/>
              <w:rPr>
                <w:rFonts w:hint="default" w:ascii="Times New Roman" w:cs="Times New Roman"/>
                <w:snapToGrid w:val="0"/>
                <w:color w:val="auto"/>
                <w:spacing w:val="-6"/>
                <w:kern w:val="21"/>
                <w:szCs w:val="21"/>
                <w:lang w:val="en-US" w:eastAsia="zh-CN"/>
              </w:rPr>
            </w:pPr>
            <w:r>
              <w:rPr>
                <w:rFonts w:hint="eastAsia" w:cs="Times New Roman"/>
                <w:snapToGrid w:val="0"/>
                <w:color w:val="auto"/>
                <w:spacing w:val="-6"/>
                <w:kern w:val="21"/>
                <w:szCs w:val="21"/>
                <w:lang w:val="en-US" w:eastAsia="zh-CN"/>
              </w:rPr>
              <w:t>/</w:t>
            </w:r>
          </w:p>
        </w:tc>
        <w:tc>
          <w:tcPr>
            <w:tcW w:w="1276" w:type="dxa"/>
            <w:vAlign w:val="center"/>
          </w:tcPr>
          <w:p w14:paraId="404BDA5B">
            <w:pPr>
              <w:spacing w:beforeLines="0" w:afterLines="0" w:line="260" w:lineRule="exact"/>
              <w:jc w:val="center"/>
              <w:rPr>
                <w:rFonts w:hint="default" w:ascii="Times New Roman" w:cs="Times New Roman"/>
                <w:snapToGrid w:val="0"/>
                <w:color w:val="auto"/>
                <w:spacing w:val="-6"/>
                <w:kern w:val="21"/>
                <w:szCs w:val="21"/>
                <w:lang w:val="en-US" w:eastAsia="zh-CN"/>
              </w:rPr>
            </w:pPr>
            <w:r>
              <w:rPr>
                <w:rFonts w:hint="eastAsia" w:cs="Times New Roman"/>
                <w:snapToGrid w:val="0"/>
                <w:color w:val="auto"/>
                <w:spacing w:val="-6"/>
                <w:kern w:val="21"/>
                <w:szCs w:val="21"/>
                <w:lang w:val="en-US" w:eastAsia="zh-CN"/>
              </w:rPr>
              <w:t>/</w:t>
            </w:r>
          </w:p>
        </w:tc>
        <w:tc>
          <w:tcPr>
            <w:tcW w:w="1701" w:type="dxa"/>
            <w:vAlign w:val="center"/>
          </w:tcPr>
          <w:p w14:paraId="39A684BB">
            <w:pPr>
              <w:spacing w:beforeLines="0" w:afterLines="0" w:line="260" w:lineRule="exact"/>
              <w:jc w:val="center"/>
              <w:rPr>
                <w:rFonts w:hint="default" w:ascii="Times New Roman" w:cs="Times New Roman"/>
                <w:snapToGrid w:val="0"/>
                <w:color w:val="auto"/>
                <w:spacing w:val="-6"/>
                <w:kern w:val="21"/>
                <w:szCs w:val="21"/>
                <w:lang w:val="en-US" w:eastAsia="zh-CN"/>
              </w:rPr>
            </w:pPr>
            <w:r>
              <w:rPr>
                <w:rFonts w:hint="eastAsia" w:cs="Times New Roman"/>
                <w:snapToGrid w:val="0"/>
                <w:color w:val="auto"/>
                <w:spacing w:val="-6"/>
                <w:kern w:val="21"/>
                <w:szCs w:val="21"/>
                <w:lang w:val="en-US" w:eastAsia="zh-CN"/>
              </w:rPr>
              <w:t>/</w:t>
            </w:r>
          </w:p>
        </w:tc>
        <w:tc>
          <w:tcPr>
            <w:tcW w:w="1559" w:type="dxa"/>
            <w:shd w:val="clear" w:color="auto" w:fill="auto"/>
            <w:vAlign w:val="center"/>
          </w:tcPr>
          <w:p w14:paraId="6895AF17">
            <w:pPr>
              <w:pStyle w:val="61"/>
              <w:spacing w:beforeLines="0" w:afterLines="0" w:line="260" w:lineRule="exact"/>
              <w:jc w:val="center"/>
              <w:rPr>
                <w:rFonts w:hint="default" w:ascii="Times New Roman"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1t/a</w:t>
            </w:r>
          </w:p>
        </w:tc>
        <w:tc>
          <w:tcPr>
            <w:tcW w:w="1521" w:type="dxa"/>
            <w:shd w:val="clear" w:color="auto" w:fill="auto"/>
            <w:vAlign w:val="center"/>
          </w:tcPr>
          <w:p w14:paraId="406C02F0">
            <w:pPr>
              <w:spacing w:beforeLines="0" w:afterLines="0" w:line="260" w:lineRule="exact"/>
              <w:jc w:val="center"/>
              <w:rPr>
                <w:rFonts w:hint="default" w:ascii="Times New Roman" w:cs="Times New Roman"/>
                <w:snapToGrid w:val="0"/>
                <w:color w:val="auto"/>
                <w:spacing w:val="-6"/>
                <w:kern w:val="21"/>
                <w:szCs w:val="21"/>
                <w:lang w:val="en-US" w:eastAsia="zh-CN"/>
              </w:rPr>
            </w:pPr>
            <w:r>
              <w:rPr>
                <w:rFonts w:hint="eastAsia" w:cs="Times New Roman"/>
                <w:snapToGrid w:val="0"/>
                <w:color w:val="auto"/>
                <w:spacing w:val="-6"/>
                <w:kern w:val="21"/>
                <w:szCs w:val="21"/>
                <w:lang w:val="en-US" w:eastAsia="zh-CN"/>
              </w:rPr>
              <w:t>/</w:t>
            </w:r>
          </w:p>
        </w:tc>
        <w:tc>
          <w:tcPr>
            <w:tcW w:w="1985" w:type="dxa"/>
            <w:shd w:val="clear" w:color="auto" w:fill="auto"/>
            <w:vAlign w:val="center"/>
          </w:tcPr>
          <w:p w14:paraId="3BE6ED81">
            <w:pPr>
              <w:pStyle w:val="61"/>
              <w:spacing w:beforeLines="0" w:afterLines="0" w:line="260" w:lineRule="exact"/>
              <w:jc w:val="center"/>
              <w:rPr>
                <w:rFonts w:hint="default" w:ascii="Times New Roman"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1t/a</w:t>
            </w:r>
          </w:p>
        </w:tc>
        <w:tc>
          <w:tcPr>
            <w:tcW w:w="1040" w:type="dxa"/>
            <w:shd w:val="clear" w:color="auto" w:fill="auto"/>
            <w:vAlign w:val="center"/>
          </w:tcPr>
          <w:p w14:paraId="737CD983">
            <w:pPr>
              <w:pStyle w:val="61"/>
              <w:spacing w:beforeLines="0" w:afterLines="0" w:line="260" w:lineRule="exact"/>
              <w:jc w:val="center"/>
              <w:rPr>
                <w:rFonts w:hint="default" w:ascii="Times New Roman"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+1t/a</w:t>
            </w:r>
          </w:p>
        </w:tc>
      </w:tr>
      <w:tr w14:paraId="4B5879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1588" w:type="dxa"/>
            <w:vMerge w:val="continue"/>
            <w:vAlign w:val="center"/>
          </w:tcPr>
          <w:p w14:paraId="614BB169">
            <w:pPr>
              <w:pStyle w:val="61"/>
              <w:spacing w:beforeLines="0" w:afterLines="0" w:line="260" w:lineRule="exact"/>
              <w:jc w:val="center"/>
              <w:rPr>
                <w:rFonts w:hint="eastAsia" w:ascii="Times New Roman" w:hAnsi="Times New Roman" w:eastAsia="宋体" w:cs="Times New Roman"/>
                <w:snapToGrid w:val="0"/>
                <w:color w:val="auto"/>
                <w:spacing w:val="-6"/>
                <w:kern w:val="21"/>
                <w:szCs w:val="21"/>
              </w:rPr>
            </w:pPr>
          </w:p>
        </w:tc>
        <w:tc>
          <w:tcPr>
            <w:tcW w:w="1417" w:type="dxa"/>
            <w:vAlign w:val="center"/>
          </w:tcPr>
          <w:p w14:paraId="5CBC9DD8">
            <w:pPr>
              <w:pStyle w:val="61"/>
              <w:spacing w:beforeLines="0" w:afterLines="0" w:line="260" w:lineRule="exact"/>
              <w:jc w:val="center"/>
              <w:rPr>
                <w:rFonts w:hint="eastAsia" w:ascii="Times New Roman" w:hAnsi="Times New Roman" w:eastAsia="宋体"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废电解液</w:t>
            </w:r>
          </w:p>
        </w:tc>
        <w:tc>
          <w:tcPr>
            <w:tcW w:w="1701" w:type="dxa"/>
            <w:vAlign w:val="center"/>
          </w:tcPr>
          <w:p w14:paraId="54DD24F9">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276" w:type="dxa"/>
            <w:vAlign w:val="center"/>
          </w:tcPr>
          <w:p w14:paraId="701FF020">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701" w:type="dxa"/>
            <w:vAlign w:val="center"/>
          </w:tcPr>
          <w:p w14:paraId="321F2A97">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559" w:type="dxa"/>
            <w:vAlign w:val="center"/>
          </w:tcPr>
          <w:p w14:paraId="5AB9C8B2">
            <w:pPr>
              <w:pStyle w:val="61"/>
              <w:spacing w:beforeLines="0" w:afterLines="0" w:line="260" w:lineRule="exact"/>
              <w:jc w:val="center"/>
              <w:rPr>
                <w:rFonts w:hint="default" w:ascii="Times New Roman" w:hAnsi="Times New Roman" w:eastAsia="宋体"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1.2t/a</w:t>
            </w:r>
          </w:p>
        </w:tc>
        <w:tc>
          <w:tcPr>
            <w:tcW w:w="1521" w:type="dxa"/>
            <w:vAlign w:val="center"/>
          </w:tcPr>
          <w:p w14:paraId="67DDCD68">
            <w:pPr>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w:t>
            </w:r>
          </w:p>
        </w:tc>
        <w:tc>
          <w:tcPr>
            <w:tcW w:w="1985" w:type="dxa"/>
            <w:vAlign w:val="center"/>
          </w:tcPr>
          <w:p w14:paraId="4B73E7DD">
            <w:pPr>
              <w:pStyle w:val="61"/>
              <w:spacing w:beforeLines="0" w:afterLines="0" w:line="260" w:lineRule="exact"/>
              <w:jc w:val="center"/>
              <w:rPr>
                <w:rFonts w:hint="default" w:ascii="Times New Roman" w:hAnsi="Times New Roman" w:eastAsia="宋体" w:cs="Times New Roman"/>
                <w:snapToGrid w:val="0"/>
                <w:color w:val="auto"/>
                <w:spacing w:val="-6"/>
                <w:kern w:val="21"/>
                <w:szCs w:val="21"/>
              </w:rPr>
            </w:pPr>
            <w:r>
              <w:rPr>
                <w:rFonts w:hint="eastAsia" w:ascii="Times New Roman" w:cs="Times New Roman"/>
                <w:snapToGrid w:val="0"/>
                <w:color w:val="auto"/>
                <w:spacing w:val="-6"/>
                <w:kern w:val="21"/>
                <w:szCs w:val="21"/>
                <w:lang w:val="en-US" w:eastAsia="zh-CN"/>
              </w:rPr>
              <w:t>1.2t/a</w:t>
            </w:r>
          </w:p>
        </w:tc>
        <w:tc>
          <w:tcPr>
            <w:tcW w:w="1040" w:type="dxa"/>
            <w:vAlign w:val="center"/>
          </w:tcPr>
          <w:p w14:paraId="5A46B823">
            <w:pPr>
              <w:pStyle w:val="61"/>
              <w:spacing w:beforeLines="0" w:afterLines="0" w:line="260" w:lineRule="exact"/>
              <w:jc w:val="center"/>
              <w:rPr>
                <w:rFonts w:hint="eastAsia" w:ascii="Times New Roman" w:hAnsi="Times New Roman" w:eastAsia="宋体" w:cs="Times New Roman"/>
                <w:snapToGrid w:val="0"/>
                <w:color w:val="auto"/>
                <w:spacing w:val="-6"/>
                <w:kern w:val="21"/>
                <w:szCs w:val="21"/>
                <w:lang w:val="en-US" w:eastAsia="zh-CN"/>
              </w:rPr>
            </w:pPr>
            <w:r>
              <w:rPr>
                <w:rFonts w:hint="eastAsia" w:ascii="Times New Roman" w:cs="Times New Roman"/>
                <w:snapToGrid w:val="0"/>
                <w:color w:val="auto"/>
                <w:spacing w:val="-6"/>
                <w:kern w:val="21"/>
                <w:szCs w:val="21"/>
                <w:lang w:val="en-US" w:eastAsia="zh-CN"/>
              </w:rPr>
              <w:t>+1.2t/a</w:t>
            </w:r>
          </w:p>
        </w:tc>
      </w:tr>
    </w:tbl>
    <w:p w14:paraId="4DF4A53A">
      <w:pPr>
        <w:pStyle w:val="61"/>
        <w:spacing w:beforeLines="0" w:afterLines="0" w:line="260" w:lineRule="exact"/>
        <w:jc w:val="left"/>
        <w:rPr>
          <w:rFonts w:hint="eastAsia" w:hAnsi="宋体" w:eastAsia="黑体"/>
        </w:rPr>
      </w:pPr>
      <w:r>
        <w:rPr>
          <w:rFonts w:hAnsi="宋体"/>
          <w:snapToGrid w:val="0"/>
          <w:kern w:val="21"/>
          <w:szCs w:val="21"/>
        </w:rPr>
        <w:t>注：</w:t>
      </w:r>
      <w:r>
        <w:rPr>
          <w:rFonts w:hAnsi="宋体"/>
          <w:snapToGrid w:val="0"/>
          <w:spacing w:val="-16"/>
          <w:kern w:val="21"/>
          <w:szCs w:val="21"/>
        </w:rPr>
        <w:fldChar w:fldCharType="begin"/>
      </w:r>
      <w:r>
        <w:rPr>
          <w:rFonts w:hAnsi="宋体"/>
          <w:snapToGrid w:val="0"/>
          <w:spacing w:val="-16"/>
          <w:kern w:val="21"/>
          <w:szCs w:val="21"/>
        </w:rPr>
        <w:instrText xml:space="preserve"> = 6 \* GB3 \* MERGEFORMAT </w:instrText>
      </w:r>
      <w:r>
        <w:rPr>
          <w:rFonts w:hAnsi="宋体"/>
          <w:snapToGrid w:val="0"/>
          <w:spacing w:val="-16"/>
          <w:kern w:val="21"/>
          <w:szCs w:val="21"/>
        </w:rPr>
        <w:fldChar w:fldCharType="separate"/>
      </w:r>
      <w:r>
        <w:rPr>
          <w:rFonts w:hint="eastAsia" w:hAnsi="宋体"/>
          <w:szCs w:val="21"/>
        </w:rPr>
        <w:t>⑥</w:t>
      </w:r>
      <w:r>
        <w:rPr>
          <w:rFonts w:hAnsi="宋体"/>
          <w:snapToGrid w:val="0"/>
          <w:spacing w:val="-16"/>
          <w:kern w:val="21"/>
          <w:szCs w:val="21"/>
        </w:rPr>
        <w:fldChar w:fldCharType="end"/>
      </w:r>
      <w:r>
        <w:rPr>
          <w:rFonts w:hAnsi="宋体"/>
          <w:snapToGrid w:val="0"/>
          <w:spacing w:val="-16"/>
          <w:kern w:val="21"/>
          <w:szCs w:val="21"/>
        </w:rPr>
        <w:t>=</w:t>
      </w:r>
      <w:r>
        <w:rPr>
          <w:rFonts w:hAnsi="宋体"/>
          <w:snapToGrid w:val="0"/>
          <w:spacing w:val="-6"/>
          <w:kern w:val="21"/>
          <w:szCs w:val="21"/>
        </w:rPr>
        <w:fldChar w:fldCharType="begin"/>
      </w:r>
      <w:r>
        <w:rPr>
          <w:rFonts w:hAnsi="宋体"/>
          <w:snapToGrid w:val="0"/>
          <w:spacing w:val="-6"/>
          <w:kern w:val="21"/>
          <w:szCs w:val="21"/>
        </w:rPr>
        <w:instrText xml:space="preserve"> = 1 \* GB3 \* MERGEFORMAT </w:instrText>
      </w:r>
      <w:r>
        <w:rPr>
          <w:rFonts w:hAnsi="宋体"/>
          <w:snapToGrid w:val="0"/>
          <w:spacing w:val="-6"/>
          <w:kern w:val="21"/>
          <w:szCs w:val="21"/>
        </w:rPr>
        <w:fldChar w:fldCharType="separate"/>
      </w:r>
      <w:r>
        <w:rPr>
          <w:rFonts w:hint="eastAsia" w:hAnsi="宋体"/>
          <w:szCs w:val="21"/>
        </w:rPr>
        <w:t>①</w:t>
      </w:r>
      <w:r>
        <w:rPr>
          <w:rFonts w:hAnsi="宋体"/>
          <w:snapToGrid w:val="0"/>
          <w:spacing w:val="-6"/>
          <w:kern w:val="21"/>
          <w:szCs w:val="21"/>
        </w:rPr>
        <w:fldChar w:fldCharType="end"/>
      </w:r>
      <w:r>
        <w:rPr>
          <w:rFonts w:hAnsi="宋体"/>
          <w:snapToGrid w:val="0"/>
          <w:spacing w:val="-6"/>
          <w:kern w:val="21"/>
          <w:szCs w:val="21"/>
        </w:rPr>
        <w:t>+</w:t>
      </w:r>
      <w:r>
        <w:rPr>
          <w:rFonts w:hAnsi="宋体"/>
          <w:snapToGrid w:val="0"/>
          <w:spacing w:val="-6"/>
          <w:kern w:val="21"/>
          <w:szCs w:val="21"/>
        </w:rPr>
        <w:fldChar w:fldCharType="begin"/>
      </w:r>
      <w:r>
        <w:rPr>
          <w:rFonts w:hAnsi="宋体"/>
          <w:snapToGrid w:val="0"/>
          <w:spacing w:val="-6"/>
          <w:kern w:val="21"/>
          <w:szCs w:val="21"/>
        </w:rPr>
        <w:instrText xml:space="preserve"> = 3 \* GB3 \* MERGEFORMAT </w:instrText>
      </w:r>
      <w:r>
        <w:rPr>
          <w:rFonts w:hAnsi="宋体"/>
          <w:snapToGrid w:val="0"/>
          <w:spacing w:val="-6"/>
          <w:kern w:val="21"/>
          <w:szCs w:val="21"/>
        </w:rPr>
        <w:fldChar w:fldCharType="separate"/>
      </w:r>
      <w:r>
        <w:rPr>
          <w:rFonts w:hint="eastAsia" w:hAnsi="宋体"/>
          <w:szCs w:val="21"/>
        </w:rPr>
        <w:t>③</w:t>
      </w:r>
      <w:r>
        <w:rPr>
          <w:rFonts w:hAnsi="宋体"/>
          <w:snapToGrid w:val="0"/>
          <w:spacing w:val="-6"/>
          <w:kern w:val="21"/>
          <w:szCs w:val="21"/>
        </w:rPr>
        <w:fldChar w:fldCharType="end"/>
      </w:r>
      <w:r>
        <w:rPr>
          <w:rFonts w:hAnsi="宋体"/>
          <w:snapToGrid w:val="0"/>
          <w:spacing w:val="-6"/>
          <w:kern w:val="21"/>
          <w:szCs w:val="21"/>
        </w:rPr>
        <w:t>+</w:t>
      </w:r>
      <w:r>
        <w:rPr>
          <w:rFonts w:hAnsi="宋体"/>
          <w:snapToGrid w:val="0"/>
          <w:spacing w:val="-6"/>
          <w:kern w:val="21"/>
          <w:szCs w:val="21"/>
        </w:rPr>
        <w:fldChar w:fldCharType="begin"/>
      </w:r>
      <w:r>
        <w:rPr>
          <w:rFonts w:hAnsi="宋体"/>
          <w:snapToGrid w:val="0"/>
          <w:spacing w:val="-6"/>
          <w:kern w:val="21"/>
          <w:szCs w:val="21"/>
        </w:rPr>
        <w:instrText xml:space="preserve"> = 4 \* GB3 \* MERGEFORMAT </w:instrText>
      </w:r>
      <w:r>
        <w:rPr>
          <w:rFonts w:hAnsi="宋体"/>
          <w:snapToGrid w:val="0"/>
          <w:spacing w:val="-6"/>
          <w:kern w:val="21"/>
          <w:szCs w:val="21"/>
        </w:rPr>
        <w:fldChar w:fldCharType="separate"/>
      </w:r>
      <w:r>
        <w:rPr>
          <w:rFonts w:hint="eastAsia" w:hAnsi="宋体"/>
          <w:szCs w:val="21"/>
        </w:rPr>
        <w:t>④</w:t>
      </w:r>
      <w:r>
        <w:rPr>
          <w:rFonts w:hAnsi="宋体"/>
          <w:snapToGrid w:val="0"/>
          <w:spacing w:val="-6"/>
          <w:kern w:val="21"/>
          <w:szCs w:val="21"/>
        </w:rPr>
        <w:fldChar w:fldCharType="end"/>
      </w:r>
      <w:r>
        <w:rPr>
          <w:rFonts w:hAnsi="宋体"/>
          <w:snapToGrid w:val="0"/>
          <w:spacing w:val="-6"/>
          <w:kern w:val="21"/>
          <w:szCs w:val="21"/>
        </w:rPr>
        <w:t>-</w:t>
      </w:r>
      <w:r>
        <w:rPr>
          <w:rFonts w:hAnsi="宋体"/>
          <w:snapToGrid w:val="0"/>
          <w:spacing w:val="-16"/>
          <w:kern w:val="21"/>
          <w:szCs w:val="21"/>
        </w:rPr>
        <w:fldChar w:fldCharType="begin"/>
      </w:r>
      <w:r>
        <w:rPr>
          <w:rFonts w:hAnsi="宋体"/>
          <w:snapToGrid w:val="0"/>
          <w:spacing w:val="-16"/>
          <w:kern w:val="21"/>
          <w:szCs w:val="21"/>
        </w:rPr>
        <w:instrText xml:space="preserve"> = 5 \* GB3 \* MERGEFORMAT </w:instrText>
      </w:r>
      <w:r>
        <w:rPr>
          <w:rFonts w:hAnsi="宋体"/>
          <w:snapToGrid w:val="0"/>
          <w:spacing w:val="-16"/>
          <w:kern w:val="21"/>
          <w:szCs w:val="21"/>
        </w:rPr>
        <w:fldChar w:fldCharType="separate"/>
      </w:r>
      <w:r>
        <w:rPr>
          <w:rFonts w:hint="eastAsia" w:hAnsi="宋体"/>
          <w:szCs w:val="21"/>
        </w:rPr>
        <w:t>⑤</w:t>
      </w:r>
      <w:r>
        <w:rPr>
          <w:rFonts w:hAnsi="宋体"/>
          <w:snapToGrid w:val="0"/>
          <w:spacing w:val="-16"/>
          <w:kern w:val="21"/>
          <w:szCs w:val="21"/>
        </w:rPr>
        <w:fldChar w:fldCharType="end"/>
      </w:r>
      <w:r>
        <w:rPr>
          <w:rFonts w:hAnsi="宋体"/>
          <w:snapToGrid w:val="0"/>
          <w:spacing w:val="-16"/>
          <w:kern w:val="21"/>
          <w:szCs w:val="21"/>
        </w:rPr>
        <w:t>；</w:t>
      </w:r>
      <w:r>
        <w:rPr>
          <w:rFonts w:hAnsi="宋体"/>
          <w:snapToGrid w:val="0"/>
          <w:spacing w:val="-6"/>
          <w:kern w:val="21"/>
          <w:szCs w:val="21"/>
        </w:rPr>
        <w:fldChar w:fldCharType="begin"/>
      </w:r>
      <w:r>
        <w:rPr>
          <w:rFonts w:hAnsi="宋体"/>
          <w:snapToGrid w:val="0"/>
          <w:spacing w:val="-6"/>
          <w:kern w:val="21"/>
          <w:szCs w:val="21"/>
        </w:rPr>
        <w:instrText xml:space="preserve"> = 7 \* GB3 \* MERGEFORMAT </w:instrText>
      </w:r>
      <w:r>
        <w:rPr>
          <w:rFonts w:hAnsi="宋体"/>
          <w:snapToGrid w:val="0"/>
          <w:spacing w:val="-6"/>
          <w:kern w:val="21"/>
          <w:szCs w:val="21"/>
        </w:rPr>
        <w:fldChar w:fldCharType="separate"/>
      </w:r>
      <w:r>
        <w:rPr>
          <w:rFonts w:hint="eastAsia" w:hAnsi="宋体"/>
          <w:szCs w:val="21"/>
        </w:rPr>
        <w:t>⑦</w:t>
      </w:r>
      <w:r>
        <w:rPr>
          <w:rFonts w:hAnsi="宋体"/>
          <w:snapToGrid w:val="0"/>
          <w:spacing w:val="-6"/>
          <w:kern w:val="21"/>
          <w:szCs w:val="21"/>
        </w:rPr>
        <w:fldChar w:fldCharType="end"/>
      </w:r>
      <w:r>
        <w:rPr>
          <w:rFonts w:hAnsi="宋体"/>
          <w:snapToGrid w:val="0"/>
          <w:spacing w:val="-6"/>
          <w:kern w:val="21"/>
          <w:szCs w:val="21"/>
        </w:rPr>
        <w:t>=</w:t>
      </w:r>
      <w:r>
        <w:rPr>
          <w:rFonts w:hAnsi="宋体"/>
          <w:snapToGrid w:val="0"/>
          <w:spacing w:val="-16"/>
          <w:kern w:val="21"/>
          <w:szCs w:val="21"/>
        </w:rPr>
        <w:fldChar w:fldCharType="begin"/>
      </w:r>
      <w:r>
        <w:rPr>
          <w:rFonts w:hAnsi="宋体"/>
          <w:snapToGrid w:val="0"/>
          <w:spacing w:val="-16"/>
          <w:kern w:val="21"/>
          <w:szCs w:val="21"/>
        </w:rPr>
        <w:instrText xml:space="preserve"> = 6 \* GB3 \* MERGEFORMAT </w:instrText>
      </w:r>
      <w:r>
        <w:rPr>
          <w:rFonts w:hAnsi="宋体"/>
          <w:snapToGrid w:val="0"/>
          <w:spacing w:val="-16"/>
          <w:kern w:val="21"/>
          <w:szCs w:val="21"/>
        </w:rPr>
        <w:fldChar w:fldCharType="separate"/>
      </w:r>
      <w:r>
        <w:rPr>
          <w:rFonts w:hint="eastAsia" w:hAnsi="宋体"/>
          <w:szCs w:val="21"/>
        </w:rPr>
        <w:t>⑥</w:t>
      </w:r>
      <w:r>
        <w:rPr>
          <w:rFonts w:hAnsi="宋体"/>
          <w:snapToGrid w:val="0"/>
          <w:spacing w:val="-16"/>
          <w:kern w:val="21"/>
          <w:szCs w:val="21"/>
        </w:rPr>
        <w:fldChar w:fldCharType="end"/>
      </w:r>
      <w:r>
        <w:rPr>
          <w:rFonts w:hAnsi="宋体"/>
          <w:snapToGrid w:val="0"/>
          <w:spacing w:val="-16"/>
          <w:kern w:val="21"/>
          <w:szCs w:val="21"/>
        </w:rPr>
        <w:t>-</w:t>
      </w:r>
      <w:r>
        <w:rPr>
          <w:rFonts w:hAnsi="宋体"/>
          <w:snapToGrid w:val="0"/>
          <w:spacing w:val="-6"/>
          <w:kern w:val="21"/>
          <w:szCs w:val="21"/>
        </w:rPr>
        <w:fldChar w:fldCharType="begin"/>
      </w:r>
      <w:r>
        <w:rPr>
          <w:rFonts w:hAnsi="宋体"/>
          <w:snapToGrid w:val="0"/>
          <w:spacing w:val="-6"/>
          <w:kern w:val="21"/>
          <w:szCs w:val="21"/>
        </w:rPr>
        <w:instrText xml:space="preserve"> = 1 \* GB3 \* MERGEFORMAT </w:instrText>
      </w:r>
      <w:r>
        <w:rPr>
          <w:rFonts w:hAnsi="宋体"/>
          <w:snapToGrid w:val="0"/>
          <w:spacing w:val="-6"/>
          <w:kern w:val="21"/>
          <w:szCs w:val="21"/>
        </w:rPr>
        <w:fldChar w:fldCharType="separate"/>
      </w:r>
      <w:r>
        <w:rPr>
          <w:rFonts w:hint="eastAsia" w:hAnsi="宋体"/>
          <w:szCs w:val="21"/>
        </w:rPr>
        <w:t>①</w:t>
      </w:r>
      <w:r>
        <w:rPr>
          <w:rFonts w:hAnsi="宋体"/>
          <w:snapToGrid w:val="0"/>
          <w:spacing w:val="-6"/>
          <w:kern w:val="21"/>
          <w:szCs w:val="21"/>
        </w:rPr>
        <w:fldChar w:fldCharType="end"/>
      </w:r>
    </w:p>
    <w:sectPr>
      <w:footerReference r:id="rId6" w:type="default"/>
      <w:pgSz w:w="16838" w:h="11906" w:orient="landscape"/>
      <w:pgMar w:top="1531" w:right="1701" w:bottom="1531" w:left="1701" w:header="851" w:footer="1021"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Light">
    <w:altName w:val="宋体"/>
    <w:panose1 w:val="02010600030101010101"/>
    <w:charset w:val="86"/>
    <w:family w:val="auto"/>
    <w:pitch w:val="default"/>
    <w:sig w:usb0="00000000" w:usb1="00000000" w:usb2="00000016" w:usb3="00000000" w:csb0="0004000F" w:csb1="00000000"/>
  </w:font>
  <w:font w:name="长城楷体">
    <w:altName w:val="宋体"/>
    <w:panose1 w:val="00000000000000000000"/>
    <w:charset w:val="86"/>
    <w:family w:val="modern"/>
    <w:pitch w:val="default"/>
    <w:sig w:usb0="00000000" w:usb1="00000000" w:usb2="00000010" w:usb3="00000000" w:csb0="00040000" w:csb1="00000000"/>
  </w:font>
  <w:font w:name="等线">
    <w:altName w:val="微软雅黑"/>
    <w:panose1 w:val="02010600030101010101"/>
    <w:charset w:val="86"/>
    <w:family w:val="auto"/>
    <w:pitch w:val="default"/>
    <w:sig w:usb0="00000000" w:usb1="00000000"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方正大标宋简体">
    <w:altName w:val="微软雅黑"/>
    <w:panose1 w:val="02000000000000000000"/>
    <w:charset w:val="86"/>
    <w:family w:val="script"/>
    <w:pitch w:val="default"/>
    <w:sig w:usb0="00000000" w:usb1="00000000" w:usb2="00000012" w:usb3="00000000" w:csb0="00040001"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TimesNewRomanPSMT">
    <w:altName w:val="Times New Roman"/>
    <w:panose1 w:val="00000000000000000000"/>
    <w:charset w:val="86"/>
    <w:family w:val="auto"/>
    <w:pitch w:val="default"/>
    <w:sig w:usb0="00000000" w:usb1="00000000" w:usb2="00000000" w:usb3="00000000" w:csb0="00040000" w:csb1="00000000"/>
  </w:font>
  <w:font w:name="Helvetica">
    <w:altName w:val="Arial"/>
    <w:panose1 w:val="00000000000000000000"/>
    <w:charset w:val="00"/>
    <w:family w:val="auto"/>
    <w:pitch w:val="default"/>
    <w:sig w:usb0="00000000" w:usb1="00000000" w:usb2="00000000" w:usb3="00000000" w:csb0="00000000" w:csb1="00000000"/>
  </w:font>
  <w:font w:name="瀹嬩綋">
    <w:altName w:val="宋体"/>
    <w:panose1 w:val="00000000000000000000"/>
    <w:charset w:val="86"/>
    <w:family w:val="auto"/>
    <w:pitch w:val="default"/>
    <w:sig w:usb0="00000000" w:usb1="00000000" w:usb2="00000010" w:usb3="00000000" w:csb0="00040000" w:csb1="00000000"/>
  </w:font>
  <w:font w:name="Segoe UI">
    <w:panose1 w:val="020B0502040204020203"/>
    <w:charset w:val="00"/>
    <w:family w:val="auto"/>
    <w:pitch w:val="default"/>
    <w:sig w:usb0="E10022FF" w:usb1="C000E47F" w:usb2="00000029" w:usb3="00000000" w:csb0="200001DF" w:csb1="20000000"/>
  </w:font>
  <w:font w:name="等线">
    <w:altName w:val="微软雅黑"/>
    <w:panose1 w:val="00000000000000000000"/>
    <w:charset w:val="00"/>
    <w:family w:val="auto"/>
    <w:pitch w:val="default"/>
    <w:sig w:usb0="00000000" w:usb1="00000000" w:usb2="00000000" w:usb3="00000000" w:csb0="00000000"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311667">
    <w:pPr>
      <w:pStyle w:val="29"/>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616E95">
    <w:pPr>
      <w:pStyle w:val="29"/>
      <w:framePr w:wrap="around" w:vAnchor="text" w:hAnchor="margin" w:xAlign="center" w:y="1"/>
      <w:rPr>
        <w:rStyle w:val="45"/>
      </w:rPr>
    </w:pPr>
    <w:r>
      <w:fldChar w:fldCharType="begin"/>
    </w:r>
    <w:r>
      <w:rPr>
        <w:rStyle w:val="45"/>
      </w:rPr>
      <w:instrText xml:space="preserve">PAGE  </w:instrText>
    </w:r>
    <w:r>
      <w:fldChar w:fldCharType="end"/>
    </w:r>
  </w:p>
  <w:p w14:paraId="534E61B3">
    <w:pPr>
      <w:pStyle w:val="29"/>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26129792"/>
      <w:docPartObj>
        <w:docPartGallery w:val="autotext"/>
      </w:docPartObj>
    </w:sdtPr>
    <w:sdtEndPr>
      <w:rPr>
        <w:sz w:val="24"/>
        <w:szCs w:val="28"/>
      </w:rPr>
    </w:sdtEndPr>
    <w:sdtContent>
      <w:p w14:paraId="644E8F60">
        <w:pPr>
          <w:pStyle w:val="29"/>
          <w:jc w:val="center"/>
          <w:rPr>
            <w:sz w:val="24"/>
            <w:szCs w:val="28"/>
          </w:rPr>
        </w:pPr>
        <w:r>
          <w:rPr>
            <w:sz w:val="24"/>
            <w:szCs w:val="28"/>
          </w:rPr>
          <w:fldChar w:fldCharType="begin"/>
        </w:r>
        <w:r>
          <w:rPr>
            <w:sz w:val="24"/>
            <w:szCs w:val="28"/>
          </w:rPr>
          <w:instrText xml:space="preserve">PAGE   \* MERGEFORMAT</w:instrText>
        </w:r>
        <w:r>
          <w:rPr>
            <w:sz w:val="24"/>
            <w:szCs w:val="28"/>
          </w:rPr>
          <w:fldChar w:fldCharType="separate"/>
        </w:r>
        <w:r>
          <w:rPr>
            <w:sz w:val="24"/>
            <w:szCs w:val="28"/>
            <w:lang w:val="zh-CN"/>
          </w:rPr>
          <w:t>2</w:t>
        </w:r>
        <w:r>
          <w:rPr>
            <w:sz w:val="24"/>
            <w:szCs w:val="28"/>
          </w:rP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BBF285">
    <w:pPr>
      <w:pStyle w:val="29"/>
      <w:ind w:right="360" w:firstLine="36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131445"/>
              <wp:effectExtent l="0" t="0" r="1905" b="1905"/>
              <wp:wrapNone/>
              <wp:docPr id="1849274536" name="文本框 1035"/>
              <wp:cNvGraphicFramePr/>
              <a:graphic xmlns:a="http://schemas.openxmlformats.org/drawingml/2006/main">
                <a:graphicData uri="http://schemas.microsoft.com/office/word/2010/wordprocessingShape">
                  <wps:wsp>
                    <wps:cNvSpPr txBox="1">
                      <a:spLocks noChangeArrowheads="1"/>
                    </wps:cNvSpPr>
                    <wps:spPr bwMode="auto">
                      <a:xfrm>
                        <a:off x="0" y="0"/>
                        <a:ext cx="114935" cy="131445"/>
                      </a:xfrm>
                      <a:prstGeom prst="rect">
                        <a:avLst/>
                      </a:prstGeom>
                      <a:noFill/>
                      <a:ln>
                        <a:noFill/>
                      </a:ln>
                    </wps:spPr>
                    <wps:txbx>
                      <w:txbxContent>
                        <w:p w14:paraId="2B036E17">
                          <w:pPr>
                            <w:pStyle w:val="29"/>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126</w:t>
                          </w:r>
                          <w:r>
                            <w:rPr>
                              <w:sz w:val="24"/>
                              <w:szCs w:val="24"/>
                            </w:rPr>
                            <w:fldChar w:fldCharType="end"/>
                          </w:r>
                        </w:p>
                      </w:txbxContent>
                    </wps:txbx>
                    <wps:bodyPr rot="0" vert="horz" wrap="none" lIns="0" tIns="0" rIns="0" bIns="0" anchor="t" anchorCtr="0" upright="1">
                      <a:spAutoFit/>
                    </wps:bodyPr>
                  </wps:wsp>
                </a:graphicData>
              </a:graphic>
            </wp:anchor>
          </w:drawing>
        </mc:Choice>
        <mc:Fallback>
          <w:pict>
            <v:shape id="文本框 1035" o:spid="_x0000_s1026" o:spt="202" type="#_x0000_t202" style="position:absolute;left:0pt;margin-top:0pt;height:10.35pt;width:9.05pt;mso-position-horizontal:center;mso-position-horizontal-relative:margin;mso-wrap-style:none;z-index:251659264;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BD5X5J0AAAAAMBAAAPAAAAAAAAAAEAIAAA&#10;ACIAAABkcnMvZG93bnJldi54bWxQSwECFAAUAAAACACHTuJArRvT4BQCAAAOBAAADgAAAAAAAAAB&#10;ACAAAAAfAQAAZHJzL2Uyb0RvYy54bWxQSwUGAAAAAAYABgBZAQAApQUAAAAA&#10;">
              <v:fill on="f" focussize="0,0"/>
              <v:stroke on="f"/>
              <v:imagedata o:title=""/>
              <o:lock v:ext="edit" aspectratio="f"/>
              <v:textbox inset="0mm,0mm,0mm,0mm" style="mso-fit-shape-to-text:t;">
                <w:txbxContent>
                  <w:p w14:paraId="2B036E17">
                    <w:pPr>
                      <w:pStyle w:val="29"/>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126</w:t>
                    </w:r>
                    <w:r>
                      <w:rPr>
                        <w:sz w:val="24"/>
                        <w:szCs w:val="24"/>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DF17298"/>
    <w:multiLevelType w:val="singleLevel"/>
    <w:tmpl w:val="DDF17298"/>
    <w:lvl w:ilvl="0" w:tentative="0">
      <w:start w:val="2"/>
      <w:numFmt w:val="decimal"/>
      <w:suff w:val="nothing"/>
      <w:lvlText w:val="%1）"/>
      <w:lvlJc w:val="left"/>
    </w:lvl>
  </w:abstractNum>
  <w:abstractNum w:abstractNumId="1">
    <w:nsid w:val="ECC34629"/>
    <w:multiLevelType w:val="singleLevel"/>
    <w:tmpl w:val="ECC34629"/>
    <w:lvl w:ilvl="0" w:tentative="0">
      <w:start w:val="4"/>
      <w:numFmt w:val="decimal"/>
      <w:suff w:val="nothing"/>
      <w:lvlText w:val="（%1）"/>
      <w:lvlJc w:val="left"/>
    </w:lvl>
  </w:abstractNum>
  <w:abstractNum w:abstractNumId="2">
    <w:nsid w:val="2ED4B60E"/>
    <w:multiLevelType w:val="singleLevel"/>
    <w:tmpl w:val="2ED4B60E"/>
    <w:lvl w:ilvl="0" w:tentative="0">
      <w:start w:val="1"/>
      <w:numFmt w:val="bullet"/>
      <w:pStyle w:val="24"/>
      <w:lvlText w:val=""/>
      <w:lvlJc w:val="left"/>
      <w:pPr>
        <w:tabs>
          <w:tab w:val="left" w:pos="2040"/>
        </w:tabs>
        <w:ind w:left="2040" w:hanging="360"/>
      </w:pPr>
      <w:rPr>
        <w:rFonts w:hint="default" w:ascii="Wingdings" w:hAnsi="Wingdings"/>
      </w:rPr>
    </w:lvl>
  </w:abstractNum>
  <w:abstractNum w:abstractNumId="3">
    <w:nsid w:val="39E6EE65"/>
    <w:multiLevelType w:val="singleLevel"/>
    <w:tmpl w:val="39E6EE65"/>
    <w:lvl w:ilvl="0" w:tentative="0">
      <w:start w:val="1"/>
      <w:numFmt w:val="decimal"/>
      <w:suff w:val="nothing"/>
      <w:lvlText w:val="%1）"/>
      <w:lvlJc w:val="left"/>
    </w:lvl>
  </w:abstractNum>
  <w:abstractNum w:abstractNumId="4">
    <w:nsid w:val="3E1C14C1"/>
    <w:multiLevelType w:val="singleLevel"/>
    <w:tmpl w:val="3E1C14C1"/>
    <w:lvl w:ilvl="0" w:tentative="0">
      <w:start w:val="1"/>
      <w:numFmt w:val="decimal"/>
      <w:suff w:val="nothing"/>
      <w:lvlText w:val="（%1）"/>
      <w:lvlJc w:val="left"/>
    </w:lvl>
  </w:abstractNum>
  <w:abstractNum w:abstractNumId="5">
    <w:nsid w:val="5A17E79D"/>
    <w:multiLevelType w:val="singleLevel"/>
    <w:tmpl w:val="5A17E79D"/>
    <w:lvl w:ilvl="0" w:tentative="0">
      <w:start w:val="5"/>
      <w:numFmt w:val="chineseCounting"/>
      <w:suff w:val="space"/>
      <w:lvlText w:val="第%1条"/>
      <w:lvlJc w:val="left"/>
      <w:rPr>
        <w:rFonts w:hint="eastAsia"/>
      </w:rPr>
    </w:lvl>
  </w:abstractNum>
  <w:num w:numId="1">
    <w:abstractNumId w:val="2"/>
  </w:num>
  <w:num w:numId="2">
    <w:abstractNumId w:val="1"/>
  </w:num>
  <w:num w:numId="3">
    <w:abstractNumId w:val="5"/>
  </w:num>
  <w:num w:numId="4">
    <w:abstractNumId w:val="0"/>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420"/>
  <w:displayHorizontalDrawingGridEvery w:val="1"/>
  <w:displayVerticalDrawingGridEvery w:val="1"/>
  <w:noPunctuationKerning w:val="1"/>
  <w:characterSpacingControl w:val="doNotCompress"/>
  <w:compat>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A2ZmFkMmY4OTdjZTc5YjJkNzgxYTRjYjkxMTBmNzIifQ=="/>
  </w:docVars>
  <w:rsids>
    <w:rsidRoot w:val="00172A27"/>
    <w:rsid w:val="000022CB"/>
    <w:rsid w:val="00002636"/>
    <w:rsid w:val="00002BD3"/>
    <w:rsid w:val="000036B0"/>
    <w:rsid w:val="0000597E"/>
    <w:rsid w:val="000060B3"/>
    <w:rsid w:val="00006B52"/>
    <w:rsid w:val="00006EEE"/>
    <w:rsid w:val="000071EA"/>
    <w:rsid w:val="00012181"/>
    <w:rsid w:val="00012537"/>
    <w:rsid w:val="00012DB2"/>
    <w:rsid w:val="0001303F"/>
    <w:rsid w:val="0001306E"/>
    <w:rsid w:val="00013119"/>
    <w:rsid w:val="000131BD"/>
    <w:rsid w:val="000140EE"/>
    <w:rsid w:val="00014DFB"/>
    <w:rsid w:val="00016D8E"/>
    <w:rsid w:val="00020C18"/>
    <w:rsid w:val="00022BCC"/>
    <w:rsid w:val="0002497F"/>
    <w:rsid w:val="000249CB"/>
    <w:rsid w:val="0002544A"/>
    <w:rsid w:val="0002557D"/>
    <w:rsid w:val="000255BA"/>
    <w:rsid w:val="000255D4"/>
    <w:rsid w:val="00025B9F"/>
    <w:rsid w:val="00026C1D"/>
    <w:rsid w:val="00027333"/>
    <w:rsid w:val="0003164B"/>
    <w:rsid w:val="00031802"/>
    <w:rsid w:val="00031BAE"/>
    <w:rsid w:val="00034556"/>
    <w:rsid w:val="0003480A"/>
    <w:rsid w:val="00037B5B"/>
    <w:rsid w:val="00037F22"/>
    <w:rsid w:val="0004114D"/>
    <w:rsid w:val="00042539"/>
    <w:rsid w:val="00042D32"/>
    <w:rsid w:val="0004364B"/>
    <w:rsid w:val="00043A72"/>
    <w:rsid w:val="00043AA0"/>
    <w:rsid w:val="00046542"/>
    <w:rsid w:val="000469BC"/>
    <w:rsid w:val="00046A49"/>
    <w:rsid w:val="00050CCF"/>
    <w:rsid w:val="00055C70"/>
    <w:rsid w:val="00056786"/>
    <w:rsid w:val="00057E59"/>
    <w:rsid w:val="0006025E"/>
    <w:rsid w:val="00061B1F"/>
    <w:rsid w:val="0006473D"/>
    <w:rsid w:val="000705B8"/>
    <w:rsid w:val="00070B2E"/>
    <w:rsid w:val="00071D3E"/>
    <w:rsid w:val="000733C4"/>
    <w:rsid w:val="00073C09"/>
    <w:rsid w:val="00074783"/>
    <w:rsid w:val="00074868"/>
    <w:rsid w:val="00074965"/>
    <w:rsid w:val="00074BE5"/>
    <w:rsid w:val="000750DE"/>
    <w:rsid w:val="0007792F"/>
    <w:rsid w:val="00080035"/>
    <w:rsid w:val="0008070B"/>
    <w:rsid w:val="00080AFD"/>
    <w:rsid w:val="000810AC"/>
    <w:rsid w:val="00081A02"/>
    <w:rsid w:val="00081E96"/>
    <w:rsid w:val="00082231"/>
    <w:rsid w:val="00083862"/>
    <w:rsid w:val="000909DB"/>
    <w:rsid w:val="00092612"/>
    <w:rsid w:val="00092D38"/>
    <w:rsid w:val="0009377B"/>
    <w:rsid w:val="000937A6"/>
    <w:rsid w:val="00093DD3"/>
    <w:rsid w:val="0009451B"/>
    <w:rsid w:val="00095ADA"/>
    <w:rsid w:val="0009679F"/>
    <w:rsid w:val="000A0666"/>
    <w:rsid w:val="000A08C8"/>
    <w:rsid w:val="000A09C3"/>
    <w:rsid w:val="000A0A3A"/>
    <w:rsid w:val="000A0D52"/>
    <w:rsid w:val="000A12FE"/>
    <w:rsid w:val="000A20C9"/>
    <w:rsid w:val="000A2349"/>
    <w:rsid w:val="000A42BE"/>
    <w:rsid w:val="000A52E8"/>
    <w:rsid w:val="000A53DC"/>
    <w:rsid w:val="000A7017"/>
    <w:rsid w:val="000B0215"/>
    <w:rsid w:val="000B058F"/>
    <w:rsid w:val="000B1A5E"/>
    <w:rsid w:val="000B28CA"/>
    <w:rsid w:val="000B29C8"/>
    <w:rsid w:val="000B4467"/>
    <w:rsid w:val="000B4DB9"/>
    <w:rsid w:val="000B637B"/>
    <w:rsid w:val="000B6712"/>
    <w:rsid w:val="000C09AC"/>
    <w:rsid w:val="000C0FE8"/>
    <w:rsid w:val="000C24DA"/>
    <w:rsid w:val="000C5935"/>
    <w:rsid w:val="000C64E0"/>
    <w:rsid w:val="000C6559"/>
    <w:rsid w:val="000C6653"/>
    <w:rsid w:val="000C767F"/>
    <w:rsid w:val="000D0875"/>
    <w:rsid w:val="000D0919"/>
    <w:rsid w:val="000D2CE8"/>
    <w:rsid w:val="000D348B"/>
    <w:rsid w:val="000D5A44"/>
    <w:rsid w:val="000D655F"/>
    <w:rsid w:val="000E1719"/>
    <w:rsid w:val="000E17FB"/>
    <w:rsid w:val="000E3ED2"/>
    <w:rsid w:val="000E4E94"/>
    <w:rsid w:val="000E5D71"/>
    <w:rsid w:val="000E7899"/>
    <w:rsid w:val="000F105D"/>
    <w:rsid w:val="000F1A34"/>
    <w:rsid w:val="000F4B8B"/>
    <w:rsid w:val="000F4E75"/>
    <w:rsid w:val="000F7748"/>
    <w:rsid w:val="000F7A5F"/>
    <w:rsid w:val="0010058C"/>
    <w:rsid w:val="001009DC"/>
    <w:rsid w:val="00101CFC"/>
    <w:rsid w:val="0010235F"/>
    <w:rsid w:val="00103A86"/>
    <w:rsid w:val="00104C7A"/>
    <w:rsid w:val="00104DD5"/>
    <w:rsid w:val="0010709E"/>
    <w:rsid w:val="00113006"/>
    <w:rsid w:val="00113508"/>
    <w:rsid w:val="0011440E"/>
    <w:rsid w:val="0011636D"/>
    <w:rsid w:val="0011675B"/>
    <w:rsid w:val="00116FA6"/>
    <w:rsid w:val="00120143"/>
    <w:rsid w:val="00122099"/>
    <w:rsid w:val="00125081"/>
    <w:rsid w:val="0012583E"/>
    <w:rsid w:val="00126021"/>
    <w:rsid w:val="00126E2B"/>
    <w:rsid w:val="00131391"/>
    <w:rsid w:val="0013163E"/>
    <w:rsid w:val="00131F42"/>
    <w:rsid w:val="00133151"/>
    <w:rsid w:val="001336DD"/>
    <w:rsid w:val="001357F1"/>
    <w:rsid w:val="00135EDC"/>
    <w:rsid w:val="00140FA8"/>
    <w:rsid w:val="00141BF7"/>
    <w:rsid w:val="00142FEB"/>
    <w:rsid w:val="00143A2D"/>
    <w:rsid w:val="00144DE9"/>
    <w:rsid w:val="00144F6D"/>
    <w:rsid w:val="00145A41"/>
    <w:rsid w:val="001512D9"/>
    <w:rsid w:val="00151675"/>
    <w:rsid w:val="00151B43"/>
    <w:rsid w:val="001520F3"/>
    <w:rsid w:val="001523A8"/>
    <w:rsid w:val="00154AA9"/>
    <w:rsid w:val="0015597C"/>
    <w:rsid w:val="001570FF"/>
    <w:rsid w:val="001573C6"/>
    <w:rsid w:val="00157435"/>
    <w:rsid w:val="001611D2"/>
    <w:rsid w:val="001646B4"/>
    <w:rsid w:val="001647FC"/>
    <w:rsid w:val="001661CF"/>
    <w:rsid w:val="001715EC"/>
    <w:rsid w:val="0017289E"/>
    <w:rsid w:val="0017504D"/>
    <w:rsid w:val="00175FED"/>
    <w:rsid w:val="001761C0"/>
    <w:rsid w:val="0017671A"/>
    <w:rsid w:val="00176DEF"/>
    <w:rsid w:val="00177422"/>
    <w:rsid w:val="00180635"/>
    <w:rsid w:val="00180A82"/>
    <w:rsid w:val="00181C80"/>
    <w:rsid w:val="00181E65"/>
    <w:rsid w:val="00183531"/>
    <w:rsid w:val="00184590"/>
    <w:rsid w:val="00184F3C"/>
    <w:rsid w:val="00185164"/>
    <w:rsid w:val="00185FA1"/>
    <w:rsid w:val="001870D1"/>
    <w:rsid w:val="0018781E"/>
    <w:rsid w:val="001922CA"/>
    <w:rsid w:val="0019262D"/>
    <w:rsid w:val="00192993"/>
    <w:rsid w:val="00192B1F"/>
    <w:rsid w:val="00192C75"/>
    <w:rsid w:val="00192D87"/>
    <w:rsid w:val="00193336"/>
    <w:rsid w:val="00194E0D"/>
    <w:rsid w:val="00196F5E"/>
    <w:rsid w:val="00197BBF"/>
    <w:rsid w:val="001A00F5"/>
    <w:rsid w:val="001A01E3"/>
    <w:rsid w:val="001A1B35"/>
    <w:rsid w:val="001A35A9"/>
    <w:rsid w:val="001A48A2"/>
    <w:rsid w:val="001A68F3"/>
    <w:rsid w:val="001A6F61"/>
    <w:rsid w:val="001A7DB4"/>
    <w:rsid w:val="001B0AA7"/>
    <w:rsid w:val="001B1144"/>
    <w:rsid w:val="001B2A61"/>
    <w:rsid w:val="001B2F38"/>
    <w:rsid w:val="001B5C66"/>
    <w:rsid w:val="001B72B8"/>
    <w:rsid w:val="001C092A"/>
    <w:rsid w:val="001C14DF"/>
    <w:rsid w:val="001C17EA"/>
    <w:rsid w:val="001C2E45"/>
    <w:rsid w:val="001C4205"/>
    <w:rsid w:val="001C66D2"/>
    <w:rsid w:val="001C66E0"/>
    <w:rsid w:val="001C69B3"/>
    <w:rsid w:val="001C6B1B"/>
    <w:rsid w:val="001D05D8"/>
    <w:rsid w:val="001D0603"/>
    <w:rsid w:val="001D3B23"/>
    <w:rsid w:val="001D5595"/>
    <w:rsid w:val="001D7874"/>
    <w:rsid w:val="001D7D62"/>
    <w:rsid w:val="001D7F22"/>
    <w:rsid w:val="001E03D5"/>
    <w:rsid w:val="001E1AA5"/>
    <w:rsid w:val="001E40B3"/>
    <w:rsid w:val="001E4171"/>
    <w:rsid w:val="001E42B3"/>
    <w:rsid w:val="001E4566"/>
    <w:rsid w:val="001E5B37"/>
    <w:rsid w:val="001E669B"/>
    <w:rsid w:val="001E757F"/>
    <w:rsid w:val="001E797D"/>
    <w:rsid w:val="001F0032"/>
    <w:rsid w:val="001F0F17"/>
    <w:rsid w:val="001F221B"/>
    <w:rsid w:val="001F3107"/>
    <w:rsid w:val="001F3347"/>
    <w:rsid w:val="001F375B"/>
    <w:rsid w:val="001F4761"/>
    <w:rsid w:val="001F6507"/>
    <w:rsid w:val="001F65BF"/>
    <w:rsid w:val="001F69E4"/>
    <w:rsid w:val="001F7114"/>
    <w:rsid w:val="00200BE2"/>
    <w:rsid w:val="00201091"/>
    <w:rsid w:val="00201B8E"/>
    <w:rsid w:val="0020733D"/>
    <w:rsid w:val="00207708"/>
    <w:rsid w:val="002120EB"/>
    <w:rsid w:val="002122C2"/>
    <w:rsid w:val="002125B4"/>
    <w:rsid w:val="00212630"/>
    <w:rsid w:val="002128F2"/>
    <w:rsid w:val="00212C4B"/>
    <w:rsid w:val="00213F85"/>
    <w:rsid w:val="002155B8"/>
    <w:rsid w:val="002168FC"/>
    <w:rsid w:val="00216DBB"/>
    <w:rsid w:val="00221630"/>
    <w:rsid w:val="0022255C"/>
    <w:rsid w:val="00223C66"/>
    <w:rsid w:val="00224839"/>
    <w:rsid w:val="002248FF"/>
    <w:rsid w:val="002249B2"/>
    <w:rsid w:val="00225B54"/>
    <w:rsid w:val="00225D05"/>
    <w:rsid w:val="00225FA4"/>
    <w:rsid w:val="00226033"/>
    <w:rsid w:val="00226574"/>
    <w:rsid w:val="0022717F"/>
    <w:rsid w:val="0022748B"/>
    <w:rsid w:val="002278EC"/>
    <w:rsid w:val="002327A0"/>
    <w:rsid w:val="0023280E"/>
    <w:rsid w:val="00233678"/>
    <w:rsid w:val="00233B13"/>
    <w:rsid w:val="00234D4A"/>
    <w:rsid w:val="00235717"/>
    <w:rsid w:val="002377D1"/>
    <w:rsid w:val="0024278A"/>
    <w:rsid w:val="002432F9"/>
    <w:rsid w:val="002449D4"/>
    <w:rsid w:val="00246C0C"/>
    <w:rsid w:val="002506BC"/>
    <w:rsid w:val="00250772"/>
    <w:rsid w:val="002507D6"/>
    <w:rsid w:val="00252096"/>
    <w:rsid w:val="00252842"/>
    <w:rsid w:val="00254345"/>
    <w:rsid w:val="00254BC1"/>
    <w:rsid w:val="002607CC"/>
    <w:rsid w:val="0026125D"/>
    <w:rsid w:val="00261B87"/>
    <w:rsid w:val="00261E35"/>
    <w:rsid w:val="002630BB"/>
    <w:rsid w:val="00263B2C"/>
    <w:rsid w:val="00264557"/>
    <w:rsid w:val="00271078"/>
    <w:rsid w:val="00272534"/>
    <w:rsid w:val="002737D8"/>
    <w:rsid w:val="00273B4C"/>
    <w:rsid w:val="00273C27"/>
    <w:rsid w:val="00273EAF"/>
    <w:rsid w:val="002740F9"/>
    <w:rsid w:val="00274206"/>
    <w:rsid w:val="00274941"/>
    <w:rsid w:val="00274D9F"/>
    <w:rsid w:val="002766DD"/>
    <w:rsid w:val="0028017D"/>
    <w:rsid w:val="002805AB"/>
    <w:rsid w:val="00281222"/>
    <w:rsid w:val="00281720"/>
    <w:rsid w:val="0028312E"/>
    <w:rsid w:val="00284204"/>
    <w:rsid w:val="00285085"/>
    <w:rsid w:val="00285A9C"/>
    <w:rsid w:val="00286503"/>
    <w:rsid w:val="00286663"/>
    <w:rsid w:val="00291428"/>
    <w:rsid w:val="00291773"/>
    <w:rsid w:val="00292475"/>
    <w:rsid w:val="002931AC"/>
    <w:rsid w:val="00293536"/>
    <w:rsid w:val="00293AD6"/>
    <w:rsid w:val="00294311"/>
    <w:rsid w:val="00294DF6"/>
    <w:rsid w:val="00297AAC"/>
    <w:rsid w:val="00297E7C"/>
    <w:rsid w:val="002A168C"/>
    <w:rsid w:val="002A1772"/>
    <w:rsid w:val="002A1876"/>
    <w:rsid w:val="002A266A"/>
    <w:rsid w:val="002A3DC7"/>
    <w:rsid w:val="002A4442"/>
    <w:rsid w:val="002A49E6"/>
    <w:rsid w:val="002A621A"/>
    <w:rsid w:val="002B0634"/>
    <w:rsid w:val="002B1C04"/>
    <w:rsid w:val="002B3EDE"/>
    <w:rsid w:val="002B49E2"/>
    <w:rsid w:val="002B5BFC"/>
    <w:rsid w:val="002B6923"/>
    <w:rsid w:val="002B6A49"/>
    <w:rsid w:val="002B6D54"/>
    <w:rsid w:val="002B7B00"/>
    <w:rsid w:val="002B7C44"/>
    <w:rsid w:val="002C1417"/>
    <w:rsid w:val="002C1418"/>
    <w:rsid w:val="002C2B17"/>
    <w:rsid w:val="002C3637"/>
    <w:rsid w:val="002C3C89"/>
    <w:rsid w:val="002C4199"/>
    <w:rsid w:val="002C43A8"/>
    <w:rsid w:val="002D1A2A"/>
    <w:rsid w:val="002D1D32"/>
    <w:rsid w:val="002D215E"/>
    <w:rsid w:val="002D228B"/>
    <w:rsid w:val="002D3DD0"/>
    <w:rsid w:val="002D6108"/>
    <w:rsid w:val="002D6553"/>
    <w:rsid w:val="002E0024"/>
    <w:rsid w:val="002E16F3"/>
    <w:rsid w:val="002E1F3A"/>
    <w:rsid w:val="002E2686"/>
    <w:rsid w:val="002E298A"/>
    <w:rsid w:val="002E3B5B"/>
    <w:rsid w:val="002E6244"/>
    <w:rsid w:val="002E687C"/>
    <w:rsid w:val="002E7459"/>
    <w:rsid w:val="002E76E1"/>
    <w:rsid w:val="002F23A9"/>
    <w:rsid w:val="002F2EED"/>
    <w:rsid w:val="002F3116"/>
    <w:rsid w:val="002F5044"/>
    <w:rsid w:val="002F5375"/>
    <w:rsid w:val="002F5B5B"/>
    <w:rsid w:val="002F617A"/>
    <w:rsid w:val="002F6501"/>
    <w:rsid w:val="002F6984"/>
    <w:rsid w:val="002F6A6B"/>
    <w:rsid w:val="002F71CA"/>
    <w:rsid w:val="002F7493"/>
    <w:rsid w:val="002F78B4"/>
    <w:rsid w:val="003000CF"/>
    <w:rsid w:val="00300177"/>
    <w:rsid w:val="00300C79"/>
    <w:rsid w:val="003018AB"/>
    <w:rsid w:val="00301978"/>
    <w:rsid w:val="0030332C"/>
    <w:rsid w:val="0030337B"/>
    <w:rsid w:val="00303EF4"/>
    <w:rsid w:val="003051C2"/>
    <w:rsid w:val="00305793"/>
    <w:rsid w:val="00306025"/>
    <w:rsid w:val="00306913"/>
    <w:rsid w:val="00306CC2"/>
    <w:rsid w:val="00306D5C"/>
    <w:rsid w:val="003074A0"/>
    <w:rsid w:val="00307D1D"/>
    <w:rsid w:val="00311084"/>
    <w:rsid w:val="00312165"/>
    <w:rsid w:val="00312296"/>
    <w:rsid w:val="00313076"/>
    <w:rsid w:val="00313440"/>
    <w:rsid w:val="00313707"/>
    <w:rsid w:val="0031454D"/>
    <w:rsid w:val="00314F0E"/>
    <w:rsid w:val="0031562C"/>
    <w:rsid w:val="00316AA3"/>
    <w:rsid w:val="00317B41"/>
    <w:rsid w:val="003208EF"/>
    <w:rsid w:val="00321D8E"/>
    <w:rsid w:val="00321EA9"/>
    <w:rsid w:val="00322A52"/>
    <w:rsid w:val="00322AD4"/>
    <w:rsid w:val="00322F43"/>
    <w:rsid w:val="00322F55"/>
    <w:rsid w:val="00323670"/>
    <w:rsid w:val="00324D5B"/>
    <w:rsid w:val="003255EF"/>
    <w:rsid w:val="00325928"/>
    <w:rsid w:val="00327CCF"/>
    <w:rsid w:val="00330CAA"/>
    <w:rsid w:val="00330E6F"/>
    <w:rsid w:val="00332397"/>
    <w:rsid w:val="00332863"/>
    <w:rsid w:val="00334892"/>
    <w:rsid w:val="00335110"/>
    <w:rsid w:val="0033555E"/>
    <w:rsid w:val="0033593F"/>
    <w:rsid w:val="00335E1A"/>
    <w:rsid w:val="0033684D"/>
    <w:rsid w:val="00337696"/>
    <w:rsid w:val="00337B42"/>
    <w:rsid w:val="00341B42"/>
    <w:rsid w:val="00342245"/>
    <w:rsid w:val="0034348F"/>
    <w:rsid w:val="003458D7"/>
    <w:rsid w:val="0034631F"/>
    <w:rsid w:val="00346973"/>
    <w:rsid w:val="00347E2B"/>
    <w:rsid w:val="0035010D"/>
    <w:rsid w:val="003501FD"/>
    <w:rsid w:val="00351550"/>
    <w:rsid w:val="003515BD"/>
    <w:rsid w:val="003548B9"/>
    <w:rsid w:val="00354965"/>
    <w:rsid w:val="00355AAB"/>
    <w:rsid w:val="00356653"/>
    <w:rsid w:val="003568BA"/>
    <w:rsid w:val="0035743F"/>
    <w:rsid w:val="00357BE2"/>
    <w:rsid w:val="003601A3"/>
    <w:rsid w:val="00360930"/>
    <w:rsid w:val="003610C3"/>
    <w:rsid w:val="0036170C"/>
    <w:rsid w:val="0036326A"/>
    <w:rsid w:val="00363984"/>
    <w:rsid w:val="00364ADC"/>
    <w:rsid w:val="00365653"/>
    <w:rsid w:val="003661F2"/>
    <w:rsid w:val="00366E0F"/>
    <w:rsid w:val="00367B0D"/>
    <w:rsid w:val="0037053C"/>
    <w:rsid w:val="00371F58"/>
    <w:rsid w:val="003721FF"/>
    <w:rsid w:val="00372FC0"/>
    <w:rsid w:val="003731D5"/>
    <w:rsid w:val="003735D2"/>
    <w:rsid w:val="0037410A"/>
    <w:rsid w:val="00374230"/>
    <w:rsid w:val="003754DD"/>
    <w:rsid w:val="00375641"/>
    <w:rsid w:val="00375E3B"/>
    <w:rsid w:val="003800DE"/>
    <w:rsid w:val="00380170"/>
    <w:rsid w:val="00381A72"/>
    <w:rsid w:val="00381B2A"/>
    <w:rsid w:val="00381C83"/>
    <w:rsid w:val="003822A5"/>
    <w:rsid w:val="00382DEE"/>
    <w:rsid w:val="003837E6"/>
    <w:rsid w:val="00384676"/>
    <w:rsid w:val="0038617B"/>
    <w:rsid w:val="003876C1"/>
    <w:rsid w:val="00390857"/>
    <w:rsid w:val="003938AB"/>
    <w:rsid w:val="00393F0A"/>
    <w:rsid w:val="00394777"/>
    <w:rsid w:val="003975FA"/>
    <w:rsid w:val="003A0914"/>
    <w:rsid w:val="003A1044"/>
    <w:rsid w:val="003A2167"/>
    <w:rsid w:val="003A2834"/>
    <w:rsid w:val="003A39C1"/>
    <w:rsid w:val="003A4BF3"/>
    <w:rsid w:val="003A67E7"/>
    <w:rsid w:val="003B088D"/>
    <w:rsid w:val="003B1465"/>
    <w:rsid w:val="003B1EBA"/>
    <w:rsid w:val="003B420D"/>
    <w:rsid w:val="003B58D9"/>
    <w:rsid w:val="003B5A42"/>
    <w:rsid w:val="003B643A"/>
    <w:rsid w:val="003B6A6C"/>
    <w:rsid w:val="003C6C16"/>
    <w:rsid w:val="003C7B56"/>
    <w:rsid w:val="003D1171"/>
    <w:rsid w:val="003D4B1A"/>
    <w:rsid w:val="003D4B84"/>
    <w:rsid w:val="003D51B8"/>
    <w:rsid w:val="003D7903"/>
    <w:rsid w:val="003D794D"/>
    <w:rsid w:val="003E1A18"/>
    <w:rsid w:val="003E2738"/>
    <w:rsid w:val="003E3058"/>
    <w:rsid w:val="003E3129"/>
    <w:rsid w:val="003E4372"/>
    <w:rsid w:val="003E6F7E"/>
    <w:rsid w:val="003E76A9"/>
    <w:rsid w:val="003E76B6"/>
    <w:rsid w:val="003F0472"/>
    <w:rsid w:val="003F0809"/>
    <w:rsid w:val="003F11FD"/>
    <w:rsid w:val="003F19DF"/>
    <w:rsid w:val="003F252A"/>
    <w:rsid w:val="003F35EF"/>
    <w:rsid w:val="003F3692"/>
    <w:rsid w:val="003F417C"/>
    <w:rsid w:val="003F49E2"/>
    <w:rsid w:val="003F4C7C"/>
    <w:rsid w:val="003F4D3F"/>
    <w:rsid w:val="003F559A"/>
    <w:rsid w:val="003F6A8C"/>
    <w:rsid w:val="003F6ABB"/>
    <w:rsid w:val="003F6C2D"/>
    <w:rsid w:val="003F6E60"/>
    <w:rsid w:val="003F755C"/>
    <w:rsid w:val="004017E2"/>
    <w:rsid w:val="004022D4"/>
    <w:rsid w:val="00402449"/>
    <w:rsid w:val="0040266E"/>
    <w:rsid w:val="0040291A"/>
    <w:rsid w:val="004040DB"/>
    <w:rsid w:val="00405D04"/>
    <w:rsid w:val="00406841"/>
    <w:rsid w:val="00406CCC"/>
    <w:rsid w:val="00406F01"/>
    <w:rsid w:val="00407044"/>
    <w:rsid w:val="00411FB9"/>
    <w:rsid w:val="004149B3"/>
    <w:rsid w:val="00415388"/>
    <w:rsid w:val="00415A73"/>
    <w:rsid w:val="00415D46"/>
    <w:rsid w:val="00416D50"/>
    <w:rsid w:val="00416FD5"/>
    <w:rsid w:val="00417772"/>
    <w:rsid w:val="00417DA7"/>
    <w:rsid w:val="00420E12"/>
    <w:rsid w:val="00420E6A"/>
    <w:rsid w:val="00421A4F"/>
    <w:rsid w:val="00422BFB"/>
    <w:rsid w:val="0042325F"/>
    <w:rsid w:val="00425A9E"/>
    <w:rsid w:val="00426D6B"/>
    <w:rsid w:val="004319C5"/>
    <w:rsid w:val="00431E6C"/>
    <w:rsid w:val="00432386"/>
    <w:rsid w:val="004325C5"/>
    <w:rsid w:val="00433CE7"/>
    <w:rsid w:val="00434832"/>
    <w:rsid w:val="004349D8"/>
    <w:rsid w:val="00434D2C"/>
    <w:rsid w:val="004405DA"/>
    <w:rsid w:val="00441F79"/>
    <w:rsid w:val="004422F0"/>
    <w:rsid w:val="00443260"/>
    <w:rsid w:val="00443541"/>
    <w:rsid w:val="004442E2"/>
    <w:rsid w:val="00446B65"/>
    <w:rsid w:val="00446DB3"/>
    <w:rsid w:val="004479E5"/>
    <w:rsid w:val="00447C0E"/>
    <w:rsid w:val="00450464"/>
    <w:rsid w:val="00451217"/>
    <w:rsid w:val="00452738"/>
    <w:rsid w:val="00455DE4"/>
    <w:rsid w:val="00456091"/>
    <w:rsid w:val="00460991"/>
    <w:rsid w:val="004613D9"/>
    <w:rsid w:val="00465DFF"/>
    <w:rsid w:val="004661C2"/>
    <w:rsid w:val="00466321"/>
    <w:rsid w:val="004676FA"/>
    <w:rsid w:val="004716E4"/>
    <w:rsid w:val="004738A2"/>
    <w:rsid w:val="00473C0A"/>
    <w:rsid w:val="00475207"/>
    <w:rsid w:val="00477569"/>
    <w:rsid w:val="00480E94"/>
    <w:rsid w:val="004836B7"/>
    <w:rsid w:val="0048378F"/>
    <w:rsid w:val="00484108"/>
    <w:rsid w:val="00484B9B"/>
    <w:rsid w:val="004855F6"/>
    <w:rsid w:val="0048661E"/>
    <w:rsid w:val="00487F00"/>
    <w:rsid w:val="00492A71"/>
    <w:rsid w:val="00492AE5"/>
    <w:rsid w:val="00493C73"/>
    <w:rsid w:val="00494670"/>
    <w:rsid w:val="00494DF7"/>
    <w:rsid w:val="00494F46"/>
    <w:rsid w:val="00496C58"/>
    <w:rsid w:val="00497F0F"/>
    <w:rsid w:val="004A3823"/>
    <w:rsid w:val="004A3958"/>
    <w:rsid w:val="004A5A90"/>
    <w:rsid w:val="004A72E4"/>
    <w:rsid w:val="004A7A01"/>
    <w:rsid w:val="004B1403"/>
    <w:rsid w:val="004B462C"/>
    <w:rsid w:val="004B4BAD"/>
    <w:rsid w:val="004B670F"/>
    <w:rsid w:val="004B7A4C"/>
    <w:rsid w:val="004C15E4"/>
    <w:rsid w:val="004C266B"/>
    <w:rsid w:val="004C34D1"/>
    <w:rsid w:val="004C3623"/>
    <w:rsid w:val="004C4CAB"/>
    <w:rsid w:val="004C50D8"/>
    <w:rsid w:val="004C71B4"/>
    <w:rsid w:val="004C787E"/>
    <w:rsid w:val="004C7D2C"/>
    <w:rsid w:val="004D11F2"/>
    <w:rsid w:val="004D1D92"/>
    <w:rsid w:val="004D2C68"/>
    <w:rsid w:val="004D4C10"/>
    <w:rsid w:val="004E03D0"/>
    <w:rsid w:val="004E4196"/>
    <w:rsid w:val="004E5DAD"/>
    <w:rsid w:val="004E616D"/>
    <w:rsid w:val="004E6418"/>
    <w:rsid w:val="004E66B4"/>
    <w:rsid w:val="004E6946"/>
    <w:rsid w:val="004E6CB1"/>
    <w:rsid w:val="004E6CD3"/>
    <w:rsid w:val="004E7F83"/>
    <w:rsid w:val="004F0EB1"/>
    <w:rsid w:val="004F0F8F"/>
    <w:rsid w:val="004F1AD8"/>
    <w:rsid w:val="004F215E"/>
    <w:rsid w:val="004F40E6"/>
    <w:rsid w:val="004F5423"/>
    <w:rsid w:val="004F5D3A"/>
    <w:rsid w:val="004F64A7"/>
    <w:rsid w:val="004F73F8"/>
    <w:rsid w:val="005019A7"/>
    <w:rsid w:val="005039CB"/>
    <w:rsid w:val="00504673"/>
    <w:rsid w:val="00504C50"/>
    <w:rsid w:val="00504F2A"/>
    <w:rsid w:val="0050558F"/>
    <w:rsid w:val="00506286"/>
    <w:rsid w:val="00506B1E"/>
    <w:rsid w:val="00506E85"/>
    <w:rsid w:val="00507F3A"/>
    <w:rsid w:val="00510813"/>
    <w:rsid w:val="005117E0"/>
    <w:rsid w:val="00511990"/>
    <w:rsid w:val="00511BDC"/>
    <w:rsid w:val="00511DE0"/>
    <w:rsid w:val="00512ECB"/>
    <w:rsid w:val="00514044"/>
    <w:rsid w:val="00514870"/>
    <w:rsid w:val="00514B9B"/>
    <w:rsid w:val="00516CCD"/>
    <w:rsid w:val="0051769F"/>
    <w:rsid w:val="00517F02"/>
    <w:rsid w:val="005223BD"/>
    <w:rsid w:val="00522C60"/>
    <w:rsid w:val="00522CAD"/>
    <w:rsid w:val="00523346"/>
    <w:rsid w:val="00524303"/>
    <w:rsid w:val="00524F51"/>
    <w:rsid w:val="005258A2"/>
    <w:rsid w:val="00525932"/>
    <w:rsid w:val="00526585"/>
    <w:rsid w:val="00526B77"/>
    <w:rsid w:val="00526FF8"/>
    <w:rsid w:val="005279F9"/>
    <w:rsid w:val="00527F9A"/>
    <w:rsid w:val="00530E75"/>
    <w:rsid w:val="00531166"/>
    <w:rsid w:val="005319D6"/>
    <w:rsid w:val="00533CA7"/>
    <w:rsid w:val="005364B5"/>
    <w:rsid w:val="005365DA"/>
    <w:rsid w:val="0054008D"/>
    <w:rsid w:val="005401AE"/>
    <w:rsid w:val="00540C01"/>
    <w:rsid w:val="00541563"/>
    <w:rsid w:val="00542500"/>
    <w:rsid w:val="00542E07"/>
    <w:rsid w:val="00542E15"/>
    <w:rsid w:val="00543BF5"/>
    <w:rsid w:val="00544141"/>
    <w:rsid w:val="00544DEA"/>
    <w:rsid w:val="00545424"/>
    <w:rsid w:val="0054646E"/>
    <w:rsid w:val="00546C98"/>
    <w:rsid w:val="00551FF7"/>
    <w:rsid w:val="00554A7B"/>
    <w:rsid w:val="00554A90"/>
    <w:rsid w:val="0055572C"/>
    <w:rsid w:val="00556A96"/>
    <w:rsid w:val="00557A44"/>
    <w:rsid w:val="005607C0"/>
    <w:rsid w:val="0056106A"/>
    <w:rsid w:val="00561401"/>
    <w:rsid w:val="0056231E"/>
    <w:rsid w:val="00563274"/>
    <w:rsid w:val="00563CD3"/>
    <w:rsid w:val="005646DF"/>
    <w:rsid w:val="00565EC5"/>
    <w:rsid w:val="005668D1"/>
    <w:rsid w:val="00566928"/>
    <w:rsid w:val="00566BB6"/>
    <w:rsid w:val="005671B8"/>
    <w:rsid w:val="00567268"/>
    <w:rsid w:val="005678F4"/>
    <w:rsid w:val="00570548"/>
    <w:rsid w:val="00570D24"/>
    <w:rsid w:val="005720AE"/>
    <w:rsid w:val="00572AF4"/>
    <w:rsid w:val="00574B94"/>
    <w:rsid w:val="005763F4"/>
    <w:rsid w:val="005769B0"/>
    <w:rsid w:val="00576F56"/>
    <w:rsid w:val="00576FA2"/>
    <w:rsid w:val="005835A4"/>
    <w:rsid w:val="005852ED"/>
    <w:rsid w:val="0058693D"/>
    <w:rsid w:val="00586DF6"/>
    <w:rsid w:val="005872B1"/>
    <w:rsid w:val="0058779C"/>
    <w:rsid w:val="00590AA1"/>
    <w:rsid w:val="00590C70"/>
    <w:rsid w:val="00592A4D"/>
    <w:rsid w:val="0059382D"/>
    <w:rsid w:val="00594D77"/>
    <w:rsid w:val="0059602C"/>
    <w:rsid w:val="00596642"/>
    <w:rsid w:val="005969E4"/>
    <w:rsid w:val="005A06B7"/>
    <w:rsid w:val="005A1759"/>
    <w:rsid w:val="005A20A9"/>
    <w:rsid w:val="005A215C"/>
    <w:rsid w:val="005A313B"/>
    <w:rsid w:val="005A3F6A"/>
    <w:rsid w:val="005A45DA"/>
    <w:rsid w:val="005A58A4"/>
    <w:rsid w:val="005A66A7"/>
    <w:rsid w:val="005A68A7"/>
    <w:rsid w:val="005B0F43"/>
    <w:rsid w:val="005B164D"/>
    <w:rsid w:val="005B2085"/>
    <w:rsid w:val="005B23ED"/>
    <w:rsid w:val="005B29C1"/>
    <w:rsid w:val="005B4D04"/>
    <w:rsid w:val="005B51F0"/>
    <w:rsid w:val="005B60E7"/>
    <w:rsid w:val="005B6415"/>
    <w:rsid w:val="005C0F6E"/>
    <w:rsid w:val="005C204F"/>
    <w:rsid w:val="005C222C"/>
    <w:rsid w:val="005C4683"/>
    <w:rsid w:val="005C5CAF"/>
    <w:rsid w:val="005C6240"/>
    <w:rsid w:val="005C6ADC"/>
    <w:rsid w:val="005C7D3C"/>
    <w:rsid w:val="005D0F75"/>
    <w:rsid w:val="005D31A0"/>
    <w:rsid w:val="005D36AB"/>
    <w:rsid w:val="005D4603"/>
    <w:rsid w:val="005D5181"/>
    <w:rsid w:val="005E0C38"/>
    <w:rsid w:val="005E19D3"/>
    <w:rsid w:val="005E23D6"/>
    <w:rsid w:val="005E253B"/>
    <w:rsid w:val="005E2853"/>
    <w:rsid w:val="005E48F6"/>
    <w:rsid w:val="005E682A"/>
    <w:rsid w:val="005F323B"/>
    <w:rsid w:val="005F4158"/>
    <w:rsid w:val="00602923"/>
    <w:rsid w:val="00603A60"/>
    <w:rsid w:val="00603CFC"/>
    <w:rsid w:val="0060568D"/>
    <w:rsid w:val="00606F13"/>
    <w:rsid w:val="006077F9"/>
    <w:rsid w:val="006078DB"/>
    <w:rsid w:val="00612EC0"/>
    <w:rsid w:val="00616950"/>
    <w:rsid w:val="00616B21"/>
    <w:rsid w:val="006171E1"/>
    <w:rsid w:val="00617CC3"/>
    <w:rsid w:val="00617FD9"/>
    <w:rsid w:val="00620AF0"/>
    <w:rsid w:val="0062365F"/>
    <w:rsid w:val="00623F14"/>
    <w:rsid w:val="00626D1F"/>
    <w:rsid w:val="00627E6B"/>
    <w:rsid w:val="006323F4"/>
    <w:rsid w:val="00632B8E"/>
    <w:rsid w:val="00633EFC"/>
    <w:rsid w:val="006360BD"/>
    <w:rsid w:val="006377A6"/>
    <w:rsid w:val="00637A3D"/>
    <w:rsid w:val="006411EF"/>
    <w:rsid w:val="006419A6"/>
    <w:rsid w:val="0064319C"/>
    <w:rsid w:val="00644F3F"/>
    <w:rsid w:val="0064579E"/>
    <w:rsid w:val="0065120D"/>
    <w:rsid w:val="00651B63"/>
    <w:rsid w:val="00652AA1"/>
    <w:rsid w:val="00652D52"/>
    <w:rsid w:val="006534E2"/>
    <w:rsid w:val="00655AA2"/>
    <w:rsid w:val="006560CE"/>
    <w:rsid w:val="006612B5"/>
    <w:rsid w:val="0066207D"/>
    <w:rsid w:val="00664662"/>
    <w:rsid w:val="00664A8C"/>
    <w:rsid w:val="006656F9"/>
    <w:rsid w:val="00667140"/>
    <w:rsid w:val="006712BC"/>
    <w:rsid w:val="006742BF"/>
    <w:rsid w:val="006748B8"/>
    <w:rsid w:val="00674E86"/>
    <w:rsid w:val="00675339"/>
    <w:rsid w:val="0067589C"/>
    <w:rsid w:val="006773D8"/>
    <w:rsid w:val="006775C3"/>
    <w:rsid w:val="00677C81"/>
    <w:rsid w:val="006803D7"/>
    <w:rsid w:val="00680D47"/>
    <w:rsid w:val="0068257A"/>
    <w:rsid w:val="00682957"/>
    <w:rsid w:val="00683A8F"/>
    <w:rsid w:val="00684030"/>
    <w:rsid w:val="00684F90"/>
    <w:rsid w:val="00685785"/>
    <w:rsid w:val="00685F19"/>
    <w:rsid w:val="0068663A"/>
    <w:rsid w:val="0068778B"/>
    <w:rsid w:val="00687925"/>
    <w:rsid w:val="00687B22"/>
    <w:rsid w:val="00690E5A"/>
    <w:rsid w:val="00691767"/>
    <w:rsid w:val="0069290A"/>
    <w:rsid w:val="00692C8E"/>
    <w:rsid w:val="00692E98"/>
    <w:rsid w:val="00693175"/>
    <w:rsid w:val="0069466F"/>
    <w:rsid w:val="006949D9"/>
    <w:rsid w:val="00696748"/>
    <w:rsid w:val="00697087"/>
    <w:rsid w:val="0069775A"/>
    <w:rsid w:val="00697813"/>
    <w:rsid w:val="006A2C8E"/>
    <w:rsid w:val="006A3D0D"/>
    <w:rsid w:val="006A3EE8"/>
    <w:rsid w:val="006A4346"/>
    <w:rsid w:val="006A5394"/>
    <w:rsid w:val="006A53CA"/>
    <w:rsid w:val="006A72BF"/>
    <w:rsid w:val="006B03F2"/>
    <w:rsid w:val="006B080A"/>
    <w:rsid w:val="006B236E"/>
    <w:rsid w:val="006B31B0"/>
    <w:rsid w:val="006B32DD"/>
    <w:rsid w:val="006B37DC"/>
    <w:rsid w:val="006B4F68"/>
    <w:rsid w:val="006B6416"/>
    <w:rsid w:val="006B64A5"/>
    <w:rsid w:val="006B7CAF"/>
    <w:rsid w:val="006C0592"/>
    <w:rsid w:val="006C0BD2"/>
    <w:rsid w:val="006C116D"/>
    <w:rsid w:val="006C1490"/>
    <w:rsid w:val="006C272E"/>
    <w:rsid w:val="006C3B4E"/>
    <w:rsid w:val="006C5479"/>
    <w:rsid w:val="006C5811"/>
    <w:rsid w:val="006C5D00"/>
    <w:rsid w:val="006D13B5"/>
    <w:rsid w:val="006D19DB"/>
    <w:rsid w:val="006D1F8E"/>
    <w:rsid w:val="006D44AA"/>
    <w:rsid w:val="006D52A8"/>
    <w:rsid w:val="006D724F"/>
    <w:rsid w:val="006D7A57"/>
    <w:rsid w:val="006E00CB"/>
    <w:rsid w:val="006E0A0C"/>
    <w:rsid w:val="006E121A"/>
    <w:rsid w:val="006E12FF"/>
    <w:rsid w:val="006E2AE1"/>
    <w:rsid w:val="006E2C6D"/>
    <w:rsid w:val="006E386D"/>
    <w:rsid w:val="006E442D"/>
    <w:rsid w:val="006E5E27"/>
    <w:rsid w:val="006E607E"/>
    <w:rsid w:val="006E6AD1"/>
    <w:rsid w:val="006E77A4"/>
    <w:rsid w:val="006F0D4E"/>
    <w:rsid w:val="006F1305"/>
    <w:rsid w:val="006F2E55"/>
    <w:rsid w:val="006F505F"/>
    <w:rsid w:val="006F513B"/>
    <w:rsid w:val="006F5985"/>
    <w:rsid w:val="006F7885"/>
    <w:rsid w:val="00700332"/>
    <w:rsid w:val="00701476"/>
    <w:rsid w:val="007019EE"/>
    <w:rsid w:val="00702DF9"/>
    <w:rsid w:val="007037C0"/>
    <w:rsid w:val="00706C5D"/>
    <w:rsid w:val="007071A3"/>
    <w:rsid w:val="0070789B"/>
    <w:rsid w:val="00707CF1"/>
    <w:rsid w:val="00707F5D"/>
    <w:rsid w:val="007100ED"/>
    <w:rsid w:val="007150D4"/>
    <w:rsid w:val="00716BEC"/>
    <w:rsid w:val="00724D36"/>
    <w:rsid w:val="007252C4"/>
    <w:rsid w:val="00726710"/>
    <w:rsid w:val="0072694F"/>
    <w:rsid w:val="0072699E"/>
    <w:rsid w:val="00727816"/>
    <w:rsid w:val="007303D9"/>
    <w:rsid w:val="00730C21"/>
    <w:rsid w:val="0073230C"/>
    <w:rsid w:val="007328C9"/>
    <w:rsid w:val="00732922"/>
    <w:rsid w:val="00732D09"/>
    <w:rsid w:val="007362AF"/>
    <w:rsid w:val="007363E8"/>
    <w:rsid w:val="00736407"/>
    <w:rsid w:val="007408BD"/>
    <w:rsid w:val="00740AB0"/>
    <w:rsid w:val="007423C7"/>
    <w:rsid w:val="00747B69"/>
    <w:rsid w:val="0075162E"/>
    <w:rsid w:val="0075264A"/>
    <w:rsid w:val="007527A9"/>
    <w:rsid w:val="007530CB"/>
    <w:rsid w:val="00754034"/>
    <w:rsid w:val="0075521A"/>
    <w:rsid w:val="007560DC"/>
    <w:rsid w:val="00756556"/>
    <w:rsid w:val="0075795F"/>
    <w:rsid w:val="00761281"/>
    <w:rsid w:val="007618C4"/>
    <w:rsid w:val="007622F5"/>
    <w:rsid w:val="007625CB"/>
    <w:rsid w:val="007630BF"/>
    <w:rsid w:val="00763810"/>
    <w:rsid w:val="00764BB0"/>
    <w:rsid w:val="00766784"/>
    <w:rsid w:val="00767980"/>
    <w:rsid w:val="00770B19"/>
    <w:rsid w:val="00770EBC"/>
    <w:rsid w:val="0077463F"/>
    <w:rsid w:val="0077508B"/>
    <w:rsid w:val="00775D50"/>
    <w:rsid w:val="007770C1"/>
    <w:rsid w:val="007770D6"/>
    <w:rsid w:val="00782156"/>
    <w:rsid w:val="0078272F"/>
    <w:rsid w:val="007827C8"/>
    <w:rsid w:val="00783355"/>
    <w:rsid w:val="007836EA"/>
    <w:rsid w:val="007843EF"/>
    <w:rsid w:val="00784CDA"/>
    <w:rsid w:val="00784EB0"/>
    <w:rsid w:val="007850B1"/>
    <w:rsid w:val="007858F6"/>
    <w:rsid w:val="0078719D"/>
    <w:rsid w:val="00787351"/>
    <w:rsid w:val="0078768E"/>
    <w:rsid w:val="007906C4"/>
    <w:rsid w:val="007920F2"/>
    <w:rsid w:val="00792434"/>
    <w:rsid w:val="007940EA"/>
    <w:rsid w:val="007962CF"/>
    <w:rsid w:val="007967E8"/>
    <w:rsid w:val="007A084A"/>
    <w:rsid w:val="007A1FAE"/>
    <w:rsid w:val="007A2170"/>
    <w:rsid w:val="007A22BF"/>
    <w:rsid w:val="007A3323"/>
    <w:rsid w:val="007A4950"/>
    <w:rsid w:val="007A60A0"/>
    <w:rsid w:val="007A60A7"/>
    <w:rsid w:val="007A6755"/>
    <w:rsid w:val="007A7A26"/>
    <w:rsid w:val="007B0269"/>
    <w:rsid w:val="007B0EE0"/>
    <w:rsid w:val="007B309A"/>
    <w:rsid w:val="007B34F4"/>
    <w:rsid w:val="007B352B"/>
    <w:rsid w:val="007B49B2"/>
    <w:rsid w:val="007B4EC0"/>
    <w:rsid w:val="007B6075"/>
    <w:rsid w:val="007B62FB"/>
    <w:rsid w:val="007B72B8"/>
    <w:rsid w:val="007B7A58"/>
    <w:rsid w:val="007C0367"/>
    <w:rsid w:val="007C03A9"/>
    <w:rsid w:val="007C1AD4"/>
    <w:rsid w:val="007C21B5"/>
    <w:rsid w:val="007C3ED7"/>
    <w:rsid w:val="007C4850"/>
    <w:rsid w:val="007C5BAD"/>
    <w:rsid w:val="007C5C41"/>
    <w:rsid w:val="007C6B6F"/>
    <w:rsid w:val="007C717F"/>
    <w:rsid w:val="007C7DF9"/>
    <w:rsid w:val="007D2122"/>
    <w:rsid w:val="007D2648"/>
    <w:rsid w:val="007D2B18"/>
    <w:rsid w:val="007D322B"/>
    <w:rsid w:val="007D3554"/>
    <w:rsid w:val="007D47C4"/>
    <w:rsid w:val="007D535B"/>
    <w:rsid w:val="007D597E"/>
    <w:rsid w:val="007D6BA2"/>
    <w:rsid w:val="007D6DD5"/>
    <w:rsid w:val="007E147E"/>
    <w:rsid w:val="007E1B1B"/>
    <w:rsid w:val="007E4BD2"/>
    <w:rsid w:val="007E7BE9"/>
    <w:rsid w:val="007F0F5A"/>
    <w:rsid w:val="007F487E"/>
    <w:rsid w:val="007F4A60"/>
    <w:rsid w:val="007F5EDA"/>
    <w:rsid w:val="007F70D7"/>
    <w:rsid w:val="00801393"/>
    <w:rsid w:val="00802268"/>
    <w:rsid w:val="00802F88"/>
    <w:rsid w:val="008032A9"/>
    <w:rsid w:val="00804AFD"/>
    <w:rsid w:val="008051C1"/>
    <w:rsid w:val="0080540D"/>
    <w:rsid w:val="008110D0"/>
    <w:rsid w:val="0081293E"/>
    <w:rsid w:val="008145AB"/>
    <w:rsid w:val="008145E1"/>
    <w:rsid w:val="00814849"/>
    <w:rsid w:val="008149EE"/>
    <w:rsid w:val="00815465"/>
    <w:rsid w:val="00816543"/>
    <w:rsid w:val="00816E0F"/>
    <w:rsid w:val="00817C1C"/>
    <w:rsid w:val="00817E9A"/>
    <w:rsid w:val="0082100C"/>
    <w:rsid w:val="00821060"/>
    <w:rsid w:val="00821CCD"/>
    <w:rsid w:val="00826F71"/>
    <w:rsid w:val="0082771D"/>
    <w:rsid w:val="008300E3"/>
    <w:rsid w:val="008306BD"/>
    <w:rsid w:val="00831A80"/>
    <w:rsid w:val="00831CBC"/>
    <w:rsid w:val="00831DA6"/>
    <w:rsid w:val="00832A78"/>
    <w:rsid w:val="00833743"/>
    <w:rsid w:val="008340A4"/>
    <w:rsid w:val="008370F8"/>
    <w:rsid w:val="00840AAE"/>
    <w:rsid w:val="00841598"/>
    <w:rsid w:val="00841C29"/>
    <w:rsid w:val="00841E26"/>
    <w:rsid w:val="00843CDB"/>
    <w:rsid w:val="00844A6D"/>
    <w:rsid w:val="00845FDF"/>
    <w:rsid w:val="008467E1"/>
    <w:rsid w:val="0085057D"/>
    <w:rsid w:val="0085152C"/>
    <w:rsid w:val="00853010"/>
    <w:rsid w:val="00854D00"/>
    <w:rsid w:val="008556BB"/>
    <w:rsid w:val="00855D53"/>
    <w:rsid w:val="008570A6"/>
    <w:rsid w:val="0086075E"/>
    <w:rsid w:val="00863F2D"/>
    <w:rsid w:val="008647E5"/>
    <w:rsid w:val="00865F91"/>
    <w:rsid w:val="00867B6F"/>
    <w:rsid w:val="00870CC4"/>
    <w:rsid w:val="0087135F"/>
    <w:rsid w:val="0087187A"/>
    <w:rsid w:val="008722A4"/>
    <w:rsid w:val="008723B0"/>
    <w:rsid w:val="00872D94"/>
    <w:rsid w:val="008734FD"/>
    <w:rsid w:val="008738B9"/>
    <w:rsid w:val="00873C94"/>
    <w:rsid w:val="008754C0"/>
    <w:rsid w:val="008800E1"/>
    <w:rsid w:val="00880364"/>
    <w:rsid w:val="00880530"/>
    <w:rsid w:val="00881254"/>
    <w:rsid w:val="0088132A"/>
    <w:rsid w:val="008821D3"/>
    <w:rsid w:val="008837C6"/>
    <w:rsid w:val="008849E4"/>
    <w:rsid w:val="00884A80"/>
    <w:rsid w:val="008855A5"/>
    <w:rsid w:val="00885C53"/>
    <w:rsid w:val="008862B2"/>
    <w:rsid w:val="0088671A"/>
    <w:rsid w:val="008901A9"/>
    <w:rsid w:val="00890674"/>
    <w:rsid w:val="00891592"/>
    <w:rsid w:val="008917F3"/>
    <w:rsid w:val="00891E9E"/>
    <w:rsid w:val="008932BD"/>
    <w:rsid w:val="00893649"/>
    <w:rsid w:val="008940BE"/>
    <w:rsid w:val="008A1976"/>
    <w:rsid w:val="008A2C96"/>
    <w:rsid w:val="008A2F68"/>
    <w:rsid w:val="008A304C"/>
    <w:rsid w:val="008A3113"/>
    <w:rsid w:val="008A3F14"/>
    <w:rsid w:val="008A5441"/>
    <w:rsid w:val="008A55C3"/>
    <w:rsid w:val="008A79AC"/>
    <w:rsid w:val="008B0779"/>
    <w:rsid w:val="008B08B9"/>
    <w:rsid w:val="008B32D6"/>
    <w:rsid w:val="008B4FA6"/>
    <w:rsid w:val="008B5282"/>
    <w:rsid w:val="008B5E99"/>
    <w:rsid w:val="008B6D60"/>
    <w:rsid w:val="008B7505"/>
    <w:rsid w:val="008B7964"/>
    <w:rsid w:val="008B7BE6"/>
    <w:rsid w:val="008B7C17"/>
    <w:rsid w:val="008C0901"/>
    <w:rsid w:val="008C1874"/>
    <w:rsid w:val="008C2D01"/>
    <w:rsid w:val="008C3082"/>
    <w:rsid w:val="008C409E"/>
    <w:rsid w:val="008C40E6"/>
    <w:rsid w:val="008C58A1"/>
    <w:rsid w:val="008C6CFA"/>
    <w:rsid w:val="008C7747"/>
    <w:rsid w:val="008C7E7C"/>
    <w:rsid w:val="008D0F7A"/>
    <w:rsid w:val="008D17FD"/>
    <w:rsid w:val="008D3236"/>
    <w:rsid w:val="008D4560"/>
    <w:rsid w:val="008D4806"/>
    <w:rsid w:val="008D4EE8"/>
    <w:rsid w:val="008D68E4"/>
    <w:rsid w:val="008E0506"/>
    <w:rsid w:val="008E0CFF"/>
    <w:rsid w:val="008E2065"/>
    <w:rsid w:val="008E21E9"/>
    <w:rsid w:val="008E3479"/>
    <w:rsid w:val="008E4ADF"/>
    <w:rsid w:val="008E521B"/>
    <w:rsid w:val="008E5A4A"/>
    <w:rsid w:val="008E5D6B"/>
    <w:rsid w:val="008E6B8D"/>
    <w:rsid w:val="008E76F0"/>
    <w:rsid w:val="008F04DE"/>
    <w:rsid w:val="008F14E1"/>
    <w:rsid w:val="008F15FE"/>
    <w:rsid w:val="008F24AA"/>
    <w:rsid w:val="008F2D29"/>
    <w:rsid w:val="008F30BC"/>
    <w:rsid w:val="008F3C67"/>
    <w:rsid w:val="008F4311"/>
    <w:rsid w:val="008F4BC4"/>
    <w:rsid w:val="008F5187"/>
    <w:rsid w:val="008F53F0"/>
    <w:rsid w:val="008F5EAC"/>
    <w:rsid w:val="008F60D8"/>
    <w:rsid w:val="008F69D2"/>
    <w:rsid w:val="008F6AEF"/>
    <w:rsid w:val="008F7147"/>
    <w:rsid w:val="008F74F5"/>
    <w:rsid w:val="008F7817"/>
    <w:rsid w:val="00902004"/>
    <w:rsid w:val="00902727"/>
    <w:rsid w:val="0090312B"/>
    <w:rsid w:val="0090384E"/>
    <w:rsid w:val="00905DF7"/>
    <w:rsid w:val="00910B26"/>
    <w:rsid w:val="00915640"/>
    <w:rsid w:val="0091615A"/>
    <w:rsid w:val="0091736D"/>
    <w:rsid w:val="00920536"/>
    <w:rsid w:val="00920859"/>
    <w:rsid w:val="009210A7"/>
    <w:rsid w:val="00921CEC"/>
    <w:rsid w:val="009220B0"/>
    <w:rsid w:val="00923486"/>
    <w:rsid w:val="009244CA"/>
    <w:rsid w:val="00924B58"/>
    <w:rsid w:val="00926505"/>
    <w:rsid w:val="009265BA"/>
    <w:rsid w:val="00927BD1"/>
    <w:rsid w:val="0093037A"/>
    <w:rsid w:val="0093103A"/>
    <w:rsid w:val="00931C5F"/>
    <w:rsid w:val="00933652"/>
    <w:rsid w:val="00934995"/>
    <w:rsid w:val="009375DA"/>
    <w:rsid w:val="00940114"/>
    <w:rsid w:val="0094142D"/>
    <w:rsid w:val="0094154D"/>
    <w:rsid w:val="00941A86"/>
    <w:rsid w:val="0094255B"/>
    <w:rsid w:val="00942675"/>
    <w:rsid w:val="00944A28"/>
    <w:rsid w:val="00946557"/>
    <w:rsid w:val="00947328"/>
    <w:rsid w:val="00947416"/>
    <w:rsid w:val="0095155F"/>
    <w:rsid w:val="00951882"/>
    <w:rsid w:val="00954429"/>
    <w:rsid w:val="00954BFE"/>
    <w:rsid w:val="009563CE"/>
    <w:rsid w:val="0095651D"/>
    <w:rsid w:val="00956786"/>
    <w:rsid w:val="009600A7"/>
    <w:rsid w:val="009630DB"/>
    <w:rsid w:val="00963D63"/>
    <w:rsid w:val="00965805"/>
    <w:rsid w:val="00967796"/>
    <w:rsid w:val="00970C3C"/>
    <w:rsid w:val="00971632"/>
    <w:rsid w:val="00971AA3"/>
    <w:rsid w:val="009731C1"/>
    <w:rsid w:val="00973E47"/>
    <w:rsid w:val="00974AA1"/>
    <w:rsid w:val="00976328"/>
    <w:rsid w:val="0097680D"/>
    <w:rsid w:val="0097765C"/>
    <w:rsid w:val="00981869"/>
    <w:rsid w:val="00981CE9"/>
    <w:rsid w:val="00982438"/>
    <w:rsid w:val="00983EC9"/>
    <w:rsid w:val="0098404C"/>
    <w:rsid w:val="00985283"/>
    <w:rsid w:val="00986C49"/>
    <w:rsid w:val="00987452"/>
    <w:rsid w:val="00992EF9"/>
    <w:rsid w:val="009949D0"/>
    <w:rsid w:val="009953F3"/>
    <w:rsid w:val="00995992"/>
    <w:rsid w:val="00995D3B"/>
    <w:rsid w:val="00995ECC"/>
    <w:rsid w:val="0099616B"/>
    <w:rsid w:val="00996959"/>
    <w:rsid w:val="009A002A"/>
    <w:rsid w:val="009A03E5"/>
    <w:rsid w:val="009A082E"/>
    <w:rsid w:val="009A0F3B"/>
    <w:rsid w:val="009A1BB4"/>
    <w:rsid w:val="009A2628"/>
    <w:rsid w:val="009A3200"/>
    <w:rsid w:val="009A3D11"/>
    <w:rsid w:val="009A46E6"/>
    <w:rsid w:val="009B0897"/>
    <w:rsid w:val="009B188C"/>
    <w:rsid w:val="009B34C9"/>
    <w:rsid w:val="009B3BD2"/>
    <w:rsid w:val="009B41CF"/>
    <w:rsid w:val="009B4CC3"/>
    <w:rsid w:val="009B56EB"/>
    <w:rsid w:val="009B735A"/>
    <w:rsid w:val="009B73B9"/>
    <w:rsid w:val="009B7A81"/>
    <w:rsid w:val="009B7BD9"/>
    <w:rsid w:val="009C04D4"/>
    <w:rsid w:val="009C2064"/>
    <w:rsid w:val="009C364D"/>
    <w:rsid w:val="009C42E9"/>
    <w:rsid w:val="009C4F7D"/>
    <w:rsid w:val="009C5217"/>
    <w:rsid w:val="009C59A2"/>
    <w:rsid w:val="009C5D78"/>
    <w:rsid w:val="009C7DD5"/>
    <w:rsid w:val="009D00BE"/>
    <w:rsid w:val="009D03AA"/>
    <w:rsid w:val="009D0672"/>
    <w:rsid w:val="009D1ECE"/>
    <w:rsid w:val="009D32C0"/>
    <w:rsid w:val="009D50EE"/>
    <w:rsid w:val="009D52BB"/>
    <w:rsid w:val="009D5D13"/>
    <w:rsid w:val="009D5EA4"/>
    <w:rsid w:val="009D781D"/>
    <w:rsid w:val="009E0CD7"/>
    <w:rsid w:val="009E1742"/>
    <w:rsid w:val="009E1A7B"/>
    <w:rsid w:val="009E227D"/>
    <w:rsid w:val="009E2E95"/>
    <w:rsid w:val="009E3533"/>
    <w:rsid w:val="009E3CC6"/>
    <w:rsid w:val="009E5019"/>
    <w:rsid w:val="009E5DB3"/>
    <w:rsid w:val="009E79E5"/>
    <w:rsid w:val="009F37CA"/>
    <w:rsid w:val="009F3F51"/>
    <w:rsid w:val="009F59C4"/>
    <w:rsid w:val="009F6782"/>
    <w:rsid w:val="009F736B"/>
    <w:rsid w:val="00A00255"/>
    <w:rsid w:val="00A00A69"/>
    <w:rsid w:val="00A00EF7"/>
    <w:rsid w:val="00A012DD"/>
    <w:rsid w:val="00A014EF"/>
    <w:rsid w:val="00A01C5E"/>
    <w:rsid w:val="00A02C27"/>
    <w:rsid w:val="00A04D51"/>
    <w:rsid w:val="00A04F1B"/>
    <w:rsid w:val="00A0501B"/>
    <w:rsid w:val="00A05BFF"/>
    <w:rsid w:val="00A072A2"/>
    <w:rsid w:val="00A10FB7"/>
    <w:rsid w:val="00A1184D"/>
    <w:rsid w:val="00A12860"/>
    <w:rsid w:val="00A12CC0"/>
    <w:rsid w:val="00A136AC"/>
    <w:rsid w:val="00A14947"/>
    <w:rsid w:val="00A15539"/>
    <w:rsid w:val="00A1715E"/>
    <w:rsid w:val="00A1760E"/>
    <w:rsid w:val="00A222AE"/>
    <w:rsid w:val="00A2316E"/>
    <w:rsid w:val="00A2337C"/>
    <w:rsid w:val="00A252E7"/>
    <w:rsid w:val="00A25565"/>
    <w:rsid w:val="00A25AF9"/>
    <w:rsid w:val="00A25B60"/>
    <w:rsid w:val="00A26112"/>
    <w:rsid w:val="00A264FE"/>
    <w:rsid w:val="00A30338"/>
    <w:rsid w:val="00A30C7C"/>
    <w:rsid w:val="00A30E65"/>
    <w:rsid w:val="00A30FCE"/>
    <w:rsid w:val="00A32A83"/>
    <w:rsid w:val="00A32B51"/>
    <w:rsid w:val="00A32FF7"/>
    <w:rsid w:val="00A330E5"/>
    <w:rsid w:val="00A336FC"/>
    <w:rsid w:val="00A34245"/>
    <w:rsid w:val="00A35785"/>
    <w:rsid w:val="00A35FD7"/>
    <w:rsid w:val="00A36261"/>
    <w:rsid w:val="00A368DB"/>
    <w:rsid w:val="00A37716"/>
    <w:rsid w:val="00A40556"/>
    <w:rsid w:val="00A42161"/>
    <w:rsid w:val="00A423AA"/>
    <w:rsid w:val="00A4314D"/>
    <w:rsid w:val="00A437D3"/>
    <w:rsid w:val="00A43B7E"/>
    <w:rsid w:val="00A43BDC"/>
    <w:rsid w:val="00A440C0"/>
    <w:rsid w:val="00A45438"/>
    <w:rsid w:val="00A4605F"/>
    <w:rsid w:val="00A50EA3"/>
    <w:rsid w:val="00A51442"/>
    <w:rsid w:val="00A52428"/>
    <w:rsid w:val="00A53EC6"/>
    <w:rsid w:val="00A5545E"/>
    <w:rsid w:val="00A55AC7"/>
    <w:rsid w:val="00A55C0F"/>
    <w:rsid w:val="00A571A6"/>
    <w:rsid w:val="00A57466"/>
    <w:rsid w:val="00A6162E"/>
    <w:rsid w:val="00A63525"/>
    <w:rsid w:val="00A65292"/>
    <w:rsid w:val="00A72223"/>
    <w:rsid w:val="00A727DA"/>
    <w:rsid w:val="00A72A16"/>
    <w:rsid w:val="00A762EB"/>
    <w:rsid w:val="00A76AAF"/>
    <w:rsid w:val="00A77D2B"/>
    <w:rsid w:val="00A80345"/>
    <w:rsid w:val="00A8079C"/>
    <w:rsid w:val="00A80E13"/>
    <w:rsid w:val="00A80F84"/>
    <w:rsid w:val="00A82854"/>
    <w:rsid w:val="00A85936"/>
    <w:rsid w:val="00A87003"/>
    <w:rsid w:val="00A8713F"/>
    <w:rsid w:val="00A877EA"/>
    <w:rsid w:val="00A90BA1"/>
    <w:rsid w:val="00A90F06"/>
    <w:rsid w:val="00A91114"/>
    <w:rsid w:val="00A946EF"/>
    <w:rsid w:val="00A9553E"/>
    <w:rsid w:val="00A96030"/>
    <w:rsid w:val="00A96854"/>
    <w:rsid w:val="00A97A9A"/>
    <w:rsid w:val="00AA0671"/>
    <w:rsid w:val="00AA0DE8"/>
    <w:rsid w:val="00AA2531"/>
    <w:rsid w:val="00AA2A83"/>
    <w:rsid w:val="00AA3B1B"/>
    <w:rsid w:val="00AA4E0B"/>
    <w:rsid w:val="00AA7700"/>
    <w:rsid w:val="00AB0C11"/>
    <w:rsid w:val="00AB1120"/>
    <w:rsid w:val="00AB1545"/>
    <w:rsid w:val="00AB1978"/>
    <w:rsid w:val="00AB1E09"/>
    <w:rsid w:val="00AB3146"/>
    <w:rsid w:val="00AB3CA0"/>
    <w:rsid w:val="00AB4D2A"/>
    <w:rsid w:val="00AB5078"/>
    <w:rsid w:val="00AB50DE"/>
    <w:rsid w:val="00AB5330"/>
    <w:rsid w:val="00AB551D"/>
    <w:rsid w:val="00AB55AD"/>
    <w:rsid w:val="00AB5F3B"/>
    <w:rsid w:val="00AB68C8"/>
    <w:rsid w:val="00AB7352"/>
    <w:rsid w:val="00AB7747"/>
    <w:rsid w:val="00AC08F1"/>
    <w:rsid w:val="00AC14CE"/>
    <w:rsid w:val="00AC1664"/>
    <w:rsid w:val="00AC1F64"/>
    <w:rsid w:val="00AC26F7"/>
    <w:rsid w:val="00AC2A56"/>
    <w:rsid w:val="00AC4066"/>
    <w:rsid w:val="00AC554F"/>
    <w:rsid w:val="00AC643B"/>
    <w:rsid w:val="00AC676D"/>
    <w:rsid w:val="00AC79BA"/>
    <w:rsid w:val="00AD055E"/>
    <w:rsid w:val="00AD077E"/>
    <w:rsid w:val="00AD10E0"/>
    <w:rsid w:val="00AD3D3B"/>
    <w:rsid w:val="00AD4594"/>
    <w:rsid w:val="00AD47A7"/>
    <w:rsid w:val="00AE01D2"/>
    <w:rsid w:val="00AE39F2"/>
    <w:rsid w:val="00AE5CB9"/>
    <w:rsid w:val="00AF0CBF"/>
    <w:rsid w:val="00AF189E"/>
    <w:rsid w:val="00AF257F"/>
    <w:rsid w:val="00AF28F7"/>
    <w:rsid w:val="00AF2A69"/>
    <w:rsid w:val="00AF33CF"/>
    <w:rsid w:val="00AF4D50"/>
    <w:rsid w:val="00AF6179"/>
    <w:rsid w:val="00AF7088"/>
    <w:rsid w:val="00B014F6"/>
    <w:rsid w:val="00B0298F"/>
    <w:rsid w:val="00B04A1B"/>
    <w:rsid w:val="00B077C8"/>
    <w:rsid w:val="00B078E7"/>
    <w:rsid w:val="00B11195"/>
    <w:rsid w:val="00B1295A"/>
    <w:rsid w:val="00B13671"/>
    <w:rsid w:val="00B14F98"/>
    <w:rsid w:val="00B16858"/>
    <w:rsid w:val="00B16D5D"/>
    <w:rsid w:val="00B17169"/>
    <w:rsid w:val="00B17FA3"/>
    <w:rsid w:val="00B2005C"/>
    <w:rsid w:val="00B20A45"/>
    <w:rsid w:val="00B20E68"/>
    <w:rsid w:val="00B2117A"/>
    <w:rsid w:val="00B21F5B"/>
    <w:rsid w:val="00B22C5C"/>
    <w:rsid w:val="00B236A8"/>
    <w:rsid w:val="00B23823"/>
    <w:rsid w:val="00B23C5A"/>
    <w:rsid w:val="00B24F30"/>
    <w:rsid w:val="00B258A5"/>
    <w:rsid w:val="00B2683C"/>
    <w:rsid w:val="00B26BB1"/>
    <w:rsid w:val="00B302F1"/>
    <w:rsid w:val="00B30E44"/>
    <w:rsid w:val="00B31155"/>
    <w:rsid w:val="00B31ABF"/>
    <w:rsid w:val="00B32474"/>
    <w:rsid w:val="00B32632"/>
    <w:rsid w:val="00B3364E"/>
    <w:rsid w:val="00B33BE3"/>
    <w:rsid w:val="00B34001"/>
    <w:rsid w:val="00B35FB3"/>
    <w:rsid w:val="00B413F6"/>
    <w:rsid w:val="00B41EB3"/>
    <w:rsid w:val="00B4296C"/>
    <w:rsid w:val="00B43E1C"/>
    <w:rsid w:val="00B4475B"/>
    <w:rsid w:val="00B4502F"/>
    <w:rsid w:val="00B46FF1"/>
    <w:rsid w:val="00B531C8"/>
    <w:rsid w:val="00B53B5D"/>
    <w:rsid w:val="00B54623"/>
    <w:rsid w:val="00B5498C"/>
    <w:rsid w:val="00B55BD8"/>
    <w:rsid w:val="00B5745A"/>
    <w:rsid w:val="00B6055E"/>
    <w:rsid w:val="00B62113"/>
    <w:rsid w:val="00B62854"/>
    <w:rsid w:val="00B6317D"/>
    <w:rsid w:val="00B64C3B"/>
    <w:rsid w:val="00B659D6"/>
    <w:rsid w:val="00B66E7E"/>
    <w:rsid w:val="00B701B7"/>
    <w:rsid w:val="00B713E5"/>
    <w:rsid w:val="00B71741"/>
    <w:rsid w:val="00B71D53"/>
    <w:rsid w:val="00B74056"/>
    <w:rsid w:val="00B7723F"/>
    <w:rsid w:val="00B77286"/>
    <w:rsid w:val="00B80534"/>
    <w:rsid w:val="00B81EBE"/>
    <w:rsid w:val="00B8251B"/>
    <w:rsid w:val="00B82A69"/>
    <w:rsid w:val="00B82DB8"/>
    <w:rsid w:val="00B82E60"/>
    <w:rsid w:val="00B837CF"/>
    <w:rsid w:val="00B8418D"/>
    <w:rsid w:val="00B8433C"/>
    <w:rsid w:val="00B855DE"/>
    <w:rsid w:val="00B866E8"/>
    <w:rsid w:val="00B8744D"/>
    <w:rsid w:val="00B87491"/>
    <w:rsid w:val="00B9114D"/>
    <w:rsid w:val="00B9171F"/>
    <w:rsid w:val="00B92D69"/>
    <w:rsid w:val="00B95868"/>
    <w:rsid w:val="00B95BCC"/>
    <w:rsid w:val="00B979B2"/>
    <w:rsid w:val="00BA060F"/>
    <w:rsid w:val="00BA11ED"/>
    <w:rsid w:val="00BA29E9"/>
    <w:rsid w:val="00BA2E10"/>
    <w:rsid w:val="00BA39E1"/>
    <w:rsid w:val="00BA6640"/>
    <w:rsid w:val="00BA7142"/>
    <w:rsid w:val="00BA78E6"/>
    <w:rsid w:val="00BB0C12"/>
    <w:rsid w:val="00BB237C"/>
    <w:rsid w:val="00BB2B32"/>
    <w:rsid w:val="00BB2D14"/>
    <w:rsid w:val="00BB41A3"/>
    <w:rsid w:val="00BB5892"/>
    <w:rsid w:val="00BB6E57"/>
    <w:rsid w:val="00BC047A"/>
    <w:rsid w:val="00BC32DC"/>
    <w:rsid w:val="00BC35B6"/>
    <w:rsid w:val="00BC3779"/>
    <w:rsid w:val="00BC4112"/>
    <w:rsid w:val="00BC46D8"/>
    <w:rsid w:val="00BC4F01"/>
    <w:rsid w:val="00BC791B"/>
    <w:rsid w:val="00BC7E6A"/>
    <w:rsid w:val="00BD0736"/>
    <w:rsid w:val="00BD1877"/>
    <w:rsid w:val="00BD1B51"/>
    <w:rsid w:val="00BD291E"/>
    <w:rsid w:val="00BD3293"/>
    <w:rsid w:val="00BD4596"/>
    <w:rsid w:val="00BD4F85"/>
    <w:rsid w:val="00BD4FED"/>
    <w:rsid w:val="00BD6ACC"/>
    <w:rsid w:val="00BD73C6"/>
    <w:rsid w:val="00BD79AF"/>
    <w:rsid w:val="00BE04F1"/>
    <w:rsid w:val="00BE0948"/>
    <w:rsid w:val="00BE1405"/>
    <w:rsid w:val="00BE2806"/>
    <w:rsid w:val="00BE312D"/>
    <w:rsid w:val="00BE3AD7"/>
    <w:rsid w:val="00BE3C70"/>
    <w:rsid w:val="00BE5E2D"/>
    <w:rsid w:val="00BE625C"/>
    <w:rsid w:val="00BE62A9"/>
    <w:rsid w:val="00BE7503"/>
    <w:rsid w:val="00BF102D"/>
    <w:rsid w:val="00BF1C20"/>
    <w:rsid w:val="00BF1D9C"/>
    <w:rsid w:val="00BF289B"/>
    <w:rsid w:val="00BF3166"/>
    <w:rsid w:val="00BF47F5"/>
    <w:rsid w:val="00BF700E"/>
    <w:rsid w:val="00BF7B3F"/>
    <w:rsid w:val="00C00508"/>
    <w:rsid w:val="00C01385"/>
    <w:rsid w:val="00C03705"/>
    <w:rsid w:val="00C053E1"/>
    <w:rsid w:val="00C05D67"/>
    <w:rsid w:val="00C05EC2"/>
    <w:rsid w:val="00C06ED4"/>
    <w:rsid w:val="00C074F6"/>
    <w:rsid w:val="00C104E3"/>
    <w:rsid w:val="00C10578"/>
    <w:rsid w:val="00C12FAC"/>
    <w:rsid w:val="00C135BC"/>
    <w:rsid w:val="00C15C95"/>
    <w:rsid w:val="00C1670B"/>
    <w:rsid w:val="00C169F2"/>
    <w:rsid w:val="00C20198"/>
    <w:rsid w:val="00C22B0F"/>
    <w:rsid w:val="00C24591"/>
    <w:rsid w:val="00C24C4D"/>
    <w:rsid w:val="00C2596A"/>
    <w:rsid w:val="00C27537"/>
    <w:rsid w:val="00C27819"/>
    <w:rsid w:val="00C300BC"/>
    <w:rsid w:val="00C328FE"/>
    <w:rsid w:val="00C33507"/>
    <w:rsid w:val="00C3547A"/>
    <w:rsid w:val="00C354BC"/>
    <w:rsid w:val="00C35677"/>
    <w:rsid w:val="00C369A2"/>
    <w:rsid w:val="00C37DEC"/>
    <w:rsid w:val="00C43F0B"/>
    <w:rsid w:val="00C4409D"/>
    <w:rsid w:val="00C443AD"/>
    <w:rsid w:val="00C448CD"/>
    <w:rsid w:val="00C44E72"/>
    <w:rsid w:val="00C45A06"/>
    <w:rsid w:val="00C46827"/>
    <w:rsid w:val="00C46AF4"/>
    <w:rsid w:val="00C46EAC"/>
    <w:rsid w:val="00C46EDA"/>
    <w:rsid w:val="00C479DD"/>
    <w:rsid w:val="00C47E5B"/>
    <w:rsid w:val="00C534E2"/>
    <w:rsid w:val="00C53A39"/>
    <w:rsid w:val="00C543D7"/>
    <w:rsid w:val="00C55B86"/>
    <w:rsid w:val="00C61E4B"/>
    <w:rsid w:val="00C62F0C"/>
    <w:rsid w:val="00C63765"/>
    <w:rsid w:val="00C64BFF"/>
    <w:rsid w:val="00C653F1"/>
    <w:rsid w:val="00C65713"/>
    <w:rsid w:val="00C6592D"/>
    <w:rsid w:val="00C6744E"/>
    <w:rsid w:val="00C704E9"/>
    <w:rsid w:val="00C72AD2"/>
    <w:rsid w:val="00C75A15"/>
    <w:rsid w:val="00C763C9"/>
    <w:rsid w:val="00C77FAE"/>
    <w:rsid w:val="00C80057"/>
    <w:rsid w:val="00C81E67"/>
    <w:rsid w:val="00C820C8"/>
    <w:rsid w:val="00C82232"/>
    <w:rsid w:val="00C82913"/>
    <w:rsid w:val="00C85995"/>
    <w:rsid w:val="00C87785"/>
    <w:rsid w:val="00C901F3"/>
    <w:rsid w:val="00C905FE"/>
    <w:rsid w:val="00C92EE4"/>
    <w:rsid w:val="00C930C5"/>
    <w:rsid w:val="00C95D6B"/>
    <w:rsid w:val="00C960F7"/>
    <w:rsid w:val="00C9693F"/>
    <w:rsid w:val="00C971E4"/>
    <w:rsid w:val="00C972B1"/>
    <w:rsid w:val="00CA0DA7"/>
    <w:rsid w:val="00CA13B3"/>
    <w:rsid w:val="00CA2CCE"/>
    <w:rsid w:val="00CA2D6F"/>
    <w:rsid w:val="00CA43FD"/>
    <w:rsid w:val="00CA4999"/>
    <w:rsid w:val="00CA5294"/>
    <w:rsid w:val="00CA7011"/>
    <w:rsid w:val="00CA7E8E"/>
    <w:rsid w:val="00CA7EF8"/>
    <w:rsid w:val="00CB0FBD"/>
    <w:rsid w:val="00CB2D82"/>
    <w:rsid w:val="00CB3319"/>
    <w:rsid w:val="00CB372C"/>
    <w:rsid w:val="00CB435B"/>
    <w:rsid w:val="00CB6024"/>
    <w:rsid w:val="00CB63DA"/>
    <w:rsid w:val="00CB780D"/>
    <w:rsid w:val="00CC068E"/>
    <w:rsid w:val="00CC0B4C"/>
    <w:rsid w:val="00CC1EF7"/>
    <w:rsid w:val="00CC489B"/>
    <w:rsid w:val="00CC5565"/>
    <w:rsid w:val="00CC5973"/>
    <w:rsid w:val="00CC793D"/>
    <w:rsid w:val="00CD0266"/>
    <w:rsid w:val="00CD0D77"/>
    <w:rsid w:val="00CD2674"/>
    <w:rsid w:val="00CD2BCD"/>
    <w:rsid w:val="00CD2C90"/>
    <w:rsid w:val="00CD2EC6"/>
    <w:rsid w:val="00CD3A4C"/>
    <w:rsid w:val="00CD3DE4"/>
    <w:rsid w:val="00CD5066"/>
    <w:rsid w:val="00CD5E71"/>
    <w:rsid w:val="00CD5ECC"/>
    <w:rsid w:val="00CD6C48"/>
    <w:rsid w:val="00CE10E9"/>
    <w:rsid w:val="00CE26BE"/>
    <w:rsid w:val="00CE2910"/>
    <w:rsid w:val="00CE3A20"/>
    <w:rsid w:val="00CE4082"/>
    <w:rsid w:val="00CE5393"/>
    <w:rsid w:val="00CE5CA9"/>
    <w:rsid w:val="00CE67F7"/>
    <w:rsid w:val="00CE77D2"/>
    <w:rsid w:val="00CF0867"/>
    <w:rsid w:val="00CF17D6"/>
    <w:rsid w:val="00CF2EC5"/>
    <w:rsid w:val="00CF36BE"/>
    <w:rsid w:val="00CF4C99"/>
    <w:rsid w:val="00CF6000"/>
    <w:rsid w:val="00CF7FC0"/>
    <w:rsid w:val="00D003F3"/>
    <w:rsid w:val="00D00556"/>
    <w:rsid w:val="00D012A4"/>
    <w:rsid w:val="00D02482"/>
    <w:rsid w:val="00D035BF"/>
    <w:rsid w:val="00D0364F"/>
    <w:rsid w:val="00D040F7"/>
    <w:rsid w:val="00D05580"/>
    <w:rsid w:val="00D063A8"/>
    <w:rsid w:val="00D06834"/>
    <w:rsid w:val="00D06D68"/>
    <w:rsid w:val="00D07D24"/>
    <w:rsid w:val="00D111FB"/>
    <w:rsid w:val="00D1414F"/>
    <w:rsid w:val="00D1746C"/>
    <w:rsid w:val="00D17882"/>
    <w:rsid w:val="00D17A72"/>
    <w:rsid w:val="00D21252"/>
    <w:rsid w:val="00D232DE"/>
    <w:rsid w:val="00D24EE1"/>
    <w:rsid w:val="00D2562E"/>
    <w:rsid w:val="00D25A9D"/>
    <w:rsid w:val="00D25FED"/>
    <w:rsid w:val="00D2684B"/>
    <w:rsid w:val="00D308ED"/>
    <w:rsid w:val="00D3123A"/>
    <w:rsid w:val="00D31C32"/>
    <w:rsid w:val="00D329EE"/>
    <w:rsid w:val="00D32A9A"/>
    <w:rsid w:val="00D32F72"/>
    <w:rsid w:val="00D34515"/>
    <w:rsid w:val="00D34D2B"/>
    <w:rsid w:val="00D3632D"/>
    <w:rsid w:val="00D36D86"/>
    <w:rsid w:val="00D37ABC"/>
    <w:rsid w:val="00D40510"/>
    <w:rsid w:val="00D412AF"/>
    <w:rsid w:val="00D418E3"/>
    <w:rsid w:val="00D424FA"/>
    <w:rsid w:val="00D428AA"/>
    <w:rsid w:val="00D42ED4"/>
    <w:rsid w:val="00D45327"/>
    <w:rsid w:val="00D454C1"/>
    <w:rsid w:val="00D46188"/>
    <w:rsid w:val="00D46A1C"/>
    <w:rsid w:val="00D46A20"/>
    <w:rsid w:val="00D46B96"/>
    <w:rsid w:val="00D46BFE"/>
    <w:rsid w:val="00D47CD6"/>
    <w:rsid w:val="00D50A34"/>
    <w:rsid w:val="00D519EF"/>
    <w:rsid w:val="00D51A19"/>
    <w:rsid w:val="00D51A35"/>
    <w:rsid w:val="00D52528"/>
    <w:rsid w:val="00D53D14"/>
    <w:rsid w:val="00D53EFA"/>
    <w:rsid w:val="00D60561"/>
    <w:rsid w:val="00D629D1"/>
    <w:rsid w:val="00D63261"/>
    <w:rsid w:val="00D6347F"/>
    <w:rsid w:val="00D6357C"/>
    <w:rsid w:val="00D650A0"/>
    <w:rsid w:val="00D65631"/>
    <w:rsid w:val="00D670AE"/>
    <w:rsid w:val="00D71BD6"/>
    <w:rsid w:val="00D727A0"/>
    <w:rsid w:val="00D73459"/>
    <w:rsid w:val="00D73936"/>
    <w:rsid w:val="00D7683E"/>
    <w:rsid w:val="00D77475"/>
    <w:rsid w:val="00D80870"/>
    <w:rsid w:val="00D81B8E"/>
    <w:rsid w:val="00D81C51"/>
    <w:rsid w:val="00D84242"/>
    <w:rsid w:val="00D8488D"/>
    <w:rsid w:val="00D8653D"/>
    <w:rsid w:val="00D86A21"/>
    <w:rsid w:val="00D90A19"/>
    <w:rsid w:val="00D90D27"/>
    <w:rsid w:val="00D924D3"/>
    <w:rsid w:val="00D941F3"/>
    <w:rsid w:val="00D94A7C"/>
    <w:rsid w:val="00D950F5"/>
    <w:rsid w:val="00D955F4"/>
    <w:rsid w:val="00D95896"/>
    <w:rsid w:val="00D96A3A"/>
    <w:rsid w:val="00D96FE1"/>
    <w:rsid w:val="00D97EC5"/>
    <w:rsid w:val="00D97EFA"/>
    <w:rsid w:val="00DA17D0"/>
    <w:rsid w:val="00DA2607"/>
    <w:rsid w:val="00DA3C01"/>
    <w:rsid w:val="00DA3E24"/>
    <w:rsid w:val="00DA5F4E"/>
    <w:rsid w:val="00DB0BC3"/>
    <w:rsid w:val="00DB2983"/>
    <w:rsid w:val="00DB342D"/>
    <w:rsid w:val="00DB3A70"/>
    <w:rsid w:val="00DB4766"/>
    <w:rsid w:val="00DB48EF"/>
    <w:rsid w:val="00DB55BD"/>
    <w:rsid w:val="00DC1257"/>
    <w:rsid w:val="00DC268B"/>
    <w:rsid w:val="00DC2CC3"/>
    <w:rsid w:val="00DC3DC0"/>
    <w:rsid w:val="00DC4C2E"/>
    <w:rsid w:val="00DC4D77"/>
    <w:rsid w:val="00DC55FB"/>
    <w:rsid w:val="00DC5B2B"/>
    <w:rsid w:val="00DC6EA2"/>
    <w:rsid w:val="00DC6F0F"/>
    <w:rsid w:val="00DC784A"/>
    <w:rsid w:val="00DD1373"/>
    <w:rsid w:val="00DD1CA3"/>
    <w:rsid w:val="00DD318D"/>
    <w:rsid w:val="00DD5994"/>
    <w:rsid w:val="00DD5CA1"/>
    <w:rsid w:val="00DD664A"/>
    <w:rsid w:val="00DD6BAB"/>
    <w:rsid w:val="00DD6C41"/>
    <w:rsid w:val="00DD7EDC"/>
    <w:rsid w:val="00DE2DEE"/>
    <w:rsid w:val="00DE31EB"/>
    <w:rsid w:val="00DE36D7"/>
    <w:rsid w:val="00DE7C9D"/>
    <w:rsid w:val="00DF112C"/>
    <w:rsid w:val="00DF1A3E"/>
    <w:rsid w:val="00DF2AA9"/>
    <w:rsid w:val="00DF2E12"/>
    <w:rsid w:val="00DF42DB"/>
    <w:rsid w:val="00DF4994"/>
    <w:rsid w:val="00DF4B0E"/>
    <w:rsid w:val="00DF514A"/>
    <w:rsid w:val="00DF5E43"/>
    <w:rsid w:val="00DF6690"/>
    <w:rsid w:val="00DF6804"/>
    <w:rsid w:val="00DF7BD2"/>
    <w:rsid w:val="00E0020D"/>
    <w:rsid w:val="00E0038D"/>
    <w:rsid w:val="00E00688"/>
    <w:rsid w:val="00E0142E"/>
    <w:rsid w:val="00E0358D"/>
    <w:rsid w:val="00E03641"/>
    <w:rsid w:val="00E042C8"/>
    <w:rsid w:val="00E04323"/>
    <w:rsid w:val="00E0438B"/>
    <w:rsid w:val="00E0455E"/>
    <w:rsid w:val="00E04EC0"/>
    <w:rsid w:val="00E05F7E"/>
    <w:rsid w:val="00E070A2"/>
    <w:rsid w:val="00E07161"/>
    <w:rsid w:val="00E078C2"/>
    <w:rsid w:val="00E1047B"/>
    <w:rsid w:val="00E10E06"/>
    <w:rsid w:val="00E113CA"/>
    <w:rsid w:val="00E11DF8"/>
    <w:rsid w:val="00E136C6"/>
    <w:rsid w:val="00E1695D"/>
    <w:rsid w:val="00E17A2C"/>
    <w:rsid w:val="00E17BD0"/>
    <w:rsid w:val="00E17FCD"/>
    <w:rsid w:val="00E20109"/>
    <w:rsid w:val="00E208CC"/>
    <w:rsid w:val="00E2183D"/>
    <w:rsid w:val="00E22AA8"/>
    <w:rsid w:val="00E25913"/>
    <w:rsid w:val="00E2656A"/>
    <w:rsid w:val="00E27005"/>
    <w:rsid w:val="00E27596"/>
    <w:rsid w:val="00E27700"/>
    <w:rsid w:val="00E27A11"/>
    <w:rsid w:val="00E32D5A"/>
    <w:rsid w:val="00E3377C"/>
    <w:rsid w:val="00E3389F"/>
    <w:rsid w:val="00E34B97"/>
    <w:rsid w:val="00E412D0"/>
    <w:rsid w:val="00E433FE"/>
    <w:rsid w:val="00E43A80"/>
    <w:rsid w:val="00E44115"/>
    <w:rsid w:val="00E44C07"/>
    <w:rsid w:val="00E454E7"/>
    <w:rsid w:val="00E46020"/>
    <w:rsid w:val="00E47E27"/>
    <w:rsid w:val="00E50A31"/>
    <w:rsid w:val="00E51707"/>
    <w:rsid w:val="00E56322"/>
    <w:rsid w:val="00E57E56"/>
    <w:rsid w:val="00E60982"/>
    <w:rsid w:val="00E62275"/>
    <w:rsid w:val="00E6262E"/>
    <w:rsid w:val="00E6271A"/>
    <w:rsid w:val="00E62C62"/>
    <w:rsid w:val="00E62CF8"/>
    <w:rsid w:val="00E6337C"/>
    <w:rsid w:val="00E63E53"/>
    <w:rsid w:val="00E654C1"/>
    <w:rsid w:val="00E658A3"/>
    <w:rsid w:val="00E65D97"/>
    <w:rsid w:val="00E67037"/>
    <w:rsid w:val="00E6774F"/>
    <w:rsid w:val="00E67A88"/>
    <w:rsid w:val="00E67B04"/>
    <w:rsid w:val="00E71EBF"/>
    <w:rsid w:val="00E72A5A"/>
    <w:rsid w:val="00E73354"/>
    <w:rsid w:val="00E75789"/>
    <w:rsid w:val="00E75C96"/>
    <w:rsid w:val="00E75F5B"/>
    <w:rsid w:val="00E7653D"/>
    <w:rsid w:val="00E768F4"/>
    <w:rsid w:val="00E76977"/>
    <w:rsid w:val="00E76AFE"/>
    <w:rsid w:val="00E76E4A"/>
    <w:rsid w:val="00E80370"/>
    <w:rsid w:val="00E8171E"/>
    <w:rsid w:val="00E81BCF"/>
    <w:rsid w:val="00E83D7F"/>
    <w:rsid w:val="00E840B8"/>
    <w:rsid w:val="00E842C4"/>
    <w:rsid w:val="00E847C9"/>
    <w:rsid w:val="00E86778"/>
    <w:rsid w:val="00E90288"/>
    <w:rsid w:val="00E9242D"/>
    <w:rsid w:val="00E93EF8"/>
    <w:rsid w:val="00E94A3A"/>
    <w:rsid w:val="00E951F9"/>
    <w:rsid w:val="00E9563A"/>
    <w:rsid w:val="00E95CA1"/>
    <w:rsid w:val="00E96064"/>
    <w:rsid w:val="00E96F41"/>
    <w:rsid w:val="00E97577"/>
    <w:rsid w:val="00EA2F74"/>
    <w:rsid w:val="00EA3019"/>
    <w:rsid w:val="00EA32D2"/>
    <w:rsid w:val="00EA64D1"/>
    <w:rsid w:val="00EA6ED0"/>
    <w:rsid w:val="00EA7CB7"/>
    <w:rsid w:val="00EB0AFF"/>
    <w:rsid w:val="00EB1F9C"/>
    <w:rsid w:val="00EB20E0"/>
    <w:rsid w:val="00EB2D46"/>
    <w:rsid w:val="00EB3502"/>
    <w:rsid w:val="00EB5255"/>
    <w:rsid w:val="00EB581F"/>
    <w:rsid w:val="00EB5C47"/>
    <w:rsid w:val="00EB7071"/>
    <w:rsid w:val="00EB7C90"/>
    <w:rsid w:val="00EC1A60"/>
    <w:rsid w:val="00EC2544"/>
    <w:rsid w:val="00EC260F"/>
    <w:rsid w:val="00EC34FE"/>
    <w:rsid w:val="00EC4FFF"/>
    <w:rsid w:val="00EC5BB1"/>
    <w:rsid w:val="00EC5F55"/>
    <w:rsid w:val="00EC6988"/>
    <w:rsid w:val="00ED0065"/>
    <w:rsid w:val="00ED0639"/>
    <w:rsid w:val="00ED0ED0"/>
    <w:rsid w:val="00ED2FD2"/>
    <w:rsid w:val="00ED5797"/>
    <w:rsid w:val="00ED6084"/>
    <w:rsid w:val="00ED71F5"/>
    <w:rsid w:val="00ED7264"/>
    <w:rsid w:val="00EE1241"/>
    <w:rsid w:val="00EE1ADB"/>
    <w:rsid w:val="00EE1CF0"/>
    <w:rsid w:val="00EE21C5"/>
    <w:rsid w:val="00EE26CE"/>
    <w:rsid w:val="00EE2A65"/>
    <w:rsid w:val="00EE2B80"/>
    <w:rsid w:val="00EE3096"/>
    <w:rsid w:val="00EE45C6"/>
    <w:rsid w:val="00EE626C"/>
    <w:rsid w:val="00EF0437"/>
    <w:rsid w:val="00EF4079"/>
    <w:rsid w:val="00EF4755"/>
    <w:rsid w:val="00EF493A"/>
    <w:rsid w:val="00EF5EC6"/>
    <w:rsid w:val="00EF7135"/>
    <w:rsid w:val="00EF76F6"/>
    <w:rsid w:val="00F01C16"/>
    <w:rsid w:val="00F027DB"/>
    <w:rsid w:val="00F03149"/>
    <w:rsid w:val="00F05A7E"/>
    <w:rsid w:val="00F05CDE"/>
    <w:rsid w:val="00F06553"/>
    <w:rsid w:val="00F0676A"/>
    <w:rsid w:val="00F10028"/>
    <w:rsid w:val="00F11DF9"/>
    <w:rsid w:val="00F1260B"/>
    <w:rsid w:val="00F135D7"/>
    <w:rsid w:val="00F13AA4"/>
    <w:rsid w:val="00F14A7A"/>
    <w:rsid w:val="00F14D0B"/>
    <w:rsid w:val="00F14DF8"/>
    <w:rsid w:val="00F21F54"/>
    <w:rsid w:val="00F22485"/>
    <w:rsid w:val="00F2261E"/>
    <w:rsid w:val="00F22985"/>
    <w:rsid w:val="00F230F8"/>
    <w:rsid w:val="00F248E8"/>
    <w:rsid w:val="00F24F96"/>
    <w:rsid w:val="00F259F3"/>
    <w:rsid w:val="00F27460"/>
    <w:rsid w:val="00F27BFB"/>
    <w:rsid w:val="00F3383E"/>
    <w:rsid w:val="00F33D87"/>
    <w:rsid w:val="00F3439A"/>
    <w:rsid w:val="00F34EC2"/>
    <w:rsid w:val="00F378F0"/>
    <w:rsid w:val="00F4082A"/>
    <w:rsid w:val="00F40D40"/>
    <w:rsid w:val="00F418FB"/>
    <w:rsid w:val="00F42331"/>
    <w:rsid w:val="00F425C7"/>
    <w:rsid w:val="00F44561"/>
    <w:rsid w:val="00F45053"/>
    <w:rsid w:val="00F465A7"/>
    <w:rsid w:val="00F46E16"/>
    <w:rsid w:val="00F50B7C"/>
    <w:rsid w:val="00F514D1"/>
    <w:rsid w:val="00F550E6"/>
    <w:rsid w:val="00F55F59"/>
    <w:rsid w:val="00F56881"/>
    <w:rsid w:val="00F6059A"/>
    <w:rsid w:val="00F61056"/>
    <w:rsid w:val="00F63B5A"/>
    <w:rsid w:val="00F64CA9"/>
    <w:rsid w:val="00F65B7B"/>
    <w:rsid w:val="00F66844"/>
    <w:rsid w:val="00F709E2"/>
    <w:rsid w:val="00F70D71"/>
    <w:rsid w:val="00F713F7"/>
    <w:rsid w:val="00F71917"/>
    <w:rsid w:val="00F74345"/>
    <w:rsid w:val="00F74669"/>
    <w:rsid w:val="00F750CE"/>
    <w:rsid w:val="00F76962"/>
    <w:rsid w:val="00F76FC0"/>
    <w:rsid w:val="00F805A0"/>
    <w:rsid w:val="00F80A0A"/>
    <w:rsid w:val="00F81130"/>
    <w:rsid w:val="00F82B19"/>
    <w:rsid w:val="00F831CD"/>
    <w:rsid w:val="00F85ED5"/>
    <w:rsid w:val="00F865E1"/>
    <w:rsid w:val="00F86AC0"/>
    <w:rsid w:val="00F873B5"/>
    <w:rsid w:val="00F90527"/>
    <w:rsid w:val="00F9150A"/>
    <w:rsid w:val="00F91A5D"/>
    <w:rsid w:val="00F9212D"/>
    <w:rsid w:val="00F926D5"/>
    <w:rsid w:val="00F93AEC"/>
    <w:rsid w:val="00F941D7"/>
    <w:rsid w:val="00F94BC8"/>
    <w:rsid w:val="00F950CE"/>
    <w:rsid w:val="00F950D4"/>
    <w:rsid w:val="00F965DA"/>
    <w:rsid w:val="00F96E33"/>
    <w:rsid w:val="00FA0316"/>
    <w:rsid w:val="00FA406A"/>
    <w:rsid w:val="00FA56C5"/>
    <w:rsid w:val="00FB28E7"/>
    <w:rsid w:val="00FB34C0"/>
    <w:rsid w:val="00FB4B64"/>
    <w:rsid w:val="00FB503A"/>
    <w:rsid w:val="00FB516C"/>
    <w:rsid w:val="00FB790E"/>
    <w:rsid w:val="00FC0610"/>
    <w:rsid w:val="00FC36F8"/>
    <w:rsid w:val="00FC4784"/>
    <w:rsid w:val="00FC5563"/>
    <w:rsid w:val="00FC6ADA"/>
    <w:rsid w:val="00FC7B1E"/>
    <w:rsid w:val="00FD0236"/>
    <w:rsid w:val="00FD18F4"/>
    <w:rsid w:val="00FD36F2"/>
    <w:rsid w:val="00FD38CE"/>
    <w:rsid w:val="00FD5471"/>
    <w:rsid w:val="00FD54DB"/>
    <w:rsid w:val="00FD619F"/>
    <w:rsid w:val="00FD6DB1"/>
    <w:rsid w:val="00FD7DD1"/>
    <w:rsid w:val="00FE001D"/>
    <w:rsid w:val="00FE07C6"/>
    <w:rsid w:val="00FE152B"/>
    <w:rsid w:val="00FE17C5"/>
    <w:rsid w:val="00FE3217"/>
    <w:rsid w:val="00FE542A"/>
    <w:rsid w:val="00FE6204"/>
    <w:rsid w:val="00FE62C8"/>
    <w:rsid w:val="00FE6D7D"/>
    <w:rsid w:val="00FF0884"/>
    <w:rsid w:val="00FF0F13"/>
    <w:rsid w:val="00FF145C"/>
    <w:rsid w:val="00FF27F8"/>
    <w:rsid w:val="00FF30B4"/>
    <w:rsid w:val="00FF324D"/>
    <w:rsid w:val="00FF3BF1"/>
    <w:rsid w:val="00FF5910"/>
    <w:rsid w:val="00FF741E"/>
    <w:rsid w:val="00FF79DE"/>
    <w:rsid w:val="0101237C"/>
    <w:rsid w:val="010A36F1"/>
    <w:rsid w:val="010F6F10"/>
    <w:rsid w:val="01105490"/>
    <w:rsid w:val="01150CE5"/>
    <w:rsid w:val="01154EDD"/>
    <w:rsid w:val="01184357"/>
    <w:rsid w:val="011E0236"/>
    <w:rsid w:val="012242D3"/>
    <w:rsid w:val="01290F7E"/>
    <w:rsid w:val="012C2FF8"/>
    <w:rsid w:val="012D66CB"/>
    <w:rsid w:val="012F2078"/>
    <w:rsid w:val="013225FF"/>
    <w:rsid w:val="013531F3"/>
    <w:rsid w:val="01362291"/>
    <w:rsid w:val="013730A5"/>
    <w:rsid w:val="01426AE8"/>
    <w:rsid w:val="014448B8"/>
    <w:rsid w:val="01466841"/>
    <w:rsid w:val="014C21BA"/>
    <w:rsid w:val="014D28C9"/>
    <w:rsid w:val="014E3892"/>
    <w:rsid w:val="014F4893"/>
    <w:rsid w:val="01521C8D"/>
    <w:rsid w:val="01571DEA"/>
    <w:rsid w:val="01592BA7"/>
    <w:rsid w:val="015B4A06"/>
    <w:rsid w:val="015D1E09"/>
    <w:rsid w:val="01603852"/>
    <w:rsid w:val="016234D2"/>
    <w:rsid w:val="016539DF"/>
    <w:rsid w:val="016634ED"/>
    <w:rsid w:val="016D50E6"/>
    <w:rsid w:val="016D740E"/>
    <w:rsid w:val="016F43BB"/>
    <w:rsid w:val="01791910"/>
    <w:rsid w:val="017930F7"/>
    <w:rsid w:val="017B11E4"/>
    <w:rsid w:val="0185498B"/>
    <w:rsid w:val="01863947"/>
    <w:rsid w:val="01887FDB"/>
    <w:rsid w:val="01893391"/>
    <w:rsid w:val="018A2791"/>
    <w:rsid w:val="018B3281"/>
    <w:rsid w:val="018C33F1"/>
    <w:rsid w:val="018C519F"/>
    <w:rsid w:val="018E309C"/>
    <w:rsid w:val="018E781B"/>
    <w:rsid w:val="01910A08"/>
    <w:rsid w:val="019571A4"/>
    <w:rsid w:val="019977F4"/>
    <w:rsid w:val="01A4698D"/>
    <w:rsid w:val="01A93FA3"/>
    <w:rsid w:val="01AA4B41"/>
    <w:rsid w:val="01AC1EA5"/>
    <w:rsid w:val="01B2400A"/>
    <w:rsid w:val="01B35E43"/>
    <w:rsid w:val="01B666C0"/>
    <w:rsid w:val="01B87F15"/>
    <w:rsid w:val="01BC28E7"/>
    <w:rsid w:val="01C42B8B"/>
    <w:rsid w:val="01C62DC8"/>
    <w:rsid w:val="01C70C78"/>
    <w:rsid w:val="01C71AFB"/>
    <w:rsid w:val="01CA3F1A"/>
    <w:rsid w:val="01CD6404"/>
    <w:rsid w:val="01CE3E86"/>
    <w:rsid w:val="01D31020"/>
    <w:rsid w:val="01D45666"/>
    <w:rsid w:val="01D5448D"/>
    <w:rsid w:val="01D64ED1"/>
    <w:rsid w:val="01D86994"/>
    <w:rsid w:val="01D96CA4"/>
    <w:rsid w:val="01DA23AF"/>
    <w:rsid w:val="01DD6BE8"/>
    <w:rsid w:val="01DF1BA2"/>
    <w:rsid w:val="01E054EB"/>
    <w:rsid w:val="01E07299"/>
    <w:rsid w:val="01E463DE"/>
    <w:rsid w:val="01E468FF"/>
    <w:rsid w:val="01E46C6A"/>
    <w:rsid w:val="01E52B01"/>
    <w:rsid w:val="01E55632"/>
    <w:rsid w:val="01E66FA5"/>
    <w:rsid w:val="01E734EB"/>
    <w:rsid w:val="01F571E8"/>
    <w:rsid w:val="01FB6EBB"/>
    <w:rsid w:val="01FE0D50"/>
    <w:rsid w:val="01FE3350"/>
    <w:rsid w:val="01FF4D18"/>
    <w:rsid w:val="020016E9"/>
    <w:rsid w:val="0200481C"/>
    <w:rsid w:val="02006853"/>
    <w:rsid w:val="020531A4"/>
    <w:rsid w:val="020923AA"/>
    <w:rsid w:val="020A383A"/>
    <w:rsid w:val="020E7C68"/>
    <w:rsid w:val="020F6097"/>
    <w:rsid w:val="0211236D"/>
    <w:rsid w:val="021653B1"/>
    <w:rsid w:val="021A10B2"/>
    <w:rsid w:val="021C1951"/>
    <w:rsid w:val="021D1CB0"/>
    <w:rsid w:val="021E42F5"/>
    <w:rsid w:val="02261A9D"/>
    <w:rsid w:val="02263A7E"/>
    <w:rsid w:val="022B1B43"/>
    <w:rsid w:val="022D20EE"/>
    <w:rsid w:val="022D7723"/>
    <w:rsid w:val="022E7DE4"/>
    <w:rsid w:val="0239518F"/>
    <w:rsid w:val="023A25BD"/>
    <w:rsid w:val="023C35FE"/>
    <w:rsid w:val="023F66B6"/>
    <w:rsid w:val="024050BE"/>
    <w:rsid w:val="02460EB6"/>
    <w:rsid w:val="024A69D2"/>
    <w:rsid w:val="024A6B88"/>
    <w:rsid w:val="024B50E5"/>
    <w:rsid w:val="024D6822"/>
    <w:rsid w:val="025612CA"/>
    <w:rsid w:val="025727E8"/>
    <w:rsid w:val="02583957"/>
    <w:rsid w:val="025C116B"/>
    <w:rsid w:val="025D2470"/>
    <w:rsid w:val="026105A1"/>
    <w:rsid w:val="02614383"/>
    <w:rsid w:val="02623074"/>
    <w:rsid w:val="02641890"/>
    <w:rsid w:val="02652589"/>
    <w:rsid w:val="02673B42"/>
    <w:rsid w:val="02684FE7"/>
    <w:rsid w:val="02697903"/>
    <w:rsid w:val="026B3007"/>
    <w:rsid w:val="0270686F"/>
    <w:rsid w:val="02713A03"/>
    <w:rsid w:val="02714395"/>
    <w:rsid w:val="02755A92"/>
    <w:rsid w:val="0275668A"/>
    <w:rsid w:val="02765572"/>
    <w:rsid w:val="0277301A"/>
    <w:rsid w:val="0277727D"/>
    <w:rsid w:val="027A149C"/>
    <w:rsid w:val="02816CCE"/>
    <w:rsid w:val="028265A2"/>
    <w:rsid w:val="02840131"/>
    <w:rsid w:val="0284231A"/>
    <w:rsid w:val="02874612"/>
    <w:rsid w:val="02881E0B"/>
    <w:rsid w:val="02892562"/>
    <w:rsid w:val="028C0A7F"/>
    <w:rsid w:val="02900CBF"/>
    <w:rsid w:val="02902A6D"/>
    <w:rsid w:val="029719A8"/>
    <w:rsid w:val="02A44DE3"/>
    <w:rsid w:val="02A47361"/>
    <w:rsid w:val="02AC4631"/>
    <w:rsid w:val="02AF6ACF"/>
    <w:rsid w:val="02B26E88"/>
    <w:rsid w:val="02B56978"/>
    <w:rsid w:val="02B74C54"/>
    <w:rsid w:val="02B8562E"/>
    <w:rsid w:val="02BC3862"/>
    <w:rsid w:val="02C0796F"/>
    <w:rsid w:val="02C447F9"/>
    <w:rsid w:val="02C66526"/>
    <w:rsid w:val="02C95554"/>
    <w:rsid w:val="02CB2AA4"/>
    <w:rsid w:val="02CB5FE2"/>
    <w:rsid w:val="02CE01AC"/>
    <w:rsid w:val="02D212D8"/>
    <w:rsid w:val="02D3157B"/>
    <w:rsid w:val="02D471DF"/>
    <w:rsid w:val="02D55B34"/>
    <w:rsid w:val="02DA6AC8"/>
    <w:rsid w:val="02DA6C7E"/>
    <w:rsid w:val="02DB6D23"/>
    <w:rsid w:val="02E16F4D"/>
    <w:rsid w:val="02E84657"/>
    <w:rsid w:val="02EC3D8A"/>
    <w:rsid w:val="02ED4929"/>
    <w:rsid w:val="02EE3C38"/>
    <w:rsid w:val="02EE59E6"/>
    <w:rsid w:val="02EE64DC"/>
    <w:rsid w:val="02F079B0"/>
    <w:rsid w:val="02F30B38"/>
    <w:rsid w:val="02F96569"/>
    <w:rsid w:val="02FA5B72"/>
    <w:rsid w:val="02FB3EF3"/>
    <w:rsid w:val="02FC45A7"/>
    <w:rsid w:val="0300236B"/>
    <w:rsid w:val="03044C13"/>
    <w:rsid w:val="03065425"/>
    <w:rsid w:val="030E7E36"/>
    <w:rsid w:val="030F10B7"/>
    <w:rsid w:val="0314369E"/>
    <w:rsid w:val="031676A0"/>
    <w:rsid w:val="031D6EF9"/>
    <w:rsid w:val="031E451D"/>
    <w:rsid w:val="031E62CB"/>
    <w:rsid w:val="03212879"/>
    <w:rsid w:val="03222CFC"/>
    <w:rsid w:val="03241D96"/>
    <w:rsid w:val="03280EF8"/>
    <w:rsid w:val="0328400E"/>
    <w:rsid w:val="0328714A"/>
    <w:rsid w:val="03305272"/>
    <w:rsid w:val="03312448"/>
    <w:rsid w:val="0331568B"/>
    <w:rsid w:val="03333611"/>
    <w:rsid w:val="0334789D"/>
    <w:rsid w:val="033624C6"/>
    <w:rsid w:val="033661D5"/>
    <w:rsid w:val="033C0E47"/>
    <w:rsid w:val="03404493"/>
    <w:rsid w:val="03476509"/>
    <w:rsid w:val="034A5F18"/>
    <w:rsid w:val="034A73CC"/>
    <w:rsid w:val="034A79EF"/>
    <w:rsid w:val="034B2E38"/>
    <w:rsid w:val="034F46D6"/>
    <w:rsid w:val="03501E80"/>
    <w:rsid w:val="03535B3A"/>
    <w:rsid w:val="03541703"/>
    <w:rsid w:val="03563CB7"/>
    <w:rsid w:val="035717DD"/>
    <w:rsid w:val="03577A2F"/>
    <w:rsid w:val="03597303"/>
    <w:rsid w:val="035E0DBD"/>
    <w:rsid w:val="035E2888"/>
    <w:rsid w:val="036119A3"/>
    <w:rsid w:val="0365456D"/>
    <w:rsid w:val="036803A4"/>
    <w:rsid w:val="036A712A"/>
    <w:rsid w:val="036B6BBE"/>
    <w:rsid w:val="036C5E11"/>
    <w:rsid w:val="036C6DAA"/>
    <w:rsid w:val="03703425"/>
    <w:rsid w:val="0376513B"/>
    <w:rsid w:val="037B00CE"/>
    <w:rsid w:val="03824AAC"/>
    <w:rsid w:val="03875A9D"/>
    <w:rsid w:val="03882E13"/>
    <w:rsid w:val="038A3F97"/>
    <w:rsid w:val="038B765F"/>
    <w:rsid w:val="038C30FA"/>
    <w:rsid w:val="038E6361"/>
    <w:rsid w:val="038F539C"/>
    <w:rsid w:val="03900A0C"/>
    <w:rsid w:val="039667A9"/>
    <w:rsid w:val="039931C3"/>
    <w:rsid w:val="03A013D6"/>
    <w:rsid w:val="03A323C4"/>
    <w:rsid w:val="03A52548"/>
    <w:rsid w:val="03A66872"/>
    <w:rsid w:val="03A859A0"/>
    <w:rsid w:val="03A85D0B"/>
    <w:rsid w:val="03A86200"/>
    <w:rsid w:val="03AC070B"/>
    <w:rsid w:val="03AC7D7B"/>
    <w:rsid w:val="03B24C65"/>
    <w:rsid w:val="03B34073"/>
    <w:rsid w:val="03B82ACE"/>
    <w:rsid w:val="03B878CD"/>
    <w:rsid w:val="03B976C1"/>
    <w:rsid w:val="03BA24E1"/>
    <w:rsid w:val="03BC4D98"/>
    <w:rsid w:val="03BE2679"/>
    <w:rsid w:val="03BE360A"/>
    <w:rsid w:val="03C33DDE"/>
    <w:rsid w:val="03C86237"/>
    <w:rsid w:val="03CA29C7"/>
    <w:rsid w:val="03CC21CB"/>
    <w:rsid w:val="03CF2906"/>
    <w:rsid w:val="03D251BA"/>
    <w:rsid w:val="03D42F29"/>
    <w:rsid w:val="03D53375"/>
    <w:rsid w:val="03D567D9"/>
    <w:rsid w:val="03D66BA6"/>
    <w:rsid w:val="03D9195C"/>
    <w:rsid w:val="03DD389B"/>
    <w:rsid w:val="03DE5A5A"/>
    <w:rsid w:val="03E01199"/>
    <w:rsid w:val="03E017D2"/>
    <w:rsid w:val="03E1775F"/>
    <w:rsid w:val="03E2226C"/>
    <w:rsid w:val="03E365A7"/>
    <w:rsid w:val="03E716A2"/>
    <w:rsid w:val="03E91BF7"/>
    <w:rsid w:val="03EA7B21"/>
    <w:rsid w:val="03EB275C"/>
    <w:rsid w:val="03EC63C9"/>
    <w:rsid w:val="03EF1A15"/>
    <w:rsid w:val="03F11C32"/>
    <w:rsid w:val="03F13330"/>
    <w:rsid w:val="03F637F9"/>
    <w:rsid w:val="03F9217A"/>
    <w:rsid w:val="03F92894"/>
    <w:rsid w:val="03FE4719"/>
    <w:rsid w:val="03FF4043"/>
    <w:rsid w:val="04027606"/>
    <w:rsid w:val="04074BD6"/>
    <w:rsid w:val="040824AC"/>
    <w:rsid w:val="0409648E"/>
    <w:rsid w:val="040F20B8"/>
    <w:rsid w:val="041153DF"/>
    <w:rsid w:val="04137A3E"/>
    <w:rsid w:val="04174CC4"/>
    <w:rsid w:val="041871BE"/>
    <w:rsid w:val="041A14B3"/>
    <w:rsid w:val="041B0FFD"/>
    <w:rsid w:val="041D47D5"/>
    <w:rsid w:val="041E22FB"/>
    <w:rsid w:val="04222816"/>
    <w:rsid w:val="04230AD7"/>
    <w:rsid w:val="0427257C"/>
    <w:rsid w:val="04282780"/>
    <w:rsid w:val="042D6B08"/>
    <w:rsid w:val="042E05E9"/>
    <w:rsid w:val="04310280"/>
    <w:rsid w:val="0431202E"/>
    <w:rsid w:val="04366AF4"/>
    <w:rsid w:val="04394F62"/>
    <w:rsid w:val="043C673E"/>
    <w:rsid w:val="044116F6"/>
    <w:rsid w:val="04457DEF"/>
    <w:rsid w:val="04467D92"/>
    <w:rsid w:val="04565F0C"/>
    <w:rsid w:val="045C1F77"/>
    <w:rsid w:val="045C66B2"/>
    <w:rsid w:val="045E6757"/>
    <w:rsid w:val="046224C2"/>
    <w:rsid w:val="04650E5C"/>
    <w:rsid w:val="046619FB"/>
    <w:rsid w:val="04662176"/>
    <w:rsid w:val="04671F7C"/>
    <w:rsid w:val="0467259A"/>
    <w:rsid w:val="04675A50"/>
    <w:rsid w:val="04693B13"/>
    <w:rsid w:val="046A5B6D"/>
    <w:rsid w:val="046E37D2"/>
    <w:rsid w:val="046E494F"/>
    <w:rsid w:val="047100E1"/>
    <w:rsid w:val="04711F5E"/>
    <w:rsid w:val="04714B20"/>
    <w:rsid w:val="0473605D"/>
    <w:rsid w:val="04736C5E"/>
    <w:rsid w:val="047B6F67"/>
    <w:rsid w:val="04804BE5"/>
    <w:rsid w:val="04811B11"/>
    <w:rsid w:val="04844854"/>
    <w:rsid w:val="0486237A"/>
    <w:rsid w:val="048A6A6A"/>
    <w:rsid w:val="048C5579"/>
    <w:rsid w:val="048C5A1D"/>
    <w:rsid w:val="048E0EAD"/>
    <w:rsid w:val="048E122E"/>
    <w:rsid w:val="048F57A0"/>
    <w:rsid w:val="04926F7C"/>
    <w:rsid w:val="04975E7B"/>
    <w:rsid w:val="04980C9F"/>
    <w:rsid w:val="04A171B4"/>
    <w:rsid w:val="04A47A17"/>
    <w:rsid w:val="04A50EEC"/>
    <w:rsid w:val="04A9250C"/>
    <w:rsid w:val="04AC51BF"/>
    <w:rsid w:val="04B17E6C"/>
    <w:rsid w:val="04B769D7"/>
    <w:rsid w:val="04B914C8"/>
    <w:rsid w:val="04BA0982"/>
    <w:rsid w:val="04BA64C7"/>
    <w:rsid w:val="04BC0CE2"/>
    <w:rsid w:val="04BD1B14"/>
    <w:rsid w:val="04BD7D66"/>
    <w:rsid w:val="04BF2C00"/>
    <w:rsid w:val="04C106C5"/>
    <w:rsid w:val="04C16F84"/>
    <w:rsid w:val="04C258B7"/>
    <w:rsid w:val="04C335CE"/>
    <w:rsid w:val="04C44DDD"/>
    <w:rsid w:val="04C64537"/>
    <w:rsid w:val="04C82992"/>
    <w:rsid w:val="04C83E25"/>
    <w:rsid w:val="04C86C51"/>
    <w:rsid w:val="04CB6AC9"/>
    <w:rsid w:val="04CE1F73"/>
    <w:rsid w:val="04CF69F1"/>
    <w:rsid w:val="04CF728E"/>
    <w:rsid w:val="04D31337"/>
    <w:rsid w:val="04D5637C"/>
    <w:rsid w:val="04D87E49"/>
    <w:rsid w:val="04D94D82"/>
    <w:rsid w:val="04D969C6"/>
    <w:rsid w:val="04DC643E"/>
    <w:rsid w:val="04E11CA6"/>
    <w:rsid w:val="04E50449"/>
    <w:rsid w:val="04E70524"/>
    <w:rsid w:val="04E80917"/>
    <w:rsid w:val="04E853C8"/>
    <w:rsid w:val="04E946B7"/>
    <w:rsid w:val="04EB6681"/>
    <w:rsid w:val="04F01EE9"/>
    <w:rsid w:val="04F56EF8"/>
    <w:rsid w:val="04F83365"/>
    <w:rsid w:val="04FE63B4"/>
    <w:rsid w:val="04FF037E"/>
    <w:rsid w:val="0502794B"/>
    <w:rsid w:val="05031CD2"/>
    <w:rsid w:val="05046833"/>
    <w:rsid w:val="05080FE1"/>
    <w:rsid w:val="051211C6"/>
    <w:rsid w:val="05127D9B"/>
    <w:rsid w:val="05137EF8"/>
    <w:rsid w:val="051756C8"/>
    <w:rsid w:val="051A0D14"/>
    <w:rsid w:val="051A6F66"/>
    <w:rsid w:val="051F15AE"/>
    <w:rsid w:val="051F4905"/>
    <w:rsid w:val="05213482"/>
    <w:rsid w:val="05263B5D"/>
    <w:rsid w:val="05264E82"/>
    <w:rsid w:val="052778F4"/>
    <w:rsid w:val="052B2F21"/>
    <w:rsid w:val="052C2255"/>
    <w:rsid w:val="052F5C3B"/>
    <w:rsid w:val="05300538"/>
    <w:rsid w:val="05361BEA"/>
    <w:rsid w:val="053C128A"/>
    <w:rsid w:val="053F78FC"/>
    <w:rsid w:val="054372AA"/>
    <w:rsid w:val="05461B09"/>
    <w:rsid w:val="054933A7"/>
    <w:rsid w:val="054C26F9"/>
    <w:rsid w:val="05502988"/>
    <w:rsid w:val="05561E22"/>
    <w:rsid w:val="05575AC4"/>
    <w:rsid w:val="055F0D07"/>
    <w:rsid w:val="05613043"/>
    <w:rsid w:val="056974FD"/>
    <w:rsid w:val="05697868"/>
    <w:rsid w:val="056E0609"/>
    <w:rsid w:val="05701D6C"/>
    <w:rsid w:val="05720B50"/>
    <w:rsid w:val="05726DA2"/>
    <w:rsid w:val="05793607"/>
    <w:rsid w:val="057D200D"/>
    <w:rsid w:val="057D5890"/>
    <w:rsid w:val="0584418A"/>
    <w:rsid w:val="0584694C"/>
    <w:rsid w:val="05854D43"/>
    <w:rsid w:val="05882122"/>
    <w:rsid w:val="058A152F"/>
    <w:rsid w:val="058C6BE9"/>
    <w:rsid w:val="059554A6"/>
    <w:rsid w:val="059C5421"/>
    <w:rsid w:val="05A00C76"/>
    <w:rsid w:val="05A131E3"/>
    <w:rsid w:val="05A31106"/>
    <w:rsid w:val="05A351AD"/>
    <w:rsid w:val="05A47ACE"/>
    <w:rsid w:val="05AA6F12"/>
    <w:rsid w:val="05AC22B4"/>
    <w:rsid w:val="05B41169"/>
    <w:rsid w:val="05B437EC"/>
    <w:rsid w:val="05BA1E72"/>
    <w:rsid w:val="05BA78F4"/>
    <w:rsid w:val="05BB0984"/>
    <w:rsid w:val="05BB3177"/>
    <w:rsid w:val="05C3315A"/>
    <w:rsid w:val="05C45670"/>
    <w:rsid w:val="05C649F8"/>
    <w:rsid w:val="05C83664"/>
    <w:rsid w:val="05CA098C"/>
    <w:rsid w:val="05CD2772"/>
    <w:rsid w:val="05CE01C7"/>
    <w:rsid w:val="05CE7CA6"/>
    <w:rsid w:val="05D16848"/>
    <w:rsid w:val="05D3666F"/>
    <w:rsid w:val="05D36833"/>
    <w:rsid w:val="05D4049D"/>
    <w:rsid w:val="05D435B9"/>
    <w:rsid w:val="05D84E57"/>
    <w:rsid w:val="05DA7841"/>
    <w:rsid w:val="05DC2518"/>
    <w:rsid w:val="05E24C49"/>
    <w:rsid w:val="05E50738"/>
    <w:rsid w:val="05EA4B8A"/>
    <w:rsid w:val="05EA6938"/>
    <w:rsid w:val="05EC3EB4"/>
    <w:rsid w:val="05ED0A99"/>
    <w:rsid w:val="05EF315A"/>
    <w:rsid w:val="05F30D52"/>
    <w:rsid w:val="05F45A09"/>
    <w:rsid w:val="05F83EAE"/>
    <w:rsid w:val="05FA265C"/>
    <w:rsid w:val="05FB64DB"/>
    <w:rsid w:val="05FE23E4"/>
    <w:rsid w:val="060317A8"/>
    <w:rsid w:val="06040FED"/>
    <w:rsid w:val="06071F71"/>
    <w:rsid w:val="060E19D4"/>
    <w:rsid w:val="060E1B99"/>
    <w:rsid w:val="060F45F1"/>
    <w:rsid w:val="06175254"/>
    <w:rsid w:val="06192012"/>
    <w:rsid w:val="061A6980"/>
    <w:rsid w:val="061C3F1E"/>
    <w:rsid w:val="061E5131"/>
    <w:rsid w:val="061E5687"/>
    <w:rsid w:val="06284F47"/>
    <w:rsid w:val="062C318E"/>
    <w:rsid w:val="062D6D97"/>
    <w:rsid w:val="062D7C32"/>
    <w:rsid w:val="062F1B50"/>
    <w:rsid w:val="062F259D"/>
    <w:rsid w:val="06310741"/>
    <w:rsid w:val="0634029A"/>
    <w:rsid w:val="063407BB"/>
    <w:rsid w:val="063B2989"/>
    <w:rsid w:val="063D4CBA"/>
    <w:rsid w:val="063E7D85"/>
    <w:rsid w:val="063F6C84"/>
    <w:rsid w:val="063F7A43"/>
    <w:rsid w:val="06432B56"/>
    <w:rsid w:val="064509FD"/>
    <w:rsid w:val="06466906"/>
    <w:rsid w:val="064674D8"/>
    <w:rsid w:val="06484360"/>
    <w:rsid w:val="064D23F9"/>
    <w:rsid w:val="064D59E4"/>
    <w:rsid w:val="064E48E4"/>
    <w:rsid w:val="064F49ED"/>
    <w:rsid w:val="06532B03"/>
    <w:rsid w:val="06581AF4"/>
    <w:rsid w:val="0659586C"/>
    <w:rsid w:val="065E0402"/>
    <w:rsid w:val="06651825"/>
    <w:rsid w:val="066C1A43"/>
    <w:rsid w:val="066C559F"/>
    <w:rsid w:val="066F314B"/>
    <w:rsid w:val="06742FF7"/>
    <w:rsid w:val="06763BE5"/>
    <w:rsid w:val="067A137F"/>
    <w:rsid w:val="067A4F80"/>
    <w:rsid w:val="067C6298"/>
    <w:rsid w:val="0683733C"/>
    <w:rsid w:val="06840264"/>
    <w:rsid w:val="068602C1"/>
    <w:rsid w:val="06897EFF"/>
    <w:rsid w:val="068B3CDD"/>
    <w:rsid w:val="068B677B"/>
    <w:rsid w:val="069468A4"/>
    <w:rsid w:val="0696261C"/>
    <w:rsid w:val="06971860"/>
    <w:rsid w:val="069C2099"/>
    <w:rsid w:val="069C687F"/>
    <w:rsid w:val="069D7E4F"/>
    <w:rsid w:val="069E3612"/>
    <w:rsid w:val="069E5BE2"/>
    <w:rsid w:val="069F4357"/>
    <w:rsid w:val="06A16104"/>
    <w:rsid w:val="06A74829"/>
    <w:rsid w:val="06A92474"/>
    <w:rsid w:val="06A967F3"/>
    <w:rsid w:val="06B66892"/>
    <w:rsid w:val="06B70F10"/>
    <w:rsid w:val="06B73250"/>
    <w:rsid w:val="06B867FC"/>
    <w:rsid w:val="06BF1B73"/>
    <w:rsid w:val="06C21663"/>
    <w:rsid w:val="06C950BF"/>
    <w:rsid w:val="06CB2FB4"/>
    <w:rsid w:val="06CB49BC"/>
    <w:rsid w:val="06D27AF8"/>
    <w:rsid w:val="06D3249F"/>
    <w:rsid w:val="06D66EBD"/>
    <w:rsid w:val="06D84848"/>
    <w:rsid w:val="06D849E3"/>
    <w:rsid w:val="06D85DD9"/>
    <w:rsid w:val="06DF3FC3"/>
    <w:rsid w:val="06E14CBE"/>
    <w:rsid w:val="06E15F8D"/>
    <w:rsid w:val="06E17D3B"/>
    <w:rsid w:val="06E573E1"/>
    <w:rsid w:val="06E728E4"/>
    <w:rsid w:val="06E73135"/>
    <w:rsid w:val="06E84AE2"/>
    <w:rsid w:val="06E92564"/>
    <w:rsid w:val="06F4271B"/>
    <w:rsid w:val="06FA6082"/>
    <w:rsid w:val="06FA74CE"/>
    <w:rsid w:val="06FB68B7"/>
    <w:rsid w:val="07043D9E"/>
    <w:rsid w:val="07060142"/>
    <w:rsid w:val="070A2A99"/>
    <w:rsid w:val="070B795F"/>
    <w:rsid w:val="070C4EFE"/>
    <w:rsid w:val="070D4E50"/>
    <w:rsid w:val="070E62E0"/>
    <w:rsid w:val="071023CF"/>
    <w:rsid w:val="07131EBF"/>
    <w:rsid w:val="07145F39"/>
    <w:rsid w:val="0718536E"/>
    <w:rsid w:val="071C5C45"/>
    <w:rsid w:val="071F7D76"/>
    <w:rsid w:val="0721282E"/>
    <w:rsid w:val="072365A6"/>
    <w:rsid w:val="07245773"/>
    <w:rsid w:val="072551A7"/>
    <w:rsid w:val="07265D95"/>
    <w:rsid w:val="07293586"/>
    <w:rsid w:val="07295285"/>
    <w:rsid w:val="072B7BD7"/>
    <w:rsid w:val="072D1D54"/>
    <w:rsid w:val="072D5D12"/>
    <w:rsid w:val="072D607D"/>
    <w:rsid w:val="073065CD"/>
    <w:rsid w:val="07356D81"/>
    <w:rsid w:val="073863A1"/>
    <w:rsid w:val="07391925"/>
    <w:rsid w:val="073A744C"/>
    <w:rsid w:val="074628FE"/>
    <w:rsid w:val="0747177C"/>
    <w:rsid w:val="074A27AC"/>
    <w:rsid w:val="074B44E7"/>
    <w:rsid w:val="07510C8F"/>
    <w:rsid w:val="07585815"/>
    <w:rsid w:val="075B2E8F"/>
    <w:rsid w:val="075E3472"/>
    <w:rsid w:val="075F5104"/>
    <w:rsid w:val="07610F29"/>
    <w:rsid w:val="07636392"/>
    <w:rsid w:val="0764271A"/>
    <w:rsid w:val="076631B2"/>
    <w:rsid w:val="076775B0"/>
    <w:rsid w:val="076808B4"/>
    <w:rsid w:val="0768220B"/>
    <w:rsid w:val="07691ADF"/>
    <w:rsid w:val="076D7821"/>
    <w:rsid w:val="076E3F95"/>
    <w:rsid w:val="076F41ED"/>
    <w:rsid w:val="07705CC0"/>
    <w:rsid w:val="07717112"/>
    <w:rsid w:val="07743210"/>
    <w:rsid w:val="07751C03"/>
    <w:rsid w:val="07752B3A"/>
    <w:rsid w:val="07767BC9"/>
    <w:rsid w:val="07770C56"/>
    <w:rsid w:val="07787F0D"/>
    <w:rsid w:val="077948BA"/>
    <w:rsid w:val="07835317"/>
    <w:rsid w:val="078523E2"/>
    <w:rsid w:val="07856E3C"/>
    <w:rsid w:val="0788465B"/>
    <w:rsid w:val="078D0CC0"/>
    <w:rsid w:val="078D4BA5"/>
    <w:rsid w:val="078D77EF"/>
    <w:rsid w:val="078E45D7"/>
    <w:rsid w:val="07911761"/>
    <w:rsid w:val="07966D78"/>
    <w:rsid w:val="07981A06"/>
    <w:rsid w:val="079A613C"/>
    <w:rsid w:val="07A111B9"/>
    <w:rsid w:val="07A5586E"/>
    <w:rsid w:val="07AD0DEF"/>
    <w:rsid w:val="07AF3996"/>
    <w:rsid w:val="07AF4222"/>
    <w:rsid w:val="07B611C8"/>
    <w:rsid w:val="07B71267"/>
    <w:rsid w:val="07B92A66"/>
    <w:rsid w:val="07BE6173"/>
    <w:rsid w:val="07C338E5"/>
    <w:rsid w:val="07C733D5"/>
    <w:rsid w:val="07D2646F"/>
    <w:rsid w:val="07D4164E"/>
    <w:rsid w:val="07D60EE8"/>
    <w:rsid w:val="07DA1B79"/>
    <w:rsid w:val="07DB2C0D"/>
    <w:rsid w:val="07DB536F"/>
    <w:rsid w:val="07DC537F"/>
    <w:rsid w:val="07DD72A9"/>
    <w:rsid w:val="07E31891"/>
    <w:rsid w:val="07E80381"/>
    <w:rsid w:val="07EA2C20"/>
    <w:rsid w:val="07EA49A8"/>
    <w:rsid w:val="07EB02CF"/>
    <w:rsid w:val="07EC1369"/>
    <w:rsid w:val="07EE4A01"/>
    <w:rsid w:val="07EF7893"/>
    <w:rsid w:val="07F01A92"/>
    <w:rsid w:val="07F25C3B"/>
    <w:rsid w:val="07F25F78"/>
    <w:rsid w:val="07F341CA"/>
    <w:rsid w:val="07F57D52"/>
    <w:rsid w:val="07F615C4"/>
    <w:rsid w:val="07F901A3"/>
    <w:rsid w:val="07F920A1"/>
    <w:rsid w:val="07FB495C"/>
    <w:rsid w:val="080106B7"/>
    <w:rsid w:val="08017F69"/>
    <w:rsid w:val="0802440D"/>
    <w:rsid w:val="08036534"/>
    <w:rsid w:val="08042CA2"/>
    <w:rsid w:val="080623A4"/>
    <w:rsid w:val="080674B8"/>
    <w:rsid w:val="080710D7"/>
    <w:rsid w:val="080812F8"/>
    <w:rsid w:val="08162E72"/>
    <w:rsid w:val="08163A15"/>
    <w:rsid w:val="081658FD"/>
    <w:rsid w:val="081751D4"/>
    <w:rsid w:val="081A6159"/>
    <w:rsid w:val="081B102B"/>
    <w:rsid w:val="081E0B1B"/>
    <w:rsid w:val="08207405"/>
    <w:rsid w:val="08227514"/>
    <w:rsid w:val="08236B0E"/>
    <w:rsid w:val="08275449"/>
    <w:rsid w:val="08275DB7"/>
    <w:rsid w:val="08287C16"/>
    <w:rsid w:val="0829023B"/>
    <w:rsid w:val="082A6FA6"/>
    <w:rsid w:val="082A74C0"/>
    <w:rsid w:val="08310FF5"/>
    <w:rsid w:val="0832086E"/>
    <w:rsid w:val="083245C7"/>
    <w:rsid w:val="08325F32"/>
    <w:rsid w:val="0837398B"/>
    <w:rsid w:val="083F69E2"/>
    <w:rsid w:val="084635EB"/>
    <w:rsid w:val="084A7B62"/>
    <w:rsid w:val="084D31AF"/>
    <w:rsid w:val="084F2865"/>
    <w:rsid w:val="0850391A"/>
    <w:rsid w:val="08504C31"/>
    <w:rsid w:val="085602B5"/>
    <w:rsid w:val="08564CB9"/>
    <w:rsid w:val="08575FBE"/>
    <w:rsid w:val="0858227F"/>
    <w:rsid w:val="085914C1"/>
    <w:rsid w:val="085A276B"/>
    <w:rsid w:val="085B3309"/>
    <w:rsid w:val="085C3CE3"/>
    <w:rsid w:val="085E740E"/>
    <w:rsid w:val="08617538"/>
    <w:rsid w:val="0862326C"/>
    <w:rsid w:val="0865674A"/>
    <w:rsid w:val="086E091D"/>
    <w:rsid w:val="08734D3B"/>
    <w:rsid w:val="087370B9"/>
    <w:rsid w:val="0874698D"/>
    <w:rsid w:val="08766BA9"/>
    <w:rsid w:val="0878022B"/>
    <w:rsid w:val="087C1540"/>
    <w:rsid w:val="087D3A94"/>
    <w:rsid w:val="087E3BC1"/>
    <w:rsid w:val="088071ED"/>
    <w:rsid w:val="08816951"/>
    <w:rsid w:val="08830A69"/>
    <w:rsid w:val="088D22D9"/>
    <w:rsid w:val="089112ED"/>
    <w:rsid w:val="08932B62"/>
    <w:rsid w:val="0895349E"/>
    <w:rsid w:val="089944A9"/>
    <w:rsid w:val="089F5B63"/>
    <w:rsid w:val="08A234FA"/>
    <w:rsid w:val="08A274A7"/>
    <w:rsid w:val="08A54D99"/>
    <w:rsid w:val="08A737BE"/>
    <w:rsid w:val="08B209E5"/>
    <w:rsid w:val="08B33959"/>
    <w:rsid w:val="08B84ACC"/>
    <w:rsid w:val="08BA4CE8"/>
    <w:rsid w:val="08BB5CE2"/>
    <w:rsid w:val="08BF5E5A"/>
    <w:rsid w:val="08C91775"/>
    <w:rsid w:val="08CC554B"/>
    <w:rsid w:val="08D3272D"/>
    <w:rsid w:val="08D44585"/>
    <w:rsid w:val="08D544C6"/>
    <w:rsid w:val="08D76E2C"/>
    <w:rsid w:val="08D84504"/>
    <w:rsid w:val="08DB66CD"/>
    <w:rsid w:val="08E04D27"/>
    <w:rsid w:val="08E104C7"/>
    <w:rsid w:val="08E12275"/>
    <w:rsid w:val="08E50D18"/>
    <w:rsid w:val="08E753B1"/>
    <w:rsid w:val="08EE4992"/>
    <w:rsid w:val="08EF5238"/>
    <w:rsid w:val="08F024B8"/>
    <w:rsid w:val="08F11B50"/>
    <w:rsid w:val="08F16230"/>
    <w:rsid w:val="08F22476"/>
    <w:rsid w:val="08F54642"/>
    <w:rsid w:val="08FA57B9"/>
    <w:rsid w:val="08FB2C0B"/>
    <w:rsid w:val="08FD204C"/>
    <w:rsid w:val="08FD6FB7"/>
    <w:rsid w:val="09012BD3"/>
    <w:rsid w:val="0902043D"/>
    <w:rsid w:val="090221EB"/>
    <w:rsid w:val="09060B0B"/>
    <w:rsid w:val="090917CB"/>
    <w:rsid w:val="090B4EFE"/>
    <w:rsid w:val="090B6D66"/>
    <w:rsid w:val="090C5D8A"/>
    <w:rsid w:val="09104908"/>
    <w:rsid w:val="092054F4"/>
    <w:rsid w:val="092217DD"/>
    <w:rsid w:val="0922698B"/>
    <w:rsid w:val="09245AAA"/>
    <w:rsid w:val="0926412B"/>
    <w:rsid w:val="09267C87"/>
    <w:rsid w:val="092959CA"/>
    <w:rsid w:val="092A73FE"/>
    <w:rsid w:val="092D32CF"/>
    <w:rsid w:val="092E1A43"/>
    <w:rsid w:val="09301968"/>
    <w:rsid w:val="09305432"/>
    <w:rsid w:val="093431FC"/>
    <w:rsid w:val="0935611C"/>
    <w:rsid w:val="09381D91"/>
    <w:rsid w:val="093830AD"/>
    <w:rsid w:val="093916BA"/>
    <w:rsid w:val="093A7294"/>
    <w:rsid w:val="094445B2"/>
    <w:rsid w:val="09465165"/>
    <w:rsid w:val="0947404D"/>
    <w:rsid w:val="0948656E"/>
    <w:rsid w:val="09491BC8"/>
    <w:rsid w:val="094921B7"/>
    <w:rsid w:val="094B3B92"/>
    <w:rsid w:val="094E4842"/>
    <w:rsid w:val="094E5430"/>
    <w:rsid w:val="094E71DE"/>
    <w:rsid w:val="09500754"/>
    <w:rsid w:val="09523172"/>
    <w:rsid w:val="09524F20"/>
    <w:rsid w:val="0953715A"/>
    <w:rsid w:val="095376BF"/>
    <w:rsid w:val="095531B4"/>
    <w:rsid w:val="09565A7D"/>
    <w:rsid w:val="095A5B83"/>
    <w:rsid w:val="095D1468"/>
    <w:rsid w:val="0962641F"/>
    <w:rsid w:val="09646A02"/>
    <w:rsid w:val="096477DE"/>
    <w:rsid w:val="096C4286"/>
    <w:rsid w:val="09714AB2"/>
    <w:rsid w:val="09714FD2"/>
    <w:rsid w:val="09750994"/>
    <w:rsid w:val="09762B92"/>
    <w:rsid w:val="09774987"/>
    <w:rsid w:val="09793B17"/>
    <w:rsid w:val="097A4477"/>
    <w:rsid w:val="097C7D74"/>
    <w:rsid w:val="097F383C"/>
    <w:rsid w:val="097F55EA"/>
    <w:rsid w:val="0980632C"/>
    <w:rsid w:val="098456E1"/>
    <w:rsid w:val="09880F3D"/>
    <w:rsid w:val="09887819"/>
    <w:rsid w:val="098B2719"/>
    <w:rsid w:val="098C3863"/>
    <w:rsid w:val="098F027E"/>
    <w:rsid w:val="099346C1"/>
    <w:rsid w:val="09953447"/>
    <w:rsid w:val="09975029"/>
    <w:rsid w:val="099B1395"/>
    <w:rsid w:val="099C2DD2"/>
    <w:rsid w:val="099C619C"/>
    <w:rsid w:val="09A82D92"/>
    <w:rsid w:val="09A92667"/>
    <w:rsid w:val="09AC5082"/>
    <w:rsid w:val="09AD3F6A"/>
    <w:rsid w:val="09B07E99"/>
    <w:rsid w:val="09B41737"/>
    <w:rsid w:val="09B82DDB"/>
    <w:rsid w:val="09BA6059"/>
    <w:rsid w:val="09BC354A"/>
    <w:rsid w:val="09BC4A90"/>
    <w:rsid w:val="09BC676A"/>
    <w:rsid w:val="09BC7DF2"/>
    <w:rsid w:val="09C35E1E"/>
    <w:rsid w:val="09C556F2"/>
    <w:rsid w:val="09C56195"/>
    <w:rsid w:val="09C6146A"/>
    <w:rsid w:val="09CA2D09"/>
    <w:rsid w:val="09D45935"/>
    <w:rsid w:val="09D83A6D"/>
    <w:rsid w:val="09D83DD8"/>
    <w:rsid w:val="09D9119E"/>
    <w:rsid w:val="09DA536D"/>
    <w:rsid w:val="09DB5F31"/>
    <w:rsid w:val="09DC1693"/>
    <w:rsid w:val="09DD13F2"/>
    <w:rsid w:val="09E1354D"/>
    <w:rsid w:val="09E57B43"/>
    <w:rsid w:val="09E66E41"/>
    <w:rsid w:val="09E77C46"/>
    <w:rsid w:val="09E813E1"/>
    <w:rsid w:val="09E81BCC"/>
    <w:rsid w:val="09E9544D"/>
    <w:rsid w:val="09F14739"/>
    <w:rsid w:val="09F15A65"/>
    <w:rsid w:val="09F2400E"/>
    <w:rsid w:val="09F41989"/>
    <w:rsid w:val="09F43460"/>
    <w:rsid w:val="09F61D50"/>
    <w:rsid w:val="09F67E30"/>
    <w:rsid w:val="09F8320D"/>
    <w:rsid w:val="09F932B6"/>
    <w:rsid w:val="0A003D9B"/>
    <w:rsid w:val="0A006E13"/>
    <w:rsid w:val="0A073F5D"/>
    <w:rsid w:val="0A0C2434"/>
    <w:rsid w:val="0A0D238C"/>
    <w:rsid w:val="0A0D7F56"/>
    <w:rsid w:val="0A102D91"/>
    <w:rsid w:val="0A1848F4"/>
    <w:rsid w:val="0A193C90"/>
    <w:rsid w:val="0A1B49A5"/>
    <w:rsid w:val="0A1F0C00"/>
    <w:rsid w:val="0A2368BD"/>
    <w:rsid w:val="0A256191"/>
    <w:rsid w:val="0A263993"/>
    <w:rsid w:val="0A267F84"/>
    <w:rsid w:val="0A2729B6"/>
    <w:rsid w:val="0A27573A"/>
    <w:rsid w:val="0A285C81"/>
    <w:rsid w:val="0A2950EA"/>
    <w:rsid w:val="0A2D3AC2"/>
    <w:rsid w:val="0A2E2D1E"/>
    <w:rsid w:val="0A2F3646"/>
    <w:rsid w:val="0A3010C7"/>
    <w:rsid w:val="0A3245CA"/>
    <w:rsid w:val="0A3463D4"/>
    <w:rsid w:val="0A362FD0"/>
    <w:rsid w:val="0A3906D2"/>
    <w:rsid w:val="0A3A3B56"/>
    <w:rsid w:val="0A3E36F7"/>
    <w:rsid w:val="0A426D43"/>
    <w:rsid w:val="0A434865"/>
    <w:rsid w:val="0A455BF4"/>
    <w:rsid w:val="0A477FFC"/>
    <w:rsid w:val="0A4A6AD9"/>
    <w:rsid w:val="0A4D5A91"/>
    <w:rsid w:val="0A515D78"/>
    <w:rsid w:val="0A560A40"/>
    <w:rsid w:val="0A573505"/>
    <w:rsid w:val="0A5847B8"/>
    <w:rsid w:val="0A5B7E05"/>
    <w:rsid w:val="0A5C1B8B"/>
    <w:rsid w:val="0A5C798D"/>
    <w:rsid w:val="0A5E78F5"/>
    <w:rsid w:val="0A5F2B10"/>
    <w:rsid w:val="0A5F6638"/>
    <w:rsid w:val="0A631516"/>
    <w:rsid w:val="0A6568C6"/>
    <w:rsid w:val="0A674CCF"/>
    <w:rsid w:val="0A682522"/>
    <w:rsid w:val="0A693D18"/>
    <w:rsid w:val="0A6A23A8"/>
    <w:rsid w:val="0A6A2FF9"/>
    <w:rsid w:val="0A6C2012"/>
    <w:rsid w:val="0A6F63B2"/>
    <w:rsid w:val="0A782273"/>
    <w:rsid w:val="0A791D37"/>
    <w:rsid w:val="0A7F7F97"/>
    <w:rsid w:val="0A816019"/>
    <w:rsid w:val="0A83784C"/>
    <w:rsid w:val="0A8779FC"/>
    <w:rsid w:val="0A880415"/>
    <w:rsid w:val="0A8D2745"/>
    <w:rsid w:val="0A8E1F88"/>
    <w:rsid w:val="0A8F10E0"/>
    <w:rsid w:val="0A9D666F"/>
    <w:rsid w:val="0AA6225D"/>
    <w:rsid w:val="0AA755DF"/>
    <w:rsid w:val="0AA860E3"/>
    <w:rsid w:val="0AAB0D8C"/>
    <w:rsid w:val="0AAB7859"/>
    <w:rsid w:val="0AAF0151"/>
    <w:rsid w:val="0AB155F2"/>
    <w:rsid w:val="0AB15C77"/>
    <w:rsid w:val="0AB23739"/>
    <w:rsid w:val="0AB45B0E"/>
    <w:rsid w:val="0AB64C87"/>
    <w:rsid w:val="0ABA4C8A"/>
    <w:rsid w:val="0ABB08A3"/>
    <w:rsid w:val="0ABB79A6"/>
    <w:rsid w:val="0ABF5171"/>
    <w:rsid w:val="0AC210E1"/>
    <w:rsid w:val="0AC21C32"/>
    <w:rsid w:val="0AC37758"/>
    <w:rsid w:val="0AC459AA"/>
    <w:rsid w:val="0AC76FBA"/>
    <w:rsid w:val="0AC77248"/>
    <w:rsid w:val="0ACA5794"/>
    <w:rsid w:val="0ACC25AD"/>
    <w:rsid w:val="0AD344B5"/>
    <w:rsid w:val="0ADE7ACE"/>
    <w:rsid w:val="0AE33940"/>
    <w:rsid w:val="0AE43B71"/>
    <w:rsid w:val="0AE60E31"/>
    <w:rsid w:val="0AEA7098"/>
    <w:rsid w:val="0AEB12C6"/>
    <w:rsid w:val="0AEC4F01"/>
    <w:rsid w:val="0AED776C"/>
    <w:rsid w:val="0AEE3D69"/>
    <w:rsid w:val="0AF12517"/>
    <w:rsid w:val="0AF33A92"/>
    <w:rsid w:val="0AF61F0A"/>
    <w:rsid w:val="0AFA13CC"/>
    <w:rsid w:val="0AFA5870"/>
    <w:rsid w:val="0AFF69E2"/>
    <w:rsid w:val="0B02541A"/>
    <w:rsid w:val="0B095168"/>
    <w:rsid w:val="0B0A3B2F"/>
    <w:rsid w:val="0B0E003D"/>
    <w:rsid w:val="0B0E7430"/>
    <w:rsid w:val="0B102933"/>
    <w:rsid w:val="0B120D44"/>
    <w:rsid w:val="0B123C38"/>
    <w:rsid w:val="0B154979"/>
    <w:rsid w:val="0B1835C3"/>
    <w:rsid w:val="0B204BAA"/>
    <w:rsid w:val="0B217D3F"/>
    <w:rsid w:val="0B226B74"/>
    <w:rsid w:val="0B247374"/>
    <w:rsid w:val="0B304DED"/>
    <w:rsid w:val="0B3501C0"/>
    <w:rsid w:val="0B3643CE"/>
    <w:rsid w:val="0B3831C9"/>
    <w:rsid w:val="0B3D1B83"/>
    <w:rsid w:val="0B3F32C0"/>
    <w:rsid w:val="0B511704"/>
    <w:rsid w:val="0B520957"/>
    <w:rsid w:val="0B5D4FB1"/>
    <w:rsid w:val="0B5F0E51"/>
    <w:rsid w:val="0B606E9B"/>
    <w:rsid w:val="0B611AFC"/>
    <w:rsid w:val="0B623F32"/>
    <w:rsid w:val="0B657B87"/>
    <w:rsid w:val="0B6658C1"/>
    <w:rsid w:val="0B6947A3"/>
    <w:rsid w:val="0B6A0996"/>
    <w:rsid w:val="0B6D172F"/>
    <w:rsid w:val="0B7423F7"/>
    <w:rsid w:val="0B755EDB"/>
    <w:rsid w:val="0B7735DC"/>
    <w:rsid w:val="0B7B0681"/>
    <w:rsid w:val="0B7B5325"/>
    <w:rsid w:val="0B7D483B"/>
    <w:rsid w:val="0B7D7A18"/>
    <w:rsid w:val="0B7E6E21"/>
    <w:rsid w:val="0B7E7342"/>
    <w:rsid w:val="0B7F6074"/>
    <w:rsid w:val="0B845139"/>
    <w:rsid w:val="0B865355"/>
    <w:rsid w:val="0B892750"/>
    <w:rsid w:val="0B896BF3"/>
    <w:rsid w:val="0B8A683F"/>
    <w:rsid w:val="0B8B64C8"/>
    <w:rsid w:val="0B8C1B1F"/>
    <w:rsid w:val="0B8C21F5"/>
    <w:rsid w:val="0B905452"/>
    <w:rsid w:val="0B911F88"/>
    <w:rsid w:val="0B917C52"/>
    <w:rsid w:val="0B9A44B2"/>
    <w:rsid w:val="0B9A495D"/>
    <w:rsid w:val="0BA04D77"/>
    <w:rsid w:val="0BA437A0"/>
    <w:rsid w:val="0BA45E9D"/>
    <w:rsid w:val="0BA47589"/>
    <w:rsid w:val="0BA56A3C"/>
    <w:rsid w:val="0BB0055A"/>
    <w:rsid w:val="0BB35A1E"/>
    <w:rsid w:val="0BB51797"/>
    <w:rsid w:val="0BB818BD"/>
    <w:rsid w:val="0BB91287"/>
    <w:rsid w:val="0BB9723C"/>
    <w:rsid w:val="0BBC16CE"/>
    <w:rsid w:val="0BC01E57"/>
    <w:rsid w:val="0BC15DEC"/>
    <w:rsid w:val="0BC3186A"/>
    <w:rsid w:val="0BC62CE6"/>
    <w:rsid w:val="0BC65752"/>
    <w:rsid w:val="0BC727C6"/>
    <w:rsid w:val="0BCB149F"/>
    <w:rsid w:val="0BD27BF6"/>
    <w:rsid w:val="0BD84435"/>
    <w:rsid w:val="0BDC31C7"/>
    <w:rsid w:val="0BDC4F75"/>
    <w:rsid w:val="0BDE6804"/>
    <w:rsid w:val="0BE0477C"/>
    <w:rsid w:val="0BE82909"/>
    <w:rsid w:val="0BE8391A"/>
    <w:rsid w:val="0BE84B95"/>
    <w:rsid w:val="0BEA7692"/>
    <w:rsid w:val="0BED15C5"/>
    <w:rsid w:val="0BEE2322"/>
    <w:rsid w:val="0BF24799"/>
    <w:rsid w:val="0BF24FB9"/>
    <w:rsid w:val="0BF30924"/>
    <w:rsid w:val="0BF6609E"/>
    <w:rsid w:val="0BFE4EEC"/>
    <w:rsid w:val="0C022F4C"/>
    <w:rsid w:val="0C023101"/>
    <w:rsid w:val="0C036A44"/>
    <w:rsid w:val="0C087396"/>
    <w:rsid w:val="0C0D3730"/>
    <w:rsid w:val="0C0E5BC4"/>
    <w:rsid w:val="0C105729"/>
    <w:rsid w:val="0C126DC0"/>
    <w:rsid w:val="0C13795F"/>
    <w:rsid w:val="0C1464BD"/>
    <w:rsid w:val="0C1704AC"/>
    <w:rsid w:val="0C1939C9"/>
    <w:rsid w:val="0C1A32D7"/>
    <w:rsid w:val="0C1B09F4"/>
    <w:rsid w:val="0C1C2136"/>
    <w:rsid w:val="0C1E733C"/>
    <w:rsid w:val="0C216E2C"/>
    <w:rsid w:val="0C2410DF"/>
    <w:rsid w:val="0C2A7A8F"/>
    <w:rsid w:val="0C2B43F2"/>
    <w:rsid w:val="0C2D2378"/>
    <w:rsid w:val="0C2F1549"/>
    <w:rsid w:val="0C2F1AFF"/>
    <w:rsid w:val="0C324B95"/>
    <w:rsid w:val="0C394176"/>
    <w:rsid w:val="0C3B3C7D"/>
    <w:rsid w:val="0C3B574C"/>
    <w:rsid w:val="0C3C3C66"/>
    <w:rsid w:val="0C3C42C9"/>
    <w:rsid w:val="0C3D5924"/>
    <w:rsid w:val="0C3F0030"/>
    <w:rsid w:val="0C426528"/>
    <w:rsid w:val="0C450D6C"/>
    <w:rsid w:val="0C452B1A"/>
    <w:rsid w:val="0C474AE5"/>
    <w:rsid w:val="0C522046"/>
    <w:rsid w:val="0C53621A"/>
    <w:rsid w:val="0C56381E"/>
    <w:rsid w:val="0C5719E5"/>
    <w:rsid w:val="0C62191E"/>
    <w:rsid w:val="0C635F3F"/>
    <w:rsid w:val="0C665099"/>
    <w:rsid w:val="0C670CE7"/>
    <w:rsid w:val="0C673A60"/>
    <w:rsid w:val="0C68301E"/>
    <w:rsid w:val="0C686072"/>
    <w:rsid w:val="0C694A9D"/>
    <w:rsid w:val="0C6A07D3"/>
    <w:rsid w:val="0C6B00FB"/>
    <w:rsid w:val="0C6E02C3"/>
    <w:rsid w:val="0C6E7A55"/>
    <w:rsid w:val="0C760F26"/>
    <w:rsid w:val="0C77125C"/>
    <w:rsid w:val="0C782D8D"/>
    <w:rsid w:val="0C7B320A"/>
    <w:rsid w:val="0C7B653C"/>
    <w:rsid w:val="0C811679"/>
    <w:rsid w:val="0C831895"/>
    <w:rsid w:val="0C84135A"/>
    <w:rsid w:val="0C874AB1"/>
    <w:rsid w:val="0C880C59"/>
    <w:rsid w:val="0C886EAB"/>
    <w:rsid w:val="0C8E2259"/>
    <w:rsid w:val="0C922C74"/>
    <w:rsid w:val="0C943AA2"/>
    <w:rsid w:val="0C9910B8"/>
    <w:rsid w:val="0C9E047D"/>
    <w:rsid w:val="0CA05D40"/>
    <w:rsid w:val="0CA05FA3"/>
    <w:rsid w:val="0CA2678D"/>
    <w:rsid w:val="0CA313D8"/>
    <w:rsid w:val="0CA42D4A"/>
    <w:rsid w:val="0CA77331"/>
    <w:rsid w:val="0CAB2EAE"/>
    <w:rsid w:val="0CAE1114"/>
    <w:rsid w:val="0CAF204C"/>
    <w:rsid w:val="0CB06D2E"/>
    <w:rsid w:val="0CB17E61"/>
    <w:rsid w:val="0CB30325"/>
    <w:rsid w:val="0CB32C96"/>
    <w:rsid w:val="0CB657C6"/>
    <w:rsid w:val="0CB70557"/>
    <w:rsid w:val="0CBD6B55"/>
    <w:rsid w:val="0CC51EAD"/>
    <w:rsid w:val="0CC9374C"/>
    <w:rsid w:val="0CCC5321"/>
    <w:rsid w:val="0CCE3C17"/>
    <w:rsid w:val="0CD02D66"/>
    <w:rsid w:val="0CDE6ACB"/>
    <w:rsid w:val="0CE271A4"/>
    <w:rsid w:val="0CE41347"/>
    <w:rsid w:val="0CE71E24"/>
    <w:rsid w:val="0CE73BD2"/>
    <w:rsid w:val="0CE75980"/>
    <w:rsid w:val="0CE916F8"/>
    <w:rsid w:val="0CEA0AED"/>
    <w:rsid w:val="0CEB0F40"/>
    <w:rsid w:val="0CEB7EF6"/>
    <w:rsid w:val="0CEF0CD8"/>
    <w:rsid w:val="0CF12DCE"/>
    <w:rsid w:val="0CF167FE"/>
    <w:rsid w:val="0CF445AA"/>
    <w:rsid w:val="0CF62B54"/>
    <w:rsid w:val="0CFA68BB"/>
    <w:rsid w:val="0CFC2FB8"/>
    <w:rsid w:val="0D00791F"/>
    <w:rsid w:val="0D06403A"/>
    <w:rsid w:val="0D1878EB"/>
    <w:rsid w:val="0D1A0E57"/>
    <w:rsid w:val="0D1C7510"/>
    <w:rsid w:val="0D241E6A"/>
    <w:rsid w:val="0D242020"/>
    <w:rsid w:val="0D286D68"/>
    <w:rsid w:val="0D3000CB"/>
    <w:rsid w:val="0D335069"/>
    <w:rsid w:val="0D386EBC"/>
    <w:rsid w:val="0D3A1F53"/>
    <w:rsid w:val="0D3E2F48"/>
    <w:rsid w:val="0D466B4A"/>
    <w:rsid w:val="0D566407"/>
    <w:rsid w:val="0D593C27"/>
    <w:rsid w:val="0D5B3087"/>
    <w:rsid w:val="0D605732"/>
    <w:rsid w:val="0D621C7D"/>
    <w:rsid w:val="0D635706"/>
    <w:rsid w:val="0D650A0F"/>
    <w:rsid w:val="0D6671EC"/>
    <w:rsid w:val="0D690A8B"/>
    <w:rsid w:val="0D693D8C"/>
    <w:rsid w:val="0D6A07BF"/>
    <w:rsid w:val="0D6E5C96"/>
    <w:rsid w:val="0D72790C"/>
    <w:rsid w:val="0D7717A5"/>
    <w:rsid w:val="0D796C86"/>
    <w:rsid w:val="0D7A4A46"/>
    <w:rsid w:val="0D7B7C81"/>
    <w:rsid w:val="0D7C4FAB"/>
    <w:rsid w:val="0D7D0092"/>
    <w:rsid w:val="0D7E33C4"/>
    <w:rsid w:val="0D8407A6"/>
    <w:rsid w:val="0D865199"/>
    <w:rsid w:val="0D8E6D0D"/>
    <w:rsid w:val="0D8F7523"/>
    <w:rsid w:val="0D910C60"/>
    <w:rsid w:val="0D98311E"/>
    <w:rsid w:val="0D985311"/>
    <w:rsid w:val="0D99476A"/>
    <w:rsid w:val="0D9E2637"/>
    <w:rsid w:val="0D9E6986"/>
    <w:rsid w:val="0D9F012F"/>
    <w:rsid w:val="0DA15914"/>
    <w:rsid w:val="0DA53BF1"/>
    <w:rsid w:val="0DA770AD"/>
    <w:rsid w:val="0DAB6FB8"/>
    <w:rsid w:val="0DB00467"/>
    <w:rsid w:val="0DB3678A"/>
    <w:rsid w:val="0DB6446C"/>
    <w:rsid w:val="0DB66733"/>
    <w:rsid w:val="0DB717F6"/>
    <w:rsid w:val="0DB74E46"/>
    <w:rsid w:val="0DBA12E6"/>
    <w:rsid w:val="0DBC0BBA"/>
    <w:rsid w:val="0DBE0DD6"/>
    <w:rsid w:val="0DBF06AB"/>
    <w:rsid w:val="0DC343D2"/>
    <w:rsid w:val="0DC45258"/>
    <w:rsid w:val="0DC45CC1"/>
    <w:rsid w:val="0DC70935"/>
    <w:rsid w:val="0DC93E31"/>
    <w:rsid w:val="0DCB704F"/>
    <w:rsid w:val="0DCC7B69"/>
    <w:rsid w:val="0DCE6B40"/>
    <w:rsid w:val="0DD028B8"/>
    <w:rsid w:val="0DD1743B"/>
    <w:rsid w:val="0DD35E02"/>
    <w:rsid w:val="0DD77C44"/>
    <w:rsid w:val="0DDA0BC8"/>
    <w:rsid w:val="0DDC300B"/>
    <w:rsid w:val="0DDE11F1"/>
    <w:rsid w:val="0DDF1BCC"/>
    <w:rsid w:val="0DDF1CCF"/>
    <w:rsid w:val="0DE17D54"/>
    <w:rsid w:val="0DE2411D"/>
    <w:rsid w:val="0DE246BD"/>
    <w:rsid w:val="0DE436D6"/>
    <w:rsid w:val="0DE620DB"/>
    <w:rsid w:val="0DE7465B"/>
    <w:rsid w:val="0DEA2931"/>
    <w:rsid w:val="0DEC6564"/>
    <w:rsid w:val="0DED1DE7"/>
    <w:rsid w:val="0DEE1A67"/>
    <w:rsid w:val="0DEF4FE8"/>
    <w:rsid w:val="0DF31A91"/>
    <w:rsid w:val="0DFA02FC"/>
    <w:rsid w:val="0DFA3B07"/>
    <w:rsid w:val="0DFE5079"/>
    <w:rsid w:val="0DFF1B83"/>
    <w:rsid w:val="0E0013EF"/>
    <w:rsid w:val="0E045213"/>
    <w:rsid w:val="0E07732B"/>
    <w:rsid w:val="0E0B11FA"/>
    <w:rsid w:val="0E132027"/>
    <w:rsid w:val="0E1844BF"/>
    <w:rsid w:val="0E19600D"/>
    <w:rsid w:val="0E213113"/>
    <w:rsid w:val="0E214EC1"/>
    <w:rsid w:val="0E2350DD"/>
    <w:rsid w:val="0E252C04"/>
    <w:rsid w:val="0E274D1C"/>
    <w:rsid w:val="0E2941CB"/>
    <w:rsid w:val="0E2A3F84"/>
    <w:rsid w:val="0E2D0652"/>
    <w:rsid w:val="0E3015D7"/>
    <w:rsid w:val="0E317059"/>
    <w:rsid w:val="0E324ADA"/>
    <w:rsid w:val="0E34397D"/>
    <w:rsid w:val="0E395649"/>
    <w:rsid w:val="0E3E1F17"/>
    <w:rsid w:val="0E3E2AEB"/>
    <w:rsid w:val="0E4116DF"/>
    <w:rsid w:val="0E433DCE"/>
    <w:rsid w:val="0E4449F4"/>
    <w:rsid w:val="0E456E02"/>
    <w:rsid w:val="0E4F1A2E"/>
    <w:rsid w:val="0E500807"/>
    <w:rsid w:val="0E53628F"/>
    <w:rsid w:val="0E5533B0"/>
    <w:rsid w:val="0E56100F"/>
    <w:rsid w:val="0E590AFF"/>
    <w:rsid w:val="0E597E6B"/>
    <w:rsid w:val="0E5C02D2"/>
    <w:rsid w:val="0E5C2EA3"/>
    <w:rsid w:val="0E5C414B"/>
    <w:rsid w:val="0E670397"/>
    <w:rsid w:val="0E6D2AA6"/>
    <w:rsid w:val="0E6E3B77"/>
    <w:rsid w:val="0E707BD8"/>
    <w:rsid w:val="0E713C39"/>
    <w:rsid w:val="0E715E49"/>
    <w:rsid w:val="0E722040"/>
    <w:rsid w:val="0E73034D"/>
    <w:rsid w:val="0E76520D"/>
    <w:rsid w:val="0E787F4B"/>
    <w:rsid w:val="0E7E6F16"/>
    <w:rsid w:val="0E803068"/>
    <w:rsid w:val="0E812471"/>
    <w:rsid w:val="0E813BB2"/>
    <w:rsid w:val="0E820056"/>
    <w:rsid w:val="0E835B7C"/>
    <w:rsid w:val="0E8A7DA7"/>
    <w:rsid w:val="0E8D096C"/>
    <w:rsid w:val="0E8E5F1C"/>
    <w:rsid w:val="0E8F4E04"/>
    <w:rsid w:val="0E9D59AD"/>
    <w:rsid w:val="0E9F5C3D"/>
    <w:rsid w:val="0EA1730C"/>
    <w:rsid w:val="0EA45387"/>
    <w:rsid w:val="0EA63FB9"/>
    <w:rsid w:val="0EA7186A"/>
    <w:rsid w:val="0EAA4EB7"/>
    <w:rsid w:val="0EB04152"/>
    <w:rsid w:val="0EB17B5C"/>
    <w:rsid w:val="0EB2020F"/>
    <w:rsid w:val="0EB3303A"/>
    <w:rsid w:val="0EB63C89"/>
    <w:rsid w:val="0EBB39A4"/>
    <w:rsid w:val="0EBB5316"/>
    <w:rsid w:val="0EBD5965"/>
    <w:rsid w:val="0EC00B7E"/>
    <w:rsid w:val="0EC15643"/>
    <w:rsid w:val="0ECB4993"/>
    <w:rsid w:val="0ECC307F"/>
    <w:rsid w:val="0ED038B9"/>
    <w:rsid w:val="0ED25C64"/>
    <w:rsid w:val="0ED25E75"/>
    <w:rsid w:val="0ED308B1"/>
    <w:rsid w:val="0ED40186"/>
    <w:rsid w:val="0EDB61ED"/>
    <w:rsid w:val="0EE55D26"/>
    <w:rsid w:val="0EE71E6E"/>
    <w:rsid w:val="0EE7435D"/>
    <w:rsid w:val="0EE7610B"/>
    <w:rsid w:val="0EE83C31"/>
    <w:rsid w:val="0EE95F3F"/>
    <w:rsid w:val="0EEE7499"/>
    <w:rsid w:val="0EF45E39"/>
    <w:rsid w:val="0EF5261A"/>
    <w:rsid w:val="0EF95E3E"/>
    <w:rsid w:val="0EF97BEC"/>
    <w:rsid w:val="0EFB470B"/>
    <w:rsid w:val="0F040A6B"/>
    <w:rsid w:val="0F0528B4"/>
    <w:rsid w:val="0F073DDF"/>
    <w:rsid w:val="0F0767AD"/>
    <w:rsid w:val="0F091448"/>
    <w:rsid w:val="0F0C791F"/>
    <w:rsid w:val="0F13775A"/>
    <w:rsid w:val="0F1669F0"/>
    <w:rsid w:val="0F1F3AF7"/>
    <w:rsid w:val="0F212E80"/>
    <w:rsid w:val="0F22295F"/>
    <w:rsid w:val="0F22536C"/>
    <w:rsid w:val="0F230706"/>
    <w:rsid w:val="0F234C69"/>
    <w:rsid w:val="0F24110D"/>
    <w:rsid w:val="0F242EBB"/>
    <w:rsid w:val="0F254DD5"/>
    <w:rsid w:val="0F26343A"/>
    <w:rsid w:val="0F270A7E"/>
    <w:rsid w:val="0F2A39ED"/>
    <w:rsid w:val="0F2A7686"/>
    <w:rsid w:val="0F2B2670"/>
    <w:rsid w:val="0F2B6A4C"/>
    <w:rsid w:val="0F366148"/>
    <w:rsid w:val="0F376CE6"/>
    <w:rsid w:val="0F386966"/>
    <w:rsid w:val="0F3D17DE"/>
    <w:rsid w:val="0F3D1F95"/>
    <w:rsid w:val="0F3F5F11"/>
    <w:rsid w:val="0F44530B"/>
    <w:rsid w:val="0F4F0B1B"/>
    <w:rsid w:val="0F5016BA"/>
    <w:rsid w:val="0F53065C"/>
    <w:rsid w:val="0F53597F"/>
    <w:rsid w:val="0F5372FC"/>
    <w:rsid w:val="0F544E83"/>
    <w:rsid w:val="0F59233E"/>
    <w:rsid w:val="0F5B2655"/>
    <w:rsid w:val="0F5B4403"/>
    <w:rsid w:val="0F5C3CDC"/>
    <w:rsid w:val="0F5F45FE"/>
    <w:rsid w:val="0F691B78"/>
    <w:rsid w:val="0F692FC4"/>
    <w:rsid w:val="0F6A69DA"/>
    <w:rsid w:val="0F7014AD"/>
    <w:rsid w:val="0F717F8E"/>
    <w:rsid w:val="0F722BEA"/>
    <w:rsid w:val="0F7756E1"/>
    <w:rsid w:val="0F7961A0"/>
    <w:rsid w:val="0F7A6F7F"/>
    <w:rsid w:val="0F8120BC"/>
    <w:rsid w:val="0F827BE2"/>
    <w:rsid w:val="0F83329A"/>
    <w:rsid w:val="0F834D37"/>
    <w:rsid w:val="0F8370B3"/>
    <w:rsid w:val="0F86138F"/>
    <w:rsid w:val="0F871BA5"/>
    <w:rsid w:val="0F8B0ADD"/>
    <w:rsid w:val="0F911464"/>
    <w:rsid w:val="0F91589E"/>
    <w:rsid w:val="0F955E06"/>
    <w:rsid w:val="0F956BB3"/>
    <w:rsid w:val="0F975858"/>
    <w:rsid w:val="0F977B31"/>
    <w:rsid w:val="0F993CB9"/>
    <w:rsid w:val="0F9A112B"/>
    <w:rsid w:val="0F9B0EE8"/>
    <w:rsid w:val="0FA22205"/>
    <w:rsid w:val="0FA25CB6"/>
    <w:rsid w:val="0FA40799"/>
    <w:rsid w:val="0FA51A1F"/>
    <w:rsid w:val="0FA61B22"/>
    <w:rsid w:val="0FAA73A1"/>
    <w:rsid w:val="0FAB6A21"/>
    <w:rsid w:val="0FAC2408"/>
    <w:rsid w:val="0FAD1102"/>
    <w:rsid w:val="0FAE09D7"/>
    <w:rsid w:val="0FAE3FC6"/>
    <w:rsid w:val="0FB26250"/>
    <w:rsid w:val="0FB32013"/>
    <w:rsid w:val="0FB8726D"/>
    <w:rsid w:val="0FBA55CD"/>
    <w:rsid w:val="0FBC30F4"/>
    <w:rsid w:val="0FC03992"/>
    <w:rsid w:val="0FC05068"/>
    <w:rsid w:val="0FC8650D"/>
    <w:rsid w:val="0FCF76A4"/>
    <w:rsid w:val="0FD21598"/>
    <w:rsid w:val="0FD26785"/>
    <w:rsid w:val="0FD75BE1"/>
    <w:rsid w:val="0FD967CF"/>
    <w:rsid w:val="0FD97D81"/>
    <w:rsid w:val="0FDE2595"/>
    <w:rsid w:val="0FE8038D"/>
    <w:rsid w:val="0FEC3AAB"/>
    <w:rsid w:val="0FEC732E"/>
    <w:rsid w:val="0FED5320"/>
    <w:rsid w:val="0FEF4B78"/>
    <w:rsid w:val="0FF104C1"/>
    <w:rsid w:val="0FF420EE"/>
    <w:rsid w:val="0FF9631D"/>
    <w:rsid w:val="0FFC339B"/>
    <w:rsid w:val="0FFF1232"/>
    <w:rsid w:val="0FFF56D6"/>
    <w:rsid w:val="10013A51"/>
    <w:rsid w:val="10037665"/>
    <w:rsid w:val="10066A65"/>
    <w:rsid w:val="10067155"/>
    <w:rsid w:val="10073D7B"/>
    <w:rsid w:val="10076870"/>
    <w:rsid w:val="100910F7"/>
    <w:rsid w:val="100F4387"/>
    <w:rsid w:val="10154C70"/>
    <w:rsid w:val="101E0DC6"/>
    <w:rsid w:val="101F3C57"/>
    <w:rsid w:val="1021389E"/>
    <w:rsid w:val="102351BA"/>
    <w:rsid w:val="10273DFE"/>
    <w:rsid w:val="10277CAB"/>
    <w:rsid w:val="10280789"/>
    <w:rsid w:val="10281712"/>
    <w:rsid w:val="10294055"/>
    <w:rsid w:val="1034712E"/>
    <w:rsid w:val="10352EA6"/>
    <w:rsid w:val="103F5AD3"/>
    <w:rsid w:val="10407D27"/>
    <w:rsid w:val="10455B4B"/>
    <w:rsid w:val="1046543F"/>
    <w:rsid w:val="10491C47"/>
    <w:rsid w:val="104B091B"/>
    <w:rsid w:val="104D01F0"/>
    <w:rsid w:val="104E0165"/>
    <w:rsid w:val="105154DE"/>
    <w:rsid w:val="10515BB4"/>
    <w:rsid w:val="105276E7"/>
    <w:rsid w:val="105477D0"/>
    <w:rsid w:val="10597D75"/>
    <w:rsid w:val="105B6408"/>
    <w:rsid w:val="105D08B4"/>
    <w:rsid w:val="105F10EA"/>
    <w:rsid w:val="105F7E70"/>
    <w:rsid w:val="10612472"/>
    <w:rsid w:val="10613A0A"/>
    <w:rsid w:val="10637A13"/>
    <w:rsid w:val="10680D0C"/>
    <w:rsid w:val="106A6FF4"/>
    <w:rsid w:val="106C3100"/>
    <w:rsid w:val="106D2F64"/>
    <w:rsid w:val="106E1C0C"/>
    <w:rsid w:val="10700268"/>
    <w:rsid w:val="107134FF"/>
    <w:rsid w:val="10750558"/>
    <w:rsid w:val="1077526D"/>
    <w:rsid w:val="10797237"/>
    <w:rsid w:val="107B7FF2"/>
    <w:rsid w:val="107C0AD5"/>
    <w:rsid w:val="107E311B"/>
    <w:rsid w:val="1080431F"/>
    <w:rsid w:val="10807BA2"/>
    <w:rsid w:val="1081433D"/>
    <w:rsid w:val="10827E34"/>
    <w:rsid w:val="10840B88"/>
    <w:rsid w:val="10847253"/>
    <w:rsid w:val="1085287F"/>
    <w:rsid w:val="108570CB"/>
    <w:rsid w:val="10881C14"/>
    <w:rsid w:val="10887D92"/>
    <w:rsid w:val="10897BD2"/>
    <w:rsid w:val="108D2CE2"/>
    <w:rsid w:val="108F4B64"/>
    <w:rsid w:val="108F4E99"/>
    <w:rsid w:val="1091537A"/>
    <w:rsid w:val="10945E1E"/>
    <w:rsid w:val="10947BCD"/>
    <w:rsid w:val="10950A41"/>
    <w:rsid w:val="1095480E"/>
    <w:rsid w:val="10961B97"/>
    <w:rsid w:val="109A0F5B"/>
    <w:rsid w:val="109A425F"/>
    <w:rsid w:val="109B4DFE"/>
    <w:rsid w:val="10A00A5C"/>
    <w:rsid w:val="10A15E89"/>
    <w:rsid w:val="10A27D57"/>
    <w:rsid w:val="10A46ADD"/>
    <w:rsid w:val="10A973E6"/>
    <w:rsid w:val="10AC54AA"/>
    <w:rsid w:val="10AD6EE0"/>
    <w:rsid w:val="10AE566F"/>
    <w:rsid w:val="10B310F1"/>
    <w:rsid w:val="10B464C1"/>
    <w:rsid w:val="10B63710"/>
    <w:rsid w:val="10BB33AB"/>
    <w:rsid w:val="10BD35C7"/>
    <w:rsid w:val="10C07307"/>
    <w:rsid w:val="10C201D6"/>
    <w:rsid w:val="10C20520"/>
    <w:rsid w:val="10C97166"/>
    <w:rsid w:val="10CA7D05"/>
    <w:rsid w:val="10CD30DE"/>
    <w:rsid w:val="10CE7EBA"/>
    <w:rsid w:val="10D64FA8"/>
    <w:rsid w:val="10D92C55"/>
    <w:rsid w:val="10DA6C25"/>
    <w:rsid w:val="10DA7CA0"/>
    <w:rsid w:val="10DC30EE"/>
    <w:rsid w:val="10E326D9"/>
    <w:rsid w:val="10E33F9B"/>
    <w:rsid w:val="10E34306"/>
    <w:rsid w:val="10E431EE"/>
    <w:rsid w:val="10EE6860"/>
    <w:rsid w:val="10EF12A7"/>
    <w:rsid w:val="10F10820"/>
    <w:rsid w:val="10F26257"/>
    <w:rsid w:val="10F2640D"/>
    <w:rsid w:val="10F75985"/>
    <w:rsid w:val="10F863AD"/>
    <w:rsid w:val="10F92125"/>
    <w:rsid w:val="10FA1A6A"/>
    <w:rsid w:val="10FE65A5"/>
    <w:rsid w:val="10FE679F"/>
    <w:rsid w:val="11015B72"/>
    <w:rsid w:val="1102192B"/>
    <w:rsid w:val="11036B00"/>
    <w:rsid w:val="110416CA"/>
    <w:rsid w:val="1107004B"/>
    <w:rsid w:val="110745E3"/>
    <w:rsid w:val="11075191"/>
    <w:rsid w:val="110E3A9D"/>
    <w:rsid w:val="111331E7"/>
    <w:rsid w:val="111B02EE"/>
    <w:rsid w:val="111C2F7A"/>
    <w:rsid w:val="111D5D5A"/>
    <w:rsid w:val="11205904"/>
    <w:rsid w:val="112371A2"/>
    <w:rsid w:val="112453F4"/>
    <w:rsid w:val="11273833"/>
    <w:rsid w:val="112E0994"/>
    <w:rsid w:val="112F45C9"/>
    <w:rsid w:val="1131366D"/>
    <w:rsid w:val="1132401F"/>
    <w:rsid w:val="11340E0C"/>
    <w:rsid w:val="113413B0"/>
    <w:rsid w:val="11364558"/>
    <w:rsid w:val="11365CF6"/>
    <w:rsid w:val="11387E9F"/>
    <w:rsid w:val="113D288D"/>
    <w:rsid w:val="11421D1E"/>
    <w:rsid w:val="11421E5E"/>
    <w:rsid w:val="11427629"/>
    <w:rsid w:val="11447845"/>
    <w:rsid w:val="114A128D"/>
    <w:rsid w:val="114C494B"/>
    <w:rsid w:val="114C66F9"/>
    <w:rsid w:val="114E06C3"/>
    <w:rsid w:val="11513D10"/>
    <w:rsid w:val="115349B0"/>
    <w:rsid w:val="115A05BF"/>
    <w:rsid w:val="11627900"/>
    <w:rsid w:val="11647E15"/>
    <w:rsid w:val="11651BDC"/>
    <w:rsid w:val="11655D12"/>
    <w:rsid w:val="11665CA1"/>
    <w:rsid w:val="11683B30"/>
    <w:rsid w:val="116D0724"/>
    <w:rsid w:val="11712A15"/>
    <w:rsid w:val="11734152"/>
    <w:rsid w:val="11743805"/>
    <w:rsid w:val="11744968"/>
    <w:rsid w:val="11785236"/>
    <w:rsid w:val="117937AD"/>
    <w:rsid w:val="11800151"/>
    <w:rsid w:val="118151C6"/>
    <w:rsid w:val="11836198"/>
    <w:rsid w:val="1184614B"/>
    <w:rsid w:val="11852F84"/>
    <w:rsid w:val="118971D0"/>
    <w:rsid w:val="118E13DA"/>
    <w:rsid w:val="11902A8A"/>
    <w:rsid w:val="11930964"/>
    <w:rsid w:val="11953E67"/>
    <w:rsid w:val="11983F0E"/>
    <w:rsid w:val="11991213"/>
    <w:rsid w:val="119B16ED"/>
    <w:rsid w:val="11A025A1"/>
    <w:rsid w:val="11A249A7"/>
    <w:rsid w:val="11A42091"/>
    <w:rsid w:val="11A46535"/>
    <w:rsid w:val="11A51171"/>
    <w:rsid w:val="11A6405B"/>
    <w:rsid w:val="11A93139"/>
    <w:rsid w:val="11AB1672"/>
    <w:rsid w:val="11AE1162"/>
    <w:rsid w:val="11B031DE"/>
    <w:rsid w:val="11B52E1D"/>
    <w:rsid w:val="11B65419"/>
    <w:rsid w:val="11B84D73"/>
    <w:rsid w:val="11B85B3D"/>
    <w:rsid w:val="11BC62A5"/>
    <w:rsid w:val="11BE3980"/>
    <w:rsid w:val="11BE5610"/>
    <w:rsid w:val="11BF37BC"/>
    <w:rsid w:val="11C71CC7"/>
    <w:rsid w:val="11C73FD2"/>
    <w:rsid w:val="11CB1CF2"/>
    <w:rsid w:val="11CB257E"/>
    <w:rsid w:val="11CC0572"/>
    <w:rsid w:val="11D3293B"/>
    <w:rsid w:val="11D56E4F"/>
    <w:rsid w:val="11D70154"/>
    <w:rsid w:val="11D83B31"/>
    <w:rsid w:val="11D9483A"/>
    <w:rsid w:val="11D96B6A"/>
    <w:rsid w:val="11DA1F57"/>
    <w:rsid w:val="11E401CD"/>
    <w:rsid w:val="11E741A1"/>
    <w:rsid w:val="11E95829"/>
    <w:rsid w:val="11EB5F12"/>
    <w:rsid w:val="11ED1C8A"/>
    <w:rsid w:val="11F052D6"/>
    <w:rsid w:val="11F1049F"/>
    <w:rsid w:val="11F14A74"/>
    <w:rsid w:val="11F203C2"/>
    <w:rsid w:val="11F35E75"/>
    <w:rsid w:val="11F50B3F"/>
    <w:rsid w:val="11F70F68"/>
    <w:rsid w:val="11FB4122"/>
    <w:rsid w:val="11FC5875"/>
    <w:rsid w:val="11FD1613"/>
    <w:rsid w:val="120142CA"/>
    <w:rsid w:val="12015736"/>
    <w:rsid w:val="120622C2"/>
    <w:rsid w:val="120963A4"/>
    <w:rsid w:val="120A0293"/>
    <w:rsid w:val="120B0362"/>
    <w:rsid w:val="120E18AC"/>
    <w:rsid w:val="12144CC9"/>
    <w:rsid w:val="1216778C"/>
    <w:rsid w:val="121D0BF1"/>
    <w:rsid w:val="121F3E0E"/>
    <w:rsid w:val="12217B86"/>
    <w:rsid w:val="1222745A"/>
    <w:rsid w:val="12255C44"/>
    <w:rsid w:val="122B4561"/>
    <w:rsid w:val="122C179F"/>
    <w:rsid w:val="122E4051"/>
    <w:rsid w:val="12317569"/>
    <w:rsid w:val="123314AD"/>
    <w:rsid w:val="12343F4F"/>
    <w:rsid w:val="12353631"/>
    <w:rsid w:val="12354366"/>
    <w:rsid w:val="123A29F6"/>
    <w:rsid w:val="123D49DF"/>
    <w:rsid w:val="123F1DBA"/>
    <w:rsid w:val="123F3D41"/>
    <w:rsid w:val="12411DD6"/>
    <w:rsid w:val="12463148"/>
    <w:rsid w:val="124675EC"/>
    <w:rsid w:val="1247170C"/>
    <w:rsid w:val="1249138C"/>
    <w:rsid w:val="124E5235"/>
    <w:rsid w:val="124F5746"/>
    <w:rsid w:val="125067AE"/>
    <w:rsid w:val="12521AED"/>
    <w:rsid w:val="12525F91"/>
    <w:rsid w:val="12561BF0"/>
    <w:rsid w:val="12563740"/>
    <w:rsid w:val="125A3098"/>
    <w:rsid w:val="125A6BF4"/>
    <w:rsid w:val="125D07AF"/>
    <w:rsid w:val="125F18F7"/>
    <w:rsid w:val="125F732C"/>
    <w:rsid w:val="12623816"/>
    <w:rsid w:val="126805E3"/>
    <w:rsid w:val="126A5144"/>
    <w:rsid w:val="126C2DD7"/>
    <w:rsid w:val="126D3C74"/>
    <w:rsid w:val="127777A6"/>
    <w:rsid w:val="127E53C9"/>
    <w:rsid w:val="1283118B"/>
    <w:rsid w:val="128802B2"/>
    <w:rsid w:val="12887BCB"/>
    <w:rsid w:val="12896E2E"/>
    <w:rsid w:val="1289790B"/>
    <w:rsid w:val="128A63ED"/>
    <w:rsid w:val="128E6B56"/>
    <w:rsid w:val="1292521C"/>
    <w:rsid w:val="12945F88"/>
    <w:rsid w:val="12966FEF"/>
    <w:rsid w:val="12972F1F"/>
    <w:rsid w:val="129A57C7"/>
    <w:rsid w:val="129E4708"/>
    <w:rsid w:val="129F0AAB"/>
    <w:rsid w:val="12A63CA4"/>
    <w:rsid w:val="12A63F9E"/>
    <w:rsid w:val="12A64309"/>
    <w:rsid w:val="12A72E93"/>
    <w:rsid w:val="12A84C29"/>
    <w:rsid w:val="12AD10B0"/>
    <w:rsid w:val="12B10F0A"/>
    <w:rsid w:val="12B72FCD"/>
    <w:rsid w:val="12BC6158"/>
    <w:rsid w:val="12C217E4"/>
    <w:rsid w:val="12C329EB"/>
    <w:rsid w:val="12C66037"/>
    <w:rsid w:val="12C86F91"/>
    <w:rsid w:val="12CE4E68"/>
    <w:rsid w:val="12D30A20"/>
    <w:rsid w:val="12E06408"/>
    <w:rsid w:val="12E1456F"/>
    <w:rsid w:val="12E148DA"/>
    <w:rsid w:val="12E260D8"/>
    <w:rsid w:val="12E27315"/>
    <w:rsid w:val="12E86A0C"/>
    <w:rsid w:val="12F157AA"/>
    <w:rsid w:val="12F2507E"/>
    <w:rsid w:val="12F4307A"/>
    <w:rsid w:val="12F64B6E"/>
    <w:rsid w:val="12F77E1B"/>
    <w:rsid w:val="12F8205D"/>
    <w:rsid w:val="12F86B39"/>
    <w:rsid w:val="12FB2185"/>
    <w:rsid w:val="12FC6E20"/>
    <w:rsid w:val="12FD22D6"/>
    <w:rsid w:val="13000FEA"/>
    <w:rsid w:val="13010F42"/>
    <w:rsid w:val="130C3EBB"/>
    <w:rsid w:val="130D1D7A"/>
    <w:rsid w:val="130F0CEA"/>
    <w:rsid w:val="130F5C30"/>
    <w:rsid w:val="13141D5A"/>
    <w:rsid w:val="13197B1C"/>
    <w:rsid w:val="131A3C63"/>
    <w:rsid w:val="13216E71"/>
    <w:rsid w:val="13221A98"/>
    <w:rsid w:val="132632F9"/>
    <w:rsid w:val="13286CF2"/>
    <w:rsid w:val="1329181A"/>
    <w:rsid w:val="1330168A"/>
    <w:rsid w:val="1331204B"/>
    <w:rsid w:val="13313261"/>
    <w:rsid w:val="13350F22"/>
    <w:rsid w:val="13360F67"/>
    <w:rsid w:val="133645B5"/>
    <w:rsid w:val="133832E8"/>
    <w:rsid w:val="133B07D3"/>
    <w:rsid w:val="133B693D"/>
    <w:rsid w:val="133E6515"/>
    <w:rsid w:val="13446422"/>
    <w:rsid w:val="13456171"/>
    <w:rsid w:val="13465DAC"/>
    <w:rsid w:val="134A4EBA"/>
    <w:rsid w:val="134B13CE"/>
    <w:rsid w:val="134E0C3A"/>
    <w:rsid w:val="134E49AB"/>
    <w:rsid w:val="134E6A3B"/>
    <w:rsid w:val="13515442"/>
    <w:rsid w:val="13527640"/>
    <w:rsid w:val="1353104E"/>
    <w:rsid w:val="13533D6F"/>
    <w:rsid w:val="135618C9"/>
    <w:rsid w:val="135809E0"/>
    <w:rsid w:val="13587176"/>
    <w:rsid w:val="1358736F"/>
    <w:rsid w:val="135B7FE0"/>
    <w:rsid w:val="135F0ED4"/>
    <w:rsid w:val="135F50D6"/>
    <w:rsid w:val="13622204"/>
    <w:rsid w:val="136316FA"/>
    <w:rsid w:val="13637D2A"/>
    <w:rsid w:val="13641842"/>
    <w:rsid w:val="13641967"/>
    <w:rsid w:val="13655850"/>
    <w:rsid w:val="13661B1F"/>
    <w:rsid w:val="136715C8"/>
    <w:rsid w:val="13676411"/>
    <w:rsid w:val="136B6FEA"/>
    <w:rsid w:val="136E2957"/>
    <w:rsid w:val="136F66CF"/>
    <w:rsid w:val="13702B73"/>
    <w:rsid w:val="13707A8F"/>
    <w:rsid w:val="13715932"/>
    <w:rsid w:val="1373302C"/>
    <w:rsid w:val="137454F5"/>
    <w:rsid w:val="13755ED0"/>
    <w:rsid w:val="1377657B"/>
    <w:rsid w:val="13791560"/>
    <w:rsid w:val="138008DC"/>
    <w:rsid w:val="13815D2A"/>
    <w:rsid w:val="13817C8D"/>
    <w:rsid w:val="138A3509"/>
    <w:rsid w:val="138A5A29"/>
    <w:rsid w:val="138A5FE6"/>
    <w:rsid w:val="138F10FE"/>
    <w:rsid w:val="138F2580"/>
    <w:rsid w:val="139127F7"/>
    <w:rsid w:val="139169C3"/>
    <w:rsid w:val="13951726"/>
    <w:rsid w:val="139D188B"/>
    <w:rsid w:val="139E67AB"/>
    <w:rsid w:val="13A43F2F"/>
    <w:rsid w:val="13A9004F"/>
    <w:rsid w:val="13AB6944"/>
    <w:rsid w:val="13AC5677"/>
    <w:rsid w:val="13AE5449"/>
    <w:rsid w:val="13B011C1"/>
    <w:rsid w:val="13B127AE"/>
    <w:rsid w:val="13B50FA2"/>
    <w:rsid w:val="13B54A2A"/>
    <w:rsid w:val="13B769DD"/>
    <w:rsid w:val="13B90CB9"/>
    <w:rsid w:val="13BB14CF"/>
    <w:rsid w:val="13BB79E5"/>
    <w:rsid w:val="13BF22AD"/>
    <w:rsid w:val="13BF7656"/>
    <w:rsid w:val="13C35E80"/>
    <w:rsid w:val="13C407C9"/>
    <w:rsid w:val="13C57CD5"/>
    <w:rsid w:val="13C833DE"/>
    <w:rsid w:val="13C92283"/>
    <w:rsid w:val="13C95DDF"/>
    <w:rsid w:val="13D053C0"/>
    <w:rsid w:val="13D12EE6"/>
    <w:rsid w:val="13D1738A"/>
    <w:rsid w:val="13DA1398"/>
    <w:rsid w:val="13DE01AE"/>
    <w:rsid w:val="13E40912"/>
    <w:rsid w:val="13E46BAF"/>
    <w:rsid w:val="13E73EF9"/>
    <w:rsid w:val="13EB607D"/>
    <w:rsid w:val="13F06245"/>
    <w:rsid w:val="13F13CC6"/>
    <w:rsid w:val="13F60424"/>
    <w:rsid w:val="13F866C4"/>
    <w:rsid w:val="13FB7F63"/>
    <w:rsid w:val="13FD3CDB"/>
    <w:rsid w:val="13FE2B7B"/>
    <w:rsid w:val="1404150D"/>
    <w:rsid w:val="140A6DEE"/>
    <w:rsid w:val="140D6614"/>
    <w:rsid w:val="140E5EE8"/>
    <w:rsid w:val="141258FF"/>
    <w:rsid w:val="14162DD5"/>
    <w:rsid w:val="14173200"/>
    <w:rsid w:val="14186D67"/>
    <w:rsid w:val="141A2ADF"/>
    <w:rsid w:val="141B6690"/>
    <w:rsid w:val="141C258C"/>
    <w:rsid w:val="14225262"/>
    <w:rsid w:val="14231F17"/>
    <w:rsid w:val="142812C3"/>
    <w:rsid w:val="14283E94"/>
    <w:rsid w:val="14290F74"/>
    <w:rsid w:val="142C636E"/>
    <w:rsid w:val="142E3D3C"/>
    <w:rsid w:val="14301957"/>
    <w:rsid w:val="143037AB"/>
    <w:rsid w:val="1432672C"/>
    <w:rsid w:val="1437543F"/>
    <w:rsid w:val="14396509"/>
    <w:rsid w:val="143C2A65"/>
    <w:rsid w:val="143C4803"/>
    <w:rsid w:val="143D55B7"/>
    <w:rsid w:val="143E3F7E"/>
    <w:rsid w:val="144116FF"/>
    <w:rsid w:val="14465682"/>
    <w:rsid w:val="144846D5"/>
    <w:rsid w:val="144A2F48"/>
    <w:rsid w:val="144B3AE7"/>
    <w:rsid w:val="144B6480"/>
    <w:rsid w:val="144D6A10"/>
    <w:rsid w:val="145219D7"/>
    <w:rsid w:val="14537D9F"/>
    <w:rsid w:val="14592C48"/>
    <w:rsid w:val="145F20C7"/>
    <w:rsid w:val="14603804"/>
    <w:rsid w:val="14607359"/>
    <w:rsid w:val="146A2B1E"/>
    <w:rsid w:val="146D4ED5"/>
    <w:rsid w:val="14702016"/>
    <w:rsid w:val="1470712F"/>
    <w:rsid w:val="14726477"/>
    <w:rsid w:val="14733F9D"/>
    <w:rsid w:val="1476752B"/>
    <w:rsid w:val="14786D6E"/>
    <w:rsid w:val="147C5E29"/>
    <w:rsid w:val="148166BA"/>
    <w:rsid w:val="148D45F4"/>
    <w:rsid w:val="148D73C8"/>
    <w:rsid w:val="149743A5"/>
    <w:rsid w:val="14975EDD"/>
    <w:rsid w:val="14977CD7"/>
    <w:rsid w:val="14982FB4"/>
    <w:rsid w:val="14990155"/>
    <w:rsid w:val="149947E3"/>
    <w:rsid w:val="14997EA7"/>
    <w:rsid w:val="149E4997"/>
    <w:rsid w:val="14AA5F0C"/>
    <w:rsid w:val="14AF4635"/>
    <w:rsid w:val="14B00C14"/>
    <w:rsid w:val="14B62AB7"/>
    <w:rsid w:val="14B720DC"/>
    <w:rsid w:val="14C56B1C"/>
    <w:rsid w:val="14C72E68"/>
    <w:rsid w:val="14C8078D"/>
    <w:rsid w:val="14CB3DD9"/>
    <w:rsid w:val="14CB5DD0"/>
    <w:rsid w:val="14CD3D4D"/>
    <w:rsid w:val="14CF4074"/>
    <w:rsid w:val="14CF4595"/>
    <w:rsid w:val="14CF6317"/>
    <w:rsid w:val="14D47131"/>
    <w:rsid w:val="14D7452C"/>
    <w:rsid w:val="14DA401C"/>
    <w:rsid w:val="14DD2C3C"/>
    <w:rsid w:val="14DF6889"/>
    <w:rsid w:val="14E7655D"/>
    <w:rsid w:val="14EF5D19"/>
    <w:rsid w:val="14F10A6A"/>
    <w:rsid w:val="14F4310F"/>
    <w:rsid w:val="14F55AF2"/>
    <w:rsid w:val="14F90946"/>
    <w:rsid w:val="14F93B6A"/>
    <w:rsid w:val="14FA769C"/>
    <w:rsid w:val="14FB4561"/>
    <w:rsid w:val="15032E84"/>
    <w:rsid w:val="15034E08"/>
    <w:rsid w:val="150866D4"/>
    <w:rsid w:val="150C0679"/>
    <w:rsid w:val="150C1E94"/>
    <w:rsid w:val="150D43F1"/>
    <w:rsid w:val="150D7916"/>
    <w:rsid w:val="151267AE"/>
    <w:rsid w:val="1513734D"/>
    <w:rsid w:val="151632A6"/>
    <w:rsid w:val="15166027"/>
    <w:rsid w:val="15175270"/>
    <w:rsid w:val="151F4766"/>
    <w:rsid w:val="15213BB3"/>
    <w:rsid w:val="15270BBD"/>
    <w:rsid w:val="15296EA6"/>
    <w:rsid w:val="152D6842"/>
    <w:rsid w:val="1530464E"/>
    <w:rsid w:val="15304CA1"/>
    <w:rsid w:val="153542FD"/>
    <w:rsid w:val="1536302F"/>
    <w:rsid w:val="15363706"/>
    <w:rsid w:val="153A336F"/>
    <w:rsid w:val="153B29E4"/>
    <w:rsid w:val="153B2D0D"/>
    <w:rsid w:val="153F7762"/>
    <w:rsid w:val="154058E7"/>
    <w:rsid w:val="154276D1"/>
    <w:rsid w:val="15431BC1"/>
    <w:rsid w:val="154537CD"/>
    <w:rsid w:val="154767F6"/>
    <w:rsid w:val="15477903"/>
    <w:rsid w:val="1548367B"/>
    <w:rsid w:val="15485429"/>
    <w:rsid w:val="15520056"/>
    <w:rsid w:val="15537FE9"/>
    <w:rsid w:val="15543DCE"/>
    <w:rsid w:val="155618F4"/>
    <w:rsid w:val="15567E5A"/>
    <w:rsid w:val="155838BF"/>
    <w:rsid w:val="15597D95"/>
    <w:rsid w:val="155D099A"/>
    <w:rsid w:val="155E0B40"/>
    <w:rsid w:val="155E4C4D"/>
    <w:rsid w:val="15610299"/>
    <w:rsid w:val="15624E21"/>
    <w:rsid w:val="156328A3"/>
    <w:rsid w:val="15671D54"/>
    <w:rsid w:val="1568787A"/>
    <w:rsid w:val="1569643B"/>
    <w:rsid w:val="156A1844"/>
    <w:rsid w:val="156B7CAF"/>
    <w:rsid w:val="1572255E"/>
    <w:rsid w:val="15725320"/>
    <w:rsid w:val="15757437"/>
    <w:rsid w:val="15791A87"/>
    <w:rsid w:val="157A42E6"/>
    <w:rsid w:val="157F21D3"/>
    <w:rsid w:val="157F6950"/>
    <w:rsid w:val="1584665B"/>
    <w:rsid w:val="15867AAA"/>
    <w:rsid w:val="1589441B"/>
    <w:rsid w:val="158E49EC"/>
    <w:rsid w:val="159272E1"/>
    <w:rsid w:val="159643E7"/>
    <w:rsid w:val="159A5332"/>
    <w:rsid w:val="15A06322"/>
    <w:rsid w:val="15A36F16"/>
    <w:rsid w:val="15A4110E"/>
    <w:rsid w:val="15A563D8"/>
    <w:rsid w:val="15A9411A"/>
    <w:rsid w:val="15AA1C40"/>
    <w:rsid w:val="15AA6950"/>
    <w:rsid w:val="15AB4BE4"/>
    <w:rsid w:val="15AB6F48"/>
    <w:rsid w:val="15AE34DE"/>
    <w:rsid w:val="15B23B51"/>
    <w:rsid w:val="15B624A2"/>
    <w:rsid w:val="15B75D58"/>
    <w:rsid w:val="15B900D5"/>
    <w:rsid w:val="15B90272"/>
    <w:rsid w:val="15BB487B"/>
    <w:rsid w:val="15BE4B4E"/>
    <w:rsid w:val="15C34AB0"/>
    <w:rsid w:val="15C40F54"/>
    <w:rsid w:val="15CC605B"/>
    <w:rsid w:val="15D05B4B"/>
    <w:rsid w:val="15D114D0"/>
    <w:rsid w:val="15D93B67"/>
    <w:rsid w:val="15E11B06"/>
    <w:rsid w:val="15E223B1"/>
    <w:rsid w:val="15E3035A"/>
    <w:rsid w:val="15E82AFC"/>
    <w:rsid w:val="15EA0BE7"/>
    <w:rsid w:val="15EB7304"/>
    <w:rsid w:val="15F07F9B"/>
    <w:rsid w:val="15F1161D"/>
    <w:rsid w:val="15F230E6"/>
    <w:rsid w:val="15F51685"/>
    <w:rsid w:val="15F82F0A"/>
    <w:rsid w:val="15F93AD9"/>
    <w:rsid w:val="15F97EB4"/>
    <w:rsid w:val="15FC5020"/>
    <w:rsid w:val="16024CD6"/>
    <w:rsid w:val="160354C3"/>
    <w:rsid w:val="16041350"/>
    <w:rsid w:val="16087E1D"/>
    <w:rsid w:val="160A765B"/>
    <w:rsid w:val="16124C15"/>
    <w:rsid w:val="16175A77"/>
    <w:rsid w:val="16184DFC"/>
    <w:rsid w:val="16197E6B"/>
    <w:rsid w:val="161C28E0"/>
    <w:rsid w:val="161F618A"/>
    <w:rsid w:val="162064D9"/>
    <w:rsid w:val="162157D8"/>
    <w:rsid w:val="162177F5"/>
    <w:rsid w:val="162239A3"/>
    <w:rsid w:val="162639BD"/>
    <w:rsid w:val="1626576B"/>
    <w:rsid w:val="16290DB7"/>
    <w:rsid w:val="162B4ED3"/>
    <w:rsid w:val="162C3563"/>
    <w:rsid w:val="1632283F"/>
    <w:rsid w:val="163548CE"/>
    <w:rsid w:val="16397448"/>
    <w:rsid w:val="163C1560"/>
    <w:rsid w:val="163C6D3C"/>
    <w:rsid w:val="163D0D06"/>
    <w:rsid w:val="163E2AD9"/>
    <w:rsid w:val="16435340"/>
    <w:rsid w:val="16443E43"/>
    <w:rsid w:val="16465E0D"/>
    <w:rsid w:val="16481115"/>
    <w:rsid w:val="16490BF4"/>
    <w:rsid w:val="164A7406"/>
    <w:rsid w:val="164E4619"/>
    <w:rsid w:val="164F240A"/>
    <w:rsid w:val="165827DA"/>
    <w:rsid w:val="165B2F3A"/>
    <w:rsid w:val="165D541F"/>
    <w:rsid w:val="16650B2B"/>
    <w:rsid w:val="166511C4"/>
    <w:rsid w:val="1665785E"/>
    <w:rsid w:val="16681976"/>
    <w:rsid w:val="166D339A"/>
    <w:rsid w:val="166E657F"/>
    <w:rsid w:val="16722A60"/>
    <w:rsid w:val="16761AB0"/>
    <w:rsid w:val="16767100"/>
    <w:rsid w:val="16767A1C"/>
    <w:rsid w:val="167A1EDE"/>
    <w:rsid w:val="167B494E"/>
    <w:rsid w:val="167E55A7"/>
    <w:rsid w:val="167F30CD"/>
    <w:rsid w:val="16810BF3"/>
    <w:rsid w:val="16823089"/>
    <w:rsid w:val="16846E3B"/>
    <w:rsid w:val="168A58C0"/>
    <w:rsid w:val="168C441F"/>
    <w:rsid w:val="16901E4C"/>
    <w:rsid w:val="16921052"/>
    <w:rsid w:val="16924078"/>
    <w:rsid w:val="16951D1B"/>
    <w:rsid w:val="1696521E"/>
    <w:rsid w:val="169721C5"/>
    <w:rsid w:val="169961A3"/>
    <w:rsid w:val="169B669B"/>
    <w:rsid w:val="169D08E8"/>
    <w:rsid w:val="169F376F"/>
    <w:rsid w:val="16A064EA"/>
    <w:rsid w:val="16A071E2"/>
    <w:rsid w:val="16A1413C"/>
    <w:rsid w:val="16A20B69"/>
    <w:rsid w:val="16A9014A"/>
    <w:rsid w:val="16AE07B1"/>
    <w:rsid w:val="16B079F9"/>
    <w:rsid w:val="16B234A2"/>
    <w:rsid w:val="16B305C2"/>
    <w:rsid w:val="16BC1C2B"/>
    <w:rsid w:val="16BD3D30"/>
    <w:rsid w:val="16BD7EC5"/>
    <w:rsid w:val="16BF171B"/>
    <w:rsid w:val="16C1151A"/>
    <w:rsid w:val="16C15493"/>
    <w:rsid w:val="16C555A8"/>
    <w:rsid w:val="16C60CFC"/>
    <w:rsid w:val="16C65E99"/>
    <w:rsid w:val="16C90CFD"/>
    <w:rsid w:val="16C90EF1"/>
    <w:rsid w:val="16CA7F8A"/>
    <w:rsid w:val="16CD208A"/>
    <w:rsid w:val="16D0277A"/>
    <w:rsid w:val="16D4115B"/>
    <w:rsid w:val="16D51ECD"/>
    <w:rsid w:val="16D83C4D"/>
    <w:rsid w:val="16DB068B"/>
    <w:rsid w:val="16DB6033"/>
    <w:rsid w:val="16DD0041"/>
    <w:rsid w:val="16DD2110"/>
    <w:rsid w:val="16DF0D20"/>
    <w:rsid w:val="16DF4232"/>
    <w:rsid w:val="16E66CA8"/>
    <w:rsid w:val="16ED396B"/>
    <w:rsid w:val="16F2389F"/>
    <w:rsid w:val="16F65939"/>
    <w:rsid w:val="16F7466B"/>
    <w:rsid w:val="16F749D7"/>
    <w:rsid w:val="16F83FBE"/>
    <w:rsid w:val="16FC4669"/>
    <w:rsid w:val="16FF09D2"/>
    <w:rsid w:val="16FF34D6"/>
    <w:rsid w:val="17075B7B"/>
    <w:rsid w:val="170830C2"/>
    <w:rsid w:val="170C256E"/>
    <w:rsid w:val="170E6C90"/>
    <w:rsid w:val="170F5060"/>
    <w:rsid w:val="171001C9"/>
    <w:rsid w:val="17141A67"/>
    <w:rsid w:val="17170FF0"/>
    <w:rsid w:val="17181911"/>
    <w:rsid w:val="171A224F"/>
    <w:rsid w:val="171E4694"/>
    <w:rsid w:val="17224BAF"/>
    <w:rsid w:val="172320E3"/>
    <w:rsid w:val="17233577"/>
    <w:rsid w:val="17235FC3"/>
    <w:rsid w:val="17237EFC"/>
    <w:rsid w:val="17265553"/>
    <w:rsid w:val="1726591C"/>
    <w:rsid w:val="172766BA"/>
    <w:rsid w:val="17291027"/>
    <w:rsid w:val="172A128B"/>
    <w:rsid w:val="172D2940"/>
    <w:rsid w:val="172F2754"/>
    <w:rsid w:val="17325833"/>
    <w:rsid w:val="17330822"/>
    <w:rsid w:val="17334C3C"/>
    <w:rsid w:val="1741130A"/>
    <w:rsid w:val="17442587"/>
    <w:rsid w:val="174628EA"/>
    <w:rsid w:val="17486C88"/>
    <w:rsid w:val="174E114A"/>
    <w:rsid w:val="175207E1"/>
    <w:rsid w:val="17555BDC"/>
    <w:rsid w:val="17593315"/>
    <w:rsid w:val="175A163A"/>
    <w:rsid w:val="175D4E15"/>
    <w:rsid w:val="175D5FCB"/>
    <w:rsid w:val="175F7544"/>
    <w:rsid w:val="17683267"/>
    <w:rsid w:val="176D4231"/>
    <w:rsid w:val="17701D14"/>
    <w:rsid w:val="17735226"/>
    <w:rsid w:val="1774709D"/>
    <w:rsid w:val="1776002C"/>
    <w:rsid w:val="1776627E"/>
    <w:rsid w:val="177922F0"/>
    <w:rsid w:val="177C13BA"/>
    <w:rsid w:val="177E3384"/>
    <w:rsid w:val="1782598D"/>
    <w:rsid w:val="17826121"/>
    <w:rsid w:val="17841624"/>
    <w:rsid w:val="1784481C"/>
    <w:rsid w:val="178624E4"/>
    <w:rsid w:val="17893494"/>
    <w:rsid w:val="178D18AD"/>
    <w:rsid w:val="179258AA"/>
    <w:rsid w:val="179670F4"/>
    <w:rsid w:val="179802C4"/>
    <w:rsid w:val="17985750"/>
    <w:rsid w:val="17992095"/>
    <w:rsid w:val="17994D0F"/>
    <w:rsid w:val="179D474C"/>
    <w:rsid w:val="17A13152"/>
    <w:rsid w:val="17AD0FA2"/>
    <w:rsid w:val="17B10BE3"/>
    <w:rsid w:val="17B172B6"/>
    <w:rsid w:val="17B23653"/>
    <w:rsid w:val="17B46DA6"/>
    <w:rsid w:val="17BF3DB0"/>
    <w:rsid w:val="17C11489"/>
    <w:rsid w:val="17C23E72"/>
    <w:rsid w:val="17C27715"/>
    <w:rsid w:val="17C85590"/>
    <w:rsid w:val="17C963D5"/>
    <w:rsid w:val="17CA6368"/>
    <w:rsid w:val="17CB4775"/>
    <w:rsid w:val="17CC40F0"/>
    <w:rsid w:val="17CD529B"/>
    <w:rsid w:val="17CF38A5"/>
    <w:rsid w:val="17D54AC3"/>
    <w:rsid w:val="17D816EC"/>
    <w:rsid w:val="17D90767"/>
    <w:rsid w:val="17DD00AB"/>
    <w:rsid w:val="17DF482A"/>
    <w:rsid w:val="17E01B36"/>
    <w:rsid w:val="17E10A1E"/>
    <w:rsid w:val="17E111F6"/>
    <w:rsid w:val="17E53404"/>
    <w:rsid w:val="17E843B4"/>
    <w:rsid w:val="17E93546"/>
    <w:rsid w:val="17EA484B"/>
    <w:rsid w:val="17F06755"/>
    <w:rsid w:val="17F35B20"/>
    <w:rsid w:val="17F51899"/>
    <w:rsid w:val="17FB2C97"/>
    <w:rsid w:val="17FC3533"/>
    <w:rsid w:val="18005D4F"/>
    <w:rsid w:val="18024D0B"/>
    <w:rsid w:val="180732A3"/>
    <w:rsid w:val="18092BFC"/>
    <w:rsid w:val="180B0D0A"/>
    <w:rsid w:val="180C6E5D"/>
    <w:rsid w:val="180E12B8"/>
    <w:rsid w:val="18127F8E"/>
    <w:rsid w:val="181B0A50"/>
    <w:rsid w:val="181C6A73"/>
    <w:rsid w:val="18235CAA"/>
    <w:rsid w:val="18237B6D"/>
    <w:rsid w:val="182A4058"/>
    <w:rsid w:val="182B7833"/>
    <w:rsid w:val="1833324E"/>
    <w:rsid w:val="1833416F"/>
    <w:rsid w:val="18370023"/>
    <w:rsid w:val="18374C5F"/>
    <w:rsid w:val="18387273"/>
    <w:rsid w:val="1839079F"/>
    <w:rsid w:val="184243B2"/>
    <w:rsid w:val="184665A9"/>
    <w:rsid w:val="184721C3"/>
    <w:rsid w:val="184B5B6A"/>
    <w:rsid w:val="184C0CDA"/>
    <w:rsid w:val="184C5231"/>
    <w:rsid w:val="184E28D4"/>
    <w:rsid w:val="185773FE"/>
    <w:rsid w:val="185A2304"/>
    <w:rsid w:val="185B7651"/>
    <w:rsid w:val="185C1918"/>
    <w:rsid w:val="185D11EC"/>
    <w:rsid w:val="18626802"/>
    <w:rsid w:val="18636BC3"/>
    <w:rsid w:val="18640C92"/>
    <w:rsid w:val="18673E19"/>
    <w:rsid w:val="18682D19"/>
    <w:rsid w:val="186B56B7"/>
    <w:rsid w:val="186C56F3"/>
    <w:rsid w:val="186C7681"/>
    <w:rsid w:val="187327BD"/>
    <w:rsid w:val="187A3B4C"/>
    <w:rsid w:val="187D53EA"/>
    <w:rsid w:val="188501DE"/>
    <w:rsid w:val="18882132"/>
    <w:rsid w:val="188D78D8"/>
    <w:rsid w:val="188E6B63"/>
    <w:rsid w:val="18904AED"/>
    <w:rsid w:val="189270E7"/>
    <w:rsid w:val="18942F6A"/>
    <w:rsid w:val="18975082"/>
    <w:rsid w:val="189936EA"/>
    <w:rsid w:val="189A735D"/>
    <w:rsid w:val="189C0CED"/>
    <w:rsid w:val="189E6E29"/>
    <w:rsid w:val="189F624C"/>
    <w:rsid w:val="18A12010"/>
    <w:rsid w:val="18A137CE"/>
    <w:rsid w:val="18A14B05"/>
    <w:rsid w:val="18A60C5A"/>
    <w:rsid w:val="18A64D74"/>
    <w:rsid w:val="18AD1450"/>
    <w:rsid w:val="18B4748A"/>
    <w:rsid w:val="18BB3F98"/>
    <w:rsid w:val="18BB53A4"/>
    <w:rsid w:val="18BC2775"/>
    <w:rsid w:val="18BF5A03"/>
    <w:rsid w:val="18C059D0"/>
    <w:rsid w:val="18C24ABD"/>
    <w:rsid w:val="18C33745"/>
    <w:rsid w:val="18C56F2E"/>
    <w:rsid w:val="18C57A32"/>
    <w:rsid w:val="18C809B6"/>
    <w:rsid w:val="18C94AD3"/>
    <w:rsid w:val="18CD0120"/>
    <w:rsid w:val="18CE58F5"/>
    <w:rsid w:val="18D23988"/>
    <w:rsid w:val="18D5309D"/>
    <w:rsid w:val="18D6258B"/>
    <w:rsid w:val="18D717DF"/>
    <w:rsid w:val="18D92F68"/>
    <w:rsid w:val="18D95B8F"/>
    <w:rsid w:val="18DA672E"/>
    <w:rsid w:val="18DC30F4"/>
    <w:rsid w:val="18DC7657"/>
    <w:rsid w:val="18E0295D"/>
    <w:rsid w:val="18E134FB"/>
    <w:rsid w:val="18E35613"/>
    <w:rsid w:val="18E5190D"/>
    <w:rsid w:val="18EA23E1"/>
    <w:rsid w:val="18EB4A4A"/>
    <w:rsid w:val="18EE4ED2"/>
    <w:rsid w:val="18F77513"/>
    <w:rsid w:val="18F83704"/>
    <w:rsid w:val="18FE1560"/>
    <w:rsid w:val="19033B41"/>
    <w:rsid w:val="190470B1"/>
    <w:rsid w:val="190A4CA3"/>
    <w:rsid w:val="19121DAF"/>
    <w:rsid w:val="1913123F"/>
    <w:rsid w:val="19172FD4"/>
    <w:rsid w:val="191D5EC2"/>
    <w:rsid w:val="19250647"/>
    <w:rsid w:val="192561AE"/>
    <w:rsid w:val="192667D1"/>
    <w:rsid w:val="19321F8E"/>
    <w:rsid w:val="19326F59"/>
    <w:rsid w:val="19330066"/>
    <w:rsid w:val="19340696"/>
    <w:rsid w:val="19357C9E"/>
    <w:rsid w:val="193832EC"/>
    <w:rsid w:val="19391F6F"/>
    <w:rsid w:val="193C213D"/>
    <w:rsid w:val="193C22F3"/>
    <w:rsid w:val="193D197C"/>
    <w:rsid w:val="193E0D50"/>
    <w:rsid w:val="1941466A"/>
    <w:rsid w:val="19445F08"/>
    <w:rsid w:val="194505FE"/>
    <w:rsid w:val="19467ED2"/>
    <w:rsid w:val="1948000B"/>
    <w:rsid w:val="194D2EA6"/>
    <w:rsid w:val="19550115"/>
    <w:rsid w:val="195511EC"/>
    <w:rsid w:val="195C1D5D"/>
    <w:rsid w:val="195E3EAE"/>
    <w:rsid w:val="195E6FCA"/>
    <w:rsid w:val="19612842"/>
    <w:rsid w:val="19625331"/>
    <w:rsid w:val="19647D8B"/>
    <w:rsid w:val="196A001E"/>
    <w:rsid w:val="196C72F0"/>
    <w:rsid w:val="1972340D"/>
    <w:rsid w:val="197539F0"/>
    <w:rsid w:val="197728C3"/>
    <w:rsid w:val="19773305"/>
    <w:rsid w:val="19791440"/>
    <w:rsid w:val="197C636F"/>
    <w:rsid w:val="197E7326"/>
    <w:rsid w:val="198033E4"/>
    <w:rsid w:val="198509FA"/>
    <w:rsid w:val="198742F4"/>
    <w:rsid w:val="198D3D53"/>
    <w:rsid w:val="19925906"/>
    <w:rsid w:val="19935C88"/>
    <w:rsid w:val="19946F79"/>
    <w:rsid w:val="19947512"/>
    <w:rsid w:val="199649B5"/>
    <w:rsid w:val="19991ECB"/>
    <w:rsid w:val="19996254"/>
    <w:rsid w:val="199B021E"/>
    <w:rsid w:val="199B6470"/>
    <w:rsid w:val="199E0BD7"/>
    <w:rsid w:val="19A2257B"/>
    <w:rsid w:val="19A31EA5"/>
    <w:rsid w:val="19A80F19"/>
    <w:rsid w:val="19AA3D70"/>
    <w:rsid w:val="19AA66B3"/>
    <w:rsid w:val="19AC22AE"/>
    <w:rsid w:val="19AC41D9"/>
    <w:rsid w:val="19AD1CFF"/>
    <w:rsid w:val="19AF5431"/>
    <w:rsid w:val="19B05279"/>
    <w:rsid w:val="19B82A0F"/>
    <w:rsid w:val="19BA5A77"/>
    <w:rsid w:val="19BC2548"/>
    <w:rsid w:val="19BC79A1"/>
    <w:rsid w:val="19C00F4E"/>
    <w:rsid w:val="19C076D7"/>
    <w:rsid w:val="19C15150"/>
    <w:rsid w:val="19CA610A"/>
    <w:rsid w:val="19CA6D19"/>
    <w:rsid w:val="19CB76F3"/>
    <w:rsid w:val="19CE05F3"/>
    <w:rsid w:val="19CF0004"/>
    <w:rsid w:val="19CF2D83"/>
    <w:rsid w:val="19D7052B"/>
    <w:rsid w:val="19D8128E"/>
    <w:rsid w:val="19DD4C7B"/>
    <w:rsid w:val="19DE22C0"/>
    <w:rsid w:val="19DF6872"/>
    <w:rsid w:val="19E2098A"/>
    <w:rsid w:val="19E219A9"/>
    <w:rsid w:val="19E31364"/>
    <w:rsid w:val="19E34F43"/>
    <w:rsid w:val="19E5593D"/>
    <w:rsid w:val="19E67CB1"/>
    <w:rsid w:val="19E73463"/>
    <w:rsid w:val="19EC0AFA"/>
    <w:rsid w:val="19EC4C52"/>
    <w:rsid w:val="19EC4DF5"/>
    <w:rsid w:val="19ED659F"/>
    <w:rsid w:val="19F34C20"/>
    <w:rsid w:val="19F34E52"/>
    <w:rsid w:val="19F45BB5"/>
    <w:rsid w:val="19F618F8"/>
    <w:rsid w:val="19F74544"/>
    <w:rsid w:val="19FA13E8"/>
    <w:rsid w:val="19FB3A0A"/>
    <w:rsid w:val="19FB6683"/>
    <w:rsid w:val="19FB70C4"/>
    <w:rsid w:val="19FC6162"/>
    <w:rsid w:val="1A045DC3"/>
    <w:rsid w:val="1A091586"/>
    <w:rsid w:val="1A0A70AB"/>
    <w:rsid w:val="1A0E0CCD"/>
    <w:rsid w:val="1A0E6ACF"/>
    <w:rsid w:val="1A1014FB"/>
    <w:rsid w:val="1A1143AD"/>
    <w:rsid w:val="1A147FD0"/>
    <w:rsid w:val="1A191039"/>
    <w:rsid w:val="1A1C66C0"/>
    <w:rsid w:val="1A1D50D7"/>
    <w:rsid w:val="1A1E542C"/>
    <w:rsid w:val="1A1E6D69"/>
    <w:rsid w:val="1A1F0E4F"/>
    <w:rsid w:val="1A1F5268"/>
    <w:rsid w:val="1A204BC7"/>
    <w:rsid w:val="1A225A66"/>
    <w:rsid w:val="1A230ABD"/>
    <w:rsid w:val="1A2566F4"/>
    <w:rsid w:val="1A2754C3"/>
    <w:rsid w:val="1A2C356C"/>
    <w:rsid w:val="1A2D5C81"/>
    <w:rsid w:val="1A391B12"/>
    <w:rsid w:val="1A39322B"/>
    <w:rsid w:val="1A3D3CA6"/>
    <w:rsid w:val="1A42393B"/>
    <w:rsid w:val="1A4268EB"/>
    <w:rsid w:val="1A4A30B1"/>
    <w:rsid w:val="1A4E2B62"/>
    <w:rsid w:val="1A5003B0"/>
    <w:rsid w:val="1A524D25"/>
    <w:rsid w:val="1A545713"/>
    <w:rsid w:val="1A58610F"/>
    <w:rsid w:val="1A5B5BFF"/>
    <w:rsid w:val="1A5C1707"/>
    <w:rsid w:val="1A5C2C00"/>
    <w:rsid w:val="1A5D6F2D"/>
    <w:rsid w:val="1A5F061A"/>
    <w:rsid w:val="1A642D06"/>
    <w:rsid w:val="1A663D17"/>
    <w:rsid w:val="1A693E78"/>
    <w:rsid w:val="1A6B4094"/>
    <w:rsid w:val="1A6C021E"/>
    <w:rsid w:val="1A6D6992"/>
    <w:rsid w:val="1A6E3163"/>
    <w:rsid w:val="1A6F62EC"/>
    <w:rsid w:val="1A711353"/>
    <w:rsid w:val="1A733596"/>
    <w:rsid w:val="1A736AA5"/>
    <w:rsid w:val="1A77122D"/>
    <w:rsid w:val="1A7840BB"/>
    <w:rsid w:val="1A7D269C"/>
    <w:rsid w:val="1A7E1DC3"/>
    <w:rsid w:val="1A7F47B4"/>
    <w:rsid w:val="1A7F7696"/>
    <w:rsid w:val="1A821DAF"/>
    <w:rsid w:val="1A825385"/>
    <w:rsid w:val="1A840CB2"/>
    <w:rsid w:val="1A861582"/>
    <w:rsid w:val="1A8707A2"/>
    <w:rsid w:val="1A873050"/>
    <w:rsid w:val="1A8A4238"/>
    <w:rsid w:val="1A8B2040"/>
    <w:rsid w:val="1A8B7005"/>
    <w:rsid w:val="1A8C7B66"/>
    <w:rsid w:val="1A8F780E"/>
    <w:rsid w:val="1A923DE7"/>
    <w:rsid w:val="1A971B74"/>
    <w:rsid w:val="1A975C0F"/>
    <w:rsid w:val="1A9A57CA"/>
    <w:rsid w:val="1A9C249F"/>
    <w:rsid w:val="1A9D656B"/>
    <w:rsid w:val="1AA03612"/>
    <w:rsid w:val="1AA27C58"/>
    <w:rsid w:val="1AA720D8"/>
    <w:rsid w:val="1AA749A0"/>
    <w:rsid w:val="1AA80E44"/>
    <w:rsid w:val="1AA84695"/>
    <w:rsid w:val="1AAA1F45"/>
    <w:rsid w:val="1AAD45DE"/>
    <w:rsid w:val="1AB570BD"/>
    <w:rsid w:val="1AB64BE3"/>
    <w:rsid w:val="1AB81E7E"/>
    <w:rsid w:val="1AB84A8D"/>
    <w:rsid w:val="1AB85319"/>
    <w:rsid w:val="1AB94722"/>
    <w:rsid w:val="1AC612CA"/>
    <w:rsid w:val="1AD10F75"/>
    <w:rsid w:val="1AD3412C"/>
    <w:rsid w:val="1AD77FD8"/>
    <w:rsid w:val="1AD87250"/>
    <w:rsid w:val="1ADC0AEE"/>
    <w:rsid w:val="1ADC289C"/>
    <w:rsid w:val="1AE01026"/>
    <w:rsid w:val="1AE027CB"/>
    <w:rsid w:val="1AE2232B"/>
    <w:rsid w:val="1AE70ACE"/>
    <w:rsid w:val="1AE9220B"/>
    <w:rsid w:val="1AED23B2"/>
    <w:rsid w:val="1AEF6C50"/>
    <w:rsid w:val="1AF4654F"/>
    <w:rsid w:val="1AF80A52"/>
    <w:rsid w:val="1AF866CC"/>
    <w:rsid w:val="1AFA46C7"/>
    <w:rsid w:val="1AFA5418"/>
    <w:rsid w:val="1AFD0C00"/>
    <w:rsid w:val="1AFF01D9"/>
    <w:rsid w:val="1AFF658A"/>
    <w:rsid w:val="1B0353F5"/>
    <w:rsid w:val="1B040045"/>
    <w:rsid w:val="1B046F80"/>
    <w:rsid w:val="1B081624"/>
    <w:rsid w:val="1B0859C3"/>
    <w:rsid w:val="1B093655"/>
    <w:rsid w:val="1B09565B"/>
    <w:rsid w:val="1B0C78EB"/>
    <w:rsid w:val="1B0F40F3"/>
    <w:rsid w:val="1B1262BE"/>
    <w:rsid w:val="1B1501FB"/>
    <w:rsid w:val="1B152FFB"/>
    <w:rsid w:val="1B163A7E"/>
    <w:rsid w:val="1B186F81"/>
    <w:rsid w:val="1B192484"/>
    <w:rsid w:val="1B193AF0"/>
    <w:rsid w:val="1B1B2104"/>
    <w:rsid w:val="1B1C713C"/>
    <w:rsid w:val="1B1C7466"/>
    <w:rsid w:val="1B1E0B43"/>
    <w:rsid w:val="1B206023"/>
    <w:rsid w:val="1B2453AC"/>
    <w:rsid w:val="1B267FBB"/>
    <w:rsid w:val="1B2B01A0"/>
    <w:rsid w:val="1B32131D"/>
    <w:rsid w:val="1B3267B5"/>
    <w:rsid w:val="1B3274A2"/>
    <w:rsid w:val="1B3426D8"/>
    <w:rsid w:val="1B3D71C1"/>
    <w:rsid w:val="1B3E3557"/>
    <w:rsid w:val="1B3F0E1C"/>
    <w:rsid w:val="1B3F12B6"/>
    <w:rsid w:val="1B40161D"/>
    <w:rsid w:val="1B441859"/>
    <w:rsid w:val="1B4668DD"/>
    <w:rsid w:val="1B487750"/>
    <w:rsid w:val="1B4E4C23"/>
    <w:rsid w:val="1B56062E"/>
    <w:rsid w:val="1B574618"/>
    <w:rsid w:val="1B595246"/>
    <w:rsid w:val="1B60171F"/>
    <w:rsid w:val="1B604DF7"/>
    <w:rsid w:val="1B652214"/>
    <w:rsid w:val="1B6606B1"/>
    <w:rsid w:val="1B6A25DA"/>
    <w:rsid w:val="1B702E93"/>
    <w:rsid w:val="1B714BDA"/>
    <w:rsid w:val="1B743FAF"/>
    <w:rsid w:val="1B760C8B"/>
    <w:rsid w:val="1B7900EB"/>
    <w:rsid w:val="1B7C407F"/>
    <w:rsid w:val="1B7C5E2D"/>
    <w:rsid w:val="1B7D1A47"/>
    <w:rsid w:val="1B80591D"/>
    <w:rsid w:val="1B8076CB"/>
    <w:rsid w:val="1B826631"/>
    <w:rsid w:val="1B850E7F"/>
    <w:rsid w:val="1B851185"/>
    <w:rsid w:val="1B8875AF"/>
    <w:rsid w:val="1B8A054A"/>
    <w:rsid w:val="1B8B42C2"/>
    <w:rsid w:val="1B8C30ED"/>
    <w:rsid w:val="1B903686"/>
    <w:rsid w:val="1B9133C8"/>
    <w:rsid w:val="1B9158F5"/>
    <w:rsid w:val="1B920372"/>
    <w:rsid w:val="1B944F25"/>
    <w:rsid w:val="1B9655FE"/>
    <w:rsid w:val="1B9E5DA3"/>
    <w:rsid w:val="1B9F4B59"/>
    <w:rsid w:val="1BAA6607"/>
    <w:rsid w:val="1BAC0B26"/>
    <w:rsid w:val="1BAD73E5"/>
    <w:rsid w:val="1BAF61FB"/>
    <w:rsid w:val="1BB04D0E"/>
    <w:rsid w:val="1BB10937"/>
    <w:rsid w:val="1BB747A9"/>
    <w:rsid w:val="1BBB45CD"/>
    <w:rsid w:val="1BBC5D0B"/>
    <w:rsid w:val="1BC02E54"/>
    <w:rsid w:val="1BC53330"/>
    <w:rsid w:val="1BC53E8D"/>
    <w:rsid w:val="1BC709D8"/>
    <w:rsid w:val="1BC738A2"/>
    <w:rsid w:val="1BC96DA5"/>
    <w:rsid w:val="1BCA2C1F"/>
    <w:rsid w:val="1BCA6A25"/>
    <w:rsid w:val="1BCF5827"/>
    <w:rsid w:val="1BCF6FEE"/>
    <w:rsid w:val="1BD2737E"/>
    <w:rsid w:val="1BD42BB8"/>
    <w:rsid w:val="1BD45161"/>
    <w:rsid w:val="1BD9519A"/>
    <w:rsid w:val="1BDE43F2"/>
    <w:rsid w:val="1BE0460E"/>
    <w:rsid w:val="1BE340FE"/>
    <w:rsid w:val="1BE53E44"/>
    <w:rsid w:val="1BE86F35"/>
    <w:rsid w:val="1BE872E2"/>
    <w:rsid w:val="1BEA0AC8"/>
    <w:rsid w:val="1BEF4851"/>
    <w:rsid w:val="1BF06C65"/>
    <w:rsid w:val="1BF27E9D"/>
    <w:rsid w:val="1BF63E31"/>
    <w:rsid w:val="1BF84B81"/>
    <w:rsid w:val="1BF92425"/>
    <w:rsid w:val="1BFA6E7C"/>
    <w:rsid w:val="1C024584"/>
    <w:rsid w:val="1C036557"/>
    <w:rsid w:val="1C071B0A"/>
    <w:rsid w:val="1C0721E0"/>
    <w:rsid w:val="1C08210D"/>
    <w:rsid w:val="1C0D2E3D"/>
    <w:rsid w:val="1C0F0A4F"/>
    <w:rsid w:val="1C112A19"/>
    <w:rsid w:val="1C1147C7"/>
    <w:rsid w:val="1C145C8B"/>
    <w:rsid w:val="1C1823A7"/>
    <w:rsid w:val="1C1B5646"/>
    <w:rsid w:val="1C200EAE"/>
    <w:rsid w:val="1C220468"/>
    <w:rsid w:val="1C220EAA"/>
    <w:rsid w:val="1C227ED2"/>
    <w:rsid w:val="1C243C3B"/>
    <w:rsid w:val="1C2B73EB"/>
    <w:rsid w:val="1C2D7127"/>
    <w:rsid w:val="1C302E5D"/>
    <w:rsid w:val="1C314E69"/>
    <w:rsid w:val="1C334F74"/>
    <w:rsid w:val="1C3869E8"/>
    <w:rsid w:val="1C387059"/>
    <w:rsid w:val="1C3B1844"/>
    <w:rsid w:val="1C3F55D8"/>
    <w:rsid w:val="1C3F5DAD"/>
    <w:rsid w:val="1C401970"/>
    <w:rsid w:val="1C403F9F"/>
    <w:rsid w:val="1C4131F2"/>
    <w:rsid w:val="1C4138C9"/>
    <w:rsid w:val="1C4D79A6"/>
    <w:rsid w:val="1C4E1577"/>
    <w:rsid w:val="1C501182"/>
    <w:rsid w:val="1C511D70"/>
    <w:rsid w:val="1C5805BC"/>
    <w:rsid w:val="1C5A1B35"/>
    <w:rsid w:val="1C5D3C4D"/>
    <w:rsid w:val="1C5E4627"/>
    <w:rsid w:val="1C5E7925"/>
    <w:rsid w:val="1C650A0C"/>
    <w:rsid w:val="1C676ADD"/>
    <w:rsid w:val="1C694603"/>
    <w:rsid w:val="1C6B487E"/>
    <w:rsid w:val="1C6C3216"/>
    <w:rsid w:val="1C774414"/>
    <w:rsid w:val="1C7958C4"/>
    <w:rsid w:val="1C7A05BE"/>
    <w:rsid w:val="1C8036FB"/>
    <w:rsid w:val="1C8166F6"/>
    <w:rsid w:val="1C837E33"/>
    <w:rsid w:val="1C840E30"/>
    <w:rsid w:val="1C890C15"/>
    <w:rsid w:val="1C8925AF"/>
    <w:rsid w:val="1C8E7BC6"/>
    <w:rsid w:val="1C911524"/>
    <w:rsid w:val="1C931680"/>
    <w:rsid w:val="1C93342E"/>
    <w:rsid w:val="1C93646E"/>
    <w:rsid w:val="1C9B0535"/>
    <w:rsid w:val="1C9B70FD"/>
    <w:rsid w:val="1C9F1DD3"/>
    <w:rsid w:val="1C9F40A4"/>
    <w:rsid w:val="1CA67B3D"/>
    <w:rsid w:val="1CA73B51"/>
    <w:rsid w:val="1CA82BA5"/>
    <w:rsid w:val="1CAB5AF6"/>
    <w:rsid w:val="1CB47CD2"/>
    <w:rsid w:val="1CBC688B"/>
    <w:rsid w:val="1CC17F9B"/>
    <w:rsid w:val="1CCE50AB"/>
    <w:rsid w:val="1CCF0851"/>
    <w:rsid w:val="1CD04C8C"/>
    <w:rsid w:val="1CD2390D"/>
    <w:rsid w:val="1CD557F5"/>
    <w:rsid w:val="1CD72B28"/>
    <w:rsid w:val="1CDB6B83"/>
    <w:rsid w:val="1CDC4DD5"/>
    <w:rsid w:val="1CDD28FB"/>
    <w:rsid w:val="1CE1063D"/>
    <w:rsid w:val="1CE13FEE"/>
    <w:rsid w:val="1CE17872"/>
    <w:rsid w:val="1CE819CC"/>
    <w:rsid w:val="1CED6FE2"/>
    <w:rsid w:val="1CEF7861"/>
    <w:rsid w:val="1CF001B8"/>
    <w:rsid w:val="1CF10D17"/>
    <w:rsid w:val="1CF41996"/>
    <w:rsid w:val="1CF56512"/>
    <w:rsid w:val="1CF57C45"/>
    <w:rsid w:val="1CFB3A88"/>
    <w:rsid w:val="1CFD070F"/>
    <w:rsid w:val="1CFD2F9D"/>
    <w:rsid w:val="1CFE2569"/>
    <w:rsid w:val="1CFE76DD"/>
    <w:rsid w:val="1D03542A"/>
    <w:rsid w:val="1D035432"/>
    <w:rsid w:val="1D1075D0"/>
    <w:rsid w:val="1D1439C8"/>
    <w:rsid w:val="1D17405F"/>
    <w:rsid w:val="1D216C8C"/>
    <w:rsid w:val="1D246914"/>
    <w:rsid w:val="1D28001A"/>
    <w:rsid w:val="1D282582"/>
    <w:rsid w:val="1D2E61D3"/>
    <w:rsid w:val="1D2F6BAE"/>
    <w:rsid w:val="1D3369BF"/>
    <w:rsid w:val="1D350989"/>
    <w:rsid w:val="1D352737"/>
    <w:rsid w:val="1D3B04DC"/>
    <w:rsid w:val="1D3B700C"/>
    <w:rsid w:val="1D4659E3"/>
    <w:rsid w:val="1D4B5C1C"/>
    <w:rsid w:val="1D4D4C12"/>
    <w:rsid w:val="1D4F125E"/>
    <w:rsid w:val="1D4F1A4B"/>
    <w:rsid w:val="1D5205C3"/>
    <w:rsid w:val="1D540E0F"/>
    <w:rsid w:val="1D5442F4"/>
    <w:rsid w:val="1D5721C3"/>
    <w:rsid w:val="1D5744D2"/>
    <w:rsid w:val="1D5829E8"/>
    <w:rsid w:val="1D5D680C"/>
    <w:rsid w:val="1D5F6196"/>
    <w:rsid w:val="1D6132A5"/>
    <w:rsid w:val="1D641DA6"/>
    <w:rsid w:val="1D646B79"/>
    <w:rsid w:val="1D6628F1"/>
    <w:rsid w:val="1D6C26E5"/>
    <w:rsid w:val="1D6C6151"/>
    <w:rsid w:val="1D6F2959"/>
    <w:rsid w:val="1D724C59"/>
    <w:rsid w:val="1D774AFE"/>
    <w:rsid w:val="1D785CCC"/>
    <w:rsid w:val="1D7F002D"/>
    <w:rsid w:val="1D807C8E"/>
    <w:rsid w:val="1D812873"/>
    <w:rsid w:val="1D8611E5"/>
    <w:rsid w:val="1D8B67FB"/>
    <w:rsid w:val="1D8E22EA"/>
    <w:rsid w:val="1D8E56D5"/>
    <w:rsid w:val="1D905BC0"/>
    <w:rsid w:val="1D916C98"/>
    <w:rsid w:val="1D9462F0"/>
    <w:rsid w:val="1D952165"/>
    <w:rsid w:val="1D9C08F7"/>
    <w:rsid w:val="1DA11B7B"/>
    <w:rsid w:val="1DA3074A"/>
    <w:rsid w:val="1DA43327"/>
    <w:rsid w:val="1DA81399"/>
    <w:rsid w:val="1DA9472F"/>
    <w:rsid w:val="1DAB6D83"/>
    <w:rsid w:val="1DB45D52"/>
    <w:rsid w:val="1DB83DBE"/>
    <w:rsid w:val="1DBC2A58"/>
    <w:rsid w:val="1DC00253"/>
    <w:rsid w:val="1DC01001"/>
    <w:rsid w:val="1DC37908"/>
    <w:rsid w:val="1DCA10D2"/>
    <w:rsid w:val="1DCF0496"/>
    <w:rsid w:val="1DCF5CBD"/>
    <w:rsid w:val="1DD12460"/>
    <w:rsid w:val="1DD22EE6"/>
    <w:rsid w:val="1DD24BFC"/>
    <w:rsid w:val="1DD26ABA"/>
    <w:rsid w:val="1DD26DCC"/>
    <w:rsid w:val="1DD65800"/>
    <w:rsid w:val="1DD66886"/>
    <w:rsid w:val="1DD75C8E"/>
    <w:rsid w:val="1DD84838"/>
    <w:rsid w:val="1DDB5C55"/>
    <w:rsid w:val="1DE101C9"/>
    <w:rsid w:val="1DE44B16"/>
    <w:rsid w:val="1DE657E0"/>
    <w:rsid w:val="1DE676BF"/>
    <w:rsid w:val="1DEC1F22"/>
    <w:rsid w:val="1DEF71C4"/>
    <w:rsid w:val="1DF423BD"/>
    <w:rsid w:val="1DFC3C33"/>
    <w:rsid w:val="1E027AA5"/>
    <w:rsid w:val="1E081BFA"/>
    <w:rsid w:val="1E0A7720"/>
    <w:rsid w:val="1E0C3ADC"/>
    <w:rsid w:val="1E104083"/>
    <w:rsid w:val="1E1265CA"/>
    <w:rsid w:val="1E1354B2"/>
    <w:rsid w:val="1E135B88"/>
    <w:rsid w:val="1E171FCF"/>
    <w:rsid w:val="1E1F199E"/>
    <w:rsid w:val="1E1F1D09"/>
    <w:rsid w:val="1E210712"/>
    <w:rsid w:val="1E2C7696"/>
    <w:rsid w:val="1E2D03C3"/>
    <w:rsid w:val="1E2D4011"/>
    <w:rsid w:val="1E2F2B43"/>
    <w:rsid w:val="1E325F1A"/>
    <w:rsid w:val="1E326C77"/>
    <w:rsid w:val="1E335185"/>
    <w:rsid w:val="1E3429EF"/>
    <w:rsid w:val="1E380731"/>
    <w:rsid w:val="1E3824DF"/>
    <w:rsid w:val="1E3B3D7D"/>
    <w:rsid w:val="1E3C6958"/>
    <w:rsid w:val="1E4476CD"/>
    <w:rsid w:val="1E453A24"/>
    <w:rsid w:val="1E4744D0"/>
    <w:rsid w:val="1E4D6F06"/>
    <w:rsid w:val="1E512F4B"/>
    <w:rsid w:val="1E52504F"/>
    <w:rsid w:val="1E555448"/>
    <w:rsid w:val="1E574E55"/>
    <w:rsid w:val="1E5F0FCE"/>
    <w:rsid w:val="1E5F672D"/>
    <w:rsid w:val="1E634AEC"/>
    <w:rsid w:val="1E684FD8"/>
    <w:rsid w:val="1E6C0B3B"/>
    <w:rsid w:val="1E6C55D3"/>
    <w:rsid w:val="1E6F48AD"/>
    <w:rsid w:val="1E702BF6"/>
    <w:rsid w:val="1E7456E8"/>
    <w:rsid w:val="1E74728F"/>
    <w:rsid w:val="1E7603AC"/>
    <w:rsid w:val="1E763007"/>
    <w:rsid w:val="1E78617C"/>
    <w:rsid w:val="1E7958F0"/>
    <w:rsid w:val="1E7A43DA"/>
    <w:rsid w:val="1E7A5A18"/>
    <w:rsid w:val="1E7C7613"/>
    <w:rsid w:val="1E7F6837"/>
    <w:rsid w:val="1E81151C"/>
    <w:rsid w:val="1E870D71"/>
    <w:rsid w:val="1E8930A5"/>
    <w:rsid w:val="1E8B6273"/>
    <w:rsid w:val="1E8F1F0D"/>
    <w:rsid w:val="1E931436"/>
    <w:rsid w:val="1E94569F"/>
    <w:rsid w:val="1E9626F5"/>
    <w:rsid w:val="1E9A1A93"/>
    <w:rsid w:val="1E9C42C4"/>
    <w:rsid w:val="1E9F430C"/>
    <w:rsid w:val="1EA00084"/>
    <w:rsid w:val="1EA336D1"/>
    <w:rsid w:val="1EA85B59"/>
    <w:rsid w:val="1EAB06F5"/>
    <w:rsid w:val="1EAE0C12"/>
    <w:rsid w:val="1EB067E8"/>
    <w:rsid w:val="1EB17A38"/>
    <w:rsid w:val="1EB202A6"/>
    <w:rsid w:val="1EB451EE"/>
    <w:rsid w:val="1EBA1A0A"/>
    <w:rsid w:val="1ECD600D"/>
    <w:rsid w:val="1ECF481F"/>
    <w:rsid w:val="1ED03707"/>
    <w:rsid w:val="1ED16490"/>
    <w:rsid w:val="1ED43525"/>
    <w:rsid w:val="1ED57D2E"/>
    <w:rsid w:val="1ED76F10"/>
    <w:rsid w:val="1EDE6099"/>
    <w:rsid w:val="1EDF44F4"/>
    <w:rsid w:val="1EE07F56"/>
    <w:rsid w:val="1EED0356"/>
    <w:rsid w:val="1EF0755B"/>
    <w:rsid w:val="1EF42755"/>
    <w:rsid w:val="1EF6578A"/>
    <w:rsid w:val="1EF65EF6"/>
    <w:rsid w:val="1EF924FD"/>
    <w:rsid w:val="1EFB64B7"/>
    <w:rsid w:val="1EFF124F"/>
    <w:rsid w:val="1EFF4DAB"/>
    <w:rsid w:val="1F0152EE"/>
    <w:rsid w:val="1F031CF9"/>
    <w:rsid w:val="1F036CB4"/>
    <w:rsid w:val="1F0468C0"/>
    <w:rsid w:val="1F05089E"/>
    <w:rsid w:val="1F051B18"/>
    <w:rsid w:val="1F071C53"/>
    <w:rsid w:val="1F080890"/>
    <w:rsid w:val="1F0A515A"/>
    <w:rsid w:val="1F0A5310"/>
    <w:rsid w:val="1F0C4976"/>
    <w:rsid w:val="1F0C54A8"/>
    <w:rsid w:val="1F1101CF"/>
    <w:rsid w:val="1F120F82"/>
    <w:rsid w:val="1F15650D"/>
    <w:rsid w:val="1F1958B8"/>
    <w:rsid w:val="1F1A7859"/>
    <w:rsid w:val="1F1D16D5"/>
    <w:rsid w:val="1F1F3A88"/>
    <w:rsid w:val="1F220A99"/>
    <w:rsid w:val="1F281DCF"/>
    <w:rsid w:val="1F282554"/>
    <w:rsid w:val="1F2962CC"/>
    <w:rsid w:val="1F2B48C1"/>
    <w:rsid w:val="1F2B4E33"/>
    <w:rsid w:val="1F2C6132"/>
    <w:rsid w:val="1F2F7DF9"/>
    <w:rsid w:val="1F363EB0"/>
    <w:rsid w:val="1F374D1F"/>
    <w:rsid w:val="1F3832F9"/>
    <w:rsid w:val="1F3938F0"/>
    <w:rsid w:val="1F3A5DE3"/>
    <w:rsid w:val="1F3D3E4E"/>
    <w:rsid w:val="1F3F6707"/>
    <w:rsid w:val="1F443106"/>
    <w:rsid w:val="1F444EB4"/>
    <w:rsid w:val="1F4629DA"/>
    <w:rsid w:val="1F470EBC"/>
    <w:rsid w:val="1F4E188E"/>
    <w:rsid w:val="1F4F1A7A"/>
    <w:rsid w:val="1F505606"/>
    <w:rsid w:val="1F512B1C"/>
    <w:rsid w:val="1F520CB4"/>
    <w:rsid w:val="1F552C1D"/>
    <w:rsid w:val="1F575082"/>
    <w:rsid w:val="1F584EA0"/>
    <w:rsid w:val="1F59624F"/>
    <w:rsid w:val="1F5B3BC9"/>
    <w:rsid w:val="1F5C044F"/>
    <w:rsid w:val="1F5D7D23"/>
    <w:rsid w:val="1F5F16AB"/>
    <w:rsid w:val="1F5F4E35"/>
    <w:rsid w:val="1F60475F"/>
    <w:rsid w:val="1F68119F"/>
    <w:rsid w:val="1F682713"/>
    <w:rsid w:val="1F6A2B6C"/>
    <w:rsid w:val="1F6C111A"/>
    <w:rsid w:val="1F6F0EAD"/>
    <w:rsid w:val="1F705077"/>
    <w:rsid w:val="1F75782B"/>
    <w:rsid w:val="1F7C1564"/>
    <w:rsid w:val="1F7C71B6"/>
    <w:rsid w:val="1F7E2174"/>
    <w:rsid w:val="1F7E26B9"/>
    <w:rsid w:val="1F7F74E9"/>
    <w:rsid w:val="1F804689"/>
    <w:rsid w:val="1F833C2E"/>
    <w:rsid w:val="1F877DA2"/>
    <w:rsid w:val="1F8C0ACF"/>
    <w:rsid w:val="1F8F25D3"/>
    <w:rsid w:val="1F8F4381"/>
    <w:rsid w:val="1F947BE9"/>
    <w:rsid w:val="1F95570F"/>
    <w:rsid w:val="1F9957E4"/>
    <w:rsid w:val="1F9A41E7"/>
    <w:rsid w:val="1F9A5FFD"/>
    <w:rsid w:val="1FA407DF"/>
    <w:rsid w:val="1FA80624"/>
    <w:rsid w:val="1FA80895"/>
    <w:rsid w:val="1FA870F1"/>
    <w:rsid w:val="1FAC6571"/>
    <w:rsid w:val="1FAD4807"/>
    <w:rsid w:val="1FAF5501"/>
    <w:rsid w:val="1FB42039"/>
    <w:rsid w:val="1FB43DE7"/>
    <w:rsid w:val="1FB50D64"/>
    <w:rsid w:val="1FB567D0"/>
    <w:rsid w:val="1FB63322"/>
    <w:rsid w:val="1FB73684"/>
    <w:rsid w:val="1FBA1D7F"/>
    <w:rsid w:val="1FC33368"/>
    <w:rsid w:val="1FC508AF"/>
    <w:rsid w:val="1FC550BE"/>
    <w:rsid w:val="1FC55794"/>
    <w:rsid w:val="1FC93AAC"/>
    <w:rsid w:val="1FD37FAB"/>
    <w:rsid w:val="1FDD26D2"/>
    <w:rsid w:val="1FE12520"/>
    <w:rsid w:val="1FE31EFA"/>
    <w:rsid w:val="1FE5125D"/>
    <w:rsid w:val="1FE55271"/>
    <w:rsid w:val="1FE7539E"/>
    <w:rsid w:val="1FE95082"/>
    <w:rsid w:val="1FEB532F"/>
    <w:rsid w:val="1FED72F9"/>
    <w:rsid w:val="1FEE487C"/>
    <w:rsid w:val="1FF14334"/>
    <w:rsid w:val="1FF6169F"/>
    <w:rsid w:val="1FF864E3"/>
    <w:rsid w:val="1FFB5506"/>
    <w:rsid w:val="2008261D"/>
    <w:rsid w:val="200A1C59"/>
    <w:rsid w:val="200A3A07"/>
    <w:rsid w:val="20115428"/>
    <w:rsid w:val="20120487"/>
    <w:rsid w:val="20130094"/>
    <w:rsid w:val="201C198C"/>
    <w:rsid w:val="201D27FE"/>
    <w:rsid w:val="201E137B"/>
    <w:rsid w:val="201E189C"/>
    <w:rsid w:val="20220C48"/>
    <w:rsid w:val="202231C7"/>
    <w:rsid w:val="20274594"/>
    <w:rsid w:val="20277BF5"/>
    <w:rsid w:val="202E0BE3"/>
    <w:rsid w:val="202E11D8"/>
    <w:rsid w:val="20340A84"/>
    <w:rsid w:val="203476BB"/>
    <w:rsid w:val="20350095"/>
    <w:rsid w:val="20387CC7"/>
    <w:rsid w:val="203A62EF"/>
    <w:rsid w:val="203D3365"/>
    <w:rsid w:val="203F6EF4"/>
    <w:rsid w:val="20400535"/>
    <w:rsid w:val="204131A1"/>
    <w:rsid w:val="20427645"/>
    <w:rsid w:val="20441381"/>
    <w:rsid w:val="20466C35"/>
    <w:rsid w:val="20475A9E"/>
    <w:rsid w:val="20481DE0"/>
    <w:rsid w:val="20491033"/>
    <w:rsid w:val="204973A8"/>
    <w:rsid w:val="204F5896"/>
    <w:rsid w:val="20560211"/>
    <w:rsid w:val="205A1BCE"/>
    <w:rsid w:val="205C42A5"/>
    <w:rsid w:val="205E6558"/>
    <w:rsid w:val="20651821"/>
    <w:rsid w:val="20671BE0"/>
    <w:rsid w:val="206B22C8"/>
    <w:rsid w:val="206F381A"/>
    <w:rsid w:val="2071579D"/>
    <w:rsid w:val="20790B8D"/>
    <w:rsid w:val="207D46DD"/>
    <w:rsid w:val="207F2647"/>
    <w:rsid w:val="20803CC9"/>
    <w:rsid w:val="2080575F"/>
    <w:rsid w:val="208319DF"/>
    <w:rsid w:val="20832A86"/>
    <w:rsid w:val="208805ED"/>
    <w:rsid w:val="20895274"/>
    <w:rsid w:val="208B1571"/>
    <w:rsid w:val="208C731F"/>
    <w:rsid w:val="208E5662"/>
    <w:rsid w:val="20950DE7"/>
    <w:rsid w:val="20963CB8"/>
    <w:rsid w:val="20982E05"/>
    <w:rsid w:val="20A15D31"/>
    <w:rsid w:val="20A21E92"/>
    <w:rsid w:val="20A52531"/>
    <w:rsid w:val="20A60462"/>
    <w:rsid w:val="20A81A1B"/>
    <w:rsid w:val="20AE6A88"/>
    <w:rsid w:val="20B004AC"/>
    <w:rsid w:val="20B07FB6"/>
    <w:rsid w:val="20B61F0A"/>
    <w:rsid w:val="20B646FB"/>
    <w:rsid w:val="20B8113C"/>
    <w:rsid w:val="20B83463"/>
    <w:rsid w:val="20B931EF"/>
    <w:rsid w:val="20BB2F53"/>
    <w:rsid w:val="20BC4690"/>
    <w:rsid w:val="20BE2EA1"/>
    <w:rsid w:val="20BF110E"/>
    <w:rsid w:val="20BF58DF"/>
    <w:rsid w:val="20C004F1"/>
    <w:rsid w:val="20C91B14"/>
    <w:rsid w:val="20CB235B"/>
    <w:rsid w:val="20CC5F0A"/>
    <w:rsid w:val="20D00923"/>
    <w:rsid w:val="20D504B9"/>
    <w:rsid w:val="20D744C6"/>
    <w:rsid w:val="20D9162C"/>
    <w:rsid w:val="20DA2975"/>
    <w:rsid w:val="20E26732"/>
    <w:rsid w:val="20E64474"/>
    <w:rsid w:val="20EA1DAD"/>
    <w:rsid w:val="20EA3839"/>
    <w:rsid w:val="20F06D17"/>
    <w:rsid w:val="20F2221A"/>
    <w:rsid w:val="20F91BA5"/>
    <w:rsid w:val="20FD1BD4"/>
    <w:rsid w:val="210165B1"/>
    <w:rsid w:val="21052421"/>
    <w:rsid w:val="21097C41"/>
    <w:rsid w:val="21117017"/>
    <w:rsid w:val="21120170"/>
    <w:rsid w:val="21141A65"/>
    <w:rsid w:val="21162880"/>
    <w:rsid w:val="21182154"/>
    <w:rsid w:val="211D776A"/>
    <w:rsid w:val="211E6A1B"/>
    <w:rsid w:val="212159CA"/>
    <w:rsid w:val="212251A4"/>
    <w:rsid w:val="212278A6"/>
    <w:rsid w:val="21236F43"/>
    <w:rsid w:val="21260D15"/>
    <w:rsid w:val="2126769F"/>
    <w:rsid w:val="212B2081"/>
    <w:rsid w:val="212B528A"/>
    <w:rsid w:val="212E1977"/>
    <w:rsid w:val="213166B4"/>
    <w:rsid w:val="2132195A"/>
    <w:rsid w:val="21322057"/>
    <w:rsid w:val="213571AA"/>
    <w:rsid w:val="213B74B1"/>
    <w:rsid w:val="213F231A"/>
    <w:rsid w:val="21401046"/>
    <w:rsid w:val="2144119B"/>
    <w:rsid w:val="21445C63"/>
    <w:rsid w:val="21470C8B"/>
    <w:rsid w:val="21480A2B"/>
    <w:rsid w:val="214964AC"/>
    <w:rsid w:val="214D44F3"/>
    <w:rsid w:val="214E3823"/>
    <w:rsid w:val="214F3ABE"/>
    <w:rsid w:val="214F68AA"/>
    <w:rsid w:val="2150195F"/>
    <w:rsid w:val="215142C5"/>
    <w:rsid w:val="2152133A"/>
    <w:rsid w:val="215238B8"/>
    <w:rsid w:val="21570ECE"/>
    <w:rsid w:val="21582E98"/>
    <w:rsid w:val="215958B5"/>
    <w:rsid w:val="215A2310"/>
    <w:rsid w:val="215A2D3D"/>
    <w:rsid w:val="215A658E"/>
    <w:rsid w:val="215A6C10"/>
    <w:rsid w:val="215E6D8B"/>
    <w:rsid w:val="215F198B"/>
    <w:rsid w:val="216655B5"/>
    <w:rsid w:val="21696E53"/>
    <w:rsid w:val="217007B4"/>
    <w:rsid w:val="21733A6D"/>
    <w:rsid w:val="217E5989"/>
    <w:rsid w:val="21823A71"/>
    <w:rsid w:val="218617B3"/>
    <w:rsid w:val="21867A08"/>
    <w:rsid w:val="21883004"/>
    <w:rsid w:val="2188542C"/>
    <w:rsid w:val="21893A13"/>
    <w:rsid w:val="219043E0"/>
    <w:rsid w:val="219534E9"/>
    <w:rsid w:val="219557E0"/>
    <w:rsid w:val="21957C48"/>
    <w:rsid w:val="219852BC"/>
    <w:rsid w:val="21A223BE"/>
    <w:rsid w:val="21A244F3"/>
    <w:rsid w:val="21A60A43"/>
    <w:rsid w:val="21A77C96"/>
    <w:rsid w:val="21A77E4B"/>
    <w:rsid w:val="21AB121A"/>
    <w:rsid w:val="21AF76DB"/>
    <w:rsid w:val="21B52994"/>
    <w:rsid w:val="21BA145D"/>
    <w:rsid w:val="21C61BB0"/>
    <w:rsid w:val="21C77D00"/>
    <w:rsid w:val="21D01BB1"/>
    <w:rsid w:val="21D106FB"/>
    <w:rsid w:val="21D70261"/>
    <w:rsid w:val="21D95741"/>
    <w:rsid w:val="21DD0233"/>
    <w:rsid w:val="21DD569B"/>
    <w:rsid w:val="21DE318A"/>
    <w:rsid w:val="21DE485E"/>
    <w:rsid w:val="21E12E8E"/>
    <w:rsid w:val="21E309B4"/>
    <w:rsid w:val="21EE3E21"/>
    <w:rsid w:val="21EF3C8F"/>
    <w:rsid w:val="21EF5B80"/>
    <w:rsid w:val="21F16814"/>
    <w:rsid w:val="21F430C2"/>
    <w:rsid w:val="21F879CD"/>
    <w:rsid w:val="21F93D33"/>
    <w:rsid w:val="21F96E93"/>
    <w:rsid w:val="2203441A"/>
    <w:rsid w:val="220B1BC2"/>
    <w:rsid w:val="220B54C1"/>
    <w:rsid w:val="221072CF"/>
    <w:rsid w:val="22124DF5"/>
    <w:rsid w:val="22140B6D"/>
    <w:rsid w:val="22194137"/>
    <w:rsid w:val="221A1EFC"/>
    <w:rsid w:val="221A39C9"/>
    <w:rsid w:val="221A7A47"/>
    <w:rsid w:val="221B1EC0"/>
    <w:rsid w:val="221B28B1"/>
    <w:rsid w:val="221E379A"/>
    <w:rsid w:val="221E7997"/>
    <w:rsid w:val="22230B3A"/>
    <w:rsid w:val="22272A5B"/>
    <w:rsid w:val="222C1D3E"/>
    <w:rsid w:val="223236E9"/>
    <w:rsid w:val="22326947"/>
    <w:rsid w:val="22335D4F"/>
    <w:rsid w:val="223415DC"/>
    <w:rsid w:val="223700F7"/>
    <w:rsid w:val="22396826"/>
    <w:rsid w:val="223B07F0"/>
    <w:rsid w:val="223B3EF0"/>
    <w:rsid w:val="224131C1"/>
    <w:rsid w:val="22461847"/>
    <w:rsid w:val="224D4A55"/>
    <w:rsid w:val="22513B6F"/>
    <w:rsid w:val="22576990"/>
    <w:rsid w:val="225B4C45"/>
    <w:rsid w:val="2264745D"/>
    <w:rsid w:val="226A1644"/>
    <w:rsid w:val="226B7889"/>
    <w:rsid w:val="226C110E"/>
    <w:rsid w:val="226E284B"/>
    <w:rsid w:val="226F28AF"/>
    <w:rsid w:val="22702C63"/>
    <w:rsid w:val="22721469"/>
    <w:rsid w:val="227238E2"/>
    <w:rsid w:val="227F4F1F"/>
    <w:rsid w:val="2280071C"/>
    <w:rsid w:val="228038E6"/>
    <w:rsid w:val="22816C88"/>
    <w:rsid w:val="2282297A"/>
    <w:rsid w:val="228323A4"/>
    <w:rsid w:val="22837AA1"/>
    <w:rsid w:val="22866796"/>
    <w:rsid w:val="228C06EB"/>
    <w:rsid w:val="228F0D42"/>
    <w:rsid w:val="22996B73"/>
    <w:rsid w:val="229A2F6E"/>
    <w:rsid w:val="229D08A0"/>
    <w:rsid w:val="229E7788"/>
    <w:rsid w:val="22A00653"/>
    <w:rsid w:val="22A41BE1"/>
    <w:rsid w:val="22A53EBB"/>
    <w:rsid w:val="22A75E85"/>
    <w:rsid w:val="22A76E7B"/>
    <w:rsid w:val="22AA736D"/>
    <w:rsid w:val="22AC2486"/>
    <w:rsid w:val="22AD1241"/>
    <w:rsid w:val="22B569E9"/>
    <w:rsid w:val="22BB43D7"/>
    <w:rsid w:val="22BF31CF"/>
    <w:rsid w:val="22C205C9"/>
    <w:rsid w:val="22C5455D"/>
    <w:rsid w:val="22C715A7"/>
    <w:rsid w:val="22C93B63"/>
    <w:rsid w:val="22C94716"/>
    <w:rsid w:val="22C977AC"/>
    <w:rsid w:val="22CA56D0"/>
    <w:rsid w:val="22CA69FF"/>
    <w:rsid w:val="22CE3412"/>
    <w:rsid w:val="22CE62CF"/>
    <w:rsid w:val="22D24A4D"/>
    <w:rsid w:val="22D4654E"/>
    <w:rsid w:val="22D47123"/>
    <w:rsid w:val="22D53DA1"/>
    <w:rsid w:val="22D95913"/>
    <w:rsid w:val="22E24F49"/>
    <w:rsid w:val="22E53CCF"/>
    <w:rsid w:val="22E72A57"/>
    <w:rsid w:val="22F30A66"/>
    <w:rsid w:val="22F4099F"/>
    <w:rsid w:val="22F4274D"/>
    <w:rsid w:val="22F4634C"/>
    <w:rsid w:val="22F47480"/>
    <w:rsid w:val="22F57325"/>
    <w:rsid w:val="22F62969"/>
    <w:rsid w:val="22F62F57"/>
    <w:rsid w:val="22F64717"/>
    <w:rsid w:val="22FB3ADB"/>
    <w:rsid w:val="22FE6DF7"/>
    <w:rsid w:val="23054204"/>
    <w:rsid w:val="230A01C2"/>
    <w:rsid w:val="230B610D"/>
    <w:rsid w:val="230C3F3A"/>
    <w:rsid w:val="230D7BEE"/>
    <w:rsid w:val="23111551"/>
    <w:rsid w:val="231774AE"/>
    <w:rsid w:val="231D006A"/>
    <w:rsid w:val="231F30D1"/>
    <w:rsid w:val="232144AA"/>
    <w:rsid w:val="23241235"/>
    <w:rsid w:val="23264FFC"/>
    <w:rsid w:val="23286082"/>
    <w:rsid w:val="232B2612"/>
    <w:rsid w:val="232B292E"/>
    <w:rsid w:val="232B5A8E"/>
    <w:rsid w:val="232E2103"/>
    <w:rsid w:val="232E7C5E"/>
    <w:rsid w:val="233174FD"/>
    <w:rsid w:val="233B0E5B"/>
    <w:rsid w:val="233D3949"/>
    <w:rsid w:val="2341673D"/>
    <w:rsid w:val="23426D25"/>
    <w:rsid w:val="23455D6C"/>
    <w:rsid w:val="234731C4"/>
    <w:rsid w:val="23515DF1"/>
    <w:rsid w:val="235A4CA6"/>
    <w:rsid w:val="235B59DD"/>
    <w:rsid w:val="235D44E2"/>
    <w:rsid w:val="235F650A"/>
    <w:rsid w:val="23604D89"/>
    <w:rsid w:val="23636F06"/>
    <w:rsid w:val="2364349C"/>
    <w:rsid w:val="236818E8"/>
    <w:rsid w:val="23690890"/>
    <w:rsid w:val="2369138D"/>
    <w:rsid w:val="236E69A3"/>
    <w:rsid w:val="23721DF1"/>
    <w:rsid w:val="23761F39"/>
    <w:rsid w:val="23773AAF"/>
    <w:rsid w:val="23783011"/>
    <w:rsid w:val="23791124"/>
    <w:rsid w:val="237A543E"/>
    <w:rsid w:val="237D208A"/>
    <w:rsid w:val="237D224F"/>
    <w:rsid w:val="238241FC"/>
    <w:rsid w:val="23841D23"/>
    <w:rsid w:val="23865BB6"/>
    <w:rsid w:val="238803A7"/>
    <w:rsid w:val="23880F5A"/>
    <w:rsid w:val="23910AF4"/>
    <w:rsid w:val="23930F8A"/>
    <w:rsid w:val="239857CE"/>
    <w:rsid w:val="239D567C"/>
    <w:rsid w:val="23A30EBB"/>
    <w:rsid w:val="23A32D3D"/>
    <w:rsid w:val="23A46FD4"/>
    <w:rsid w:val="23A928D9"/>
    <w:rsid w:val="23AC4C9C"/>
    <w:rsid w:val="23AD74CB"/>
    <w:rsid w:val="23B24AE2"/>
    <w:rsid w:val="23B532D8"/>
    <w:rsid w:val="23BF71FF"/>
    <w:rsid w:val="23C16AD3"/>
    <w:rsid w:val="23C6058D"/>
    <w:rsid w:val="23C864C0"/>
    <w:rsid w:val="23CA2FF6"/>
    <w:rsid w:val="23CE409D"/>
    <w:rsid w:val="23CF6B0D"/>
    <w:rsid w:val="23DB1C0A"/>
    <w:rsid w:val="23DE1C48"/>
    <w:rsid w:val="23DE7685"/>
    <w:rsid w:val="23EB5FF4"/>
    <w:rsid w:val="23F01166"/>
    <w:rsid w:val="23F073B8"/>
    <w:rsid w:val="23F35E85"/>
    <w:rsid w:val="23F635E7"/>
    <w:rsid w:val="23FA3D93"/>
    <w:rsid w:val="23FC3FAF"/>
    <w:rsid w:val="23FD0015"/>
    <w:rsid w:val="23FF13A9"/>
    <w:rsid w:val="240210CD"/>
    <w:rsid w:val="24024409"/>
    <w:rsid w:val="24062738"/>
    <w:rsid w:val="24092201"/>
    <w:rsid w:val="240F5A90"/>
    <w:rsid w:val="241430A6"/>
    <w:rsid w:val="24164041"/>
    <w:rsid w:val="24170DE9"/>
    <w:rsid w:val="24182DC7"/>
    <w:rsid w:val="241B3D4C"/>
    <w:rsid w:val="241D144D"/>
    <w:rsid w:val="241F18CE"/>
    <w:rsid w:val="24264234"/>
    <w:rsid w:val="242760A3"/>
    <w:rsid w:val="24311A99"/>
    <w:rsid w:val="24315EF0"/>
    <w:rsid w:val="243318B8"/>
    <w:rsid w:val="2435110C"/>
    <w:rsid w:val="243629A0"/>
    <w:rsid w:val="243629EF"/>
    <w:rsid w:val="24373239"/>
    <w:rsid w:val="243C647F"/>
    <w:rsid w:val="243F4D56"/>
    <w:rsid w:val="24431BDE"/>
    <w:rsid w:val="24466FD8"/>
    <w:rsid w:val="24482D50"/>
    <w:rsid w:val="24495F9B"/>
    <w:rsid w:val="244A1145"/>
    <w:rsid w:val="244A2F6C"/>
    <w:rsid w:val="244A4D1A"/>
    <w:rsid w:val="244A5795"/>
    <w:rsid w:val="244B1E69"/>
    <w:rsid w:val="244B6BBB"/>
    <w:rsid w:val="244C24FA"/>
    <w:rsid w:val="244D0366"/>
    <w:rsid w:val="244E3C37"/>
    <w:rsid w:val="245109A3"/>
    <w:rsid w:val="24516190"/>
    <w:rsid w:val="24572F93"/>
    <w:rsid w:val="24572FDD"/>
    <w:rsid w:val="245B28F0"/>
    <w:rsid w:val="245C59BF"/>
    <w:rsid w:val="24612B73"/>
    <w:rsid w:val="24622DB6"/>
    <w:rsid w:val="24637B8A"/>
    <w:rsid w:val="24686E21"/>
    <w:rsid w:val="246A0F18"/>
    <w:rsid w:val="246B012B"/>
    <w:rsid w:val="246B1625"/>
    <w:rsid w:val="246B4024"/>
    <w:rsid w:val="246B6A3F"/>
    <w:rsid w:val="246E3757"/>
    <w:rsid w:val="246F478D"/>
    <w:rsid w:val="24703456"/>
    <w:rsid w:val="247578BD"/>
    <w:rsid w:val="24771AB9"/>
    <w:rsid w:val="247840E5"/>
    <w:rsid w:val="247934AE"/>
    <w:rsid w:val="247C5F34"/>
    <w:rsid w:val="247D6439"/>
    <w:rsid w:val="247E5C56"/>
    <w:rsid w:val="248420F6"/>
    <w:rsid w:val="24883A94"/>
    <w:rsid w:val="248B055C"/>
    <w:rsid w:val="24982A8B"/>
    <w:rsid w:val="2499461A"/>
    <w:rsid w:val="249C4E4A"/>
    <w:rsid w:val="24A501A2"/>
    <w:rsid w:val="24A65001"/>
    <w:rsid w:val="24A763C8"/>
    <w:rsid w:val="24A843FE"/>
    <w:rsid w:val="24A94248"/>
    <w:rsid w:val="24AE477E"/>
    <w:rsid w:val="24B13BE8"/>
    <w:rsid w:val="24BF09F7"/>
    <w:rsid w:val="24C20D54"/>
    <w:rsid w:val="24C27C59"/>
    <w:rsid w:val="24C50E97"/>
    <w:rsid w:val="24C6497E"/>
    <w:rsid w:val="24C820E3"/>
    <w:rsid w:val="24C95ABF"/>
    <w:rsid w:val="24CF313A"/>
    <w:rsid w:val="24D146B3"/>
    <w:rsid w:val="24D47072"/>
    <w:rsid w:val="24D71F01"/>
    <w:rsid w:val="24D84B58"/>
    <w:rsid w:val="24D91187"/>
    <w:rsid w:val="24DA5D3D"/>
    <w:rsid w:val="24DE57D6"/>
    <w:rsid w:val="24E101A2"/>
    <w:rsid w:val="24E33795"/>
    <w:rsid w:val="24E44819"/>
    <w:rsid w:val="24E964E8"/>
    <w:rsid w:val="24EB7A61"/>
    <w:rsid w:val="24EC7B7F"/>
    <w:rsid w:val="24F1107B"/>
    <w:rsid w:val="24FD3B3B"/>
    <w:rsid w:val="24FD4D83"/>
    <w:rsid w:val="24FE1DC0"/>
    <w:rsid w:val="25010F47"/>
    <w:rsid w:val="25030EBC"/>
    <w:rsid w:val="2505521B"/>
    <w:rsid w:val="250749B9"/>
    <w:rsid w:val="25077C17"/>
    <w:rsid w:val="250A43C0"/>
    <w:rsid w:val="250D077C"/>
    <w:rsid w:val="250D6B57"/>
    <w:rsid w:val="250F7D12"/>
    <w:rsid w:val="251113EA"/>
    <w:rsid w:val="25113A8A"/>
    <w:rsid w:val="251351C1"/>
    <w:rsid w:val="251A293E"/>
    <w:rsid w:val="251B38EF"/>
    <w:rsid w:val="251B66B7"/>
    <w:rsid w:val="251F22F5"/>
    <w:rsid w:val="25212B7E"/>
    <w:rsid w:val="252178FB"/>
    <w:rsid w:val="25227A45"/>
    <w:rsid w:val="25257535"/>
    <w:rsid w:val="2526682A"/>
    <w:rsid w:val="25277377"/>
    <w:rsid w:val="25283C69"/>
    <w:rsid w:val="252D53FE"/>
    <w:rsid w:val="252D7E52"/>
    <w:rsid w:val="25321CC3"/>
    <w:rsid w:val="253A2EBB"/>
    <w:rsid w:val="253C1DA3"/>
    <w:rsid w:val="253C3E23"/>
    <w:rsid w:val="253E2811"/>
    <w:rsid w:val="25413B2E"/>
    <w:rsid w:val="254259F1"/>
    <w:rsid w:val="25435834"/>
    <w:rsid w:val="25446CB1"/>
    <w:rsid w:val="25491484"/>
    <w:rsid w:val="254B65D3"/>
    <w:rsid w:val="25506FCE"/>
    <w:rsid w:val="2551032A"/>
    <w:rsid w:val="25517A09"/>
    <w:rsid w:val="25533D7B"/>
    <w:rsid w:val="25535E50"/>
    <w:rsid w:val="2554491A"/>
    <w:rsid w:val="25544D4D"/>
    <w:rsid w:val="25592B49"/>
    <w:rsid w:val="255D3476"/>
    <w:rsid w:val="255D6CCF"/>
    <w:rsid w:val="255F0B60"/>
    <w:rsid w:val="25626093"/>
    <w:rsid w:val="25662520"/>
    <w:rsid w:val="25672EFA"/>
    <w:rsid w:val="256E5AD6"/>
    <w:rsid w:val="256E67E6"/>
    <w:rsid w:val="2570107C"/>
    <w:rsid w:val="257537F7"/>
    <w:rsid w:val="257543EE"/>
    <w:rsid w:val="2576348C"/>
    <w:rsid w:val="25776824"/>
    <w:rsid w:val="257A33DD"/>
    <w:rsid w:val="257D111F"/>
    <w:rsid w:val="257F27A2"/>
    <w:rsid w:val="258724D7"/>
    <w:rsid w:val="25882EB2"/>
    <w:rsid w:val="25887A34"/>
    <w:rsid w:val="258C59A3"/>
    <w:rsid w:val="258E5E2C"/>
    <w:rsid w:val="25910727"/>
    <w:rsid w:val="25915F26"/>
    <w:rsid w:val="259326F1"/>
    <w:rsid w:val="2593660F"/>
    <w:rsid w:val="2596165B"/>
    <w:rsid w:val="259B3353"/>
    <w:rsid w:val="259D3570"/>
    <w:rsid w:val="259D6446"/>
    <w:rsid w:val="25A03144"/>
    <w:rsid w:val="25A115C9"/>
    <w:rsid w:val="25A14E0E"/>
    <w:rsid w:val="25A16BBC"/>
    <w:rsid w:val="25A21992"/>
    <w:rsid w:val="25A450EF"/>
    <w:rsid w:val="25A641D2"/>
    <w:rsid w:val="25AB7A3A"/>
    <w:rsid w:val="25AC31DE"/>
    <w:rsid w:val="25AE12D9"/>
    <w:rsid w:val="25AE74E7"/>
    <w:rsid w:val="25B04DD3"/>
    <w:rsid w:val="25B5026A"/>
    <w:rsid w:val="25B86958"/>
    <w:rsid w:val="25BA1A2C"/>
    <w:rsid w:val="25C0009A"/>
    <w:rsid w:val="25C04100"/>
    <w:rsid w:val="25C805EC"/>
    <w:rsid w:val="25CA39BF"/>
    <w:rsid w:val="25CD5C03"/>
    <w:rsid w:val="25CE5F37"/>
    <w:rsid w:val="25CF4697"/>
    <w:rsid w:val="25CF7050"/>
    <w:rsid w:val="25D0124F"/>
    <w:rsid w:val="25D074A1"/>
    <w:rsid w:val="25D1132C"/>
    <w:rsid w:val="25D51BCD"/>
    <w:rsid w:val="25D64022"/>
    <w:rsid w:val="25D81723"/>
    <w:rsid w:val="25DA4B97"/>
    <w:rsid w:val="25DB3C35"/>
    <w:rsid w:val="25DC5E46"/>
    <w:rsid w:val="25E036DD"/>
    <w:rsid w:val="25E37AB4"/>
    <w:rsid w:val="25E62F48"/>
    <w:rsid w:val="25E66CC5"/>
    <w:rsid w:val="25E7048C"/>
    <w:rsid w:val="25EC2D81"/>
    <w:rsid w:val="25ED1E01"/>
    <w:rsid w:val="25EF714A"/>
    <w:rsid w:val="25F018F1"/>
    <w:rsid w:val="25F62593"/>
    <w:rsid w:val="25F62749"/>
    <w:rsid w:val="25F747AF"/>
    <w:rsid w:val="25F807A6"/>
    <w:rsid w:val="25FA6A8B"/>
    <w:rsid w:val="260128E8"/>
    <w:rsid w:val="26020369"/>
    <w:rsid w:val="26022290"/>
    <w:rsid w:val="26023BEC"/>
    <w:rsid w:val="260678C3"/>
    <w:rsid w:val="26083FFB"/>
    <w:rsid w:val="26086C3B"/>
    <w:rsid w:val="260929B3"/>
    <w:rsid w:val="260A2D1F"/>
    <w:rsid w:val="260A6A23"/>
    <w:rsid w:val="260E5C0A"/>
    <w:rsid w:val="260F621B"/>
    <w:rsid w:val="26105AEF"/>
    <w:rsid w:val="261371E2"/>
    <w:rsid w:val="2613754D"/>
    <w:rsid w:val="26147F1F"/>
    <w:rsid w:val="2617288D"/>
    <w:rsid w:val="261A4BC0"/>
    <w:rsid w:val="261C4796"/>
    <w:rsid w:val="261E7B93"/>
    <w:rsid w:val="261F7C79"/>
    <w:rsid w:val="26220978"/>
    <w:rsid w:val="2622149E"/>
    <w:rsid w:val="2623089E"/>
    <w:rsid w:val="262670C1"/>
    <w:rsid w:val="26282555"/>
    <w:rsid w:val="26282E39"/>
    <w:rsid w:val="262A4B11"/>
    <w:rsid w:val="262D4A31"/>
    <w:rsid w:val="26322018"/>
    <w:rsid w:val="26345C82"/>
    <w:rsid w:val="263F0183"/>
    <w:rsid w:val="263F62A3"/>
    <w:rsid w:val="2640208A"/>
    <w:rsid w:val="2640518B"/>
    <w:rsid w:val="26413EBD"/>
    <w:rsid w:val="26414073"/>
    <w:rsid w:val="264B1A62"/>
    <w:rsid w:val="264B4D7A"/>
    <w:rsid w:val="264E443C"/>
    <w:rsid w:val="264F4FDA"/>
    <w:rsid w:val="26533F22"/>
    <w:rsid w:val="26543C2E"/>
    <w:rsid w:val="265579A6"/>
    <w:rsid w:val="2657371E"/>
    <w:rsid w:val="265C7907"/>
    <w:rsid w:val="265D1A6F"/>
    <w:rsid w:val="265E0957"/>
    <w:rsid w:val="265F53DE"/>
    <w:rsid w:val="26606184"/>
    <w:rsid w:val="2661634B"/>
    <w:rsid w:val="26635AF3"/>
    <w:rsid w:val="26641C22"/>
    <w:rsid w:val="2666008D"/>
    <w:rsid w:val="26660F08"/>
    <w:rsid w:val="26666271"/>
    <w:rsid w:val="266D6A9E"/>
    <w:rsid w:val="266E3938"/>
    <w:rsid w:val="266F0A68"/>
    <w:rsid w:val="267047E0"/>
    <w:rsid w:val="26727723"/>
    <w:rsid w:val="267442D0"/>
    <w:rsid w:val="26755E2C"/>
    <w:rsid w:val="26760048"/>
    <w:rsid w:val="267776DE"/>
    <w:rsid w:val="267B565F"/>
    <w:rsid w:val="2684318F"/>
    <w:rsid w:val="26844111"/>
    <w:rsid w:val="2685028B"/>
    <w:rsid w:val="26863D7D"/>
    <w:rsid w:val="268816D1"/>
    <w:rsid w:val="26884F62"/>
    <w:rsid w:val="268A1473"/>
    <w:rsid w:val="268C02CD"/>
    <w:rsid w:val="26900819"/>
    <w:rsid w:val="26906C30"/>
    <w:rsid w:val="26926686"/>
    <w:rsid w:val="269674DE"/>
    <w:rsid w:val="26982A81"/>
    <w:rsid w:val="269A6F3A"/>
    <w:rsid w:val="269B1288"/>
    <w:rsid w:val="269B556C"/>
    <w:rsid w:val="269F0765"/>
    <w:rsid w:val="26A74146"/>
    <w:rsid w:val="26AB5818"/>
    <w:rsid w:val="26AC1A34"/>
    <w:rsid w:val="26AC6C6E"/>
    <w:rsid w:val="26AE2FAD"/>
    <w:rsid w:val="26AE3B4C"/>
    <w:rsid w:val="26B01787"/>
    <w:rsid w:val="26B5676D"/>
    <w:rsid w:val="26B57364"/>
    <w:rsid w:val="26B741BD"/>
    <w:rsid w:val="26B77320"/>
    <w:rsid w:val="26B86EE4"/>
    <w:rsid w:val="26BA7B18"/>
    <w:rsid w:val="26BC0330"/>
    <w:rsid w:val="26BC0E63"/>
    <w:rsid w:val="26BC0EA5"/>
    <w:rsid w:val="26BD4622"/>
    <w:rsid w:val="26C31EAD"/>
    <w:rsid w:val="26C4386A"/>
    <w:rsid w:val="26CA7DB2"/>
    <w:rsid w:val="26D044DE"/>
    <w:rsid w:val="26D046A2"/>
    <w:rsid w:val="26D1507C"/>
    <w:rsid w:val="26D20FF7"/>
    <w:rsid w:val="26D47CD8"/>
    <w:rsid w:val="26D51FEF"/>
    <w:rsid w:val="26D63BC5"/>
    <w:rsid w:val="26D926BA"/>
    <w:rsid w:val="26DD00C8"/>
    <w:rsid w:val="26DE2FF3"/>
    <w:rsid w:val="26DE6A53"/>
    <w:rsid w:val="26E6382E"/>
    <w:rsid w:val="26E641FB"/>
    <w:rsid w:val="26F05D70"/>
    <w:rsid w:val="26F07CA0"/>
    <w:rsid w:val="26F159EF"/>
    <w:rsid w:val="26F251F5"/>
    <w:rsid w:val="26FB3F19"/>
    <w:rsid w:val="26FC7E22"/>
    <w:rsid w:val="26FE27E8"/>
    <w:rsid w:val="27070CA1"/>
    <w:rsid w:val="27080982"/>
    <w:rsid w:val="27083E74"/>
    <w:rsid w:val="270858DD"/>
    <w:rsid w:val="270A69E3"/>
    <w:rsid w:val="270A6B1F"/>
    <w:rsid w:val="270C635A"/>
    <w:rsid w:val="270E1B1F"/>
    <w:rsid w:val="270F7B55"/>
    <w:rsid w:val="27111B1F"/>
    <w:rsid w:val="271213BB"/>
    <w:rsid w:val="27135D4E"/>
    <w:rsid w:val="27166BAC"/>
    <w:rsid w:val="271933B4"/>
    <w:rsid w:val="271B61F3"/>
    <w:rsid w:val="2725381D"/>
    <w:rsid w:val="272730F1"/>
    <w:rsid w:val="272963A5"/>
    <w:rsid w:val="272A6282"/>
    <w:rsid w:val="272C0399"/>
    <w:rsid w:val="27316FA8"/>
    <w:rsid w:val="2734450E"/>
    <w:rsid w:val="27351CB2"/>
    <w:rsid w:val="27355BE4"/>
    <w:rsid w:val="273746A2"/>
    <w:rsid w:val="273A7D00"/>
    <w:rsid w:val="273B08EE"/>
    <w:rsid w:val="273E0248"/>
    <w:rsid w:val="27416AF7"/>
    <w:rsid w:val="27430C56"/>
    <w:rsid w:val="27440052"/>
    <w:rsid w:val="27441630"/>
    <w:rsid w:val="27492919"/>
    <w:rsid w:val="27511310"/>
    <w:rsid w:val="27532294"/>
    <w:rsid w:val="27532679"/>
    <w:rsid w:val="27565784"/>
    <w:rsid w:val="27566816"/>
    <w:rsid w:val="27577DD5"/>
    <w:rsid w:val="275A1D28"/>
    <w:rsid w:val="275A389E"/>
    <w:rsid w:val="275F0ADD"/>
    <w:rsid w:val="27616AF6"/>
    <w:rsid w:val="27630C0D"/>
    <w:rsid w:val="276339D3"/>
    <w:rsid w:val="27644345"/>
    <w:rsid w:val="27687332"/>
    <w:rsid w:val="27691B9F"/>
    <w:rsid w:val="277057A2"/>
    <w:rsid w:val="27723A43"/>
    <w:rsid w:val="27734D48"/>
    <w:rsid w:val="277C0379"/>
    <w:rsid w:val="277D7A2F"/>
    <w:rsid w:val="278247CB"/>
    <w:rsid w:val="27831697"/>
    <w:rsid w:val="27871DE1"/>
    <w:rsid w:val="278914ED"/>
    <w:rsid w:val="27892B16"/>
    <w:rsid w:val="27893DAB"/>
    <w:rsid w:val="278B7E3F"/>
    <w:rsid w:val="278F2F1C"/>
    <w:rsid w:val="27904864"/>
    <w:rsid w:val="279142F8"/>
    <w:rsid w:val="27955DFF"/>
    <w:rsid w:val="27982240"/>
    <w:rsid w:val="279F108F"/>
    <w:rsid w:val="27A26A64"/>
    <w:rsid w:val="27AA0490"/>
    <w:rsid w:val="27AB7A4E"/>
    <w:rsid w:val="27AC5CEC"/>
    <w:rsid w:val="27AC6415"/>
    <w:rsid w:val="27AC64E8"/>
    <w:rsid w:val="27AC7A9A"/>
    <w:rsid w:val="27AE16A9"/>
    <w:rsid w:val="27AE7A61"/>
    <w:rsid w:val="27B01329"/>
    <w:rsid w:val="27B23302"/>
    <w:rsid w:val="27B457B1"/>
    <w:rsid w:val="27B82F2F"/>
    <w:rsid w:val="27B923E1"/>
    <w:rsid w:val="27BB09BF"/>
    <w:rsid w:val="27C05606"/>
    <w:rsid w:val="27C14002"/>
    <w:rsid w:val="27C44DE4"/>
    <w:rsid w:val="27C9523F"/>
    <w:rsid w:val="27CD62DB"/>
    <w:rsid w:val="27CD64A0"/>
    <w:rsid w:val="27CE415D"/>
    <w:rsid w:val="27CE4850"/>
    <w:rsid w:val="27D245A6"/>
    <w:rsid w:val="27D3326E"/>
    <w:rsid w:val="27D40228"/>
    <w:rsid w:val="27D43B30"/>
    <w:rsid w:val="27D760CD"/>
    <w:rsid w:val="27DA0163"/>
    <w:rsid w:val="27E04A80"/>
    <w:rsid w:val="27E33BB6"/>
    <w:rsid w:val="27E62FAC"/>
    <w:rsid w:val="27E631D6"/>
    <w:rsid w:val="27E86D24"/>
    <w:rsid w:val="27E92B4E"/>
    <w:rsid w:val="27ED6C10"/>
    <w:rsid w:val="27F2701C"/>
    <w:rsid w:val="27F645D9"/>
    <w:rsid w:val="27F84EFA"/>
    <w:rsid w:val="27FD1429"/>
    <w:rsid w:val="27FE6547"/>
    <w:rsid w:val="28034C6D"/>
    <w:rsid w:val="28052EE7"/>
    <w:rsid w:val="28071805"/>
    <w:rsid w:val="280D1420"/>
    <w:rsid w:val="280E2503"/>
    <w:rsid w:val="280E51F1"/>
    <w:rsid w:val="28153BB7"/>
    <w:rsid w:val="2816750C"/>
    <w:rsid w:val="28173DFE"/>
    <w:rsid w:val="281843F5"/>
    <w:rsid w:val="281B425C"/>
    <w:rsid w:val="281B4AE7"/>
    <w:rsid w:val="281F1832"/>
    <w:rsid w:val="281F24B4"/>
    <w:rsid w:val="28215D92"/>
    <w:rsid w:val="28223BE7"/>
    <w:rsid w:val="282412E8"/>
    <w:rsid w:val="28285372"/>
    <w:rsid w:val="282B6C11"/>
    <w:rsid w:val="282D5012"/>
    <w:rsid w:val="28341478"/>
    <w:rsid w:val="2835183D"/>
    <w:rsid w:val="283755B5"/>
    <w:rsid w:val="283830DC"/>
    <w:rsid w:val="283B1D42"/>
    <w:rsid w:val="283C7103"/>
    <w:rsid w:val="283D1755"/>
    <w:rsid w:val="283E4ED3"/>
    <w:rsid w:val="284232DC"/>
    <w:rsid w:val="28431F67"/>
    <w:rsid w:val="28433F5A"/>
    <w:rsid w:val="28441ACC"/>
    <w:rsid w:val="28445F24"/>
    <w:rsid w:val="28463A4A"/>
    <w:rsid w:val="28475245"/>
    <w:rsid w:val="284B1061"/>
    <w:rsid w:val="284E28FF"/>
    <w:rsid w:val="285C1B7A"/>
    <w:rsid w:val="285E0D94"/>
    <w:rsid w:val="286135A9"/>
    <w:rsid w:val="2865609B"/>
    <w:rsid w:val="28685CA3"/>
    <w:rsid w:val="28697739"/>
    <w:rsid w:val="286B2E69"/>
    <w:rsid w:val="286D07E3"/>
    <w:rsid w:val="28722A91"/>
    <w:rsid w:val="287311B0"/>
    <w:rsid w:val="2878083C"/>
    <w:rsid w:val="28791105"/>
    <w:rsid w:val="28796405"/>
    <w:rsid w:val="287A1946"/>
    <w:rsid w:val="287E2C7B"/>
    <w:rsid w:val="287F1375"/>
    <w:rsid w:val="288240FF"/>
    <w:rsid w:val="28844573"/>
    <w:rsid w:val="28862066"/>
    <w:rsid w:val="28884063"/>
    <w:rsid w:val="28924901"/>
    <w:rsid w:val="28936BDF"/>
    <w:rsid w:val="28937BBE"/>
    <w:rsid w:val="28941167"/>
    <w:rsid w:val="28954F2A"/>
    <w:rsid w:val="28956124"/>
    <w:rsid w:val="28994654"/>
    <w:rsid w:val="289B47AA"/>
    <w:rsid w:val="289E3886"/>
    <w:rsid w:val="289F721E"/>
    <w:rsid w:val="28A075FF"/>
    <w:rsid w:val="28A31FB0"/>
    <w:rsid w:val="28A34DE2"/>
    <w:rsid w:val="28A454C6"/>
    <w:rsid w:val="28A45B9D"/>
    <w:rsid w:val="28A63E40"/>
    <w:rsid w:val="28A83AC0"/>
    <w:rsid w:val="28AB02C8"/>
    <w:rsid w:val="28AB1AFF"/>
    <w:rsid w:val="28AC24C6"/>
    <w:rsid w:val="28AC2F9C"/>
    <w:rsid w:val="28AD1416"/>
    <w:rsid w:val="28B11492"/>
    <w:rsid w:val="28B22E8E"/>
    <w:rsid w:val="28B43155"/>
    <w:rsid w:val="28B70D9E"/>
    <w:rsid w:val="28B83632"/>
    <w:rsid w:val="28BE14E7"/>
    <w:rsid w:val="28C02EC2"/>
    <w:rsid w:val="28C055AB"/>
    <w:rsid w:val="28C12F19"/>
    <w:rsid w:val="28C2534B"/>
    <w:rsid w:val="28C332ED"/>
    <w:rsid w:val="28C72DDD"/>
    <w:rsid w:val="28C85FAF"/>
    <w:rsid w:val="28CA467C"/>
    <w:rsid w:val="28CB1816"/>
    <w:rsid w:val="28CD1B01"/>
    <w:rsid w:val="28CD627E"/>
    <w:rsid w:val="28CF1C92"/>
    <w:rsid w:val="28CF4308"/>
    <w:rsid w:val="28CF5C4C"/>
    <w:rsid w:val="28D01566"/>
    <w:rsid w:val="28D635FE"/>
    <w:rsid w:val="28D6498F"/>
    <w:rsid w:val="28D667EF"/>
    <w:rsid w:val="28D66B8D"/>
    <w:rsid w:val="28D831ED"/>
    <w:rsid w:val="28D86085"/>
    <w:rsid w:val="28D87E92"/>
    <w:rsid w:val="28D9041B"/>
    <w:rsid w:val="28D948BF"/>
    <w:rsid w:val="28DC5EA4"/>
    <w:rsid w:val="28DD0032"/>
    <w:rsid w:val="28DE1ED5"/>
    <w:rsid w:val="28DE2D62"/>
    <w:rsid w:val="28E026ED"/>
    <w:rsid w:val="28E13773"/>
    <w:rsid w:val="28E25251"/>
    <w:rsid w:val="28E30BBC"/>
    <w:rsid w:val="28EC37AD"/>
    <w:rsid w:val="28ED6CB4"/>
    <w:rsid w:val="28EF553B"/>
    <w:rsid w:val="28F12FBA"/>
    <w:rsid w:val="28F434A6"/>
    <w:rsid w:val="28F43F3F"/>
    <w:rsid w:val="28F60FCD"/>
    <w:rsid w:val="28F67359"/>
    <w:rsid w:val="28F811E9"/>
    <w:rsid w:val="28F931A5"/>
    <w:rsid w:val="28FB65E3"/>
    <w:rsid w:val="28FD2DC6"/>
    <w:rsid w:val="28FE0556"/>
    <w:rsid w:val="29013255"/>
    <w:rsid w:val="29017971"/>
    <w:rsid w:val="290618DB"/>
    <w:rsid w:val="29064F88"/>
    <w:rsid w:val="2907020B"/>
    <w:rsid w:val="29096A1C"/>
    <w:rsid w:val="290A4A78"/>
    <w:rsid w:val="290C07F0"/>
    <w:rsid w:val="290E256A"/>
    <w:rsid w:val="29140BF0"/>
    <w:rsid w:val="29161C3B"/>
    <w:rsid w:val="29162832"/>
    <w:rsid w:val="29167977"/>
    <w:rsid w:val="29193321"/>
    <w:rsid w:val="291A1CCA"/>
    <w:rsid w:val="291A3CFB"/>
    <w:rsid w:val="291A4A19"/>
    <w:rsid w:val="291B6C85"/>
    <w:rsid w:val="291B7DB9"/>
    <w:rsid w:val="291E6775"/>
    <w:rsid w:val="29206EB8"/>
    <w:rsid w:val="2923120B"/>
    <w:rsid w:val="2926366B"/>
    <w:rsid w:val="292673D8"/>
    <w:rsid w:val="292702D5"/>
    <w:rsid w:val="2927387C"/>
    <w:rsid w:val="292C24D8"/>
    <w:rsid w:val="292C2C40"/>
    <w:rsid w:val="292D2840"/>
    <w:rsid w:val="293164A9"/>
    <w:rsid w:val="29355251"/>
    <w:rsid w:val="293D522B"/>
    <w:rsid w:val="293E21D3"/>
    <w:rsid w:val="294206B6"/>
    <w:rsid w:val="2942121D"/>
    <w:rsid w:val="29430470"/>
    <w:rsid w:val="29437F8A"/>
    <w:rsid w:val="2944442E"/>
    <w:rsid w:val="29446FED"/>
    <w:rsid w:val="29496ECC"/>
    <w:rsid w:val="294A6C02"/>
    <w:rsid w:val="29502ABF"/>
    <w:rsid w:val="295108F9"/>
    <w:rsid w:val="29521614"/>
    <w:rsid w:val="2953641F"/>
    <w:rsid w:val="29564EDD"/>
    <w:rsid w:val="29572F65"/>
    <w:rsid w:val="2959155B"/>
    <w:rsid w:val="29595666"/>
    <w:rsid w:val="295C3E2E"/>
    <w:rsid w:val="29622D86"/>
    <w:rsid w:val="29626662"/>
    <w:rsid w:val="29626771"/>
    <w:rsid w:val="29631412"/>
    <w:rsid w:val="296A19BB"/>
    <w:rsid w:val="296A782E"/>
    <w:rsid w:val="296C02F7"/>
    <w:rsid w:val="296E7DBD"/>
    <w:rsid w:val="29700F5B"/>
    <w:rsid w:val="29724362"/>
    <w:rsid w:val="29741F0F"/>
    <w:rsid w:val="29764525"/>
    <w:rsid w:val="297665B1"/>
    <w:rsid w:val="29773BB0"/>
    <w:rsid w:val="29791BFE"/>
    <w:rsid w:val="297C26C7"/>
    <w:rsid w:val="29827E50"/>
    <w:rsid w:val="29842A7C"/>
    <w:rsid w:val="2985212C"/>
    <w:rsid w:val="29874881"/>
    <w:rsid w:val="29895705"/>
    <w:rsid w:val="298B46A0"/>
    <w:rsid w:val="298D2B47"/>
    <w:rsid w:val="298F3DBD"/>
    <w:rsid w:val="299A6286"/>
    <w:rsid w:val="299B7DC6"/>
    <w:rsid w:val="299D1C14"/>
    <w:rsid w:val="299D58EC"/>
    <w:rsid w:val="299E0B55"/>
    <w:rsid w:val="299F78B6"/>
    <w:rsid w:val="29A245D5"/>
    <w:rsid w:val="29A2742D"/>
    <w:rsid w:val="29A71464"/>
    <w:rsid w:val="29AE7EFD"/>
    <w:rsid w:val="29B50E88"/>
    <w:rsid w:val="29B63ACC"/>
    <w:rsid w:val="29C4095E"/>
    <w:rsid w:val="29C56816"/>
    <w:rsid w:val="29C67916"/>
    <w:rsid w:val="29C81999"/>
    <w:rsid w:val="29C837D8"/>
    <w:rsid w:val="29C90340"/>
    <w:rsid w:val="29CB62CA"/>
    <w:rsid w:val="29CD2329"/>
    <w:rsid w:val="29D01E01"/>
    <w:rsid w:val="29D12335"/>
    <w:rsid w:val="29D22ED3"/>
    <w:rsid w:val="29D55086"/>
    <w:rsid w:val="29D86924"/>
    <w:rsid w:val="29DB1AEB"/>
    <w:rsid w:val="29DB7CAB"/>
    <w:rsid w:val="29DD5B8B"/>
    <w:rsid w:val="29DE589B"/>
    <w:rsid w:val="29E1006B"/>
    <w:rsid w:val="29E11C7D"/>
    <w:rsid w:val="29E2266D"/>
    <w:rsid w:val="29E325E0"/>
    <w:rsid w:val="29E4176D"/>
    <w:rsid w:val="29E4351B"/>
    <w:rsid w:val="29E450B2"/>
    <w:rsid w:val="29E45CD0"/>
    <w:rsid w:val="29EB2AFB"/>
    <w:rsid w:val="29EB7BEA"/>
    <w:rsid w:val="29EE439A"/>
    <w:rsid w:val="29EF7011"/>
    <w:rsid w:val="29F11AD6"/>
    <w:rsid w:val="29F13EE7"/>
    <w:rsid w:val="29F173EA"/>
    <w:rsid w:val="29F239C6"/>
    <w:rsid w:val="29F32ABB"/>
    <w:rsid w:val="29F5359D"/>
    <w:rsid w:val="29F53CEA"/>
    <w:rsid w:val="29F7669E"/>
    <w:rsid w:val="29FD45DD"/>
    <w:rsid w:val="29FF65A7"/>
    <w:rsid w:val="2A0119E5"/>
    <w:rsid w:val="2A036570"/>
    <w:rsid w:val="2A104310"/>
    <w:rsid w:val="2A111E36"/>
    <w:rsid w:val="2A1A7A9F"/>
    <w:rsid w:val="2A1E2D2D"/>
    <w:rsid w:val="2A211288"/>
    <w:rsid w:val="2A211880"/>
    <w:rsid w:val="2A253C4A"/>
    <w:rsid w:val="2A260C0D"/>
    <w:rsid w:val="2A2658E2"/>
    <w:rsid w:val="2A2A66E8"/>
    <w:rsid w:val="2A2C0A1E"/>
    <w:rsid w:val="2A32072A"/>
    <w:rsid w:val="2A320DD4"/>
    <w:rsid w:val="2A326E4A"/>
    <w:rsid w:val="2A331DAD"/>
    <w:rsid w:val="2A3827B7"/>
    <w:rsid w:val="2A3E2C5C"/>
    <w:rsid w:val="2A41096D"/>
    <w:rsid w:val="2A4139B4"/>
    <w:rsid w:val="2A452503"/>
    <w:rsid w:val="2A457619"/>
    <w:rsid w:val="2A461AE0"/>
    <w:rsid w:val="2A465F84"/>
    <w:rsid w:val="2A4B06F6"/>
    <w:rsid w:val="2A4E7D13"/>
    <w:rsid w:val="2A4F06B7"/>
    <w:rsid w:val="2A502FEB"/>
    <w:rsid w:val="2A5078E5"/>
    <w:rsid w:val="2A552F76"/>
    <w:rsid w:val="2A571F3F"/>
    <w:rsid w:val="2A583579"/>
    <w:rsid w:val="2A600C13"/>
    <w:rsid w:val="2A647809"/>
    <w:rsid w:val="2A6B02A8"/>
    <w:rsid w:val="2A6C52BE"/>
    <w:rsid w:val="2A716218"/>
    <w:rsid w:val="2A71692E"/>
    <w:rsid w:val="2A7228D5"/>
    <w:rsid w:val="2A727C33"/>
    <w:rsid w:val="2A750533"/>
    <w:rsid w:val="2A7538D0"/>
    <w:rsid w:val="2A781B3D"/>
    <w:rsid w:val="2A783C63"/>
    <w:rsid w:val="2A785209"/>
    <w:rsid w:val="2A7A0E29"/>
    <w:rsid w:val="2A7A5C2D"/>
    <w:rsid w:val="2A7C19D1"/>
    <w:rsid w:val="2A7D15DE"/>
    <w:rsid w:val="2A7E6069"/>
    <w:rsid w:val="2A846041"/>
    <w:rsid w:val="2A863051"/>
    <w:rsid w:val="2A8675BA"/>
    <w:rsid w:val="2A88034A"/>
    <w:rsid w:val="2A881DD7"/>
    <w:rsid w:val="2A8A3B98"/>
    <w:rsid w:val="2A8B74D8"/>
    <w:rsid w:val="2A924AAB"/>
    <w:rsid w:val="2A974721"/>
    <w:rsid w:val="2A9817E1"/>
    <w:rsid w:val="2A9845F0"/>
    <w:rsid w:val="2A9A62D0"/>
    <w:rsid w:val="2A9B7773"/>
    <w:rsid w:val="2A9D36CA"/>
    <w:rsid w:val="2A9E06F7"/>
    <w:rsid w:val="2A9E13F0"/>
    <w:rsid w:val="2AA03BFA"/>
    <w:rsid w:val="2AA62658"/>
    <w:rsid w:val="2AAF1D7B"/>
    <w:rsid w:val="2AB42E28"/>
    <w:rsid w:val="2AB74D6A"/>
    <w:rsid w:val="2AB90312"/>
    <w:rsid w:val="2ABD4243"/>
    <w:rsid w:val="2ABF44AF"/>
    <w:rsid w:val="2AC40764"/>
    <w:rsid w:val="2AC670C5"/>
    <w:rsid w:val="2AC9482C"/>
    <w:rsid w:val="2ACA1805"/>
    <w:rsid w:val="2ACF0B2A"/>
    <w:rsid w:val="2ACF254B"/>
    <w:rsid w:val="2ACF7D27"/>
    <w:rsid w:val="2AD17C4D"/>
    <w:rsid w:val="2AD22E02"/>
    <w:rsid w:val="2AD6555A"/>
    <w:rsid w:val="2AD9215F"/>
    <w:rsid w:val="2ADA11FD"/>
    <w:rsid w:val="2ADA1568"/>
    <w:rsid w:val="2ADB4165"/>
    <w:rsid w:val="2AE16896"/>
    <w:rsid w:val="2AE20282"/>
    <w:rsid w:val="2AE2701F"/>
    <w:rsid w:val="2AE333EA"/>
    <w:rsid w:val="2AE46C6D"/>
    <w:rsid w:val="2AE70B9E"/>
    <w:rsid w:val="2AE74AF2"/>
    <w:rsid w:val="2AE83ADE"/>
    <w:rsid w:val="2AE87872"/>
    <w:rsid w:val="2AE930F5"/>
    <w:rsid w:val="2AEF2177"/>
    <w:rsid w:val="2AEF71FD"/>
    <w:rsid w:val="2AF459E0"/>
    <w:rsid w:val="2AF84D34"/>
    <w:rsid w:val="2AFA0B1C"/>
    <w:rsid w:val="2AFC4894"/>
    <w:rsid w:val="2AFE7800"/>
    <w:rsid w:val="2AFE7BD8"/>
    <w:rsid w:val="2B067F52"/>
    <w:rsid w:val="2B097DA7"/>
    <w:rsid w:val="2B0A0D5F"/>
    <w:rsid w:val="2B0C2F93"/>
    <w:rsid w:val="2B0F4266"/>
    <w:rsid w:val="2B107731"/>
    <w:rsid w:val="2B1339FD"/>
    <w:rsid w:val="2B1478F6"/>
    <w:rsid w:val="2B147E30"/>
    <w:rsid w:val="2B151C05"/>
    <w:rsid w:val="2B1610F7"/>
    <w:rsid w:val="2B17347C"/>
    <w:rsid w:val="2B1A07CC"/>
    <w:rsid w:val="2B21319D"/>
    <w:rsid w:val="2B221E6C"/>
    <w:rsid w:val="2B2250C2"/>
    <w:rsid w:val="2B275ED7"/>
    <w:rsid w:val="2B283BFC"/>
    <w:rsid w:val="2B2C0A8C"/>
    <w:rsid w:val="2B334C25"/>
    <w:rsid w:val="2B361B54"/>
    <w:rsid w:val="2B3719C5"/>
    <w:rsid w:val="2B3758CC"/>
    <w:rsid w:val="2B3B187A"/>
    <w:rsid w:val="2B3E2ABE"/>
    <w:rsid w:val="2B3E3B99"/>
    <w:rsid w:val="2B404D1C"/>
    <w:rsid w:val="2B407FEB"/>
    <w:rsid w:val="2B413784"/>
    <w:rsid w:val="2B42499D"/>
    <w:rsid w:val="2B464915"/>
    <w:rsid w:val="2B485D2C"/>
    <w:rsid w:val="2B501978"/>
    <w:rsid w:val="2B503D9E"/>
    <w:rsid w:val="2B522706"/>
    <w:rsid w:val="2B563729"/>
    <w:rsid w:val="2B5E690F"/>
    <w:rsid w:val="2B5F689C"/>
    <w:rsid w:val="2B624AD9"/>
    <w:rsid w:val="2B6B0546"/>
    <w:rsid w:val="2B6D5165"/>
    <w:rsid w:val="2B710CB1"/>
    <w:rsid w:val="2B710DDE"/>
    <w:rsid w:val="2B7358C9"/>
    <w:rsid w:val="2B786611"/>
    <w:rsid w:val="2B7A66E8"/>
    <w:rsid w:val="2B7B2664"/>
    <w:rsid w:val="2B7F799F"/>
    <w:rsid w:val="2B820819"/>
    <w:rsid w:val="2B8313B8"/>
    <w:rsid w:val="2B862E35"/>
    <w:rsid w:val="2B873EF8"/>
    <w:rsid w:val="2B88437A"/>
    <w:rsid w:val="2B8855E7"/>
    <w:rsid w:val="2B8B4429"/>
    <w:rsid w:val="2B911481"/>
    <w:rsid w:val="2B920D55"/>
    <w:rsid w:val="2B9371E3"/>
    <w:rsid w:val="2B942828"/>
    <w:rsid w:val="2B960845"/>
    <w:rsid w:val="2B9845BD"/>
    <w:rsid w:val="2B9B40AD"/>
    <w:rsid w:val="2B9C061A"/>
    <w:rsid w:val="2B9E289E"/>
    <w:rsid w:val="2BA60F2A"/>
    <w:rsid w:val="2BA81518"/>
    <w:rsid w:val="2BA936A8"/>
    <w:rsid w:val="2BAA087A"/>
    <w:rsid w:val="2BAD6949"/>
    <w:rsid w:val="2BB331A5"/>
    <w:rsid w:val="2BB44256"/>
    <w:rsid w:val="2BB4440B"/>
    <w:rsid w:val="2BB4492C"/>
    <w:rsid w:val="2BB52F88"/>
    <w:rsid w:val="2BB673E4"/>
    <w:rsid w:val="2BB807BB"/>
    <w:rsid w:val="2BC40776"/>
    <w:rsid w:val="2BC455B0"/>
    <w:rsid w:val="2BC82F3A"/>
    <w:rsid w:val="2BC83FDD"/>
    <w:rsid w:val="2BCB6ACF"/>
    <w:rsid w:val="2BCC0749"/>
    <w:rsid w:val="2BCC55B5"/>
    <w:rsid w:val="2BCC7832"/>
    <w:rsid w:val="2BCD78C0"/>
    <w:rsid w:val="2BD04781"/>
    <w:rsid w:val="2BD05397"/>
    <w:rsid w:val="2BD12EC2"/>
    <w:rsid w:val="2BD27BD7"/>
    <w:rsid w:val="2BD92E3B"/>
    <w:rsid w:val="2BDB1A75"/>
    <w:rsid w:val="2BDB1BA3"/>
    <w:rsid w:val="2BDB2AE3"/>
    <w:rsid w:val="2BDC28EA"/>
    <w:rsid w:val="2BE27F2E"/>
    <w:rsid w:val="2BEA0B91"/>
    <w:rsid w:val="2BEE01C4"/>
    <w:rsid w:val="2BEF4305"/>
    <w:rsid w:val="2BF3102A"/>
    <w:rsid w:val="2BF81500"/>
    <w:rsid w:val="2BFC5AF1"/>
    <w:rsid w:val="2BFD08C4"/>
    <w:rsid w:val="2BFE6647"/>
    <w:rsid w:val="2BFE6C98"/>
    <w:rsid w:val="2BFE73BA"/>
    <w:rsid w:val="2C0003B4"/>
    <w:rsid w:val="2C057779"/>
    <w:rsid w:val="2C094110"/>
    <w:rsid w:val="2C0B0757"/>
    <w:rsid w:val="2C0B206C"/>
    <w:rsid w:val="2C0B332D"/>
    <w:rsid w:val="2C14316B"/>
    <w:rsid w:val="2C156FDF"/>
    <w:rsid w:val="2C1764C2"/>
    <w:rsid w:val="2C1A3224"/>
    <w:rsid w:val="2C1A6CEA"/>
    <w:rsid w:val="2C202DF2"/>
    <w:rsid w:val="2C22657D"/>
    <w:rsid w:val="2C2940C8"/>
    <w:rsid w:val="2C2C11A9"/>
    <w:rsid w:val="2C2E7758"/>
    <w:rsid w:val="2C3122B9"/>
    <w:rsid w:val="2C315A5A"/>
    <w:rsid w:val="2C332538"/>
    <w:rsid w:val="2C365B84"/>
    <w:rsid w:val="2C3971FB"/>
    <w:rsid w:val="2C3A399C"/>
    <w:rsid w:val="2C420DA8"/>
    <w:rsid w:val="2C432E7E"/>
    <w:rsid w:val="2C444745"/>
    <w:rsid w:val="2C45082A"/>
    <w:rsid w:val="2C471F68"/>
    <w:rsid w:val="2C475230"/>
    <w:rsid w:val="2C4B1C25"/>
    <w:rsid w:val="2C4E2ECE"/>
    <w:rsid w:val="2C5123E6"/>
    <w:rsid w:val="2C5223C6"/>
    <w:rsid w:val="2C534988"/>
    <w:rsid w:val="2C567FD4"/>
    <w:rsid w:val="2C5B070C"/>
    <w:rsid w:val="2C5C1A8E"/>
    <w:rsid w:val="2C620DE5"/>
    <w:rsid w:val="2C637441"/>
    <w:rsid w:val="2C654A37"/>
    <w:rsid w:val="2C6721E1"/>
    <w:rsid w:val="2C695F59"/>
    <w:rsid w:val="2C6B7F24"/>
    <w:rsid w:val="2C6D3C9C"/>
    <w:rsid w:val="2C7129CB"/>
    <w:rsid w:val="2C78619D"/>
    <w:rsid w:val="2C7C5C8D"/>
    <w:rsid w:val="2C7D1A05"/>
    <w:rsid w:val="2C7F56C9"/>
    <w:rsid w:val="2C804246"/>
    <w:rsid w:val="2C820DC9"/>
    <w:rsid w:val="2C8763E0"/>
    <w:rsid w:val="2C8979E0"/>
    <w:rsid w:val="2C8A6AA3"/>
    <w:rsid w:val="2C8D7E9A"/>
    <w:rsid w:val="2C920BF7"/>
    <w:rsid w:val="2C92725E"/>
    <w:rsid w:val="2C927686"/>
    <w:rsid w:val="2C950AFD"/>
    <w:rsid w:val="2C965046"/>
    <w:rsid w:val="2C9C2683"/>
    <w:rsid w:val="2C9F10FD"/>
    <w:rsid w:val="2C9F197B"/>
    <w:rsid w:val="2C9F3729"/>
    <w:rsid w:val="2CA5304B"/>
    <w:rsid w:val="2CAC2C30"/>
    <w:rsid w:val="2CAC2D20"/>
    <w:rsid w:val="2CAC2F9C"/>
    <w:rsid w:val="2CAD5E46"/>
    <w:rsid w:val="2CAE4A0E"/>
    <w:rsid w:val="2CB72433"/>
    <w:rsid w:val="2CBA1D39"/>
    <w:rsid w:val="2CBD1466"/>
    <w:rsid w:val="2CBF1D70"/>
    <w:rsid w:val="2CC359F2"/>
    <w:rsid w:val="2CC455FF"/>
    <w:rsid w:val="2CC802C1"/>
    <w:rsid w:val="2CC80A91"/>
    <w:rsid w:val="2CCB6DE8"/>
    <w:rsid w:val="2CCC3747"/>
    <w:rsid w:val="2CD10A17"/>
    <w:rsid w:val="2CD5161C"/>
    <w:rsid w:val="2CD63174"/>
    <w:rsid w:val="2CD86C3B"/>
    <w:rsid w:val="2CD9363B"/>
    <w:rsid w:val="2CDB4EBB"/>
    <w:rsid w:val="2CDF7FCA"/>
    <w:rsid w:val="2CE649EF"/>
    <w:rsid w:val="2CEA59CC"/>
    <w:rsid w:val="2CEC36FF"/>
    <w:rsid w:val="2CEE4AB3"/>
    <w:rsid w:val="2CEE5473"/>
    <w:rsid w:val="2CF156C9"/>
    <w:rsid w:val="2CF577ED"/>
    <w:rsid w:val="2CF84372"/>
    <w:rsid w:val="2D0223EB"/>
    <w:rsid w:val="2D084693"/>
    <w:rsid w:val="2D0852EE"/>
    <w:rsid w:val="2D0E4FF9"/>
    <w:rsid w:val="2D105F7D"/>
    <w:rsid w:val="2D12214D"/>
    <w:rsid w:val="2D122EB9"/>
    <w:rsid w:val="2D1944EE"/>
    <w:rsid w:val="2D20628D"/>
    <w:rsid w:val="2D227DD1"/>
    <w:rsid w:val="2D236108"/>
    <w:rsid w:val="2D257531"/>
    <w:rsid w:val="2D28510D"/>
    <w:rsid w:val="2D285E15"/>
    <w:rsid w:val="2D297E19"/>
    <w:rsid w:val="2D2B3CB7"/>
    <w:rsid w:val="2D2D6F87"/>
    <w:rsid w:val="2D320A41"/>
    <w:rsid w:val="2D326CFE"/>
    <w:rsid w:val="2D346BD8"/>
    <w:rsid w:val="2D354EB8"/>
    <w:rsid w:val="2D3C00C6"/>
    <w:rsid w:val="2D3C3768"/>
    <w:rsid w:val="2D410C84"/>
    <w:rsid w:val="2D4143AF"/>
    <w:rsid w:val="2D4349FC"/>
    <w:rsid w:val="2D436988"/>
    <w:rsid w:val="2D474412"/>
    <w:rsid w:val="2D4744ED"/>
    <w:rsid w:val="2D482013"/>
    <w:rsid w:val="2D483DC1"/>
    <w:rsid w:val="2D497F94"/>
    <w:rsid w:val="2D4A7B39"/>
    <w:rsid w:val="2D4D2611"/>
    <w:rsid w:val="2D531028"/>
    <w:rsid w:val="2D55028C"/>
    <w:rsid w:val="2D562956"/>
    <w:rsid w:val="2D574004"/>
    <w:rsid w:val="2D5938BF"/>
    <w:rsid w:val="2D5F5CFD"/>
    <w:rsid w:val="2D5F7AEE"/>
    <w:rsid w:val="2D65712B"/>
    <w:rsid w:val="2D6730B5"/>
    <w:rsid w:val="2D690B1A"/>
    <w:rsid w:val="2D691DE4"/>
    <w:rsid w:val="2D6A408E"/>
    <w:rsid w:val="2D6E10CD"/>
    <w:rsid w:val="2D7050C6"/>
    <w:rsid w:val="2D714B55"/>
    <w:rsid w:val="2D727090"/>
    <w:rsid w:val="2D7434A7"/>
    <w:rsid w:val="2D764930"/>
    <w:rsid w:val="2D7822FD"/>
    <w:rsid w:val="2D78668A"/>
    <w:rsid w:val="2D79041E"/>
    <w:rsid w:val="2D7968A6"/>
    <w:rsid w:val="2D7C5178"/>
    <w:rsid w:val="2D7E3C87"/>
    <w:rsid w:val="2D807C69"/>
    <w:rsid w:val="2D824FB8"/>
    <w:rsid w:val="2D825525"/>
    <w:rsid w:val="2D87193E"/>
    <w:rsid w:val="2D875C39"/>
    <w:rsid w:val="2D892B23"/>
    <w:rsid w:val="2D8B7E46"/>
    <w:rsid w:val="2D8E211C"/>
    <w:rsid w:val="2D901D4F"/>
    <w:rsid w:val="2D90677C"/>
    <w:rsid w:val="2D925870"/>
    <w:rsid w:val="2D931FC0"/>
    <w:rsid w:val="2D935106"/>
    <w:rsid w:val="2D946557"/>
    <w:rsid w:val="2D9A265E"/>
    <w:rsid w:val="2D9E1065"/>
    <w:rsid w:val="2D9E56F5"/>
    <w:rsid w:val="2D9F7247"/>
    <w:rsid w:val="2DA01E4F"/>
    <w:rsid w:val="2DA60AE7"/>
    <w:rsid w:val="2DA851F7"/>
    <w:rsid w:val="2DAD00C8"/>
    <w:rsid w:val="2DB17BB8"/>
    <w:rsid w:val="2DB23C7F"/>
    <w:rsid w:val="2DB44B38"/>
    <w:rsid w:val="2DB476A8"/>
    <w:rsid w:val="2DB63420"/>
    <w:rsid w:val="2DB6777A"/>
    <w:rsid w:val="2DB81892"/>
    <w:rsid w:val="2DBA2FCF"/>
    <w:rsid w:val="2DBA4E25"/>
    <w:rsid w:val="2DBB39A9"/>
    <w:rsid w:val="2DC07DFB"/>
    <w:rsid w:val="2DC16C9C"/>
    <w:rsid w:val="2DC16F55"/>
    <w:rsid w:val="2DCA2A28"/>
    <w:rsid w:val="2DCA53AC"/>
    <w:rsid w:val="2DCD42C6"/>
    <w:rsid w:val="2DCE63C1"/>
    <w:rsid w:val="2DCF12C3"/>
    <w:rsid w:val="2DD072B5"/>
    <w:rsid w:val="2DD42233"/>
    <w:rsid w:val="2DD5537A"/>
    <w:rsid w:val="2DE30981"/>
    <w:rsid w:val="2DE4019A"/>
    <w:rsid w:val="2DE46B18"/>
    <w:rsid w:val="2DE47F8D"/>
    <w:rsid w:val="2DE51610"/>
    <w:rsid w:val="2DE56A05"/>
    <w:rsid w:val="2DF45796"/>
    <w:rsid w:val="2DF53F49"/>
    <w:rsid w:val="2DF61A6F"/>
    <w:rsid w:val="2DF8044C"/>
    <w:rsid w:val="2DFA0C10"/>
    <w:rsid w:val="2DFA0F7B"/>
    <w:rsid w:val="2DFB7200"/>
    <w:rsid w:val="2DFF7667"/>
    <w:rsid w:val="2E013307"/>
    <w:rsid w:val="2E0E0B66"/>
    <w:rsid w:val="2E144BAF"/>
    <w:rsid w:val="2E1B2772"/>
    <w:rsid w:val="2E1B7727"/>
    <w:rsid w:val="2E234B41"/>
    <w:rsid w:val="2E290C48"/>
    <w:rsid w:val="2E2D6DDD"/>
    <w:rsid w:val="2E2E2ED2"/>
    <w:rsid w:val="2E355705"/>
    <w:rsid w:val="2E36478B"/>
    <w:rsid w:val="2E37107E"/>
    <w:rsid w:val="2E3A2E51"/>
    <w:rsid w:val="2E3B3926"/>
    <w:rsid w:val="2E3D31FA"/>
    <w:rsid w:val="2E402DEC"/>
    <w:rsid w:val="2E4055AB"/>
    <w:rsid w:val="2E4166E3"/>
    <w:rsid w:val="2E443652"/>
    <w:rsid w:val="2E443808"/>
    <w:rsid w:val="2E474078"/>
    <w:rsid w:val="2E487BA5"/>
    <w:rsid w:val="2E497DF1"/>
    <w:rsid w:val="2E507989"/>
    <w:rsid w:val="2E5172B2"/>
    <w:rsid w:val="2E5D4562"/>
    <w:rsid w:val="2E631781"/>
    <w:rsid w:val="2E6609A2"/>
    <w:rsid w:val="2E667F96"/>
    <w:rsid w:val="2E6952B5"/>
    <w:rsid w:val="2E6D45D8"/>
    <w:rsid w:val="2E6E3675"/>
    <w:rsid w:val="2E717347"/>
    <w:rsid w:val="2E755845"/>
    <w:rsid w:val="2E7859CD"/>
    <w:rsid w:val="2E786928"/>
    <w:rsid w:val="2E791CCC"/>
    <w:rsid w:val="2E7C6418"/>
    <w:rsid w:val="2E7F19D7"/>
    <w:rsid w:val="2E8226AB"/>
    <w:rsid w:val="2E85697C"/>
    <w:rsid w:val="2E857BE9"/>
    <w:rsid w:val="2E871EC5"/>
    <w:rsid w:val="2E8A1F67"/>
    <w:rsid w:val="2E8B07E5"/>
    <w:rsid w:val="2E8E4922"/>
    <w:rsid w:val="2E8F0C1E"/>
    <w:rsid w:val="2E900048"/>
    <w:rsid w:val="2E917F80"/>
    <w:rsid w:val="2E9A2215"/>
    <w:rsid w:val="2E9A4AF0"/>
    <w:rsid w:val="2E9B1469"/>
    <w:rsid w:val="2E9D4B1B"/>
    <w:rsid w:val="2E9F2106"/>
    <w:rsid w:val="2EA0410A"/>
    <w:rsid w:val="2EA14F5F"/>
    <w:rsid w:val="2EA30912"/>
    <w:rsid w:val="2EA77318"/>
    <w:rsid w:val="2EA84BA8"/>
    <w:rsid w:val="2EA85434"/>
    <w:rsid w:val="2EAC6F08"/>
    <w:rsid w:val="2EB054B2"/>
    <w:rsid w:val="2EB34696"/>
    <w:rsid w:val="2EB55486"/>
    <w:rsid w:val="2EB61B31"/>
    <w:rsid w:val="2EB86423"/>
    <w:rsid w:val="2EBA2B22"/>
    <w:rsid w:val="2EBD433B"/>
    <w:rsid w:val="2EBE07DF"/>
    <w:rsid w:val="2EC35DF5"/>
    <w:rsid w:val="2EC706DF"/>
    <w:rsid w:val="2EC97F91"/>
    <w:rsid w:val="2ED31DB0"/>
    <w:rsid w:val="2ED350EC"/>
    <w:rsid w:val="2ED81174"/>
    <w:rsid w:val="2EDA6E9C"/>
    <w:rsid w:val="2EDE49DD"/>
    <w:rsid w:val="2EE01F06"/>
    <w:rsid w:val="2EE144CD"/>
    <w:rsid w:val="2EE572FA"/>
    <w:rsid w:val="2EE70102"/>
    <w:rsid w:val="2EED2E72"/>
    <w:rsid w:val="2EF01665"/>
    <w:rsid w:val="2EF31996"/>
    <w:rsid w:val="2EF361A4"/>
    <w:rsid w:val="2EF84F00"/>
    <w:rsid w:val="2EF91655"/>
    <w:rsid w:val="2EF958DA"/>
    <w:rsid w:val="2EF97A69"/>
    <w:rsid w:val="2EFC1307"/>
    <w:rsid w:val="2F000ED1"/>
    <w:rsid w:val="2F010CAC"/>
    <w:rsid w:val="2F0116F1"/>
    <w:rsid w:val="2F015C6E"/>
    <w:rsid w:val="2F047434"/>
    <w:rsid w:val="2F055134"/>
    <w:rsid w:val="2F05640D"/>
    <w:rsid w:val="2F077C8B"/>
    <w:rsid w:val="2F0E4FE6"/>
    <w:rsid w:val="2F15242A"/>
    <w:rsid w:val="2F1A79DF"/>
    <w:rsid w:val="2F1F6DA3"/>
    <w:rsid w:val="2F20249B"/>
    <w:rsid w:val="2F2909A6"/>
    <w:rsid w:val="2F2B2156"/>
    <w:rsid w:val="2F2B5748"/>
    <w:rsid w:val="2F2D326E"/>
    <w:rsid w:val="2F3738F6"/>
    <w:rsid w:val="2F396D1F"/>
    <w:rsid w:val="2F3A4C5E"/>
    <w:rsid w:val="2F3D76C3"/>
    <w:rsid w:val="2F455F1D"/>
    <w:rsid w:val="2F4D0C2D"/>
    <w:rsid w:val="2F5618ED"/>
    <w:rsid w:val="2F5C5B42"/>
    <w:rsid w:val="2F5E5DC9"/>
    <w:rsid w:val="2F6446E6"/>
    <w:rsid w:val="2F6550C0"/>
    <w:rsid w:val="2F677EE1"/>
    <w:rsid w:val="2F68036F"/>
    <w:rsid w:val="2F6A44C2"/>
    <w:rsid w:val="2F6D385E"/>
    <w:rsid w:val="2F6E5A5D"/>
    <w:rsid w:val="2F705522"/>
    <w:rsid w:val="2F735E66"/>
    <w:rsid w:val="2F744F03"/>
    <w:rsid w:val="2F7467BD"/>
    <w:rsid w:val="2F7B4DDE"/>
    <w:rsid w:val="2F7E2440"/>
    <w:rsid w:val="2F7E3ACA"/>
    <w:rsid w:val="2F804CEE"/>
    <w:rsid w:val="2F810B64"/>
    <w:rsid w:val="2F8A538D"/>
    <w:rsid w:val="2F8C1E45"/>
    <w:rsid w:val="2F8D7364"/>
    <w:rsid w:val="2F90318B"/>
    <w:rsid w:val="2F9067D1"/>
    <w:rsid w:val="2F911A4F"/>
    <w:rsid w:val="2F970416"/>
    <w:rsid w:val="2F972DDE"/>
    <w:rsid w:val="2F972FE7"/>
    <w:rsid w:val="2F990904"/>
    <w:rsid w:val="2F996B56"/>
    <w:rsid w:val="2F9C03F4"/>
    <w:rsid w:val="2FA06136"/>
    <w:rsid w:val="2FA13583"/>
    <w:rsid w:val="2FA27799"/>
    <w:rsid w:val="2FA5723B"/>
    <w:rsid w:val="2FA572A9"/>
    <w:rsid w:val="2FA8482C"/>
    <w:rsid w:val="2FAA1E44"/>
    <w:rsid w:val="2FAB2475"/>
    <w:rsid w:val="2FAF5BAA"/>
    <w:rsid w:val="2FB120F1"/>
    <w:rsid w:val="2FB60CE2"/>
    <w:rsid w:val="2FBE1904"/>
    <w:rsid w:val="2FC01703"/>
    <w:rsid w:val="2FC242FE"/>
    <w:rsid w:val="2FC254E7"/>
    <w:rsid w:val="2FC367EB"/>
    <w:rsid w:val="2FC71915"/>
    <w:rsid w:val="2FC7536F"/>
    <w:rsid w:val="2FC83B44"/>
    <w:rsid w:val="2FCC0CD9"/>
    <w:rsid w:val="2FCC2D1A"/>
    <w:rsid w:val="2FD065E6"/>
    <w:rsid w:val="2FD14C2F"/>
    <w:rsid w:val="2FD16D5D"/>
    <w:rsid w:val="2FD22068"/>
    <w:rsid w:val="2FD9510C"/>
    <w:rsid w:val="2FD96870"/>
    <w:rsid w:val="2FDA6411"/>
    <w:rsid w:val="2FDD4C94"/>
    <w:rsid w:val="2FDF7647"/>
    <w:rsid w:val="2FE46D20"/>
    <w:rsid w:val="2FE50131"/>
    <w:rsid w:val="2FE63DAE"/>
    <w:rsid w:val="2FE83639"/>
    <w:rsid w:val="2FEB68F0"/>
    <w:rsid w:val="2FEB7B4D"/>
    <w:rsid w:val="2FED29FE"/>
    <w:rsid w:val="2FF21B80"/>
    <w:rsid w:val="2FF65D56"/>
    <w:rsid w:val="2FF80CC3"/>
    <w:rsid w:val="2FF95846"/>
    <w:rsid w:val="2FFA3B91"/>
    <w:rsid w:val="2FFB3907"/>
    <w:rsid w:val="2FFB511A"/>
    <w:rsid w:val="2FFC00DB"/>
    <w:rsid w:val="2FFD7CE8"/>
    <w:rsid w:val="30017972"/>
    <w:rsid w:val="3002294D"/>
    <w:rsid w:val="3007473F"/>
    <w:rsid w:val="300B3EF7"/>
    <w:rsid w:val="300C37CC"/>
    <w:rsid w:val="300E33E8"/>
    <w:rsid w:val="30191A45"/>
    <w:rsid w:val="301B57BD"/>
    <w:rsid w:val="301B5CE7"/>
    <w:rsid w:val="301C26FD"/>
    <w:rsid w:val="301D1535"/>
    <w:rsid w:val="301D4299"/>
    <w:rsid w:val="301D649F"/>
    <w:rsid w:val="301D7787"/>
    <w:rsid w:val="301E14CD"/>
    <w:rsid w:val="301F52AD"/>
    <w:rsid w:val="30230610"/>
    <w:rsid w:val="3023097B"/>
    <w:rsid w:val="30231066"/>
    <w:rsid w:val="302A5E34"/>
    <w:rsid w:val="302C79CA"/>
    <w:rsid w:val="3032101E"/>
    <w:rsid w:val="303321F6"/>
    <w:rsid w:val="30354AD0"/>
    <w:rsid w:val="303B2136"/>
    <w:rsid w:val="303D3985"/>
    <w:rsid w:val="303E74EF"/>
    <w:rsid w:val="303F652C"/>
    <w:rsid w:val="303F6C03"/>
    <w:rsid w:val="3041481D"/>
    <w:rsid w:val="30420F9B"/>
    <w:rsid w:val="304545E8"/>
    <w:rsid w:val="3046275B"/>
    <w:rsid w:val="304732FA"/>
    <w:rsid w:val="30474804"/>
    <w:rsid w:val="304940D8"/>
    <w:rsid w:val="304C544B"/>
    <w:rsid w:val="30523594"/>
    <w:rsid w:val="30580BC9"/>
    <w:rsid w:val="30586A11"/>
    <w:rsid w:val="305E4590"/>
    <w:rsid w:val="306339F0"/>
    <w:rsid w:val="30633BBF"/>
    <w:rsid w:val="306727B0"/>
    <w:rsid w:val="306A61E4"/>
    <w:rsid w:val="306B4F17"/>
    <w:rsid w:val="306C5FDC"/>
    <w:rsid w:val="306E1CCD"/>
    <w:rsid w:val="307440EA"/>
    <w:rsid w:val="30752C5C"/>
    <w:rsid w:val="307976F4"/>
    <w:rsid w:val="3089479E"/>
    <w:rsid w:val="308B22B5"/>
    <w:rsid w:val="308C2216"/>
    <w:rsid w:val="309015AF"/>
    <w:rsid w:val="30922964"/>
    <w:rsid w:val="309335A5"/>
    <w:rsid w:val="309A2B85"/>
    <w:rsid w:val="309E4D64"/>
    <w:rsid w:val="309F1F4A"/>
    <w:rsid w:val="30A74C5B"/>
    <w:rsid w:val="30A74FC6"/>
    <w:rsid w:val="30B30F92"/>
    <w:rsid w:val="30B4002F"/>
    <w:rsid w:val="30B67293"/>
    <w:rsid w:val="30BA1E8B"/>
    <w:rsid w:val="30BD6874"/>
    <w:rsid w:val="30BF083E"/>
    <w:rsid w:val="30BF3ADC"/>
    <w:rsid w:val="30C108CE"/>
    <w:rsid w:val="30C235B9"/>
    <w:rsid w:val="30C419B0"/>
    <w:rsid w:val="30C62F4C"/>
    <w:rsid w:val="30C754D6"/>
    <w:rsid w:val="30C8794F"/>
    <w:rsid w:val="30CC711C"/>
    <w:rsid w:val="30D1097F"/>
    <w:rsid w:val="30D51E0F"/>
    <w:rsid w:val="30D81900"/>
    <w:rsid w:val="30DD0CC4"/>
    <w:rsid w:val="30E1593C"/>
    <w:rsid w:val="30E24E48"/>
    <w:rsid w:val="30E82411"/>
    <w:rsid w:val="30E949CD"/>
    <w:rsid w:val="30EA2141"/>
    <w:rsid w:val="30EE0170"/>
    <w:rsid w:val="30EE0767"/>
    <w:rsid w:val="30EE2ED1"/>
    <w:rsid w:val="30EE4C7F"/>
    <w:rsid w:val="30EE67A3"/>
    <w:rsid w:val="30F26836"/>
    <w:rsid w:val="30F46739"/>
    <w:rsid w:val="30F77AE2"/>
    <w:rsid w:val="30FA1876"/>
    <w:rsid w:val="30FC62CE"/>
    <w:rsid w:val="30FD3669"/>
    <w:rsid w:val="30FE1366"/>
    <w:rsid w:val="30FE230E"/>
    <w:rsid w:val="31035B70"/>
    <w:rsid w:val="31056DF8"/>
    <w:rsid w:val="31067002"/>
    <w:rsid w:val="310C3CE5"/>
    <w:rsid w:val="310D77FB"/>
    <w:rsid w:val="310E5FC1"/>
    <w:rsid w:val="31102E48"/>
    <w:rsid w:val="3110348B"/>
    <w:rsid w:val="3112096E"/>
    <w:rsid w:val="3119625B"/>
    <w:rsid w:val="311C0372"/>
    <w:rsid w:val="311C6851"/>
    <w:rsid w:val="311D7D18"/>
    <w:rsid w:val="311E2ED7"/>
    <w:rsid w:val="3124002E"/>
    <w:rsid w:val="312429EA"/>
    <w:rsid w:val="31324444"/>
    <w:rsid w:val="31341609"/>
    <w:rsid w:val="313528AE"/>
    <w:rsid w:val="31374878"/>
    <w:rsid w:val="31374D51"/>
    <w:rsid w:val="313D56FD"/>
    <w:rsid w:val="31440D43"/>
    <w:rsid w:val="314564AC"/>
    <w:rsid w:val="3146720F"/>
    <w:rsid w:val="3148432D"/>
    <w:rsid w:val="314C5739"/>
    <w:rsid w:val="314E4A9B"/>
    <w:rsid w:val="314F6E34"/>
    <w:rsid w:val="3152277A"/>
    <w:rsid w:val="315619EE"/>
    <w:rsid w:val="315840B2"/>
    <w:rsid w:val="315C449C"/>
    <w:rsid w:val="315C608D"/>
    <w:rsid w:val="316136A3"/>
    <w:rsid w:val="31624BBF"/>
    <w:rsid w:val="31642EB0"/>
    <w:rsid w:val="31662A68"/>
    <w:rsid w:val="316A5D8E"/>
    <w:rsid w:val="316C3324"/>
    <w:rsid w:val="3170182D"/>
    <w:rsid w:val="317038E6"/>
    <w:rsid w:val="317258B0"/>
    <w:rsid w:val="31726C9D"/>
    <w:rsid w:val="3175173C"/>
    <w:rsid w:val="317C5755"/>
    <w:rsid w:val="317E045D"/>
    <w:rsid w:val="31894E52"/>
    <w:rsid w:val="318D4877"/>
    <w:rsid w:val="319C0B7F"/>
    <w:rsid w:val="319E4FA8"/>
    <w:rsid w:val="31A11683"/>
    <w:rsid w:val="31A1198D"/>
    <w:rsid w:val="31A17F44"/>
    <w:rsid w:val="31A30923"/>
    <w:rsid w:val="31A70C60"/>
    <w:rsid w:val="31AA0873"/>
    <w:rsid w:val="31AB35D4"/>
    <w:rsid w:val="31AC77B7"/>
    <w:rsid w:val="31AE3A33"/>
    <w:rsid w:val="31AF5092"/>
    <w:rsid w:val="31B201DD"/>
    <w:rsid w:val="31B43718"/>
    <w:rsid w:val="31B4737A"/>
    <w:rsid w:val="31B82709"/>
    <w:rsid w:val="31C3435E"/>
    <w:rsid w:val="31C54516"/>
    <w:rsid w:val="31C64CB7"/>
    <w:rsid w:val="31C816DA"/>
    <w:rsid w:val="31C86712"/>
    <w:rsid w:val="31CB333D"/>
    <w:rsid w:val="31CB6D6E"/>
    <w:rsid w:val="31CC3212"/>
    <w:rsid w:val="31CD35D1"/>
    <w:rsid w:val="31CE04BB"/>
    <w:rsid w:val="31CE6041"/>
    <w:rsid w:val="31CE7B45"/>
    <w:rsid w:val="31D05482"/>
    <w:rsid w:val="31D05607"/>
    <w:rsid w:val="31D10ACA"/>
    <w:rsid w:val="31D71662"/>
    <w:rsid w:val="31DE2F46"/>
    <w:rsid w:val="31E21AC1"/>
    <w:rsid w:val="31E3249B"/>
    <w:rsid w:val="31E65727"/>
    <w:rsid w:val="31E77834"/>
    <w:rsid w:val="31EC042B"/>
    <w:rsid w:val="31EC488C"/>
    <w:rsid w:val="31EC5663"/>
    <w:rsid w:val="31EF5153"/>
    <w:rsid w:val="31F2079F"/>
    <w:rsid w:val="31F43832"/>
    <w:rsid w:val="31F462C5"/>
    <w:rsid w:val="31F6028F"/>
    <w:rsid w:val="31F7161A"/>
    <w:rsid w:val="31F91B2E"/>
    <w:rsid w:val="31FC517A"/>
    <w:rsid w:val="31FD1A5A"/>
    <w:rsid w:val="31FF6116"/>
    <w:rsid w:val="32035AEE"/>
    <w:rsid w:val="3206472E"/>
    <w:rsid w:val="3207424B"/>
    <w:rsid w:val="320831A2"/>
    <w:rsid w:val="320B2452"/>
    <w:rsid w:val="320C3515"/>
    <w:rsid w:val="320F4EAD"/>
    <w:rsid w:val="32110636"/>
    <w:rsid w:val="32111C6A"/>
    <w:rsid w:val="32127369"/>
    <w:rsid w:val="32142838"/>
    <w:rsid w:val="3215190C"/>
    <w:rsid w:val="32170A33"/>
    <w:rsid w:val="32171FB4"/>
    <w:rsid w:val="321751D2"/>
    <w:rsid w:val="32192170"/>
    <w:rsid w:val="321C6473"/>
    <w:rsid w:val="321D581C"/>
    <w:rsid w:val="32201EB1"/>
    <w:rsid w:val="322112BA"/>
    <w:rsid w:val="32240CF8"/>
    <w:rsid w:val="32256095"/>
    <w:rsid w:val="322830C2"/>
    <w:rsid w:val="322E7A29"/>
    <w:rsid w:val="32380BAE"/>
    <w:rsid w:val="323D738C"/>
    <w:rsid w:val="32400B34"/>
    <w:rsid w:val="324377CD"/>
    <w:rsid w:val="324419E7"/>
    <w:rsid w:val="32454D73"/>
    <w:rsid w:val="3248332A"/>
    <w:rsid w:val="32495C16"/>
    <w:rsid w:val="324D01C5"/>
    <w:rsid w:val="324E1809"/>
    <w:rsid w:val="324E3917"/>
    <w:rsid w:val="324F174E"/>
    <w:rsid w:val="32534AFB"/>
    <w:rsid w:val="32543208"/>
    <w:rsid w:val="325B2637"/>
    <w:rsid w:val="325B6344"/>
    <w:rsid w:val="32674CE9"/>
    <w:rsid w:val="32676A3F"/>
    <w:rsid w:val="326E1FE1"/>
    <w:rsid w:val="326F76CF"/>
    <w:rsid w:val="3272726D"/>
    <w:rsid w:val="32774208"/>
    <w:rsid w:val="32774ADB"/>
    <w:rsid w:val="32794A1C"/>
    <w:rsid w:val="327A33B7"/>
    <w:rsid w:val="327B6983"/>
    <w:rsid w:val="327F64D7"/>
    <w:rsid w:val="3280427B"/>
    <w:rsid w:val="328303DD"/>
    <w:rsid w:val="328947D0"/>
    <w:rsid w:val="328C4750"/>
    <w:rsid w:val="329362BA"/>
    <w:rsid w:val="329820EC"/>
    <w:rsid w:val="329E6876"/>
    <w:rsid w:val="32A16C40"/>
    <w:rsid w:val="32A334CA"/>
    <w:rsid w:val="32A36D88"/>
    <w:rsid w:val="32A45FDC"/>
    <w:rsid w:val="32A54325"/>
    <w:rsid w:val="32A945C3"/>
    <w:rsid w:val="32AC0EAB"/>
    <w:rsid w:val="32AF463E"/>
    <w:rsid w:val="32B30C0E"/>
    <w:rsid w:val="32B40A15"/>
    <w:rsid w:val="32B75C71"/>
    <w:rsid w:val="32B90276"/>
    <w:rsid w:val="32BD2B5B"/>
    <w:rsid w:val="32BF4784"/>
    <w:rsid w:val="32C1089D"/>
    <w:rsid w:val="32C17E8E"/>
    <w:rsid w:val="32C65EB4"/>
    <w:rsid w:val="32C94540"/>
    <w:rsid w:val="32CA1D1A"/>
    <w:rsid w:val="32CE0667"/>
    <w:rsid w:val="32CE3F9C"/>
    <w:rsid w:val="32D03D1A"/>
    <w:rsid w:val="32D11349"/>
    <w:rsid w:val="32D16607"/>
    <w:rsid w:val="32D21971"/>
    <w:rsid w:val="32D22AAA"/>
    <w:rsid w:val="32D54349"/>
    <w:rsid w:val="32D560F7"/>
    <w:rsid w:val="32D57EA5"/>
    <w:rsid w:val="32D64AF4"/>
    <w:rsid w:val="32DA54BB"/>
    <w:rsid w:val="32DB132C"/>
    <w:rsid w:val="32DB1C5F"/>
    <w:rsid w:val="32DC1589"/>
    <w:rsid w:val="32DD6DE5"/>
    <w:rsid w:val="32DD76BC"/>
    <w:rsid w:val="32E47AED"/>
    <w:rsid w:val="32EB1216"/>
    <w:rsid w:val="32EC6C98"/>
    <w:rsid w:val="32F01183"/>
    <w:rsid w:val="32F249FD"/>
    <w:rsid w:val="32F32A21"/>
    <w:rsid w:val="32F3657D"/>
    <w:rsid w:val="32F6606D"/>
    <w:rsid w:val="32F675A7"/>
    <w:rsid w:val="32F742BF"/>
    <w:rsid w:val="32FB4834"/>
    <w:rsid w:val="32FF72CE"/>
    <w:rsid w:val="33057AA5"/>
    <w:rsid w:val="330662B0"/>
    <w:rsid w:val="33066B2A"/>
    <w:rsid w:val="33072928"/>
    <w:rsid w:val="33080129"/>
    <w:rsid w:val="33087DBE"/>
    <w:rsid w:val="33090F2A"/>
    <w:rsid w:val="330F332F"/>
    <w:rsid w:val="33171EC4"/>
    <w:rsid w:val="33224DA6"/>
    <w:rsid w:val="33224F6A"/>
    <w:rsid w:val="332605FB"/>
    <w:rsid w:val="332638F5"/>
    <w:rsid w:val="33266952"/>
    <w:rsid w:val="332826CA"/>
    <w:rsid w:val="332C482A"/>
    <w:rsid w:val="332C7FD8"/>
    <w:rsid w:val="332F3C2D"/>
    <w:rsid w:val="333015F2"/>
    <w:rsid w:val="33317CF6"/>
    <w:rsid w:val="33346CC9"/>
    <w:rsid w:val="33346D74"/>
    <w:rsid w:val="33353039"/>
    <w:rsid w:val="333559FB"/>
    <w:rsid w:val="33381FDE"/>
    <w:rsid w:val="3339603D"/>
    <w:rsid w:val="3341553A"/>
    <w:rsid w:val="33417A27"/>
    <w:rsid w:val="33430C1A"/>
    <w:rsid w:val="33456E75"/>
    <w:rsid w:val="334751EA"/>
    <w:rsid w:val="33484B1B"/>
    <w:rsid w:val="33494E33"/>
    <w:rsid w:val="334B30A4"/>
    <w:rsid w:val="334B460B"/>
    <w:rsid w:val="334B6320"/>
    <w:rsid w:val="334C7FB6"/>
    <w:rsid w:val="33503FEE"/>
    <w:rsid w:val="3350577D"/>
    <w:rsid w:val="33521EC0"/>
    <w:rsid w:val="3353526D"/>
    <w:rsid w:val="33541F89"/>
    <w:rsid w:val="3357088F"/>
    <w:rsid w:val="33582884"/>
    <w:rsid w:val="33583DC9"/>
    <w:rsid w:val="336244FF"/>
    <w:rsid w:val="33655BA2"/>
    <w:rsid w:val="336A1CFA"/>
    <w:rsid w:val="336B25B7"/>
    <w:rsid w:val="33712774"/>
    <w:rsid w:val="33730803"/>
    <w:rsid w:val="337376BE"/>
    <w:rsid w:val="337C2A16"/>
    <w:rsid w:val="337C3265"/>
    <w:rsid w:val="337E0C62"/>
    <w:rsid w:val="337E678E"/>
    <w:rsid w:val="3381627F"/>
    <w:rsid w:val="33851415"/>
    <w:rsid w:val="33877B47"/>
    <w:rsid w:val="338B4A07"/>
    <w:rsid w:val="338C3B7D"/>
    <w:rsid w:val="33902D14"/>
    <w:rsid w:val="33915228"/>
    <w:rsid w:val="33964F33"/>
    <w:rsid w:val="339949EA"/>
    <w:rsid w:val="339A5589"/>
    <w:rsid w:val="33A06705"/>
    <w:rsid w:val="33AD2BD0"/>
    <w:rsid w:val="33AD318F"/>
    <w:rsid w:val="33AE4708"/>
    <w:rsid w:val="33AF1889"/>
    <w:rsid w:val="33B64B03"/>
    <w:rsid w:val="33BC7371"/>
    <w:rsid w:val="33BE2FBB"/>
    <w:rsid w:val="33C42996"/>
    <w:rsid w:val="33CE728B"/>
    <w:rsid w:val="33D12D62"/>
    <w:rsid w:val="33D20888"/>
    <w:rsid w:val="33D34E06"/>
    <w:rsid w:val="33D4063A"/>
    <w:rsid w:val="33D44600"/>
    <w:rsid w:val="33D44A17"/>
    <w:rsid w:val="33D934D4"/>
    <w:rsid w:val="33DA33B5"/>
    <w:rsid w:val="33E07D37"/>
    <w:rsid w:val="33E11727"/>
    <w:rsid w:val="33E13A0E"/>
    <w:rsid w:val="33E317AE"/>
    <w:rsid w:val="33E61723"/>
    <w:rsid w:val="33E73E2E"/>
    <w:rsid w:val="33ED6414"/>
    <w:rsid w:val="33F11C49"/>
    <w:rsid w:val="33F15289"/>
    <w:rsid w:val="33F23FBB"/>
    <w:rsid w:val="33F50A6A"/>
    <w:rsid w:val="33F54460"/>
    <w:rsid w:val="33FE2F6A"/>
    <w:rsid w:val="33FE4437"/>
    <w:rsid w:val="33FE7DDA"/>
    <w:rsid w:val="33FF032A"/>
    <w:rsid w:val="33FF585B"/>
    <w:rsid w:val="33FF778B"/>
    <w:rsid w:val="340071A3"/>
    <w:rsid w:val="34030A42"/>
    <w:rsid w:val="34054559"/>
    <w:rsid w:val="34091A0E"/>
    <w:rsid w:val="340C1D01"/>
    <w:rsid w:val="340E07E5"/>
    <w:rsid w:val="340F0C0A"/>
    <w:rsid w:val="34150A37"/>
    <w:rsid w:val="341B5D8B"/>
    <w:rsid w:val="341E1D1F"/>
    <w:rsid w:val="341E6110"/>
    <w:rsid w:val="34235BF7"/>
    <w:rsid w:val="342844A1"/>
    <w:rsid w:val="342A2472"/>
    <w:rsid w:val="342B629B"/>
    <w:rsid w:val="342B6828"/>
    <w:rsid w:val="342C61EA"/>
    <w:rsid w:val="342E1F62"/>
    <w:rsid w:val="342E2D1F"/>
    <w:rsid w:val="34325348"/>
    <w:rsid w:val="34335EE7"/>
    <w:rsid w:val="343478AF"/>
    <w:rsid w:val="3437108B"/>
    <w:rsid w:val="343B70D4"/>
    <w:rsid w:val="343C3F54"/>
    <w:rsid w:val="34473776"/>
    <w:rsid w:val="34473C96"/>
    <w:rsid w:val="344A48C2"/>
    <w:rsid w:val="345346D9"/>
    <w:rsid w:val="34580D8D"/>
    <w:rsid w:val="345B087E"/>
    <w:rsid w:val="345C291E"/>
    <w:rsid w:val="345D372E"/>
    <w:rsid w:val="34657EA4"/>
    <w:rsid w:val="34675FDF"/>
    <w:rsid w:val="346F257B"/>
    <w:rsid w:val="347418D4"/>
    <w:rsid w:val="347B0F20"/>
    <w:rsid w:val="348070AE"/>
    <w:rsid w:val="348A3241"/>
    <w:rsid w:val="348E1C47"/>
    <w:rsid w:val="348F1A15"/>
    <w:rsid w:val="34923CF6"/>
    <w:rsid w:val="34931DC5"/>
    <w:rsid w:val="34976CD4"/>
    <w:rsid w:val="34A45FE9"/>
    <w:rsid w:val="34A80273"/>
    <w:rsid w:val="34AB11F7"/>
    <w:rsid w:val="34AE1C70"/>
    <w:rsid w:val="34AE2A73"/>
    <w:rsid w:val="34AE2FBC"/>
    <w:rsid w:val="34AF4855"/>
    <w:rsid w:val="34B34216"/>
    <w:rsid w:val="34B3484C"/>
    <w:rsid w:val="34B55F89"/>
    <w:rsid w:val="34B61205"/>
    <w:rsid w:val="34B93E0D"/>
    <w:rsid w:val="34BB131C"/>
    <w:rsid w:val="34BF4CAA"/>
    <w:rsid w:val="34C44C99"/>
    <w:rsid w:val="34C931FE"/>
    <w:rsid w:val="34C943A5"/>
    <w:rsid w:val="34D039B6"/>
    <w:rsid w:val="34D0497D"/>
    <w:rsid w:val="34D65F41"/>
    <w:rsid w:val="34D66156"/>
    <w:rsid w:val="34DD6C8D"/>
    <w:rsid w:val="34E00D83"/>
    <w:rsid w:val="34E03C50"/>
    <w:rsid w:val="34E16FD5"/>
    <w:rsid w:val="34E73EBF"/>
    <w:rsid w:val="34ED1C61"/>
    <w:rsid w:val="34EE34A0"/>
    <w:rsid w:val="34F8770E"/>
    <w:rsid w:val="34FA0BAE"/>
    <w:rsid w:val="34FA1E45"/>
    <w:rsid w:val="34FE6BFF"/>
    <w:rsid w:val="350723C1"/>
    <w:rsid w:val="350727B3"/>
    <w:rsid w:val="350D0FEC"/>
    <w:rsid w:val="350E4EC2"/>
    <w:rsid w:val="350E718F"/>
    <w:rsid w:val="35121EA0"/>
    <w:rsid w:val="35127154"/>
    <w:rsid w:val="35133FF2"/>
    <w:rsid w:val="351729F7"/>
    <w:rsid w:val="351829ED"/>
    <w:rsid w:val="351D324F"/>
    <w:rsid w:val="351F3735"/>
    <w:rsid w:val="352443E9"/>
    <w:rsid w:val="352528EA"/>
    <w:rsid w:val="35270097"/>
    <w:rsid w:val="35270760"/>
    <w:rsid w:val="35313D1A"/>
    <w:rsid w:val="35374FBB"/>
    <w:rsid w:val="353B2461"/>
    <w:rsid w:val="353B650D"/>
    <w:rsid w:val="353D22BD"/>
    <w:rsid w:val="353D777D"/>
    <w:rsid w:val="353D7F83"/>
    <w:rsid w:val="353F2826"/>
    <w:rsid w:val="353F29DC"/>
    <w:rsid w:val="35401559"/>
    <w:rsid w:val="35455B73"/>
    <w:rsid w:val="35492DCC"/>
    <w:rsid w:val="354C51AA"/>
    <w:rsid w:val="354D6802"/>
    <w:rsid w:val="354E03E2"/>
    <w:rsid w:val="35542952"/>
    <w:rsid w:val="3555351F"/>
    <w:rsid w:val="355A28E3"/>
    <w:rsid w:val="355A755C"/>
    <w:rsid w:val="355D1673"/>
    <w:rsid w:val="355F614C"/>
    <w:rsid w:val="35600644"/>
    <w:rsid w:val="356130EE"/>
    <w:rsid w:val="35665C24"/>
    <w:rsid w:val="356928AF"/>
    <w:rsid w:val="356C0B3B"/>
    <w:rsid w:val="356D5162"/>
    <w:rsid w:val="356F66DB"/>
    <w:rsid w:val="35703BE5"/>
    <w:rsid w:val="357070B5"/>
    <w:rsid w:val="35747E49"/>
    <w:rsid w:val="357C00B2"/>
    <w:rsid w:val="357F21C9"/>
    <w:rsid w:val="35812566"/>
    <w:rsid w:val="3583008C"/>
    <w:rsid w:val="358362DE"/>
    <w:rsid w:val="35847960"/>
    <w:rsid w:val="35847BDC"/>
    <w:rsid w:val="358955D4"/>
    <w:rsid w:val="358A4672"/>
    <w:rsid w:val="358A4827"/>
    <w:rsid w:val="358B2E3D"/>
    <w:rsid w:val="358C5FA8"/>
    <w:rsid w:val="358E07DF"/>
    <w:rsid w:val="35917C0B"/>
    <w:rsid w:val="359207AA"/>
    <w:rsid w:val="35951B6D"/>
    <w:rsid w:val="359607F3"/>
    <w:rsid w:val="35984814"/>
    <w:rsid w:val="359955FD"/>
    <w:rsid w:val="359E1A84"/>
    <w:rsid w:val="35A10512"/>
    <w:rsid w:val="35A1628C"/>
    <w:rsid w:val="35A53185"/>
    <w:rsid w:val="35A70F55"/>
    <w:rsid w:val="35A973C7"/>
    <w:rsid w:val="35AB2FB9"/>
    <w:rsid w:val="35AC3993"/>
    <w:rsid w:val="35B244CD"/>
    <w:rsid w:val="35B51E9E"/>
    <w:rsid w:val="35B71A6F"/>
    <w:rsid w:val="35B735BB"/>
    <w:rsid w:val="35BA4AAF"/>
    <w:rsid w:val="35BB1203"/>
    <w:rsid w:val="35BC3837"/>
    <w:rsid w:val="35C05806"/>
    <w:rsid w:val="35C15DF1"/>
    <w:rsid w:val="35C27027"/>
    <w:rsid w:val="35C91817"/>
    <w:rsid w:val="35CC51EA"/>
    <w:rsid w:val="35D023FC"/>
    <w:rsid w:val="35D05A62"/>
    <w:rsid w:val="35D119BA"/>
    <w:rsid w:val="35D24B6F"/>
    <w:rsid w:val="35DD538F"/>
    <w:rsid w:val="35DE3514"/>
    <w:rsid w:val="35E328D9"/>
    <w:rsid w:val="35E55944"/>
    <w:rsid w:val="35F5709E"/>
    <w:rsid w:val="35FE7F8F"/>
    <w:rsid w:val="360016DD"/>
    <w:rsid w:val="36074A7F"/>
    <w:rsid w:val="360A255B"/>
    <w:rsid w:val="36127662"/>
    <w:rsid w:val="36131DB6"/>
    <w:rsid w:val="36144F46"/>
    <w:rsid w:val="3615772F"/>
    <w:rsid w:val="36171AA8"/>
    <w:rsid w:val="36173F7F"/>
    <w:rsid w:val="361B0154"/>
    <w:rsid w:val="36251708"/>
    <w:rsid w:val="36266C69"/>
    <w:rsid w:val="36270733"/>
    <w:rsid w:val="3628761B"/>
    <w:rsid w:val="36293C68"/>
    <w:rsid w:val="36296275"/>
    <w:rsid w:val="362F3A74"/>
    <w:rsid w:val="362F3D70"/>
    <w:rsid w:val="3635547B"/>
    <w:rsid w:val="3638291B"/>
    <w:rsid w:val="363A4058"/>
    <w:rsid w:val="363D40BB"/>
    <w:rsid w:val="363D4742"/>
    <w:rsid w:val="36415851"/>
    <w:rsid w:val="364610BA"/>
    <w:rsid w:val="36462E68"/>
    <w:rsid w:val="36491F1D"/>
    <w:rsid w:val="36545C9A"/>
    <w:rsid w:val="365607BB"/>
    <w:rsid w:val="365D08DD"/>
    <w:rsid w:val="365D0BBE"/>
    <w:rsid w:val="36633A19"/>
    <w:rsid w:val="36653C36"/>
    <w:rsid w:val="36680922"/>
    <w:rsid w:val="366C6D72"/>
    <w:rsid w:val="36701DDD"/>
    <w:rsid w:val="36754633"/>
    <w:rsid w:val="36763CE6"/>
    <w:rsid w:val="36774FEB"/>
    <w:rsid w:val="367C7E81"/>
    <w:rsid w:val="367F4CF7"/>
    <w:rsid w:val="367F5432"/>
    <w:rsid w:val="368049F0"/>
    <w:rsid w:val="3684230E"/>
    <w:rsid w:val="368D102E"/>
    <w:rsid w:val="36903146"/>
    <w:rsid w:val="36913CE5"/>
    <w:rsid w:val="36923549"/>
    <w:rsid w:val="369330FD"/>
    <w:rsid w:val="36963DEF"/>
    <w:rsid w:val="369805DD"/>
    <w:rsid w:val="369A0A23"/>
    <w:rsid w:val="369B334E"/>
    <w:rsid w:val="369C6124"/>
    <w:rsid w:val="36A05164"/>
    <w:rsid w:val="36A302BA"/>
    <w:rsid w:val="36A57B46"/>
    <w:rsid w:val="36AD2EE7"/>
    <w:rsid w:val="36B058B7"/>
    <w:rsid w:val="36B24676"/>
    <w:rsid w:val="36B47E71"/>
    <w:rsid w:val="36B67168"/>
    <w:rsid w:val="36B75FBF"/>
    <w:rsid w:val="36B81FB7"/>
    <w:rsid w:val="36B91444"/>
    <w:rsid w:val="36B96E85"/>
    <w:rsid w:val="36BD0C45"/>
    <w:rsid w:val="36C71B83"/>
    <w:rsid w:val="36CA10B6"/>
    <w:rsid w:val="36CA5204"/>
    <w:rsid w:val="36CB4432"/>
    <w:rsid w:val="36CB500A"/>
    <w:rsid w:val="36CC15BF"/>
    <w:rsid w:val="36CC5973"/>
    <w:rsid w:val="36CC5A63"/>
    <w:rsid w:val="36CC7811"/>
    <w:rsid w:val="36CF347B"/>
    <w:rsid w:val="36D026DB"/>
    <w:rsid w:val="36D130B5"/>
    <w:rsid w:val="36D36DF1"/>
    <w:rsid w:val="36D82130"/>
    <w:rsid w:val="36D822E6"/>
    <w:rsid w:val="36DC334F"/>
    <w:rsid w:val="36E67CE5"/>
    <w:rsid w:val="36ED4C29"/>
    <w:rsid w:val="36F16EB3"/>
    <w:rsid w:val="36F21ABA"/>
    <w:rsid w:val="36F9612C"/>
    <w:rsid w:val="36FA13B3"/>
    <w:rsid w:val="36FD79CA"/>
    <w:rsid w:val="36FF7960"/>
    <w:rsid w:val="370074BA"/>
    <w:rsid w:val="370300D4"/>
    <w:rsid w:val="3703155C"/>
    <w:rsid w:val="37054AD1"/>
    <w:rsid w:val="370603D9"/>
    <w:rsid w:val="370624E0"/>
    <w:rsid w:val="37092813"/>
    <w:rsid w:val="370945C1"/>
    <w:rsid w:val="370E5675"/>
    <w:rsid w:val="370F1C03"/>
    <w:rsid w:val="37123D39"/>
    <w:rsid w:val="37135440"/>
    <w:rsid w:val="37136525"/>
    <w:rsid w:val="37146B1C"/>
    <w:rsid w:val="37167D01"/>
    <w:rsid w:val="371A67CE"/>
    <w:rsid w:val="371F7B4F"/>
    <w:rsid w:val="372907BF"/>
    <w:rsid w:val="372B732F"/>
    <w:rsid w:val="372E2279"/>
    <w:rsid w:val="37310A0F"/>
    <w:rsid w:val="37324A70"/>
    <w:rsid w:val="37336783"/>
    <w:rsid w:val="37375C91"/>
    <w:rsid w:val="373C2085"/>
    <w:rsid w:val="373C4996"/>
    <w:rsid w:val="373D2DFA"/>
    <w:rsid w:val="373F4487"/>
    <w:rsid w:val="373F476F"/>
    <w:rsid w:val="374259B8"/>
    <w:rsid w:val="374765BD"/>
    <w:rsid w:val="37476E97"/>
    <w:rsid w:val="37477A8B"/>
    <w:rsid w:val="374970B3"/>
    <w:rsid w:val="374A6F7B"/>
    <w:rsid w:val="374A784C"/>
    <w:rsid w:val="374B2E2B"/>
    <w:rsid w:val="375004A1"/>
    <w:rsid w:val="375717D0"/>
    <w:rsid w:val="375A6BCB"/>
    <w:rsid w:val="375A7D60"/>
    <w:rsid w:val="375A7F25"/>
    <w:rsid w:val="375B525D"/>
    <w:rsid w:val="375F2433"/>
    <w:rsid w:val="37603F8F"/>
    <w:rsid w:val="37641351"/>
    <w:rsid w:val="37660B99"/>
    <w:rsid w:val="3769496C"/>
    <w:rsid w:val="376A3E82"/>
    <w:rsid w:val="376C313E"/>
    <w:rsid w:val="376D693C"/>
    <w:rsid w:val="376F3581"/>
    <w:rsid w:val="376F7781"/>
    <w:rsid w:val="377346DB"/>
    <w:rsid w:val="37742AD5"/>
    <w:rsid w:val="377452C9"/>
    <w:rsid w:val="37751C56"/>
    <w:rsid w:val="37773C20"/>
    <w:rsid w:val="377762DB"/>
    <w:rsid w:val="37785D74"/>
    <w:rsid w:val="377A2081"/>
    <w:rsid w:val="377C1015"/>
    <w:rsid w:val="377E7262"/>
    <w:rsid w:val="37833490"/>
    <w:rsid w:val="37840664"/>
    <w:rsid w:val="37865C12"/>
    <w:rsid w:val="37875B1D"/>
    <w:rsid w:val="378A1A47"/>
    <w:rsid w:val="378C4D7F"/>
    <w:rsid w:val="3793032E"/>
    <w:rsid w:val="379344BE"/>
    <w:rsid w:val="379612FD"/>
    <w:rsid w:val="37977E1F"/>
    <w:rsid w:val="379A72F5"/>
    <w:rsid w:val="37AA40E3"/>
    <w:rsid w:val="37AA4173"/>
    <w:rsid w:val="37AD5068"/>
    <w:rsid w:val="37B0756F"/>
    <w:rsid w:val="37B36F71"/>
    <w:rsid w:val="37B95FE7"/>
    <w:rsid w:val="37BA3B0D"/>
    <w:rsid w:val="37BD1A7F"/>
    <w:rsid w:val="37BF0DEA"/>
    <w:rsid w:val="37C369BD"/>
    <w:rsid w:val="37C443DA"/>
    <w:rsid w:val="37C5270E"/>
    <w:rsid w:val="37C67478"/>
    <w:rsid w:val="37C7432B"/>
    <w:rsid w:val="37CB5D1A"/>
    <w:rsid w:val="37CD3E53"/>
    <w:rsid w:val="37D21D41"/>
    <w:rsid w:val="37D35E22"/>
    <w:rsid w:val="37D63BBF"/>
    <w:rsid w:val="37D72629"/>
    <w:rsid w:val="37D7504F"/>
    <w:rsid w:val="37D913AF"/>
    <w:rsid w:val="37DA5F5D"/>
    <w:rsid w:val="37DF3574"/>
    <w:rsid w:val="37DF5C68"/>
    <w:rsid w:val="37E00298"/>
    <w:rsid w:val="37E33064"/>
    <w:rsid w:val="37E361C3"/>
    <w:rsid w:val="37EA43F2"/>
    <w:rsid w:val="37EB2D52"/>
    <w:rsid w:val="37F065A7"/>
    <w:rsid w:val="37F21C57"/>
    <w:rsid w:val="37F30DCD"/>
    <w:rsid w:val="37F479DA"/>
    <w:rsid w:val="37F555DB"/>
    <w:rsid w:val="37F7095F"/>
    <w:rsid w:val="37F84F35"/>
    <w:rsid w:val="37FA03AE"/>
    <w:rsid w:val="37FA5167"/>
    <w:rsid w:val="37FC2378"/>
    <w:rsid w:val="37FC4DE7"/>
    <w:rsid w:val="38074E65"/>
    <w:rsid w:val="380B4369"/>
    <w:rsid w:val="380D6333"/>
    <w:rsid w:val="38132044"/>
    <w:rsid w:val="38141E4B"/>
    <w:rsid w:val="38145D11"/>
    <w:rsid w:val="38170F5F"/>
    <w:rsid w:val="38176C95"/>
    <w:rsid w:val="381A45AC"/>
    <w:rsid w:val="381C4571"/>
    <w:rsid w:val="381D6354"/>
    <w:rsid w:val="381F1BC2"/>
    <w:rsid w:val="382736AC"/>
    <w:rsid w:val="38293B60"/>
    <w:rsid w:val="382A0958"/>
    <w:rsid w:val="382D2E86"/>
    <w:rsid w:val="382E3860"/>
    <w:rsid w:val="38312021"/>
    <w:rsid w:val="38313FBC"/>
    <w:rsid w:val="38327B47"/>
    <w:rsid w:val="383374BF"/>
    <w:rsid w:val="38342FC3"/>
    <w:rsid w:val="38376939"/>
    <w:rsid w:val="383B014F"/>
    <w:rsid w:val="383C5293"/>
    <w:rsid w:val="383F0A8C"/>
    <w:rsid w:val="38402264"/>
    <w:rsid w:val="3843557B"/>
    <w:rsid w:val="384F24A7"/>
    <w:rsid w:val="385009BF"/>
    <w:rsid w:val="38545D10"/>
    <w:rsid w:val="38571D22"/>
    <w:rsid w:val="385865A1"/>
    <w:rsid w:val="385B52F0"/>
    <w:rsid w:val="385D2E60"/>
    <w:rsid w:val="385D37E7"/>
    <w:rsid w:val="385F7BAD"/>
    <w:rsid w:val="386048C9"/>
    <w:rsid w:val="3861258D"/>
    <w:rsid w:val="38632B5B"/>
    <w:rsid w:val="38643535"/>
    <w:rsid w:val="38654298"/>
    <w:rsid w:val="386A5533"/>
    <w:rsid w:val="386B671F"/>
    <w:rsid w:val="386C070B"/>
    <w:rsid w:val="386D241A"/>
    <w:rsid w:val="386D4BCC"/>
    <w:rsid w:val="386E44F6"/>
    <w:rsid w:val="386E4861"/>
    <w:rsid w:val="38706043"/>
    <w:rsid w:val="38710670"/>
    <w:rsid w:val="38725AAB"/>
    <w:rsid w:val="387700FC"/>
    <w:rsid w:val="387934B7"/>
    <w:rsid w:val="38795776"/>
    <w:rsid w:val="387F4DA4"/>
    <w:rsid w:val="38804D57"/>
    <w:rsid w:val="38806B05"/>
    <w:rsid w:val="3885236D"/>
    <w:rsid w:val="388760E5"/>
    <w:rsid w:val="38896D41"/>
    <w:rsid w:val="388D121E"/>
    <w:rsid w:val="388D1222"/>
    <w:rsid w:val="388E7BD9"/>
    <w:rsid w:val="388F3B0F"/>
    <w:rsid w:val="389032EE"/>
    <w:rsid w:val="38912AC0"/>
    <w:rsid w:val="389655B6"/>
    <w:rsid w:val="389B1DC8"/>
    <w:rsid w:val="389F2071"/>
    <w:rsid w:val="38A236DD"/>
    <w:rsid w:val="38A30A45"/>
    <w:rsid w:val="38A9475B"/>
    <w:rsid w:val="38A9631F"/>
    <w:rsid w:val="38AD5420"/>
    <w:rsid w:val="38AF2F46"/>
    <w:rsid w:val="38B16CBE"/>
    <w:rsid w:val="38B302F9"/>
    <w:rsid w:val="38B35AAD"/>
    <w:rsid w:val="38B72CB1"/>
    <w:rsid w:val="38BB18EB"/>
    <w:rsid w:val="38C01ADF"/>
    <w:rsid w:val="38C2096A"/>
    <w:rsid w:val="38C216EC"/>
    <w:rsid w:val="38CF0F38"/>
    <w:rsid w:val="38CF7268"/>
    <w:rsid w:val="38D01806"/>
    <w:rsid w:val="38D155B2"/>
    <w:rsid w:val="38D34E4A"/>
    <w:rsid w:val="38DC7CD8"/>
    <w:rsid w:val="38DE1A7D"/>
    <w:rsid w:val="38E17D08"/>
    <w:rsid w:val="38E35787"/>
    <w:rsid w:val="38E42223"/>
    <w:rsid w:val="38E91EFC"/>
    <w:rsid w:val="38EA21D0"/>
    <w:rsid w:val="38EC419A"/>
    <w:rsid w:val="38EC5F48"/>
    <w:rsid w:val="38EE1EE1"/>
    <w:rsid w:val="38EF2167"/>
    <w:rsid w:val="38F10EAC"/>
    <w:rsid w:val="38F12CD3"/>
    <w:rsid w:val="38F80803"/>
    <w:rsid w:val="38F94775"/>
    <w:rsid w:val="38FC4989"/>
    <w:rsid w:val="38FE11AE"/>
    <w:rsid w:val="38FE7E8D"/>
    <w:rsid w:val="39003169"/>
    <w:rsid w:val="390037A2"/>
    <w:rsid w:val="39006B4A"/>
    <w:rsid w:val="3905700A"/>
    <w:rsid w:val="390B456C"/>
    <w:rsid w:val="390E5EBF"/>
    <w:rsid w:val="3910621B"/>
    <w:rsid w:val="39113C01"/>
    <w:rsid w:val="391666A3"/>
    <w:rsid w:val="39186D3D"/>
    <w:rsid w:val="391A3B64"/>
    <w:rsid w:val="391B4A7F"/>
    <w:rsid w:val="391C2CC0"/>
    <w:rsid w:val="392971ED"/>
    <w:rsid w:val="392A6A70"/>
    <w:rsid w:val="392A79B1"/>
    <w:rsid w:val="392C27E9"/>
    <w:rsid w:val="39325651"/>
    <w:rsid w:val="393379D8"/>
    <w:rsid w:val="393A4BBC"/>
    <w:rsid w:val="393D29A7"/>
    <w:rsid w:val="393F3D68"/>
    <w:rsid w:val="393F47DD"/>
    <w:rsid w:val="39452EAF"/>
    <w:rsid w:val="39487A70"/>
    <w:rsid w:val="39495F16"/>
    <w:rsid w:val="394A4C3B"/>
    <w:rsid w:val="394D39CC"/>
    <w:rsid w:val="394D5FA5"/>
    <w:rsid w:val="3951450A"/>
    <w:rsid w:val="39520DFD"/>
    <w:rsid w:val="395446BF"/>
    <w:rsid w:val="3958053E"/>
    <w:rsid w:val="395D4EB2"/>
    <w:rsid w:val="39602492"/>
    <w:rsid w:val="396046AE"/>
    <w:rsid w:val="396401D4"/>
    <w:rsid w:val="396430B4"/>
    <w:rsid w:val="39643D30"/>
    <w:rsid w:val="396633F1"/>
    <w:rsid w:val="39691347"/>
    <w:rsid w:val="39693A3D"/>
    <w:rsid w:val="396A1CB4"/>
    <w:rsid w:val="396C04C1"/>
    <w:rsid w:val="396E2E01"/>
    <w:rsid w:val="39736669"/>
    <w:rsid w:val="3975518D"/>
    <w:rsid w:val="397D7CE3"/>
    <w:rsid w:val="3981182F"/>
    <w:rsid w:val="3986639D"/>
    <w:rsid w:val="39887DF1"/>
    <w:rsid w:val="398A7705"/>
    <w:rsid w:val="398C14D9"/>
    <w:rsid w:val="399035CA"/>
    <w:rsid w:val="39932868"/>
    <w:rsid w:val="399A1A1B"/>
    <w:rsid w:val="39A03105"/>
    <w:rsid w:val="39A04ADA"/>
    <w:rsid w:val="39A25466"/>
    <w:rsid w:val="39A405D1"/>
    <w:rsid w:val="39A53B63"/>
    <w:rsid w:val="39A559E5"/>
    <w:rsid w:val="39AA37AD"/>
    <w:rsid w:val="39AB0303"/>
    <w:rsid w:val="39AB70AC"/>
    <w:rsid w:val="39AE76A2"/>
    <w:rsid w:val="39B10FB5"/>
    <w:rsid w:val="39B2192F"/>
    <w:rsid w:val="39BA6041"/>
    <w:rsid w:val="39C576F9"/>
    <w:rsid w:val="39C80E81"/>
    <w:rsid w:val="39C944DB"/>
    <w:rsid w:val="39CA2BC5"/>
    <w:rsid w:val="39CB75E0"/>
    <w:rsid w:val="39CF32B3"/>
    <w:rsid w:val="39D1578E"/>
    <w:rsid w:val="39D25676"/>
    <w:rsid w:val="39D733F3"/>
    <w:rsid w:val="39D80976"/>
    <w:rsid w:val="39DA6378"/>
    <w:rsid w:val="39DB1222"/>
    <w:rsid w:val="39DB1DF9"/>
    <w:rsid w:val="39DE1F09"/>
    <w:rsid w:val="39DE5435"/>
    <w:rsid w:val="39E65C0C"/>
    <w:rsid w:val="39E66E3B"/>
    <w:rsid w:val="39EA2D41"/>
    <w:rsid w:val="39ED4C94"/>
    <w:rsid w:val="39EF620D"/>
    <w:rsid w:val="39F06F70"/>
    <w:rsid w:val="39F50E2C"/>
    <w:rsid w:val="3A015ACD"/>
    <w:rsid w:val="3A0379ED"/>
    <w:rsid w:val="3A040A3F"/>
    <w:rsid w:val="3A0451BC"/>
    <w:rsid w:val="3A0472C2"/>
    <w:rsid w:val="3A0A2948"/>
    <w:rsid w:val="3A0B20C4"/>
    <w:rsid w:val="3A0C5E4C"/>
    <w:rsid w:val="3A0F59AF"/>
    <w:rsid w:val="3A157721"/>
    <w:rsid w:val="3A19526E"/>
    <w:rsid w:val="3A1F40FB"/>
    <w:rsid w:val="3A230C04"/>
    <w:rsid w:val="3A2A31CC"/>
    <w:rsid w:val="3A2B3802"/>
    <w:rsid w:val="3A2C62CC"/>
    <w:rsid w:val="3A2D05C6"/>
    <w:rsid w:val="3A2F66BB"/>
    <w:rsid w:val="3A3052A6"/>
    <w:rsid w:val="3A351B95"/>
    <w:rsid w:val="3A377697"/>
    <w:rsid w:val="3A3B58E5"/>
    <w:rsid w:val="3A3B679F"/>
    <w:rsid w:val="3A3C6A5B"/>
    <w:rsid w:val="3A410516"/>
    <w:rsid w:val="3A42356C"/>
    <w:rsid w:val="3A4D2A17"/>
    <w:rsid w:val="3A4D6EBA"/>
    <w:rsid w:val="3A4D7BC4"/>
    <w:rsid w:val="3A563FC1"/>
    <w:rsid w:val="3A580D7A"/>
    <w:rsid w:val="3A591F05"/>
    <w:rsid w:val="3A5C364C"/>
    <w:rsid w:val="3A647D60"/>
    <w:rsid w:val="3A692962"/>
    <w:rsid w:val="3A6F6E31"/>
    <w:rsid w:val="3A706705"/>
    <w:rsid w:val="3A7252D2"/>
    <w:rsid w:val="3A727012"/>
    <w:rsid w:val="3A7A797D"/>
    <w:rsid w:val="3A7B66B0"/>
    <w:rsid w:val="3A843EB6"/>
    <w:rsid w:val="3A872856"/>
    <w:rsid w:val="3A8A671A"/>
    <w:rsid w:val="3A8B1822"/>
    <w:rsid w:val="3A922B1F"/>
    <w:rsid w:val="3A936FCA"/>
    <w:rsid w:val="3A940645"/>
    <w:rsid w:val="3A947029"/>
    <w:rsid w:val="3A9479A4"/>
    <w:rsid w:val="3A9643BE"/>
    <w:rsid w:val="3A98366A"/>
    <w:rsid w:val="3A9931F9"/>
    <w:rsid w:val="3A9B108B"/>
    <w:rsid w:val="3A9B4436"/>
    <w:rsid w:val="3AA1309A"/>
    <w:rsid w:val="3AA36ADA"/>
    <w:rsid w:val="3AAB6C4F"/>
    <w:rsid w:val="3AAB7DDB"/>
    <w:rsid w:val="3AAD5BAB"/>
    <w:rsid w:val="3AB40624"/>
    <w:rsid w:val="3AB40CE8"/>
    <w:rsid w:val="3AB605BC"/>
    <w:rsid w:val="3AB85DCE"/>
    <w:rsid w:val="3AB94550"/>
    <w:rsid w:val="3AC23405"/>
    <w:rsid w:val="3AC54CA3"/>
    <w:rsid w:val="3AC70A1B"/>
    <w:rsid w:val="3AC76C6D"/>
    <w:rsid w:val="3ACF1C8D"/>
    <w:rsid w:val="3AD0360B"/>
    <w:rsid w:val="3AD14FE6"/>
    <w:rsid w:val="3AD24B9C"/>
    <w:rsid w:val="3AD4138A"/>
    <w:rsid w:val="3AD47F56"/>
    <w:rsid w:val="3AD84480"/>
    <w:rsid w:val="3ADB44C6"/>
    <w:rsid w:val="3ADC2CA1"/>
    <w:rsid w:val="3AE315CD"/>
    <w:rsid w:val="3AEB118A"/>
    <w:rsid w:val="3AEE2AB9"/>
    <w:rsid w:val="3AF01941"/>
    <w:rsid w:val="3AF235BE"/>
    <w:rsid w:val="3AF30024"/>
    <w:rsid w:val="3AF77A09"/>
    <w:rsid w:val="3AFC5FE5"/>
    <w:rsid w:val="3AFD0BD3"/>
    <w:rsid w:val="3AFD268F"/>
    <w:rsid w:val="3B0529E3"/>
    <w:rsid w:val="3B091033"/>
    <w:rsid w:val="3B0E5F4A"/>
    <w:rsid w:val="3B135A0E"/>
    <w:rsid w:val="3B19180F"/>
    <w:rsid w:val="3B1A1659"/>
    <w:rsid w:val="3B1B30D7"/>
    <w:rsid w:val="3B1C5C89"/>
    <w:rsid w:val="3B216A43"/>
    <w:rsid w:val="3B252996"/>
    <w:rsid w:val="3B284357"/>
    <w:rsid w:val="3B36794F"/>
    <w:rsid w:val="3B3763D1"/>
    <w:rsid w:val="3B3A5239"/>
    <w:rsid w:val="3B3D0D0E"/>
    <w:rsid w:val="3B437E53"/>
    <w:rsid w:val="3B441832"/>
    <w:rsid w:val="3B450C3B"/>
    <w:rsid w:val="3B46104B"/>
    <w:rsid w:val="3B464036"/>
    <w:rsid w:val="3B4736B1"/>
    <w:rsid w:val="3B4756B8"/>
    <w:rsid w:val="3B4E564A"/>
    <w:rsid w:val="3B52394A"/>
    <w:rsid w:val="3B542300"/>
    <w:rsid w:val="3B545DE3"/>
    <w:rsid w:val="3B566CE4"/>
    <w:rsid w:val="3B57750E"/>
    <w:rsid w:val="3B590236"/>
    <w:rsid w:val="3B5A5C52"/>
    <w:rsid w:val="3B60677A"/>
    <w:rsid w:val="3B624C93"/>
    <w:rsid w:val="3B63409B"/>
    <w:rsid w:val="3B6C6B34"/>
    <w:rsid w:val="3B6D1809"/>
    <w:rsid w:val="3B6D478E"/>
    <w:rsid w:val="3B70021C"/>
    <w:rsid w:val="3B712389"/>
    <w:rsid w:val="3B726358"/>
    <w:rsid w:val="3B732951"/>
    <w:rsid w:val="3B7346FF"/>
    <w:rsid w:val="3B7641EF"/>
    <w:rsid w:val="3B7906D0"/>
    <w:rsid w:val="3B790CCA"/>
    <w:rsid w:val="3B7C35D0"/>
    <w:rsid w:val="3B7D31C1"/>
    <w:rsid w:val="3B7F4E52"/>
    <w:rsid w:val="3B80008A"/>
    <w:rsid w:val="3B835794"/>
    <w:rsid w:val="3B8620A7"/>
    <w:rsid w:val="3B8706E3"/>
    <w:rsid w:val="3B87516E"/>
    <w:rsid w:val="3B8A5BD4"/>
    <w:rsid w:val="3B9052B1"/>
    <w:rsid w:val="3B922D1B"/>
    <w:rsid w:val="3B96663F"/>
    <w:rsid w:val="3B99523B"/>
    <w:rsid w:val="3B9E50AD"/>
    <w:rsid w:val="3BA13E5B"/>
    <w:rsid w:val="3BA15DCF"/>
    <w:rsid w:val="3BA24FE4"/>
    <w:rsid w:val="3BA66882"/>
    <w:rsid w:val="3BA92989"/>
    <w:rsid w:val="3BAB07ED"/>
    <w:rsid w:val="3BAB2075"/>
    <w:rsid w:val="3BAB3E99"/>
    <w:rsid w:val="3BAF0A7B"/>
    <w:rsid w:val="3BB00D7F"/>
    <w:rsid w:val="3BB22DC0"/>
    <w:rsid w:val="3BB2617C"/>
    <w:rsid w:val="3BB370BB"/>
    <w:rsid w:val="3BB5440F"/>
    <w:rsid w:val="3BB54D17"/>
    <w:rsid w:val="3BB71A7C"/>
    <w:rsid w:val="3BB80364"/>
    <w:rsid w:val="3BB947C9"/>
    <w:rsid w:val="3BBF5B96"/>
    <w:rsid w:val="3BC211E2"/>
    <w:rsid w:val="3BCA3C4D"/>
    <w:rsid w:val="3BCB453B"/>
    <w:rsid w:val="3BCB7CAF"/>
    <w:rsid w:val="3BCD19E7"/>
    <w:rsid w:val="3BCE402B"/>
    <w:rsid w:val="3BD322AF"/>
    <w:rsid w:val="3BD55437"/>
    <w:rsid w:val="3BD70274"/>
    <w:rsid w:val="3BD74C8E"/>
    <w:rsid w:val="3BDB4DC2"/>
    <w:rsid w:val="3BDD7435"/>
    <w:rsid w:val="3BDE2894"/>
    <w:rsid w:val="3BDF29C5"/>
    <w:rsid w:val="3BE123A1"/>
    <w:rsid w:val="3BE4538A"/>
    <w:rsid w:val="3BE60C08"/>
    <w:rsid w:val="3BE60DBD"/>
    <w:rsid w:val="3BE61375"/>
    <w:rsid w:val="3BE72D8B"/>
    <w:rsid w:val="3BEC6400"/>
    <w:rsid w:val="3BF770DE"/>
    <w:rsid w:val="3BFB7A0F"/>
    <w:rsid w:val="3BFC64A2"/>
    <w:rsid w:val="3BFD114C"/>
    <w:rsid w:val="3BFE07FA"/>
    <w:rsid w:val="3BFF58F9"/>
    <w:rsid w:val="3C005BAC"/>
    <w:rsid w:val="3C033842"/>
    <w:rsid w:val="3C035A0C"/>
    <w:rsid w:val="3C0435A9"/>
    <w:rsid w:val="3C045F86"/>
    <w:rsid w:val="3C047A4D"/>
    <w:rsid w:val="3C074E88"/>
    <w:rsid w:val="3C08498D"/>
    <w:rsid w:val="3C08753D"/>
    <w:rsid w:val="3C0B5911"/>
    <w:rsid w:val="3C0D0E14"/>
    <w:rsid w:val="3C0D3E8F"/>
    <w:rsid w:val="3C0D4B53"/>
    <w:rsid w:val="3C137C90"/>
    <w:rsid w:val="3C1501DD"/>
    <w:rsid w:val="3C161724"/>
    <w:rsid w:val="3C1E0B0E"/>
    <w:rsid w:val="3C1F3252"/>
    <w:rsid w:val="3C211F85"/>
    <w:rsid w:val="3C263F3D"/>
    <w:rsid w:val="3C2A63A2"/>
    <w:rsid w:val="3C2D7DA5"/>
    <w:rsid w:val="3C2E550F"/>
    <w:rsid w:val="3C2F6E1E"/>
    <w:rsid w:val="3C303AB8"/>
    <w:rsid w:val="3C304A35"/>
    <w:rsid w:val="3C320116"/>
    <w:rsid w:val="3C340CD4"/>
    <w:rsid w:val="3C35598B"/>
    <w:rsid w:val="3C373E57"/>
    <w:rsid w:val="3C3C60E0"/>
    <w:rsid w:val="3C3D77CB"/>
    <w:rsid w:val="3C45321E"/>
    <w:rsid w:val="3C463BC1"/>
    <w:rsid w:val="3C467402"/>
    <w:rsid w:val="3C4916DE"/>
    <w:rsid w:val="3C4D4F50"/>
    <w:rsid w:val="3C4F64BA"/>
    <w:rsid w:val="3C5417B3"/>
    <w:rsid w:val="3C552A9F"/>
    <w:rsid w:val="3C560822"/>
    <w:rsid w:val="3C592D62"/>
    <w:rsid w:val="3C5A3112"/>
    <w:rsid w:val="3C5D13CA"/>
    <w:rsid w:val="3C5E5CBD"/>
    <w:rsid w:val="3C626204"/>
    <w:rsid w:val="3C643A21"/>
    <w:rsid w:val="3C6605CE"/>
    <w:rsid w:val="3C665361"/>
    <w:rsid w:val="3C674EC1"/>
    <w:rsid w:val="3C683B38"/>
    <w:rsid w:val="3C68688C"/>
    <w:rsid w:val="3C6978B0"/>
    <w:rsid w:val="3C74072E"/>
    <w:rsid w:val="3C740F54"/>
    <w:rsid w:val="3C7F70D3"/>
    <w:rsid w:val="3C8343DC"/>
    <w:rsid w:val="3C8368C4"/>
    <w:rsid w:val="3C8440D2"/>
    <w:rsid w:val="3C850B8E"/>
    <w:rsid w:val="3C8D6BCF"/>
    <w:rsid w:val="3C9056B7"/>
    <w:rsid w:val="3C936023"/>
    <w:rsid w:val="3C97266F"/>
    <w:rsid w:val="3C99459C"/>
    <w:rsid w:val="3CA42C54"/>
    <w:rsid w:val="3CA52FDE"/>
    <w:rsid w:val="3CAA05F4"/>
    <w:rsid w:val="3CAB079C"/>
    <w:rsid w:val="3CB034FE"/>
    <w:rsid w:val="3CB67377"/>
    <w:rsid w:val="3CBC56FE"/>
    <w:rsid w:val="3CBE5CDB"/>
    <w:rsid w:val="3CBE720A"/>
    <w:rsid w:val="3CC03974"/>
    <w:rsid w:val="3CC35212"/>
    <w:rsid w:val="3CCD0DB9"/>
    <w:rsid w:val="3CD43F35"/>
    <w:rsid w:val="3CD704DD"/>
    <w:rsid w:val="3CDA245A"/>
    <w:rsid w:val="3CDA2F3F"/>
    <w:rsid w:val="3CDA4CE5"/>
    <w:rsid w:val="3CE01FB4"/>
    <w:rsid w:val="3CE04016"/>
    <w:rsid w:val="3CE355F4"/>
    <w:rsid w:val="3CEB2A8A"/>
    <w:rsid w:val="3CED04E1"/>
    <w:rsid w:val="3CEE2AEC"/>
    <w:rsid w:val="3CF17FD1"/>
    <w:rsid w:val="3CF70A12"/>
    <w:rsid w:val="3CF81D16"/>
    <w:rsid w:val="3CF950D8"/>
    <w:rsid w:val="3CFF5E1E"/>
    <w:rsid w:val="3D006466"/>
    <w:rsid w:val="3D0106F2"/>
    <w:rsid w:val="3D026DA3"/>
    <w:rsid w:val="3D0300A8"/>
    <w:rsid w:val="3D066DC4"/>
    <w:rsid w:val="3D0754BF"/>
    <w:rsid w:val="3D080047"/>
    <w:rsid w:val="3D0D06A1"/>
    <w:rsid w:val="3D0E16F8"/>
    <w:rsid w:val="3D16040F"/>
    <w:rsid w:val="3D163266"/>
    <w:rsid w:val="3D18170C"/>
    <w:rsid w:val="3D1A51DB"/>
    <w:rsid w:val="3D1D0DC6"/>
    <w:rsid w:val="3D1D4484"/>
    <w:rsid w:val="3D1E06B7"/>
    <w:rsid w:val="3D207130"/>
    <w:rsid w:val="3D2427C1"/>
    <w:rsid w:val="3D246119"/>
    <w:rsid w:val="3D295627"/>
    <w:rsid w:val="3D2D6B2F"/>
    <w:rsid w:val="3D2F488F"/>
    <w:rsid w:val="3D31435C"/>
    <w:rsid w:val="3D346230"/>
    <w:rsid w:val="3D346BE7"/>
    <w:rsid w:val="3D3659E4"/>
    <w:rsid w:val="3D37507E"/>
    <w:rsid w:val="3D385850"/>
    <w:rsid w:val="3D3A2780"/>
    <w:rsid w:val="3D3E2AEA"/>
    <w:rsid w:val="3D440462"/>
    <w:rsid w:val="3D440617"/>
    <w:rsid w:val="3D514278"/>
    <w:rsid w:val="3D526599"/>
    <w:rsid w:val="3D5642D8"/>
    <w:rsid w:val="3D5D7415"/>
    <w:rsid w:val="3D60593D"/>
    <w:rsid w:val="3D612BD3"/>
    <w:rsid w:val="3D63386C"/>
    <w:rsid w:val="3D6764E5"/>
    <w:rsid w:val="3D6C1197"/>
    <w:rsid w:val="3D6D1752"/>
    <w:rsid w:val="3D6E0D11"/>
    <w:rsid w:val="3D6F15AA"/>
    <w:rsid w:val="3D710E39"/>
    <w:rsid w:val="3D714C6E"/>
    <w:rsid w:val="3D717B8B"/>
    <w:rsid w:val="3D752E8E"/>
    <w:rsid w:val="3D7959A4"/>
    <w:rsid w:val="3D803103"/>
    <w:rsid w:val="3D8B4D69"/>
    <w:rsid w:val="3D8C4327"/>
    <w:rsid w:val="3D8C44DD"/>
    <w:rsid w:val="3D8F130B"/>
    <w:rsid w:val="3D9170BE"/>
    <w:rsid w:val="3D97431C"/>
    <w:rsid w:val="3D987913"/>
    <w:rsid w:val="3D997DD2"/>
    <w:rsid w:val="3D9A7321"/>
    <w:rsid w:val="3D9D3B42"/>
    <w:rsid w:val="3DA23528"/>
    <w:rsid w:val="3DAA0DF1"/>
    <w:rsid w:val="3DAA497A"/>
    <w:rsid w:val="3DAF01C0"/>
    <w:rsid w:val="3DB17760"/>
    <w:rsid w:val="3DB334D8"/>
    <w:rsid w:val="3DB44648"/>
    <w:rsid w:val="3DBB6E98"/>
    <w:rsid w:val="3DBB765C"/>
    <w:rsid w:val="3DBD7EB3"/>
    <w:rsid w:val="3DBE142F"/>
    <w:rsid w:val="3DBE75AD"/>
    <w:rsid w:val="3DBF59D9"/>
    <w:rsid w:val="3DC3734E"/>
    <w:rsid w:val="3DC41242"/>
    <w:rsid w:val="3DC546AF"/>
    <w:rsid w:val="3DC555CC"/>
    <w:rsid w:val="3DC5629B"/>
    <w:rsid w:val="3DCD6C0E"/>
    <w:rsid w:val="3DD05E38"/>
    <w:rsid w:val="3DD33817"/>
    <w:rsid w:val="3DD40558"/>
    <w:rsid w:val="3DD408C3"/>
    <w:rsid w:val="3DDD0DA2"/>
    <w:rsid w:val="3DE13E4D"/>
    <w:rsid w:val="3DE550F2"/>
    <w:rsid w:val="3DE71DF7"/>
    <w:rsid w:val="3DE9090D"/>
    <w:rsid w:val="3DEA0F04"/>
    <w:rsid w:val="3DEA67CE"/>
    <w:rsid w:val="3DEB4836"/>
    <w:rsid w:val="3DEB7C6F"/>
    <w:rsid w:val="3DEC5CC6"/>
    <w:rsid w:val="3DEE05E6"/>
    <w:rsid w:val="3DF05AD7"/>
    <w:rsid w:val="3DF243FA"/>
    <w:rsid w:val="3DF902CA"/>
    <w:rsid w:val="3DFE308E"/>
    <w:rsid w:val="3E014244"/>
    <w:rsid w:val="3E0569D1"/>
    <w:rsid w:val="3E0A667E"/>
    <w:rsid w:val="3E0D055A"/>
    <w:rsid w:val="3E1000F5"/>
    <w:rsid w:val="3E127363"/>
    <w:rsid w:val="3E143768"/>
    <w:rsid w:val="3E155F41"/>
    <w:rsid w:val="3E164CD4"/>
    <w:rsid w:val="3E194CE3"/>
    <w:rsid w:val="3E1A1532"/>
    <w:rsid w:val="3E1E34BB"/>
    <w:rsid w:val="3E1F291C"/>
    <w:rsid w:val="3E1F3CF7"/>
    <w:rsid w:val="3E224C7C"/>
    <w:rsid w:val="3E2326FD"/>
    <w:rsid w:val="3E2A7D12"/>
    <w:rsid w:val="3E2B3E7E"/>
    <w:rsid w:val="3E2E2B5F"/>
    <w:rsid w:val="3E310271"/>
    <w:rsid w:val="3E353EED"/>
    <w:rsid w:val="3E391E19"/>
    <w:rsid w:val="3E3948A1"/>
    <w:rsid w:val="3E405DDA"/>
    <w:rsid w:val="3E422926"/>
    <w:rsid w:val="3E425114"/>
    <w:rsid w:val="3E42660A"/>
    <w:rsid w:val="3E433B0B"/>
    <w:rsid w:val="3E4458D5"/>
    <w:rsid w:val="3E467DCB"/>
    <w:rsid w:val="3E4800C5"/>
    <w:rsid w:val="3E4C37AA"/>
    <w:rsid w:val="3E4E48DF"/>
    <w:rsid w:val="3E500D27"/>
    <w:rsid w:val="3E5476F2"/>
    <w:rsid w:val="3E566026"/>
    <w:rsid w:val="3E5666FD"/>
    <w:rsid w:val="3E57579A"/>
    <w:rsid w:val="3E576115"/>
    <w:rsid w:val="3E59580C"/>
    <w:rsid w:val="3E5A3954"/>
    <w:rsid w:val="3E5B59F5"/>
    <w:rsid w:val="3E5E1696"/>
    <w:rsid w:val="3E602FB4"/>
    <w:rsid w:val="3E622522"/>
    <w:rsid w:val="3E6447EC"/>
    <w:rsid w:val="3E650803"/>
    <w:rsid w:val="3E677320"/>
    <w:rsid w:val="3E6B56AB"/>
    <w:rsid w:val="3E6B790F"/>
    <w:rsid w:val="3E6C60CF"/>
    <w:rsid w:val="3E7512D1"/>
    <w:rsid w:val="3E774506"/>
    <w:rsid w:val="3E7D063E"/>
    <w:rsid w:val="3E8168DD"/>
    <w:rsid w:val="3E833FCF"/>
    <w:rsid w:val="3E8C212D"/>
    <w:rsid w:val="3E90381A"/>
    <w:rsid w:val="3E92283C"/>
    <w:rsid w:val="3E9522AF"/>
    <w:rsid w:val="3E952BDE"/>
    <w:rsid w:val="3E9926CE"/>
    <w:rsid w:val="3E9A0A99"/>
    <w:rsid w:val="3E9B4698"/>
    <w:rsid w:val="3E9E2AE3"/>
    <w:rsid w:val="3E9F580B"/>
    <w:rsid w:val="3EA15020"/>
    <w:rsid w:val="3EA451FF"/>
    <w:rsid w:val="3EA572C5"/>
    <w:rsid w:val="3EAA16DD"/>
    <w:rsid w:val="3EAE5A4E"/>
    <w:rsid w:val="3EAF2D25"/>
    <w:rsid w:val="3EAF3CA0"/>
    <w:rsid w:val="3EB30313"/>
    <w:rsid w:val="3EB62F71"/>
    <w:rsid w:val="3EBA43F3"/>
    <w:rsid w:val="3EBC2E9F"/>
    <w:rsid w:val="3EBC4E7A"/>
    <w:rsid w:val="3EBD28FC"/>
    <w:rsid w:val="3EBE2135"/>
    <w:rsid w:val="3EC14A41"/>
    <w:rsid w:val="3EC27CA4"/>
    <w:rsid w:val="3EC6070F"/>
    <w:rsid w:val="3EC60FE9"/>
    <w:rsid w:val="3EC6723B"/>
    <w:rsid w:val="3ECB0A8C"/>
    <w:rsid w:val="3ECE110E"/>
    <w:rsid w:val="3ED03C16"/>
    <w:rsid w:val="3ED86AC7"/>
    <w:rsid w:val="3EDA0523"/>
    <w:rsid w:val="3EDA2307"/>
    <w:rsid w:val="3EE65CBF"/>
    <w:rsid w:val="3EE73740"/>
    <w:rsid w:val="3EE8492E"/>
    <w:rsid w:val="3EEC6CA2"/>
    <w:rsid w:val="3EF04BF2"/>
    <w:rsid w:val="3EF26282"/>
    <w:rsid w:val="3EF5367D"/>
    <w:rsid w:val="3EF617FB"/>
    <w:rsid w:val="3EF71B45"/>
    <w:rsid w:val="3EFB5137"/>
    <w:rsid w:val="3EFF207E"/>
    <w:rsid w:val="3F0355EF"/>
    <w:rsid w:val="3F043BAC"/>
    <w:rsid w:val="3F0538C0"/>
    <w:rsid w:val="3F0F346C"/>
    <w:rsid w:val="3F104BA9"/>
    <w:rsid w:val="3F132476"/>
    <w:rsid w:val="3F181D11"/>
    <w:rsid w:val="3F19380F"/>
    <w:rsid w:val="3F197792"/>
    <w:rsid w:val="3F1A2A0D"/>
    <w:rsid w:val="3F1B7587"/>
    <w:rsid w:val="3F1C50AD"/>
    <w:rsid w:val="3F1F5199"/>
    <w:rsid w:val="3F253F62"/>
    <w:rsid w:val="3F2830F9"/>
    <w:rsid w:val="3F2C130C"/>
    <w:rsid w:val="3F2D4CD5"/>
    <w:rsid w:val="3F306D25"/>
    <w:rsid w:val="3F395C5F"/>
    <w:rsid w:val="3F3F2C65"/>
    <w:rsid w:val="3F433A5A"/>
    <w:rsid w:val="3F4347D5"/>
    <w:rsid w:val="3F450160"/>
    <w:rsid w:val="3F4B21EC"/>
    <w:rsid w:val="3F4E2026"/>
    <w:rsid w:val="3F584337"/>
    <w:rsid w:val="3F595EAF"/>
    <w:rsid w:val="3F5C76FF"/>
    <w:rsid w:val="3F5C78B4"/>
    <w:rsid w:val="3F5D194E"/>
    <w:rsid w:val="3F5E7474"/>
    <w:rsid w:val="3F632CDC"/>
    <w:rsid w:val="3F634A8A"/>
    <w:rsid w:val="3F6928FF"/>
    <w:rsid w:val="3F6A5E19"/>
    <w:rsid w:val="3F6D1D26"/>
    <w:rsid w:val="3F744629"/>
    <w:rsid w:val="3F7520AA"/>
    <w:rsid w:val="3F757858"/>
    <w:rsid w:val="3F770A3D"/>
    <w:rsid w:val="3F79605C"/>
    <w:rsid w:val="3F7A3E2D"/>
    <w:rsid w:val="3F85098C"/>
    <w:rsid w:val="3F850EA5"/>
    <w:rsid w:val="3F8B424E"/>
    <w:rsid w:val="3F8B72DF"/>
    <w:rsid w:val="3F8D2662"/>
    <w:rsid w:val="3F903F59"/>
    <w:rsid w:val="3F9133A5"/>
    <w:rsid w:val="3F934A87"/>
    <w:rsid w:val="3F9C138B"/>
    <w:rsid w:val="3F9C67EE"/>
    <w:rsid w:val="3F9D450B"/>
    <w:rsid w:val="3F9E0000"/>
    <w:rsid w:val="3F9E326F"/>
    <w:rsid w:val="3F9F6F85"/>
    <w:rsid w:val="3FA42F82"/>
    <w:rsid w:val="3FA51CB3"/>
    <w:rsid w:val="3FA62662"/>
    <w:rsid w:val="3FAA5E53"/>
    <w:rsid w:val="3FB3410E"/>
    <w:rsid w:val="3FB4145C"/>
    <w:rsid w:val="3FB44AD4"/>
    <w:rsid w:val="3FB44E3F"/>
    <w:rsid w:val="3FB558BF"/>
    <w:rsid w:val="3FB96101"/>
    <w:rsid w:val="3FBC2F4A"/>
    <w:rsid w:val="3FBD23EC"/>
    <w:rsid w:val="3FC2057E"/>
    <w:rsid w:val="3FC36BDA"/>
    <w:rsid w:val="3FD249E5"/>
    <w:rsid w:val="3FD30B2E"/>
    <w:rsid w:val="3FD55759"/>
    <w:rsid w:val="3FD768CC"/>
    <w:rsid w:val="3FDD2F01"/>
    <w:rsid w:val="3FDF4CAD"/>
    <w:rsid w:val="3FE16D38"/>
    <w:rsid w:val="3FE23C01"/>
    <w:rsid w:val="3FE55BE1"/>
    <w:rsid w:val="3FE7577B"/>
    <w:rsid w:val="3FEC69F0"/>
    <w:rsid w:val="3FED763F"/>
    <w:rsid w:val="3FEE25A6"/>
    <w:rsid w:val="3FEE6372"/>
    <w:rsid w:val="3FEE64F1"/>
    <w:rsid w:val="3FEE6A4A"/>
    <w:rsid w:val="3FF15277"/>
    <w:rsid w:val="3FF403FA"/>
    <w:rsid w:val="3FF638FD"/>
    <w:rsid w:val="3FF658FE"/>
    <w:rsid w:val="3FF67181"/>
    <w:rsid w:val="3FF9638C"/>
    <w:rsid w:val="3FFA0F4B"/>
    <w:rsid w:val="3FFB2596"/>
    <w:rsid w:val="3FFF2A05"/>
    <w:rsid w:val="40004E92"/>
    <w:rsid w:val="400242A3"/>
    <w:rsid w:val="40161AFD"/>
    <w:rsid w:val="40197335"/>
    <w:rsid w:val="401C35B7"/>
    <w:rsid w:val="401C5365"/>
    <w:rsid w:val="401D5D3B"/>
    <w:rsid w:val="40250D1A"/>
    <w:rsid w:val="40261ECE"/>
    <w:rsid w:val="40277950"/>
    <w:rsid w:val="402978A4"/>
    <w:rsid w:val="402D25AD"/>
    <w:rsid w:val="40343568"/>
    <w:rsid w:val="403B0335"/>
    <w:rsid w:val="403E2FEC"/>
    <w:rsid w:val="40413A51"/>
    <w:rsid w:val="40425F7B"/>
    <w:rsid w:val="4044604D"/>
    <w:rsid w:val="404B17A6"/>
    <w:rsid w:val="4050004D"/>
    <w:rsid w:val="40554C35"/>
    <w:rsid w:val="40554F9C"/>
    <w:rsid w:val="4057269D"/>
    <w:rsid w:val="40580367"/>
    <w:rsid w:val="40596D74"/>
    <w:rsid w:val="405A40DF"/>
    <w:rsid w:val="405A774E"/>
    <w:rsid w:val="405D441D"/>
    <w:rsid w:val="405F2FA3"/>
    <w:rsid w:val="40621819"/>
    <w:rsid w:val="40630F8D"/>
    <w:rsid w:val="40632F94"/>
    <w:rsid w:val="406A5E3B"/>
    <w:rsid w:val="40704A37"/>
    <w:rsid w:val="4070745F"/>
    <w:rsid w:val="40722652"/>
    <w:rsid w:val="407351B3"/>
    <w:rsid w:val="40764E14"/>
    <w:rsid w:val="40774C91"/>
    <w:rsid w:val="40784565"/>
    <w:rsid w:val="4079618D"/>
    <w:rsid w:val="407A208B"/>
    <w:rsid w:val="407A6407"/>
    <w:rsid w:val="407A6D2B"/>
    <w:rsid w:val="407B1C4F"/>
    <w:rsid w:val="407D392A"/>
    <w:rsid w:val="407D5EA9"/>
    <w:rsid w:val="407E58A4"/>
    <w:rsid w:val="407F1BFB"/>
    <w:rsid w:val="408056BB"/>
    <w:rsid w:val="40830988"/>
    <w:rsid w:val="40843D3F"/>
    <w:rsid w:val="408611C6"/>
    <w:rsid w:val="40861EE7"/>
    <w:rsid w:val="40966FE5"/>
    <w:rsid w:val="40980764"/>
    <w:rsid w:val="409A0980"/>
    <w:rsid w:val="409A6309"/>
    <w:rsid w:val="40A435AC"/>
    <w:rsid w:val="40A8309D"/>
    <w:rsid w:val="40AA19AE"/>
    <w:rsid w:val="40AE7C64"/>
    <w:rsid w:val="40B00C26"/>
    <w:rsid w:val="40B27740"/>
    <w:rsid w:val="40B732E0"/>
    <w:rsid w:val="40B7360A"/>
    <w:rsid w:val="40BA66CD"/>
    <w:rsid w:val="40BA692C"/>
    <w:rsid w:val="40BA6DA3"/>
    <w:rsid w:val="40C17CBA"/>
    <w:rsid w:val="40C21D4C"/>
    <w:rsid w:val="40C33A32"/>
    <w:rsid w:val="40C81736"/>
    <w:rsid w:val="40C90EAA"/>
    <w:rsid w:val="40C913D4"/>
    <w:rsid w:val="40CC3328"/>
    <w:rsid w:val="40D23C76"/>
    <w:rsid w:val="40D24EFC"/>
    <w:rsid w:val="40D40AD0"/>
    <w:rsid w:val="40D432EC"/>
    <w:rsid w:val="40D62FCA"/>
    <w:rsid w:val="40D73786"/>
    <w:rsid w:val="40E4515D"/>
    <w:rsid w:val="40E6154C"/>
    <w:rsid w:val="40ED32DF"/>
    <w:rsid w:val="40EF6094"/>
    <w:rsid w:val="40F16B34"/>
    <w:rsid w:val="40F46B54"/>
    <w:rsid w:val="40F61110"/>
    <w:rsid w:val="40F65079"/>
    <w:rsid w:val="40FA572A"/>
    <w:rsid w:val="40FB0537"/>
    <w:rsid w:val="40FB7928"/>
    <w:rsid w:val="40FC5196"/>
    <w:rsid w:val="4100432A"/>
    <w:rsid w:val="41012622"/>
    <w:rsid w:val="410142A2"/>
    <w:rsid w:val="41091CFF"/>
    <w:rsid w:val="410E3E35"/>
    <w:rsid w:val="411E6BE3"/>
    <w:rsid w:val="411F7EE8"/>
    <w:rsid w:val="41284F74"/>
    <w:rsid w:val="412A3AB2"/>
    <w:rsid w:val="412D686F"/>
    <w:rsid w:val="412F0F7D"/>
    <w:rsid w:val="41322966"/>
    <w:rsid w:val="41326E0A"/>
    <w:rsid w:val="41336B88"/>
    <w:rsid w:val="41390524"/>
    <w:rsid w:val="413C37E5"/>
    <w:rsid w:val="413E6D3C"/>
    <w:rsid w:val="41485AB3"/>
    <w:rsid w:val="41536A5A"/>
    <w:rsid w:val="41545805"/>
    <w:rsid w:val="41550275"/>
    <w:rsid w:val="41572C26"/>
    <w:rsid w:val="415732DC"/>
    <w:rsid w:val="415901C6"/>
    <w:rsid w:val="415C59E7"/>
    <w:rsid w:val="415D64DE"/>
    <w:rsid w:val="41646408"/>
    <w:rsid w:val="41650DF3"/>
    <w:rsid w:val="41650F8E"/>
    <w:rsid w:val="41676AB4"/>
    <w:rsid w:val="416A5F0A"/>
    <w:rsid w:val="416B7C26"/>
    <w:rsid w:val="416C39BC"/>
    <w:rsid w:val="416D1BF0"/>
    <w:rsid w:val="416E7E42"/>
    <w:rsid w:val="41733FD7"/>
    <w:rsid w:val="417C1E33"/>
    <w:rsid w:val="417D0085"/>
    <w:rsid w:val="41801E32"/>
    <w:rsid w:val="418036D2"/>
    <w:rsid w:val="4181639C"/>
    <w:rsid w:val="418307B3"/>
    <w:rsid w:val="41840582"/>
    <w:rsid w:val="41847666"/>
    <w:rsid w:val="418532EA"/>
    <w:rsid w:val="41884FF2"/>
    <w:rsid w:val="418D5DEE"/>
    <w:rsid w:val="418F7DB9"/>
    <w:rsid w:val="41932BA9"/>
    <w:rsid w:val="41932DDF"/>
    <w:rsid w:val="41954E34"/>
    <w:rsid w:val="41975BD6"/>
    <w:rsid w:val="41994793"/>
    <w:rsid w:val="419B52F9"/>
    <w:rsid w:val="419C4335"/>
    <w:rsid w:val="41A15C12"/>
    <w:rsid w:val="41A171BC"/>
    <w:rsid w:val="41A24CB0"/>
    <w:rsid w:val="41A33B98"/>
    <w:rsid w:val="41A33F03"/>
    <w:rsid w:val="41A7268E"/>
    <w:rsid w:val="41A8516E"/>
    <w:rsid w:val="41AE46E3"/>
    <w:rsid w:val="41AF6845"/>
    <w:rsid w:val="41B25E54"/>
    <w:rsid w:val="41B4781F"/>
    <w:rsid w:val="41B63597"/>
    <w:rsid w:val="41B65954"/>
    <w:rsid w:val="41BC5D72"/>
    <w:rsid w:val="41C2018E"/>
    <w:rsid w:val="41C31810"/>
    <w:rsid w:val="41C51F3F"/>
    <w:rsid w:val="41C6236B"/>
    <w:rsid w:val="41C7590A"/>
    <w:rsid w:val="41C90376"/>
    <w:rsid w:val="41C95079"/>
    <w:rsid w:val="41CF1D2F"/>
    <w:rsid w:val="41CF4659"/>
    <w:rsid w:val="41D349E5"/>
    <w:rsid w:val="41D81760"/>
    <w:rsid w:val="41DB6DDA"/>
    <w:rsid w:val="41DE379E"/>
    <w:rsid w:val="41DF4108"/>
    <w:rsid w:val="41E06264"/>
    <w:rsid w:val="41E14722"/>
    <w:rsid w:val="41E21304"/>
    <w:rsid w:val="41E27AF9"/>
    <w:rsid w:val="41E55C2A"/>
    <w:rsid w:val="41EA0B75"/>
    <w:rsid w:val="41EB681A"/>
    <w:rsid w:val="41EC7387"/>
    <w:rsid w:val="41F77652"/>
    <w:rsid w:val="41FE3CD2"/>
    <w:rsid w:val="41FF4F3E"/>
    <w:rsid w:val="4200449D"/>
    <w:rsid w:val="42022339"/>
    <w:rsid w:val="420641FD"/>
    <w:rsid w:val="420724F0"/>
    <w:rsid w:val="420A5259"/>
    <w:rsid w:val="420A6797"/>
    <w:rsid w:val="420B5C33"/>
    <w:rsid w:val="420E33D3"/>
    <w:rsid w:val="42111E62"/>
    <w:rsid w:val="42145E76"/>
    <w:rsid w:val="42176CD4"/>
    <w:rsid w:val="421901A8"/>
    <w:rsid w:val="421B135F"/>
    <w:rsid w:val="421F113C"/>
    <w:rsid w:val="421F2EEA"/>
    <w:rsid w:val="421F738E"/>
    <w:rsid w:val="421F79F9"/>
    <w:rsid w:val="42266472"/>
    <w:rsid w:val="42287095"/>
    <w:rsid w:val="422A188F"/>
    <w:rsid w:val="422A4836"/>
    <w:rsid w:val="422B7AE1"/>
    <w:rsid w:val="422C351D"/>
    <w:rsid w:val="42334885"/>
    <w:rsid w:val="42334BE8"/>
    <w:rsid w:val="4235280B"/>
    <w:rsid w:val="423762A7"/>
    <w:rsid w:val="42397786"/>
    <w:rsid w:val="423A3BCC"/>
    <w:rsid w:val="423B3A9C"/>
    <w:rsid w:val="42402E61"/>
    <w:rsid w:val="42421590"/>
    <w:rsid w:val="4242307D"/>
    <w:rsid w:val="42425A2A"/>
    <w:rsid w:val="42437045"/>
    <w:rsid w:val="42461C3A"/>
    <w:rsid w:val="424726D6"/>
    <w:rsid w:val="424E02AD"/>
    <w:rsid w:val="424E57D2"/>
    <w:rsid w:val="424F7CB9"/>
    <w:rsid w:val="425B07E9"/>
    <w:rsid w:val="425E1FC5"/>
    <w:rsid w:val="425E3E67"/>
    <w:rsid w:val="426258BF"/>
    <w:rsid w:val="4262727B"/>
    <w:rsid w:val="426351F5"/>
    <w:rsid w:val="4265277D"/>
    <w:rsid w:val="42707BEA"/>
    <w:rsid w:val="42710A18"/>
    <w:rsid w:val="42724929"/>
    <w:rsid w:val="42764C16"/>
    <w:rsid w:val="42770F78"/>
    <w:rsid w:val="42796B56"/>
    <w:rsid w:val="427A7A29"/>
    <w:rsid w:val="427B4921"/>
    <w:rsid w:val="427C72C7"/>
    <w:rsid w:val="427D0CCE"/>
    <w:rsid w:val="427D66D0"/>
    <w:rsid w:val="4280593C"/>
    <w:rsid w:val="42817701"/>
    <w:rsid w:val="42847921"/>
    <w:rsid w:val="42861CE4"/>
    <w:rsid w:val="42876CE2"/>
    <w:rsid w:val="428A2D72"/>
    <w:rsid w:val="428B2688"/>
    <w:rsid w:val="428C475C"/>
    <w:rsid w:val="428C5620"/>
    <w:rsid w:val="428D254A"/>
    <w:rsid w:val="428D7B68"/>
    <w:rsid w:val="428E32D4"/>
    <w:rsid w:val="428F32FC"/>
    <w:rsid w:val="4292190E"/>
    <w:rsid w:val="429566D2"/>
    <w:rsid w:val="42980EEF"/>
    <w:rsid w:val="429A4C67"/>
    <w:rsid w:val="429A6B0D"/>
    <w:rsid w:val="429E0EC5"/>
    <w:rsid w:val="429E219E"/>
    <w:rsid w:val="429F0E23"/>
    <w:rsid w:val="429F227D"/>
    <w:rsid w:val="42A22417"/>
    <w:rsid w:val="42A3501F"/>
    <w:rsid w:val="42A67168"/>
    <w:rsid w:val="42A76A5F"/>
    <w:rsid w:val="42A950BB"/>
    <w:rsid w:val="42AD50EE"/>
    <w:rsid w:val="42B06238"/>
    <w:rsid w:val="42B26C49"/>
    <w:rsid w:val="42B37AD7"/>
    <w:rsid w:val="42B51B98"/>
    <w:rsid w:val="42B64197"/>
    <w:rsid w:val="42B7058F"/>
    <w:rsid w:val="42B95ACD"/>
    <w:rsid w:val="42BB570A"/>
    <w:rsid w:val="42BD668F"/>
    <w:rsid w:val="42BF39C1"/>
    <w:rsid w:val="42CA554C"/>
    <w:rsid w:val="42CD0EA8"/>
    <w:rsid w:val="42D261AF"/>
    <w:rsid w:val="42D40833"/>
    <w:rsid w:val="42D45294"/>
    <w:rsid w:val="42D47364"/>
    <w:rsid w:val="42D60722"/>
    <w:rsid w:val="42DA493A"/>
    <w:rsid w:val="42E10668"/>
    <w:rsid w:val="42E30D3A"/>
    <w:rsid w:val="42E3216A"/>
    <w:rsid w:val="42E346A1"/>
    <w:rsid w:val="42E365EE"/>
    <w:rsid w:val="42E4524A"/>
    <w:rsid w:val="42E859D2"/>
    <w:rsid w:val="42EA174A"/>
    <w:rsid w:val="42F0224E"/>
    <w:rsid w:val="42F06635"/>
    <w:rsid w:val="42F27ED7"/>
    <w:rsid w:val="42F41CBF"/>
    <w:rsid w:val="42FC6174"/>
    <w:rsid w:val="43003087"/>
    <w:rsid w:val="43030A5E"/>
    <w:rsid w:val="43040332"/>
    <w:rsid w:val="43090FA9"/>
    <w:rsid w:val="430F476C"/>
    <w:rsid w:val="430F4FD8"/>
    <w:rsid w:val="43105F3B"/>
    <w:rsid w:val="431274B4"/>
    <w:rsid w:val="43150313"/>
    <w:rsid w:val="43192030"/>
    <w:rsid w:val="431B61D5"/>
    <w:rsid w:val="43210CDB"/>
    <w:rsid w:val="43212240"/>
    <w:rsid w:val="43217283"/>
    <w:rsid w:val="432A3781"/>
    <w:rsid w:val="432A4378"/>
    <w:rsid w:val="432B35CB"/>
    <w:rsid w:val="432E265D"/>
    <w:rsid w:val="432F53AF"/>
    <w:rsid w:val="43365B6E"/>
    <w:rsid w:val="433A6FE6"/>
    <w:rsid w:val="43454BD3"/>
    <w:rsid w:val="43480868"/>
    <w:rsid w:val="434C1C7B"/>
    <w:rsid w:val="4350713C"/>
    <w:rsid w:val="435968D0"/>
    <w:rsid w:val="435B3CBE"/>
    <w:rsid w:val="435D4EAD"/>
    <w:rsid w:val="435E7881"/>
    <w:rsid w:val="43614A62"/>
    <w:rsid w:val="43617533"/>
    <w:rsid w:val="436337CE"/>
    <w:rsid w:val="436533AE"/>
    <w:rsid w:val="436612A5"/>
    <w:rsid w:val="436653E0"/>
    <w:rsid w:val="436C1C33"/>
    <w:rsid w:val="436F49F9"/>
    <w:rsid w:val="43721740"/>
    <w:rsid w:val="43737490"/>
    <w:rsid w:val="43790D20"/>
    <w:rsid w:val="437B4D47"/>
    <w:rsid w:val="437F1D8F"/>
    <w:rsid w:val="43811E23"/>
    <w:rsid w:val="43821597"/>
    <w:rsid w:val="43884ABF"/>
    <w:rsid w:val="438A6CDC"/>
    <w:rsid w:val="438C790B"/>
    <w:rsid w:val="438D20D6"/>
    <w:rsid w:val="43903853"/>
    <w:rsid w:val="43904600"/>
    <w:rsid w:val="439148A0"/>
    <w:rsid w:val="4391606A"/>
    <w:rsid w:val="439508F1"/>
    <w:rsid w:val="43973DF4"/>
    <w:rsid w:val="4399229E"/>
    <w:rsid w:val="43A10F2E"/>
    <w:rsid w:val="43A65530"/>
    <w:rsid w:val="43AC0629"/>
    <w:rsid w:val="43AE44D6"/>
    <w:rsid w:val="43AE78AB"/>
    <w:rsid w:val="43B72C56"/>
    <w:rsid w:val="43B753A5"/>
    <w:rsid w:val="43BF1735"/>
    <w:rsid w:val="43C15F14"/>
    <w:rsid w:val="43C4431A"/>
    <w:rsid w:val="43CC70A2"/>
    <w:rsid w:val="43CD118E"/>
    <w:rsid w:val="43CE2E1A"/>
    <w:rsid w:val="43CE4E0C"/>
    <w:rsid w:val="43D16732"/>
    <w:rsid w:val="43D27A55"/>
    <w:rsid w:val="43D321DE"/>
    <w:rsid w:val="43DE482C"/>
    <w:rsid w:val="43E06D85"/>
    <w:rsid w:val="43E50447"/>
    <w:rsid w:val="43E901E7"/>
    <w:rsid w:val="43EA0B03"/>
    <w:rsid w:val="43EB1B46"/>
    <w:rsid w:val="43EC14F2"/>
    <w:rsid w:val="43EE12FB"/>
    <w:rsid w:val="43EE4803"/>
    <w:rsid w:val="43F06CA6"/>
    <w:rsid w:val="43F32EA9"/>
    <w:rsid w:val="43F4011A"/>
    <w:rsid w:val="43F565F9"/>
    <w:rsid w:val="43FA2168"/>
    <w:rsid w:val="43FC6FC6"/>
    <w:rsid w:val="43FD3798"/>
    <w:rsid w:val="44027C20"/>
    <w:rsid w:val="44052591"/>
    <w:rsid w:val="44116024"/>
    <w:rsid w:val="44173EC7"/>
    <w:rsid w:val="441A154C"/>
    <w:rsid w:val="441A1ED8"/>
    <w:rsid w:val="441B2AC5"/>
    <w:rsid w:val="441B3B85"/>
    <w:rsid w:val="441F4394"/>
    <w:rsid w:val="44283AC1"/>
    <w:rsid w:val="44284660"/>
    <w:rsid w:val="442A5B77"/>
    <w:rsid w:val="442C1630"/>
    <w:rsid w:val="44357120"/>
    <w:rsid w:val="443B107F"/>
    <w:rsid w:val="443C2A7C"/>
    <w:rsid w:val="443E0F82"/>
    <w:rsid w:val="44403BC7"/>
    <w:rsid w:val="444162D1"/>
    <w:rsid w:val="44444E8A"/>
    <w:rsid w:val="44450C02"/>
    <w:rsid w:val="444E3E15"/>
    <w:rsid w:val="44522184"/>
    <w:rsid w:val="445960B0"/>
    <w:rsid w:val="445A46AE"/>
    <w:rsid w:val="445B4E7C"/>
    <w:rsid w:val="446A1BCE"/>
    <w:rsid w:val="446A6C18"/>
    <w:rsid w:val="446C1C14"/>
    <w:rsid w:val="446C4B9D"/>
    <w:rsid w:val="446D6703"/>
    <w:rsid w:val="447031FA"/>
    <w:rsid w:val="44713757"/>
    <w:rsid w:val="4471603A"/>
    <w:rsid w:val="447211D8"/>
    <w:rsid w:val="4473520F"/>
    <w:rsid w:val="447500EF"/>
    <w:rsid w:val="44777ED7"/>
    <w:rsid w:val="447C7F33"/>
    <w:rsid w:val="447D6881"/>
    <w:rsid w:val="447F2366"/>
    <w:rsid w:val="44882904"/>
    <w:rsid w:val="448C1D82"/>
    <w:rsid w:val="448C3955"/>
    <w:rsid w:val="448D57F7"/>
    <w:rsid w:val="449000D0"/>
    <w:rsid w:val="44911354"/>
    <w:rsid w:val="44913E48"/>
    <w:rsid w:val="44921D2E"/>
    <w:rsid w:val="44962692"/>
    <w:rsid w:val="449649FB"/>
    <w:rsid w:val="44A5030F"/>
    <w:rsid w:val="44A57033"/>
    <w:rsid w:val="44A744A4"/>
    <w:rsid w:val="44AB453E"/>
    <w:rsid w:val="44AB666E"/>
    <w:rsid w:val="44AC1A15"/>
    <w:rsid w:val="44AF7030"/>
    <w:rsid w:val="44B32407"/>
    <w:rsid w:val="44B32772"/>
    <w:rsid w:val="44B860D9"/>
    <w:rsid w:val="44B951CC"/>
    <w:rsid w:val="44B96AB4"/>
    <w:rsid w:val="44BF2763"/>
    <w:rsid w:val="44BF5846"/>
    <w:rsid w:val="44C241A2"/>
    <w:rsid w:val="44C2450D"/>
    <w:rsid w:val="44C3067C"/>
    <w:rsid w:val="44C42B6A"/>
    <w:rsid w:val="44C63AF1"/>
    <w:rsid w:val="44C77996"/>
    <w:rsid w:val="44CB1108"/>
    <w:rsid w:val="44CD14E0"/>
    <w:rsid w:val="44D37891"/>
    <w:rsid w:val="44D53D34"/>
    <w:rsid w:val="44D559FA"/>
    <w:rsid w:val="44D66CFF"/>
    <w:rsid w:val="44DB5385"/>
    <w:rsid w:val="44E03839"/>
    <w:rsid w:val="44EA1BDA"/>
    <w:rsid w:val="44EF700C"/>
    <w:rsid w:val="44F06DC0"/>
    <w:rsid w:val="44F20B0B"/>
    <w:rsid w:val="44F63EA4"/>
    <w:rsid w:val="44F71434"/>
    <w:rsid w:val="44F74ACF"/>
    <w:rsid w:val="44FD4C93"/>
    <w:rsid w:val="45006C2A"/>
    <w:rsid w:val="45067A1F"/>
    <w:rsid w:val="450A0588"/>
    <w:rsid w:val="45102FBE"/>
    <w:rsid w:val="45120AE5"/>
    <w:rsid w:val="45141DD1"/>
    <w:rsid w:val="45156827"/>
    <w:rsid w:val="45176708"/>
    <w:rsid w:val="451924DA"/>
    <w:rsid w:val="45196317"/>
    <w:rsid w:val="451A1A98"/>
    <w:rsid w:val="452120BB"/>
    <w:rsid w:val="452151CC"/>
    <w:rsid w:val="452756F8"/>
    <w:rsid w:val="45283D54"/>
    <w:rsid w:val="452B7DF8"/>
    <w:rsid w:val="452E5F4C"/>
    <w:rsid w:val="452F78E8"/>
    <w:rsid w:val="45322F35"/>
    <w:rsid w:val="45366C08"/>
    <w:rsid w:val="4537102D"/>
    <w:rsid w:val="45375E5B"/>
    <w:rsid w:val="453A628D"/>
    <w:rsid w:val="454347E2"/>
    <w:rsid w:val="454D7C42"/>
    <w:rsid w:val="4550160D"/>
    <w:rsid w:val="45505343"/>
    <w:rsid w:val="4554273F"/>
    <w:rsid w:val="45552589"/>
    <w:rsid w:val="455E01CE"/>
    <w:rsid w:val="455E3D2A"/>
    <w:rsid w:val="45612018"/>
    <w:rsid w:val="45634BB1"/>
    <w:rsid w:val="4565155C"/>
    <w:rsid w:val="456B6447"/>
    <w:rsid w:val="456C4C74"/>
    <w:rsid w:val="457412D9"/>
    <w:rsid w:val="45790B64"/>
    <w:rsid w:val="457E7663"/>
    <w:rsid w:val="45801ED6"/>
    <w:rsid w:val="45842685"/>
    <w:rsid w:val="458946E9"/>
    <w:rsid w:val="458A4224"/>
    <w:rsid w:val="458D5460"/>
    <w:rsid w:val="45900801"/>
    <w:rsid w:val="459267E2"/>
    <w:rsid w:val="459656C5"/>
    <w:rsid w:val="459F70F8"/>
    <w:rsid w:val="45A16D05"/>
    <w:rsid w:val="45A47C0E"/>
    <w:rsid w:val="45A97F18"/>
    <w:rsid w:val="45AB2CE7"/>
    <w:rsid w:val="45AB5068"/>
    <w:rsid w:val="45AE315F"/>
    <w:rsid w:val="45AE4881"/>
    <w:rsid w:val="45AF7F4A"/>
    <w:rsid w:val="45B15221"/>
    <w:rsid w:val="45BB73CE"/>
    <w:rsid w:val="45BC54BB"/>
    <w:rsid w:val="45C134FB"/>
    <w:rsid w:val="45C5024D"/>
    <w:rsid w:val="45C50DEF"/>
    <w:rsid w:val="45C6385F"/>
    <w:rsid w:val="45C7444D"/>
    <w:rsid w:val="45CA7AAB"/>
    <w:rsid w:val="45D3296A"/>
    <w:rsid w:val="45D36751"/>
    <w:rsid w:val="45D71243"/>
    <w:rsid w:val="45D73ADC"/>
    <w:rsid w:val="45DA0569"/>
    <w:rsid w:val="45E200A9"/>
    <w:rsid w:val="45E306D3"/>
    <w:rsid w:val="45E5215E"/>
    <w:rsid w:val="45E5397D"/>
    <w:rsid w:val="45E61A88"/>
    <w:rsid w:val="45E9646F"/>
    <w:rsid w:val="45F03E8E"/>
    <w:rsid w:val="45F0744B"/>
    <w:rsid w:val="45F14B9E"/>
    <w:rsid w:val="45F27B9E"/>
    <w:rsid w:val="45F96148"/>
    <w:rsid w:val="45FD6761"/>
    <w:rsid w:val="45FD6E07"/>
    <w:rsid w:val="46007541"/>
    <w:rsid w:val="460237E1"/>
    <w:rsid w:val="460348D1"/>
    <w:rsid w:val="4607616F"/>
    <w:rsid w:val="46084EAD"/>
    <w:rsid w:val="460C34F8"/>
    <w:rsid w:val="460F2D79"/>
    <w:rsid w:val="460F771A"/>
    <w:rsid w:val="46102858"/>
    <w:rsid w:val="46103B49"/>
    <w:rsid w:val="46120C85"/>
    <w:rsid w:val="46146ADE"/>
    <w:rsid w:val="46160AA8"/>
    <w:rsid w:val="461865CE"/>
    <w:rsid w:val="461B1C1B"/>
    <w:rsid w:val="461B7E6D"/>
    <w:rsid w:val="46206CE3"/>
    <w:rsid w:val="4622764B"/>
    <w:rsid w:val="46252A2C"/>
    <w:rsid w:val="462E5DF2"/>
    <w:rsid w:val="462F5277"/>
    <w:rsid w:val="463B4047"/>
    <w:rsid w:val="463F4088"/>
    <w:rsid w:val="46454EEA"/>
    <w:rsid w:val="464B2FDE"/>
    <w:rsid w:val="464B77C6"/>
    <w:rsid w:val="464C1EC6"/>
    <w:rsid w:val="464F0AEA"/>
    <w:rsid w:val="464F1A25"/>
    <w:rsid w:val="465025C4"/>
    <w:rsid w:val="46534F71"/>
    <w:rsid w:val="465700F4"/>
    <w:rsid w:val="46577FD6"/>
    <w:rsid w:val="46582153"/>
    <w:rsid w:val="465950E5"/>
    <w:rsid w:val="465A16C3"/>
    <w:rsid w:val="465D24C1"/>
    <w:rsid w:val="465E3B36"/>
    <w:rsid w:val="46623CEE"/>
    <w:rsid w:val="46652C8D"/>
    <w:rsid w:val="466730B2"/>
    <w:rsid w:val="46674E60"/>
    <w:rsid w:val="46690194"/>
    <w:rsid w:val="46694C00"/>
    <w:rsid w:val="46696E2A"/>
    <w:rsid w:val="466F11C7"/>
    <w:rsid w:val="4670640B"/>
    <w:rsid w:val="4675052F"/>
    <w:rsid w:val="46755232"/>
    <w:rsid w:val="46786335"/>
    <w:rsid w:val="46794D72"/>
    <w:rsid w:val="46797035"/>
    <w:rsid w:val="467C28B2"/>
    <w:rsid w:val="467C2B9E"/>
    <w:rsid w:val="46816D3A"/>
    <w:rsid w:val="4682042B"/>
    <w:rsid w:val="46853ACF"/>
    <w:rsid w:val="468E61A0"/>
    <w:rsid w:val="468F19EB"/>
    <w:rsid w:val="469278E5"/>
    <w:rsid w:val="46940620"/>
    <w:rsid w:val="46942157"/>
    <w:rsid w:val="46966420"/>
    <w:rsid w:val="46971BE9"/>
    <w:rsid w:val="4698326B"/>
    <w:rsid w:val="469A6FE4"/>
    <w:rsid w:val="469C5642"/>
    <w:rsid w:val="469F284C"/>
    <w:rsid w:val="46A2731E"/>
    <w:rsid w:val="46A936CA"/>
    <w:rsid w:val="46AA2F9F"/>
    <w:rsid w:val="46AA660D"/>
    <w:rsid w:val="46AB7443"/>
    <w:rsid w:val="46AE6F33"/>
    <w:rsid w:val="46B03AF2"/>
    <w:rsid w:val="46B1432D"/>
    <w:rsid w:val="46B207D1"/>
    <w:rsid w:val="46B67B95"/>
    <w:rsid w:val="46B70BF7"/>
    <w:rsid w:val="46BD2CD2"/>
    <w:rsid w:val="46C40504"/>
    <w:rsid w:val="46C422B2"/>
    <w:rsid w:val="46C61A2D"/>
    <w:rsid w:val="46CB3641"/>
    <w:rsid w:val="46CD624D"/>
    <w:rsid w:val="46CD7EB5"/>
    <w:rsid w:val="46CF6512"/>
    <w:rsid w:val="46CF6BE8"/>
    <w:rsid w:val="46D52711"/>
    <w:rsid w:val="46D544C0"/>
    <w:rsid w:val="46D5626E"/>
    <w:rsid w:val="46D955A7"/>
    <w:rsid w:val="46DA7D28"/>
    <w:rsid w:val="46DA7E0E"/>
    <w:rsid w:val="46DC034D"/>
    <w:rsid w:val="46DD1652"/>
    <w:rsid w:val="46DE0CEF"/>
    <w:rsid w:val="46E841F3"/>
    <w:rsid w:val="46EA58B1"/>
    <w:rsid w:val="46EE37D3"/>
    <w:rsid w:val="46F012F9"/>
    <w:rsid w:val="46F25D74"/>
    <w:rsid w:val="46F64735"/>
    <w:rsid w:val="46F661E4"/>
    <w:rsid w:val="46F879CE"/>
    <w:rsid w:val="46FA2178"/>
    <w:rsid w:val="46FB7453"/>
    <w:rsid w:val="46FC1A4C"/>
    <w:rsid w:val="46FC7AF4"/>
    <w:rsid w:val="46FD088A"/>
    <w:rsid w:val="46FD4105"/>
    <w:rsid w:val="470152B5"/>
    <w:rsid w:val="47022DDB"/>
    <w:rsid w:val="47056F93"/>
    <w:rsid w:val="4708179D"/>
    <w:rsid w:val="47094169"/>
    <w:rsid w:val="470A0E1B"/>
    <w:rsid w:val="470B38B4"/>
    <w:rsid w:val="471072A6"/>
    <w:rsid w:val="4711569F"/>
    <w:rsid w:val="47133957"/>
    <w:rsid w:val="47134FE8"/>
    <w:rsid w:val="47150D60"/>
    <w:rsid w:val="4718528B"/>
    <w:rsid w:val="471A7FEB"/>
    <w:rsid w:val="471C3E9C"/>
    <w:rsid w:val="47200FB2"/>
    <w:rsid w:val="47241DC7"/>
    <w:rsid w:val="472468C3"/>
    <w:rsid w:val="47266AC9"/>
    <w:rsid w:val="47280A93"/>
    <w:rsid w:val="47282841"/>
    <w:rsid w:val="47283EBB"/>
    <w:rsid w:val="47291919"/>
    <w:rsid w:val="472965B9"/>
    <w:rsid w:val="472B2331"/>
    <w:rsid w:val="4730617B"/>
    <w:rsid w:val="47332F94"/>
    <w:rsid w:val="473332BC"/>
    <w:rsid w:val="473531B0"/>
    <w:rsid w:val="473A2575"/>
    <w:rsid w:val="473E754B"/>
    <w:rsid w:val="473F5E74"/>
    <w:rsid w:val="47406C6A"/>
    <w:rsid w:val="47480D31"/>
    <w:rsid w:val="474A6558"/>
    <w:rsid w:val="474C4D82"/>
    <w:rsid w:val="474C71FC"/>
    <w:rsid w:val="474D1906"/>
    <w:rsid w:val="474E4167"/>
    <w:rsid w:val="4750714C"/>
    <w:rsid w:val="4751434B"/>
    <w:rsid w:val="47517078"/>
    <w:rsid w:val="475A2C17"/>
    <w:rsid w:val="475D7EB0"/>
    <w:rsid w:val="475E0317"/>
    <w:rsid w:val="47655843"/>
    <w:rsid w:val="476870E2"/>
    <w:rsid w:val="47694C08"/>
    <w:rsid w:val="476A6CB8"/>
    <w:rsid w:val="476B0980"/>
    <w:rsid w:val="476B2262"/>
    <w:rsid w:val="476F01EE"/>
    <w:rsid w:val="4770243A"/>
    <w:rsid w:val="47702543"/>
    <w:rsid w:val="47737835"/>
    <w:rsid w:val="47743CD8"/>
    <w:rsid w:val="47774056"/>
    <w:rsid w:val="477C493B"/>
    <w:rsid w:val="477E0A07"/>
    <w:rsid w:val="477F442B"/>
    <w:rsid w:val="47812160"/>
    <w:rsid w:val="47833F1C"/>
    <w:rsid w:val="478430E5"/>
    <w:rsid w:val="47850B66"/>
    <w:rsid w:val="478557D4"/>
    <w:rsid w:val="47876268"/>
    <w:rsid w:val="478B4B7E"/>
    <w:rsid w:val="478C04F1"/>
    <w:rsid w:val="478D4D9A"/>
    <w:rsid w:val="47906638"/>
    <w:rsid w:val="47975C19"/>
    <w:rsid w:val="479A761A"/>
    <w:rsid w:val="479E7E1F"/>
    <w:rsid w:val="47A07E0C"/>
    <w:rsid w:val="47A14FC9"/>
    <w:rsid w:val="47A85730"/>
    <w:rsid w:val="47A913B5"/>
    <w:rsid w:val="47AB5220"/>
    <w:rsid w:val="47AD4F03"/>
    <w:rsid w:val="47AF4D11"/>
    <w:rsid w:val="47B1162A"/>
    <w:rsid w:val="47B2292F"/>
    <w:rsid w:val="47BA4746"/>
    <w:rsid w:val="47BD6A22"/>
    <w:rsid w:val="47BD6A2C"/>
    <w:rsid w:val="47C15148"/>
    <w:rsid w:val="47C167F2"/>
    <w:rsid w:val="47C32F55"/>
    <w:rsid w:val="47C50446"/>
    <w:rsid w:val="47C65743"/>
    <w:rsid w:val="47C737CE"/>
    <w:rsid w:val="47CB0DD4"/>
    <w:rsid w:val="47CD234C"/>
    <w:rsid w:val="47CF7161"/>
    <w:rsid w:val="47D604EF"/>
    <w:rsid w:val="47DA0270"/>
    <w:rsid w:val="47DE7578"/>
    <w:rsid w:val="47E250E6"/>
    <w:rsid w:val="47E334DF"/>
    <w:rsid w:val="47EE7652"/>
    <w:rsid w:val="47F06A69"/>
    <w:rsid w:val="47F15329"/>
    <w:rsid w:val="47F36533"/>
    <w:rsid w:val="47F40975"/>
    <w:rsid w:val="47F53213"/>
    <w:rsid w:val="47F5469D"/>
    <w:rsid w:val="47F72214"/>
    <w:rsid w:val="47FB2640"/>
    <w:rsid w:val="47FE7A46"/>
    <w:rsid w:val="47FF7530"/>
    <w:rsid w:val="48013204"/>
    <w:rsid w:val="48013FEC"/>
    <w:rsid w:val="48021647"/>
    <w:rsid w:val="48064139"/>
    <w:rsid w:val="48096AF9"/>
    <w:rsid w:val="480C0D42"/>
    <w:rsid w:val="480C42AF"/>
    <w:rsid w:val="480D2FE1"/>
    <w:rsid w:val="480F1C53"/>
    <w:rsid w:val="480F5297"/>
    <w:rsid w:val="481069C5"/>
    <w:rsid w:val="481203CA"/>
    <w:rsid w:val="48135CD5"/>
    <w:rsid w:val="48143DF1"/>
    <w:rsid w:val="48147089"/>
    <w:rsid w:val="481728B6"/>
    <w:rsid w:val="48194880"/>
    <w:rsid w:val="481B4154"/>
    <w:rsid w:val="481B604A"/>
    <w:rsid w:val="481E1E96"/>
    <w:rsid w:val="481F412C"/>
    <w:rsid w:val="481F6B0D"/>
    <w:rsid w:val="48210C25"/>
    <w:rsid w:val="482467A5"/>
    <w:rsid w:val="4826016A"/>
    <w:rsid w:val="48260364"/>
    <w:rsid w:val="4826706B"/>
    <w:rsid w:val="482C6963"/>
    <w:rsid w:val="4831454F"/>
    <w:rsid w:val="48382F58"/>
    <w:rsid w:val="483B0352"/>
    <w:rsid w:val="483B2A48"/>
    <w:rsid w:val="483D087E"/>
    <w:rsid w:val="483D4A92"/>
    <w:rsid w:val="48410F19"/>
    <w:rsid w:val="48435459"/>
    <w:rsid w:val="484713ED"/>
    <w:rsid w:val="48483AD3"/>
    <w:rsid w:val="484B6BDE"/>
    <w:rsid w:val="484F16A2"/>
    <w:rsid w:val="484F3B1B"/>
    <w:rsid w:val="48505CB1"/>
    <w:rsid w:val="485252C5"/>
    <w:rsid w:val="485321E0"/>
    <w:rsid w:val="48553943"/>
    <w:rsid w:val="485745AA"/>
    <w:rsid w:val="48577D5B"/>
    <w:rsid w:val="48585503"/>
    <w:rsid w:val="485F60A2"/>
    <w:rsid w:val="48632753"/>
    <w:rsid w:val="486A35F7"/>
    <w:rsid w:val="486D73A7"/>
    <w:rsid w:val="486F3408"/>
    <w:rsid w:val="4870272E"/>
    <w:rsid w:val="48703FE7"/>
    <w:rsid w:val="48711FC6"/>
    <w:rsid w:val="4873378B"/>
    <w:rsid w:val="48755A36"/>
    <w:rsid w:val="48755B39"/>
    <w:rsid w:val="487560EB"/>
    <w:rsid w:val="48783354"/>
    <w:rsid w:val="487B5A68"/>
    <w:rsid w:val="487E2EFD"/>
    <w:rsid w:val="487E50B2"/>
    <w:rsid w:val="48843435"/>
    <w:rsid w:val="48863254"/>
    <w:rsid w:val="48894D7A"/>
    <w:rsid w:val="488A3088"/>
    <w:rsid w:val="488E257D"/>
    <w:rsid w:val="48916DA1"/>
    <w:rsid w:val="489266CB"/>
    <w:rsid w:val="48930205"/>
    <w:rsid w:val="48940C70"/>
    <w:rsid w:val="48951845"/>
    <w:rsid w:val="489708AE"/>
    <w:rsid w:val="489769FC"/>
    <w:rsid w:val="48987CCA"/>
    <w:rsid w:val="489932CB"/>
    <w:rsid w:val="489C27BC"/>
    <w:rsid w:val="48A01213"/>
    <w:rsid w:val="48A15B88"/>
    <w:rsid w:val="48A51C70"/>
    <w:rsid w:val="48AC1250"/>
    <w:rsid w:val="48AC74A2"/>
    <w:rsid w:val="48AE321A"/>
    <w:rsid w:val="48AE53DE"/>
    <w:rsid w:val="48AE65BB"/>
    <w:rsid w:val="48B00A3D"/>
    <w:rsid w:val="48B06F92"/>
    <w:rsid w:val="48B06FCF"/>
    <w:rsid w:val="48B94314"/>
    <w:rsid w:val="48BF0F83"/>
    <w:rsid w:val="48C055EE"/>
    <w:rsid w:val="48C37541"/>
    <w:rsid w:val="48C42A3E"/>
    <w:rsid w:val="48C540C0"/>
    <w:rsid w:val="48C63F93"/>
    <w:rsid w:val="48CB07F4"/>
    <w:rsid w:val="48CB0B60"/>
    <w:rsid w:val="48CC544E"/>
    <w:rsid w:val="48CF1AAF"/>
    <w:rsid w:val="48D2515B"/>
    <w:rsid w:val="48D34A2F"/>
    <w:rsid w:val="48D43A0A"/>
    <w:rsid w:val="48D6398B"/>
    <w:rsid w:val="48D9385D"/>
    <w:rsid w:val="48DA2FD2"/>
    <w:rsid w:val="48DA4F01"/>
    <w:rsid w:val="48DE6819"/>
    <w:rsid w:val="48E1372A"/>
    <w:rsid w:val="48E25F7F"/>
    <w:rsid w:val="48E3695A"/>
    <w:rsid w:val="48E855F9"/>
    <w:rsid w:val="48E91EBC"/>
    <w:rsid w:val="48EB1D78"/>
    <w:rsid w:val="48F3252A"/>
    <w:rsid w:val="48F32E54"/>
    <w:rsid w:val="48F32FE7"/>
    <w:rsid w:val="48F5051C"/>
    <w:rsid w:val="48F644C0"/>
    <w:rsid w:val="48F778B5"/>
    <w:rsid w:val="48FA1472"/>
    <w:rsid w:val="48FD5F50"/>
    <w:rsid w:val="490544DA"/>
    <w:rsid w:val="49057251"/>
    <w:rsid w:val="490715C7"/>
    <w:rsid w:val="490E7368"/>
    <w:rsid w:val="49107A31"/>
    <w:rsid w:val="491357D2"/>
    <w:rsid w:val="49143163"/>
    <w:rsid w:val="4916491B"/>
    <w:rsid w:val="49190F7D"/>
    <w:rsid w:val="491B1F01"/>
    <w:rsid w:val="491D214E"/>
    <w:rsid w:val="4923585E"/>
    <w:rsid w:val="492360B3"/>
    <w:rsid w:val="49260006"/>
    <w:rsid w:val="49271743"/>
    <w:rsid w:val="492732ED"/>
    <w:rsid w:val="49282FCC"/>
    <w:rsid w:val="49296D45"/>
    <w:rsid w:val="492C413F"/>
    <w:rsid w:val="492C7C19"/>
    <w:rsid w:val="492F386E"/>
    <w:rsid w:val="493203A6"/>
    <w:rsid w:val="49332FD1"/>
    <w:rsid w:val="49357497"/>
    <w:rsid w:val="493A4AAE"/>
    <w:rsid w:val="493A685C"/>
    <w:rsid w:val="493D129C"/>
    <w:rsid w:val="49431BB4"/>
    <w:rsid w:val="49470F79"/>
    <w:rsid w:val="494E51AB"/>
    <w:rsid w:val="494E5881"/>
    <w:rsid w:val="494F2FCE"/>
    <w:rsid w:val="4953087E"/>
    <w:rsid w:val="49547006"/>
    <w:rsid w:val="4955299C"/>
    <w:rsid w:val="49560981"/>
    <w:rsid w:val="495D77D3"/>
    <w:rsid w:val="49696660"/>
    <w:rsid w:val="496B283C"/>
    <w:rsid w:val="496C1203"/>
    <w:rsid w:val="496D2C05"/>
    <w:rsid w:val="497847C6"/>
    <w:rsid w:val="49793507"/>
    <w:rsid w:val="49793828"/>
    <w:rsid w:val="49795539"/>
    <w:rsid w:val="497B3675"/>
    <w:rsid w:val="498176A7"/>
    <w:rsid w:val="49824086"/>
    <w:rsid w:val="49836455"/>
    <w:rsid w:val="498737AF"/>
    <w:rsid w:val="498C3781"/>
    <w:rsid w:val="4995680C"/>
    <w:rsid w:val="49976419"/>
    <w:rsid w:val="499D11D6"/>
    <w:rsid w:val="499E686A"/>
    <w:rsid w:val="49A56155"/>
    <w:rsid w:val="49A75C13"/>
    <w:rsid w:val="49AE2DA6"/>
    <w:rsid w:val="49AF4E76"/>
    <w:rsid w:val="49AF724A"/>
    <w:rsid w:val="49B26BE7"/>
    <w:rsid w:val="49B45954"/>
    <w:rsid w:val="49B52386"/>
    <w:rsid w:val="49B83FC7"/>
    <w:rsid w:val="49B900C8"/>
    <w:rsid w:val="49BB5CAE"/>
    <w:rsid w:val="49BC6207"/>
    <w:rsid w:val="49C23456"/>
    <w:rsid w:val="49C4687C"/>
    <w:rsid w:val="49C74598"/>
    <w:rsid w:val="49CD147E"/>
    <w:rsid w:val="49D1292A"/>
    <w:rsid w:val="49D24CE6"/>
    <w:rsid w:val="49D40A5E"/>
    <w:rsid w:val="49D51330"/>
    <w:rsid w:val="49D767A1"/>
    <w:rsid w:val="49D95D6A"/>
    <w:rsid w:val="49D97E23"/>
    <w:rsid w:val="49DA3B9B"/>
    <w:rsid w:val="49DB2A66"/>
    <w:rsid w:val="49DC7715"/>
    <w:rsid w:val="49DC7913"/>
    <w:rsid w:val="49DE18DD"/>
    <w:rsid w:val="49E67045"/>
    <w:rsid w:val="49E86ADC"/>
    <w:rsid w:val="49EA5378"/>
    <w:rsid w:val="49ED7F9F"/>
    <w:rsid w:val="49F26522"/>
    <w:rsid w:val="49F44C5D"/>
    <w:rsid w:val="49F509D5"/>
    <w:rsid w:val="49F70BF1"/>
    <w:rsid w:val="49F84D68"/>
    <w:rsid w:val="49F93B05"/>
    <w:rsid w:val="49FB248F"/>
    <w:rsid w:val="4A007AA5"/>
    <w:rsid w:val="4A007BF5"/>
    <w:rsid w:val="4A020EFA"/>
    <w:rsid w:val="4A023139"/>
    <w:rsid w:val="4A065992"/>
    <w:rsid w:val="4A070E34"/>
    <w:rsid w:val="4A0A6FCF"/>
    <w:rsid w:val="4A0B01F8"/>
    <w:rsid w:val="4A0D5D1E"/>
    <w:rsid w:val="4A1277D9"/>
    <w:rsid w:val="4A161077"/>
    <w:rsid w:val="4A187215"/>
    <w:rsid w:val="4A1B1AA4"/>
    <w:rsid w:val="4A1B668D"/>
    <w:rsid w:val="4A201EF6"/>
    <w:rsid w:val="4A225C6E"/>
    <w:rsid w:val="4A240477"/>
    <w:rsid w:val="4A244932"/>
    <w:rsid w:val="4A271167"/>
    <w:rsid w:val="4A28056F"/>
    <w:rsid w:val="4A2A7F92"/>
    <w:rsid w:val="4A2C2648"/>
    <w:rsid w:val="4A2F3EE7"/>
    <w:rsid w:val="4A30015B"/>
    <w:rsid w:val="4A301A0D"/>
    <w:rsid w:val="4A325785"/>
    <w:rsid w:val="4A34714B"/>
    <w:rsid w:val="4A365275"/>
    <w:rsid w:val="4A370F82"/>
    <w:rsid w:val="4A372B97"/>
    <w:rsid w:val="4A372D9B"/>
    <w:rsid w:val="4A394D65"/>
    <w:rsid w:val="4A3B288C"/>
    <w:rsid w:val="4A3E5330"/>
    <w:rsid w:val="4A4449A1"/>
    <w:rsid w:val="4A445DB6"/>
    <w:rsid w:val="4A471230"/>
    <w:rsid w:val="4A485FEA"/>
    <w:rsid w:val="4A4B25F3"/>
    <w:rsid w:val="4A4E36E4"/>
    <w:rsid w:val="4A54394D"/>
    <w:rsid w:val="4A556883"/>
    <w:rsid w:val="4A581C9D"/>
    <w:rsid w:val="4A5C2802"/>
    <w:rsid w:val="4A5D424D"/>
    <w:rsid w:val="4A607445"/>
    <w:rsid w:val="4A613290"/>
    <w:rsid w:val="4A617BB2"/>
    <w:rsid w:val="4A634417"/>
    <w:rsid w:val="4A65319D"/>
    <w:rsid w:val="4A6A4F1F"/>
    <w:rsid w:val="4A6B72A5"/>
    <w:rsid w:val="4A7162AD"/>
    <w:rsid w:val="4A716A7E"/>
    <w:rsid w:val="4A722FB2"/>
    <w:rsid w:val="4A7463FF"/>
    <w:rsid w:val="4A755582"/>
    <w:rsid w:val="4A756F9E"/>
    <w:rsid w:val="4A761B16"/>
    <w:rsid w:val="4A783AE0"/>
    <w:rsid w:val="4A7B35D0"/>
    <w:rsid w:val="4A7B576F"/>
    <w:rsid w:val="4A800BE6"/>
    <w:rsid w:val="4A804742"/>
    <w:rsid w:val="4A82670C"/>
    <w:rsid w:val="4A852A8D"/>
    <w:rsid w:val="4A8E3F79"/>
    <w:rsid w:val="4A9220C8"/>
    <w:rsid w:val="4A933558"/>
    <w:rsid w:val="4A93759F"/>
    <w:rsid w:val="4A954692"/>
    <w:rsid w:val="4A9657AD"/>
    <w:rsid w:val="4A9D109A"/>
    <w:rsid w:val="4A9D2749"/>
    <w:rsid w:val="4A9D2AB4"/>
    <w:rsid w:val="4A9D3546"/>
    <w:rsid w:val="4A9D48C2"/>
    <w:rsid w:val="4A9D70A2"/>
    <w:rsid w:val="4AA246B9"/>
    <w:rsid w:val="4AAE1013"/>
    <w:rsid w:val="4AB40A96"/>
    <w:rsid w:val="4AB61684"/>
    <w:rsid w:val="4AB66F1E"/>
    <w:rsid w:val="4AB84995"/>
    <w:rsid w:val="4AB90145"/>
    <w:rsid w:val="4ABA1BC3"/>
    <w:rsid w:val="4ABD5821"/>
    <w:rsid w:val="4AC22EF1"/>
    <w:rsid w:val="4AC563A5"/>
    <w:rsid w:val="4AC72E43"/>
    <w:rsid w:val="4AC944E1"/>
    <w:rsid w:val="4ACE48FB"/>
    <w:rsid w:val="4AD12E5A"/>
    <w:rsid w:val="4AD557D5"/>
    <w:rsid w:val="4AD57B46"/>
    <w:rsid w:val="4AD64873"/>
    <w:rsid w:val="4AD664EA"/>
    <w:rsid w:val="4AD77AF3"/>
    <w:rsid w:val="4AD8632C"/>
    <w:rsid w:val="4ADC53EB"/>
    <w:rsid w:val="4ADD3943"/>
    <w:rsid w:val="4ADD62DF"/>
    <w:rsid w:val="4ADF4067"/>
    <w:rsid w:val="4ADF520B"/>
    <w:rsid w:val="4AE15816"/>
    <w:rsid w:val="4AE47DFD"/>
    <w:rsid w:val="4AE567C4"/>
    <w:rsid w:val="4AE9678B"/>
    <w:rsid w:val="4AF22945"/>
    <w:rsid w:val="4AF561A9"/>
    <w:rsid w:val="4AF75B92"/>
    <w:rsid w:val="4AF97BDF"/>
    <w:rsid w:val="4AFB62F3"/>
    <w:rsid w:val="4B01452B"/>
    <w:rsid w:val="4B0435C5"/>
    <w:rsid w:val="4B0574A3"/>
    <w:rsid w:val="4B094738"/>
    <w:rsid w:val="4B0A4FD7"/>
    <w:rsid w:val="4B0E369D"/>
    <w:rsid w:val="4B0F08E7"/>
    <w:rsid w:val="4B141BD8"/>
    <w:rsid w:val="4B143967"/>
    <w:rsid w:val="4B154342"/>
    <w:rsid w:val="4B1550A5"/>
    <w:rsid w:val="4B18166A"/>
    <w:rsid w:val="4B187071"/>
    <w:rsid w:val="4B1A3180"/>
    <w:rsid w:val="4B1C090F"/>
    <w:rsid w:val="4B1D6435"/>
    <w:rsid w:val="4B1E14E5"/>
    <w:rsid w:val="4B213E33"/>
    <w:rsid w:val="4B245A16"/>
    <w:rsid w:val="4B261383"/>
    <w:rsid w:val="4B28675E"/>
    <w:rsid w:val="4B2A6963"/>
    <w:rsid w:val="4B2C48CA"/>
    <w:rsid w:val="4B2D29F5"/>
    <w:rsid w:val="4B307F16"/>
    <w:rsid w:val="4B322228"/>
    <w:rsid w:val="4B351BCC"/>
    <w:rsid w:val="4B373818"/>
    <w:rsid w:val="4B383175"/>
    <w:rsid w:val="4B3A2EE9"/>
    <w:rsid w:val="4B4920B1"/>
    <w:rsid w:val="4B4D30FB"/>
    <w:rsid w:val="4B4E2A92"/>
    <w:rsid w:val="4B591AB5"/>
    <w:rsid w:val="4B5D4A84"/>
    <w:rsid w:val="4B5E0F27"/>
    <w:rsid w:val="4B6573C5"/>
    <w:rsid w:val="4B68207B"/>
    <w:rsid w:val="4B707823"/>
    <w:rsid w:val="4B707C68"/>
    <w:rsid w:val="4B726781"/>
    <w:rsid w:val="4B7778F3"/>
    <w:rsid w:val="4B7C61E8"/>
    <w:rsid w:val="4B7F62CD"/>
    <w:rsid w:val="4B840262"/>
    <w:rsid w:val="4B8B3770"/>
    <w:rsid w:val="4B8B517E"/>
    <w:rsid w:val="4B8C414A"/>
    <w:rsid w:val="4B8D35BB"/>
    <w:rsid w:val="4B935BD3"/>
    <w:rsid w:val="4B9425A7"/>
    <w:rsid w:val="4B9A7A86"/>
    <w:rsid w:val="4B9E1324"/>
    <w:rsid w:val="4BA24BCE"/>
    <w:rsid w:val="4BB33A7C"/>
    <w:rsid w:val="4BB927CA"/>
    <w:rsid w:val="4BBA3465"/>
    <w:rsid w:val="4BBA3C84"/>
    <w:rsid w:val="4BBC001E"/>
    <w:rsid w:val="4BBC7BF0"/>
    <w:rsid w:val="4BBD64EA"/>
    <w:rsid w:val="4BBF25D0"/>
    <w:rsid w:val="4BBF39CB"/>
    <w:rsid w:val="4BBF4D72"/>
    <w:rsid w:val="4BC4694F"/>
    <w:rsid w:val="4BC52BE6"/>
    <w:rsid w:val="4BC973E3"/>
    <w:rsid w:val="4BCA20D9"/>
    <w:rsid w:val="4BCE772F"/>
    <w:rsid w:val="4BDA4326"/>
    <w:rsid w:val="4BDB7584"/>
    <w:rsid w:val="4BDC6CF8"/>
    <w:rsid w:val="4BDD1C4C"/>
    <w:rsid w:val="4BDE0746"/>
    <w:rsid w:val="4BE21410"/>
    <w:rsid w:val="4BE25B8D"/>
    <w:rsid w:val="4BE377D3"/>
    <w:rsid w:val="4BE56F53"/>
    <w:rsid w:val="4BE72F58"/>
    <w:rsid w:val="4BE94734"/>
    <w:rsid w:val="4BE965B6"/>
    <w:rsid w:val="4BF313AD"/>
    <w:rsid w:val="4BF6262F"/>
    <w:rsid w:val="4BFE1C3A"/>
    <w:rsid w:val="4BFF0BEE"/>
    <w:rsid w:val="4C012F97"/>
    <w:rsid w:val="4C0849EF"/>
    <w:rsid w:val="4C0D09A4"/>
    <w:rsid w:val="4C0F7917"/>
    <w:rsid w:val="4C1142BE"/>
    <w:rsid w:val="4C1166DC"/>
    <w:rsid w:val="4C1559E9"/>
    <w:rsid w:val="4C15710C"/>
    <w:rsid w:val="4C167D0A"/>
    <w:rsid w:val="4C19257F"/>
    <w:rsid w:val="4C19436A"/>
    <w:rsid w:val="4C1C049B"/>
    <w:rsid w:val="4C1C7AA1"/>
    <w:rsid w:val="4C1E06B7"/>
    <w:rsid w:val="4C1F06B5"/>
    <w:rsid w:val="4C207F8B"/>
    <w:rsid w:val="4C213D03"/>
    <w:rsid w:val="4C221FFA"/>
    <w:rsid w:val="4C235CCD"/>
    <w:rsid w:val="4C237A7B"/>
    <w:rsid w:val="4C242A08"/>
    <w:rsid w:val="4C242D73"/>
    <w:rsid w:val="4C2630C7"/>
    <w:rsid w:val="4C290139"/>
    <w:rsid w:val="4C2A705C"/>
    <w:rsid w:val="4C2F6420"/>
    <w:rsid w:val="4C340BB3"/>
    <w:rsid w:val="4C3724EA"/>
    <w:rsid w:val="4C390AD2"/>
    <w:rsid w:val="4C3B4A29"/>
    <w:rsid w:val="4C3D6555"/>
    <w:rsid w:val="4C3F522E"/>
    <w:rsid w:val="4C417F01"/>
    <w:rsid w:val="4C426389"/>
    <w:rsid w:val="4C481C1A"/>
    <w:rsid w:val="4C4A0649"/>
    <w:rsid w:val="4C4F261E"/>
    <w:rsid w:val="4C5107FB"/>
    <w:rsid w:val="4C57043D"/>
    <w:rsid w:val="4C57579C"/>
    <w:rsid w:val="4C60274C"/>
    <w:rsid w:val="4C6251E1"/>
    <w:rsid w:val="4C683867"/>
    <w:rsid w:val="4C6850EC"/>
    <w:rsid w:val="4C69696A"/>
    <w:rsid w:val="4C6A1041"/>
    <w:rsid w:val="4C6B4F7E"/>
    <w:rsid w:val="4C6E2D5E"/>
    <w:rsid w:val="4C6E4D74"/>
    <w:rsid w:val="4C6F4853"/>
    <w:rsid w:val="4C6F5584"/>
    <w:rsid w:val="4C7042D7"/>
    <w:rsid w:val="4C7044F7"/>
    <w:rsid w:val="4C710F14"/>
    <w:rsid w:val="4C72630D"/>
    <w:rsid w:val="4C770EE0"/>
    <w:rsid w:val="4C786216"/>
    <w:rsid w:val="4C793B3F"/>
    <w:rsid w:val="4C7958ED"/>
    <w:rsid w:val="4C7B0B8A"/>
    <w:rsid w:val="4C7B0D3F"/>
    <w:rsid w:val="4C7E0947"/>
    <w:rsid w:val="4C7E5ECA"/>
    <w:rsid w:val="4C7F11B0"/>
    <w:rsid w:val="4C806C7C"/>
    <w:rsid w:val="4C813780"/>
    <w:rsid w:val="4C876AA5"/>
    <w:rsid w:val="4C8E5CA5"/>
    <w:rsid w:val="4C923BCF"/>
    <w:rsid w:val="4C9359CC"/>
    <w:rsid w:val="4C966BCE"/>
    <w:rsid w:val="4C975D73"/>
    <w:rsid w:val="4C9952B8"/>
    <w:rsid w:val="4C9B5863"/>
    <w:rsid w:val="4C9E6503"/>
    <w:rsid w:val="4CA071DE"/>
    <w:rsid w:val="4CA14CC6"/>
    <w:rsid w:val="4CA41E94"/>
    <w:rsid w:val="4CA43670"/>
    <w:rsid w:val="4CA50490"/>
    <w:rsid w:val="4CA74B4B"/>
    <w:rsid w:val="4CA85360"/>
    <w:rsid w:val="4CA8788E"/>
    <w:rsid w:val="4CAA1F4A"/>
    <w:rsid w:val="4CAB7478"/>
    <w:rsid w:val="4CAC181F"/>
    <w:rsid w:val="4CB132D9"/>
    <w:rsid w:val="4CB25F8D"/>
    <w:rsid w:val="4CB30463"/>
    <w:rsid w:val="4CB525DD"/>
    <w:rsid w:val="4CB6167B"/>
    <w:rsid w:val="4CB703AD"/>
    <w:rsid w:val="4CB70A84"/>
    <w:rsid w:val="4CBB1996"/>
    <w:rsid w:val="4CBE44F6"/>
    <w:rsid w:val="4CBE7DA2"/>
    <w:rsid w:val="4CC57C44"/>
    <w:rsid w:val="4CC748AA"/>
    <w:rsid w:val="4CC74B6F"/>
    <w:rsid w:val="4CC8759D"/>
    <w:rsid w:val="4CC9200D"/>
    <w:rsid w:val="4CCA439B"/>
    <w:rsid w:val="4CD62D3F"/>
    <w:rsid w:val="4CD700C2"/>
    <w:rsid w:val="4CD751A0"/>
    <w:rsid w:val="4CD945DE"/>
    <w:rsid w:val="4CDA3E72"/>
    <w:rsid w:val="4CDB04BE"/>
    <w:rsid w:val="4CDC3C81"/>
    <w:rsid w:val="4CDD3CCF"/>
    <w:rsid w:val="4CDF1128"/>
    <w:rsid w:val="4CE1169E"/>
    <w:rsid w:val="4CE511D4"/>
    <w:rsid w:val="4CE679B9"/>
    <w:rsid w:val="4CE964EE"/>
    <w:rsid w:val="4CED0E6B"/>
    <w:rsid w:val="4CEE6E31"/>
    <w:rsid w:val="4CEF6FC4"/>
    <w:rsid w:val="4CF0529F"/>
    <w:rsid w:val="4CF220F9"/>
    <w:rsid w:val="4CF26625"/>
    <w:rsid w:val="4CF30EF4"/>
    <w:rsid w:val="4CF4336D"/>
    <w:rsid w:val="4CF6702F"/>
    <w:rsid w:val="4CFA4A2F"/>
    <w:rsid w:val="4CFC1B5C"/>
    <w:rsid w:val="4CFC49D3"/>
    <w:rsid w:val="4CFD1DDD"/>
    <w:rsid w:val="4CFE5DCC"/>
    <w:rsid w:val="4D0119A9"/>
    <w:rsid w:val="4D015FE4"/>
    <w:rsid w:val="4D037CA3"/>
    <w:rsid w:val="4D057181"/>
    <w:rsid w:val="4D0D023E"/>
    <w:rsid w:val="4D0E00FB"/>
    <w:rsid w:val="4D111FCA"/>
    <w:rsid w:val="4D13189E"/>
    <w:rsid w:val="4D134330"/>
    <w:rsid w:val="4D160508"/>
    <w:rsid w:val="4D16138E"/>
    <w:rsid w:val="4D176606"/>
    <w:rsid w:val="4D1C122D"/>
    <w:rsid w:val="4D1D0D0C"/>
    <w:rsid w:val="4D1D44CA"/>
    <w:rsid w:val="4D1E3BF0"/>
    <w:rsid w:val="4D217D2B"/>
    <w:rsid w:val="4D25749E"/>
    <w:rsid w:val="4D261D72"/>
    <w:rsid w:val="4D270828"/>
    <w:rsid w:val="4D27266D"/>
    <w:rsid w:val="4D291727"/>
    <w:rsid w:val="4D2C295F"/>
    <w:rsid w:val="4D2D0C5E"/>
    <w:rsid w:val="4D2E5BAF"/>
    <w:rsid w:val="4D334235"/>
    <w:rsid w:val="4D341CB6"/>
    <w:rsid w:val="4D3651B9"/>
    <w:rsid w:val="4D3851AA"/>
    <w:rsid w:val="4D3872FF"/>
    <w:rsid w:val="4D3A4F19"/>
    <w:rsid w:val="4D3B63E7"/>
    <w:rsid w:val="4D3D691B"/>
    <w:rsid w:val="4D4373FC"/>
    <w:rsid w:val="4D4507B1"/>
    <w:rsid w:val="4D4802EE"/>
    <w:rsid w:val="4D4B1874"/>
    <w:rsid w:val="4D4B557E"/>
    <w:rsid w:val="4D4C108B"/>
    <w:rsid w:val="4D4D5F74"/>
    <w:rsid w:val="4D521266"/>
    <w:rsid w:val="4D53613E"/>
    <w:rsid w:val="4D565C2E"/>
    <w:rsid w:val="4D572089"/>
    <w:rsid w:val="4D577E17"/>
    <w:rsid w:val="4D5E2B32"/>
    <w:rsid w:val="4D603DFF"/>
    <w:rsid w:val="4D6457C9"/>
    <w:rsid w:val="4D6C7200"/>
    <w:rsid w:val="4D6E6C73"/>
    <w:rsid w:val="4D723D25"/>
    <w:rsid w:val="4D73213F"/>
    <w:rsid w:val="4D73619F"/>
    <w:rsid w:val="4D764DF5"/>
    <w:rsid w:val="4D772BED"/>
    <w:rsid w:val="4D7B242B"/>
    <w:rsid w:val="4D7C592E"/>
    <w:rsid w:val="4D812938"/>
    <w:rsid w:val="4D830C29"/>
    <w:rsid w:val="4D84736B"/>
    <w:rsid w:val="4D876F02"/>
    <w:rsid w:val="4D8B26C5"/>
    <w:rsid w:val="4D904889"/>
    <w:rsid w:val="4D922050"/>
    <w:rsid w:val="4D922EE6"/>
    <w:rsid w:val="4D937316"/>
    <w:rsid w:val="4D9661EB"/>
    <w:rsid w:val="4D9D0319"/>
    <w:rsid w:val="4D9D0D8A"/>
    <w:rsid w:val="4D9E1AAF"/>
    <w:rsid w:val="4DA02B5D"/>
    <w:rsid w:val="4DA34F8D"/>
    <w:rsid w:val="4DA644C0"/>
    <w:rsid w:val="4DB206DA"/>
    <w:rsid w:val="4DB43081"/>
    <w:rsid w:val="4DB6480E"/>
    <w:rsid w:val="4DB83818"/>
    <w:rsid w:val="4DB87D11"/>
    <w:rsid w:val="4DBF37D4"/>
    <w:rsid w:val="4DC43B24"/>
    <w:rsid w:val="4DC46E97"/>
    <w:rsid w:val="4DC54612"/>
    <w:rsid w:val="4DCB2178"/>
    <w:rsid w:val="4DD20112"/>
    <w:rsid w:val="4DD57383"/>
    <w:rsid w:val="4DD94895"/>
    <w:rsid w:val="4DDD6A1E"/>
    <w:rsid w:val="4DE1199C"/>
    <w:rsid w:val="4DE4216F"/>
    <w:rsid w:val="4DE60D60"/>
    <w:rsid w:val="4DE719FF"/>
    <w:rsid w:val="4DEC34D2"/>
    <w:rsid w:val="4DEC4FB0"/>
    <w:rsid w:val="4DED6593"/>
    <w:rsid w:val="4DF11170"/>
    <w:rsid w:val="4DF11C28"/>
    <w:rsid w:val="4DF146DD"/>
    <w:rsid w:val="4DF53699"/>
    <w:rsid w:val="4DF711BF"/>
    <w:rsid w:val="4DFC51E7"/>
    <w:rsid w:val="4DFD7181"/>
    <w:rsid w:val="4DFE254E"/>
    <w:rsid w:val="4DFF0486"/>
    <w:rsid w:val="4DFF1C65"/>
    <w:rsid w:val="4DFF1E22"/>
    <w:rsid w:val="4E075D8A"/>
    <w:rsid w:val="4E1313F6"/>
    <w:rsid w:val="4E151645"/>
    <w:rsid w:val="4E162EFC"/>
    <w:rsid w:val="4E163B6E"/>
    <w:rsid w:val="4E1839D6"/>
    <w:rsid w:val="4E185B3D"/>
    <w:rsid w:val="4E191136"/>
    <w:rsid w:val="4E192EE4"/>
    <w:rsid w:val="4E1A6C5C"/>
    <w:rsid w:val="4E1C7938"/>
    <w:rsid w:val="4E1E2F39"/>
    <w:rsid w:val="4E1F24C4"/>
    <w:rsid w:val="4E201C1D"/>
    <w:rsid w:val="4E21063A"/>
    <w:rsid w:val="4E213D88"/>
    <w:rsid w:val="4E213EBD"/>
    <w:rsid w:val="4E222FDC"/>
    <w:rsid w:val="4E233D62"/>
    <w:rsid w:val="4E2730CC"/>
    <w:rsid w:val="4E2B47CD"/>
    <w:rsid w:val="4E2D4BE1"/>
    <w:rsid w:val="4E2E48B5"/>
    <w:rsid w:val="4E2F4034"/>
    <w:rsid w:val="4E340BD7"/>
    <w:rsid w:val="4E340D9C"/>
    <w:rsid w:val="4E35193A"/>
    <w:rsid w:val="4E390398"/>
    <w:rsid w:val="4E3C6BD2"/>
    <w:rsid w:val="4E43251A"/>
    <w:rsid w:val="4E475783"/>
    <w:rsid w:val="4E50041A"/>
    <w:rsid w:val="4E516C0B"/>
    <w:rsid w:val="4E524648"/>
    <w:rsid w:val="4E53406F"/>
    <w:rsid w:val="4E564138"/>
    <w:rsid w:val="4E5B5626"/>
    <w:rsid w:val="4E5D2A1D"/>
    <w:rsid w:val="4E5D3917"/>
    <w:rsid w:val="4E6301AA"/>
    <w:rsid w:val="4E651ED5"/>
    <w:rsid w:val="4E6673B5"/>
    <w:rsid w:val="4E6B1D97"/>
    <w:rsid w:val="4E6E3FBD"/>
    <w:rsid w:val="4E6F61BB"/>
    <w:rsid w:val="4E733164"/>
    <w:rsid w:val="4E7B1966"/>
    <w:rsid w:val="4E7B1D71"/>
    <w:rsid w:val="4E7B2225"/>
    <w:rsid w:val="4E7D7917"/>
    <w:rsid w:val="4E80574C"/>
    <w:rsid w:val="4E843E1F"/>
    <w:rsid w:val="4E844A26"/>
    <w:rsid w:val="4E8547F9"/>
    <w:rsid w:val="4E89214C"/>
    <w:rsid w:val="4E8C2811"/>
    <w:rsid w:val="4E9904C8"/>
    <w:rsid w:val="4E9D3807"/>
    <w:rsid w:val="4E9E5ADF"/>
    <w:rsid w:val="4E9F706E"/>
    <w:rsid w:val="4EA03605"/>
    <w:rsid w:val="4EA053B3"/>
    <w:rsid w:val="4EA3285D"/>
    <w:rsid w:val="4EA567DE"/>
    <w:rsid w:val="4EA8070C"/>
    <w:rsid w:val="4EA83CBF"/>
    <w:rsid w:val="4EA931C9"/>
    <w:rsid w:val="4EAA119F"/>
    <w:rsid w:val="4EAC328B"/>
    <w:rsid w:val="4EAC3D58"/>
    <w:rsid w:val="4EAF1A9A"/>
    <w:rsid w:val="4EAF55F6"/>
    <w:rsid w:val="4EB32D66"/>
    <w:rsid w:val="4EB646CD"/>
    <w:rsid w:val="4EBA2D91"/>
    <w:rsid w:val="4EBA3B83"/>
    <w:rsid w:val="4EBE5040"/>
    <w:rsid w:val="4EC00FAD"/>
    <w:rsid w:val="4EC2442C"/>
    <w:rsid w:val="4EC24E6D"/>
    <w:rsid w:val="4EC30CA8"/>
    <w:rsid w:val="4EC815A0"/>
    <w:rsid w:val="4EC92B5C"/>
    <w:rsid w:val="4ECB11DE"/>
    <w:rsid w:val="4ECB50D3"/>
    <w:rsid w:val="4ECE1184"/>
    <w:rsid w:val="4ECF0762"/>
    <w:rsid w:val="4ECF5C98"/>
    <w:rsid w:val="4ED05CBC"/>
    <w:rsid w:val="4ED07800"/>
    <w:rsid w:val="4ED46303"/>
    <w:rsid w:val="4EDA586A"/>
    <w:rsid w:val="4EDC0D6D"/>
    <w:rsid w:val="4EDF107B"/>
    <w:rsid w:val="4EDF159B"/>
    <w:rsid w:val="4EDF1E27"/>
    <w:rsid w:val="4EE631A7"/>
    <w:rsid w:val="4EE63D45"/>
    <w:rsid w:val="4EE91CD3"/>
    <w:rsid w:val="4EE92067"/>
    <w:rsid w:val="4EEA009F"/>
    <w:rsid w:val="4EEA4880"/>
    <w:rsid w:val="4EEC1008"/>
    <w:rsid w:val="4EED3D78"/>
    <w:rsid w:val="4EED4B25"/>
    <w:rsid w:val="4EEF27B9"/>
    <w:rsid w:val="4EF010DE"/>
    <w:rsid w:val="4EF63225"/>
    <w:rsid w:val="4EF851EF"/>
    <w:rsid w:val="4EF876C2"/>
    <w:rsid w:val="4EF91787"/>
    <w:rsid w:val="4EFA709E"/>
    <w:rsid w:val="4EFC63A0"/>
    <w:rsid w:val="4EFC70A4"/>
    <w:rsid w:val="4EFD50D2"/>
    <w:rsid w:val="4EFF0028"/>
    <w:rsid w:val="4F007B5A"/>
    <w:rsid w:val="4F027E1C"/>
    <w:rsid w:val="4F057E34"/>
    <w:rsid w:val="4F065435"/>
    <w:rsid w:val="4F0867B5"/>
    <w:rsid w:val="4F0A4205"/>
    <w:rsid w:val="4F0B3174"/>
    <w:rsid w:val="4F0D7F2C"/>
    <w:rsid w:val="4F132029"/>
    <w:rsid w:val="4F14295A"/>
    <w:rsid w:val="4F14474A"/>
    <w:rsid w:val="4F1A23F8"/>
    <w:rsid w:val="4F231B40"/>
    <w:rsid w:val="4F247CF0"/>
    <w:rsid w:val="4F275AD4"/>
    <w:rsid w:val="4F293ABD"/>
    <w:rsid w:val="4F2E6991"/>
    <w:rsid w:val="4F33419C"/>
    <w:rsid w:val="4F343D4D"/>
    <w:rsid w:val="4F350314"/>
    <w:rsid w:val="4F3673B2"/>
    <w:rsid w:val="4F390EE0"/>
    <w:rsid w:val="4F3B2459"/>
    <w:rsid w:val="4F405AE9"/>
    <w:rsid w:val="4F44241B"/>
    <w:rsid w:val="4F442786"/>
    <w:rsid w:val="4F46299B"/>
    <w:rsid w:val="4F4D7908"/>
    <w:rsid w:val="4F4F5829"/>
    <w:rsid w:val="4F500D2C"/>
    <w:rsid w:val="4F531CB1"/>
    <w:rsid w:val="4F5341B6"/>
    <w:rsid w:val="4F547732"/>
    <w:rsid w:val="4F55619D"/>
    <w:rsid w:val="4F5A1A06"/>
    <w:rsid w:val="4F5A7C58"/>
    <w:rsid w:val="4F5E0042"/>
    <w:rsid w:val="4F5F2F6A"/>
    <w:rsid w:val="4F651131"/>
    <w:rsid w:val="4F6726AA"/>
    <w:rsid w:val="4F716D4F"/>
    <w:rsid w:val="4F7742A0"/>
    <w:rsid w:val="4F807875"/>
    <w:rsid w:val="4F846A83"/>
    <w:rsid w:val="4F8B6063"/>
    <w:rsid w:val="4F8D1DDB"/>
    <w:rsid w:val="4F9843DC"/>
    <w:rsid w:val="4F9D1E71"/>
    <w:rsid w:val="4F9D237F"/>
    <w:rsid w:val="4F9E0E2B"/>
    <w:rsid w:val="4F9F38F8"/>
    <w:rsid w:val="4FA42C81"/>
    <w:rsid w:val="4FAB1220"/>
    <w:rsid w:val="4FB530E0"/>
    <w:rsid w:val="4FB54E8E"/>
    <w:rsid w:val="4FB70C06"/>
    <w:rsid w:val="4FBA3AC8"/>
    <w:rsid w:val="4FBA6948"/>
    <w:rsid w:val="4FBB5F7F"/>
    <w:rsid w:val="4FBD1F95"/>
    <w:rsid w:val="4FBD3D43"/>
    <w:rsid w:val="4FC000E6"/>
    <w:rsid w:val="4FC41575"/>
    <w:rsid w:val="4FC62A8C"/>
    <w:rsid w:val="4FC92959"/>
    <w:rsid w:val="4FC955E3"/>
    <w:rsid w:val="4FCC21D8"/>
    <w:rsid w:val="4FCE41A2"/>
    <w:rsid w:val="4FD74D0A"/>
    <w:rsid w:val="4FDC68BF"/>
    <w:rsid w:val="4FDF5118"/>
    <w:rsid w:val="4FE20F0D"/>
    <w:rsid w:val="4FE51552"/>
    <w:rsid w:val="4FE6773D"/>
    <w:rsid w:val="4FEA0478"/>
    <w:rsid w:val="4FED7EE7"/>
    <w:rsid w:val="4FEF697B"/>
    <w:rsid w:val="4FF20C57"/>
    <w:rsid w:val="4FF268D4"/>
    <w:rsid w:val="4FF363B3"/>
    <w:rsid w:val="4FF52D6F"/>
    <w:rsid w:val="4FF7139F"/>
    <w:rsid w:val="4FF836A0"/>
    <w:rsid w:val="4FFB4A48"/>
    <w:rsid w:val="4FFC2ABD"/>
    <w:rsid w:val="4FFD05E3"/>
    <w:rsid w:val="4FFF344E"/>
    <w:rsid w:val="50011412"/>
    <w:rsid w:val="5002770D"/>
    <w:rsid w:val="50045CBF"/>
    <w:rsid w:val="500524E7"/>
    <w:rsid w:val="500C3FAC"/>
    <w:rsid w:val="500C6EE1"/>
    <w:rsid w:val="500E557E"/>
    <w:rsid w:val="501047BA"/>
    <w:rsid w:val="50106568"/>
    <w:rsid w:val="50131BB5"/>
    <w:rsid w:val="501567AB"/>
    <w:rsid w:val="501778F7"/>
    <w:rsid w:val="501D04CE"/>
    <w:rsid w:val="501E106D"/>
    <w:rsid w:val="50200100"/>
    <w:rsid w:val="502025E6"/>
    <w:rsid w:val="50221084"/>
    <w:rsid w:val="50234908"/>
    <w:rsid w:val="50242014"/>
    <w:rsid w:val="5026588C"/>
    <w:rsid w:val="5026794E"/>
    <w:rsid w:val="50285660"/>
    <w:rsid w:val="50286EF0"/>
    <w:rsid w:val="502A41CA"/>
    <w:rsid w:val="502D757B"/>
    <w:rsid w:val="5032295C"/>
    <w:rsid w:val="5038161B"/>
    <w:rsid w:val="5039786D"/>
    <w:rsid w:val="503B1837"/>
    <w:rsid w:val="503C1837"/>
    <w:rsid w:val="50422451"/>
    <w:rsid w:val="50461F8A"/>
    <w:rsid w:val="5048062F"/>
    <w:rsid w:val="504A7CCC"/>
    <w:rsid w:val="504B2D47"/>
    <w:rsid w:val="504B393E"/>
    <w:rsid w:val="504E38D2"/>
    <w:rsid w:val="50504C4B"/>
    <w:rsid w:val="505521CD"/>
    <w:rsid w:val="50556BE8"/>
    <w:rsid w:val="505869A7"/>
    <w:rsid w:val="50595F65"/>
    <w:rsid w:val="505B5E9B"/>
    <w:rsid w:val="505C202C"/>
    <w:rsid w:val="505C355C"/>
    <w:rsid w:val="505F1978"/>
    <w:rsid w:val="5060304C"/>
    <w:rsid w:val="50610B72"/>
    <w:rsid w:val="506272C2"/>
    <w:rsid w:val="50697A27"/>
    <w:rsid w:val="506A3ECB"/>
    <w:rsid w:val="506C27EE"/>
    <w:rsid w:val="506D39BB"/>
    <w:rsid w:val="506D7517"/>
    <w:rsid w:val="50722D7F"/>
    <w:rsid w:val="507822DB"/>
    <w:rsid w:val="507D3D1D"/>
    <w:rsid w:val="507E2733"/>
    <w:rsid w:val="507F0F62"/>
    <w:rsid w:val="50830D73"/>
    <w:rsid w:val="508F56DF"/>
    <w:rsid w:val="509461CB"/>
    <w:rsid w:val="509C6E7C"/>
    <w:rsid w:val="50A307F2"/>
    <w:rsid w:val="50A93475"/>
    <w:rsid w:val="50AF5466"/>
    <w:rsid w:val="50B1385B"/>
    <w:rsid w:val="50B3232E"/>
    <w:rsid w:val="50B60C68"/>
    <w:rsid w:val="50B769E4"/>
    <w:rsid w:val="50BD4B06"/>
    <w:rsid w:val="50BD624C"/>
    <w:rsid w:val="50BE6D04"/>
    <w:rsid w:val="50C2398B"/>
    <w:rsid w:val="50C52695"/>
    <w:rsid w:val="50C64757"/>
    <w:rsid w:val="50C86E43"/>
    <w:rsid w:val="50CB189D"/>
    <w:rsid w:val="50CD10A1"/>
    <w:rsid w:val="50D03E52"/>
    <w:rsid w:val="50D62B25"/>
    <w:rsid w:val="50DC335D"/>
    <w:rsid w:val="50DE63C8"/>
    <w:rsid w:val="50E13A61"/>
    <w:rsid w:val="50E52B3B"/>
    <w:rsid w:val="50E53551"/>
    <w:rsid w:val="50E7594A"/>
    <w:rsid w:val="50E86A91"/>
    <w:rsid w:val="50EA57CF"/>
    <w:rsid w:val="50EC36E9"/>
    <w:rsid w:val="50F03FCE"/>
    <w:rsid w:val="50F25547"/>
    <w:rsid w:val="50F601FD"/>
    <w:rsid w:val="50F628EC"/>
    <w:rsid w:val="50F745BA"/>
    <w:rsid w:val="50FE57E0"/>
    <w:rsid w:val="510460CD"/>
    <w:rsid w:val="51051E45"/>
    <w:rsid w:val="51052F88"/>
    <w:rsid w:val="51063CEB"/>
    <w:rsid w:val="5107796B"/>
    <w:rsid w:val="510A745C"/>
    <w:rsid w:val="510C24C5"/>
    <w:rsid w:val="510E0CFA"/>
    <w:rsid w:val="51112598"/>
    <w:rsid w:val="511429EF"/>
    <w:rsid w:val="5116195C"/>
    <w:rsid w:val="51162C16"/>
    <w:rsid w:val="511677DA"/>
    <w:rsid w:val="511922CC"/>
    <w:rsid w:val="5119769F"/>
    <w:rsid w:val="512A7F85"/>
    <w:rsid w:val="512C2063"/>
    <w:rsid w:val="512E314A"/>
    <w:rsid w:val="512F3B40"/>
    <w:rsid w:val="513015C2"/>
    <w:rsid w:val="51330E09"/>
    <w:rsid w:val="5133550E"/>
    <w:rsid w:val="51367791"/>
    <w:rsid w:val="51383FC9"/>
    <w:rsid w:val="51402E7D"/>
    <w:rsid w:val="51445FBC"/>
    <w:rsid w:val="514630BC"/>
    <w:rsid w:val="5148467A"/>
    <w:rsid w:val="514C35D0"/>
    <w:rsid w:val="514E0A28"/>
    <w:rsid w:val="514E559A"/>
    <w:rsid w:val="51502B40"/>
    <w:rsid w:val="51510226"/>
    <w:rsid w:val="515B3813"/>
    <w:rsid w:val="515F6BC4"/>
    <w:rsid w:val="5160541B"/>
    <w:rsid w:val="51610889"/>
    <w:rsid w:val="516114E4"/>
    <w:rsid w:val="51612C25"/>
    <w:rsid w:val="5162104E"/>
    <w:rsid w:val="51654052"/>
    <w:rsid w:val="516721B8"/>
    <w:rsid w:val="516D233C"/>
    <w:rsid w:val="516D285C"/>
    <w:rsid w:val="5171202B"/>
    <w:rsid w:val="51744C0F"/>
    <w:rsid w:val="5176064D"/>
    <w:rsid w:val="5176689F"/>
    <w:rsid w:val="517C0CB4"/>
    <w:rsid w:val="517C40D7"/>
    <w:rsid w:val="517D392F"/>
    <w:rsid w:val="517F4BC4"/>
    <w:rsid w:val="51826FF2"/>
    <w:rsid w:val="518422A4"/>
    <w:rsid w:val="518510D7"/>
    <w:rsid w:val="5187285A"/>
    <w:rsid w:val="518C60C3"/>
    <w:rsid w:val="518C687F"/>
    <w:rsid w:val="51910362"/>
    <w:rsid w:val="5196484B"/>
    <w:rsid w:val="5196613F"/>
    <w:rsid w:val="51981EEB"/>
    <w:rsid w:val="519B6306"/>
    <w:rsid w:val="519C33DF"/>
    <w:rsid w:val="519D207E"/>
    <w:rsid w:val="51A92080"/>
    <w:rsid w:val="51AF7DB0"/>
    <w:rsid w:val="51B36318"/>
    <w:rsid w:val="51B710C6"/>
    <w:rsid w:val="51B86EB8"/>
    <w:rsid w:val="51BE4C6C"/>
    <w:rsid w:val="51BF3641"/>
    <w:rsid w:val="51C159B6"/>
    <w:rsid w:val="51C4760A"/>
    <w:rsid w:val="51C83C74"/>
    <w:rsid w:val="51CC5275"/>
    <w:rsid w:val="51CF581D"/>
    <w:rsid w:val="51D21B13"/>
    <w:rsid w:val="51D41B82"/>
    <w:rsid w:val="51D535C6"/>
    <w:rsid w:val="51DB3C59"/>
    <w:rsid w:val="51E15B4E"/>
    <w:rsid w:val="51E15B62"/>
    <w:rsid w:val="51E43809"/>
    <w:rsid w:val="51E83CDC"/>
    <w:rsid w:val="51F021AD"/>
    <w:rsid w:val="51F872B4"/>
    <w:rsid w:val="51F92090"/>
    <w:rsid w:val="51FD51C9"/>
    <w:rsid w:val="520003B7"/>
    <w:rsid w:val="52047062"/>
    <w:rsid w:val="5209326F"/>
    <w:rsid w:val="5209753A"/>
    <w:rsid w:val="520B5239"/>
    <w:rsid w:val="520C48A4"/>
    <w:rsid w:val="520F6E87"/>
    <w:rsid w:val="52107E9A"/>
    <w:rsid w:val="52140128"/>
    <w:rsid w:val="52154573"/>
    <w:rsid w:val="52166647"/>
    <w:rsid w:val="521D51BC"/>
    <w:rsid w:val="522030C9"/>
    <w:rsid w:val="52214363"/>
    <w:rsid w:val="522A1FED"/>
    <w:rsid w:val="522E0F28"/>
    <w:rsid w:val="52324668"/>
    <w:rsid w:val="52326C6A"/>
    <w:rsid w:val="523E560F"/>
    <w:rsid w:val="523F397D"/>
    <w:rsid w:val="52410C5B"/>
    <w:rsid w:val="52452092"/>
    <w:rsid w:val="5245699D"/>
    <w:rsid w:val="52466271"/>
    <w:rsid w:val="52491C87"/>
    <w:rsid w:val="524B48B1"/>
    <w:rsid w:val="52501699"/>
    <w:rsid w:val="525032AC"/>
    <w:rsid w:val="5255643A"/>
    <w:rsid w:val="52560ECB"/>
    <w:rsid w:val="525A0210"/>
    <w:rsid w:val="525A1D1D"/>
    <w:rsid w:val="52632790"/>
    <w:rsid w:val="52640EAD"/>
    <w:rsid w:val="526451A8"/>
    <w:rsid w:val="52650DED"/>
    <w:rsid w:val="5265391D"/>
    <w:rsid w:val="526633DC"/>
    <w:rsid w:val="52670806"/>
    <w:rsid w:val="526C4DBF"/>
    <w:rsid w:val="526D0FEB"/>
    <w:rsid w:val="526E7576"/>
    <w:rsid w:val="52724B2C"/>
    <w:rsid w:val="52752591"/>
    <w:rsid w:val="5277269C"/>
    <w:rsid w:val="527F1CB8"/>
    <w:rsid w:val="5285086E"/>
    <w:rsid w:val="5286443D"/>
    <w:rsid w:val="52873552"/>
    <w:rsid w:val="52897275"/>
    <w:rsid w:val="528D5C4E"/>
    <w:rsid w:val="52900B84"/>
    <w:rsid w:val="52903990"/>
    <w:rsid w:val="52925986"/>
    <w:rsid w:val="52943481"/>
    <w:rsid w:val="52946FDD"/>
    <w:rsid w:val="52997E0A"/>
    <w:rsid w:val="529C3DA2"/>
    <w:rsid w:val="529E01D6"/>
    <w:rsid w:val="52A22E8C"/>
    <w:rsid w:val="52A339B6"/>
    <w:rsid w:val="52A35472"/>
    <w:rsid w:val="52A770BC"/>
    <w:rsid w:val="52B03B43"/>
    <w:rsid w:val="52B508CE"/>
    <w:rsid w:val="52B729E6"/>
    <w:rsid w:val="52B75DE8"/>
    <w:rsid w:val="52BC1A77"/>
    <w:rsid w:val="52BC2EC6"/>
    <w:rsid w:val="52BE7ACF"/>
    <w:rsid w:val="52C0045A"/>
    <w:rsid w:val="52C214E7"/>
    <w:rsid w:val="52C23008"/>
    <w:rsid w:val="52C33C07"/>
    <w:rsid w:val="52C33D66"/>
    <w:rsid w:val="52C84ED8"/>
    <w:rsid w:val="52CA07B0"/>
    <w:rsid w:val="52CB14BF"/>
    <w:rsid w:val="52CC1B65"/>
    <w:rsid w:val="52CC1E87"/>
    <w:rsid w:val="52D41ACF"/>
    <w:rsid w:val="52D63A99"/>
    <w:rsid w:val="52D65847"/>
    <w:rsid w:val="52D90E94"/>
    <w:rsid w:val="52D93AE7"/>
    <w:rsid w:val="52D93C9C"/>
    <w:rsid w:val="52DA3410"/>
    <w:rsid w:val="52DE26D4"/>
    <w:rsid w:val="52E10F88"/>
    <w:rsid w:val="52E73368"/>
    <w:rsid w:val="52E8648C"/>
    <w:rsid w:val="52EB53D6"/>
    <w:rsid w:val="52F3074C"/>
    <w:rsid w:val="52F36AAE"/>
    <w:rsid w:val="52F40552"/>
    <w:rsid w:val="52F6132D"/>
    <w:rsid w:val="52F63E57"/>
    <w:rsid w:val="52FB4092"/>
    <w:rsid w:val="52FF7722"/>
    <w:rsid w:val="530074E4"/>
    <w:rsid w:val="530107FD"/>
    <w:rsid w:val="53010E60"/>
    <w:rsid w:val="53042D44"/>
    <w:rsid w:val="5305283D"/>
    <w:rsid w:val="530529F2"/>
    <w:rsid w:val="53067B3F"/>
    <w:rsid w:val="53071EA5"/>
    <w:rsid w:val="53075C2D"/>
    <w:rsid w:val="530971A6"/>
    <w:rsid w:val="530E2672"/>
    <w:rsid w:val="5311687F"/>
    <w:rsid w:val="53153F02"/>
    <w:rsid w:val="53183925"/>
    <w:rsid w:val="53191BD8"/>
    <w:rsid w:val="53195734"/>
    <w:rsid w:val="531B7E68"/>
    <w:rsid w:val="531E0F9C"/>
    <w:rsid w:val="531F0A6D"/>
    <w:rsid w:val="53202487"/>
    <w:rsid w:val="53204D14"/>
    <w:rsid w:val="53232554"/>
    <w:rsid w:val="5325232B"/>
    <w:rsid w:val="5327235A"/>
    <w:rsid w:val="53291191"/>
    <w:rsid w:val="532C5B84"/>
    <w:rsid w:val="532E44BD"/>
    <w:rsid w:val="532E765C"/>
    <w:rsid w:val="532F71EB"/>
    <w:rsid w:val="53302A15"/>
    <w:rsid w:val="53346A12"/>
    <w:rsid w:val="533A5BFF"/>
    <w:rsid w:val="533B38FC"/>
    <w:rsid w:val="5341311F"/>
    <w:rsid w:val="534A5134"/>
    <w:rsid w:val="534C78B7"/>
    <w:rsid w:val="534C7B85"/>
    <w:rsid w:val="534F37BA"/>
    <w:rsid w:val="53542C10"/>
    <w:rsid w:val="535624E4"/>
    <w:rsid w:val="53563C96"/>
    <w:rsid w:val="535C29DB"/>
    <w:rsid w:val="53607807"/>
    <w:rsid w:val="536229ED"/>
    <w:rsid w:val="536410A5"/>
    <w:rsid w:val="53662D5B"/>
    <w:rsid w:val="53663062"/>
    <w:rsid w:val="53673949"/>
    <w:rsid w:val="53682217"/>
    <w:rsid w:val="53690E1E"/>
    <w:rsid w:val="536919E3"/>
    <w:rsid w:val="53697924"/>
    <w:rsid w:val="536C0A8D"/>
    <w:rsid w:val="53754029"/>
    <w:rsid w:val="5378497F"/>
    <w:rsid w:val="537B019D"/>
    <w:rsid w:val="537E0B4F"/>
    <w:rsid w:val="538115C5"/>
    <w:rsid w:val="53864205"/>
    <w:rsid w:val="53870676"/>
    <w:rsid w:val="538A3CB4"/>
    <w:rsid w:val="538F45A4"/>
    <w:rsid w:val="5394125E"/>
    <w:rsid w:val="5394300C"/>
    <w:rsid w:val="53980D4F"/>
    <w:rsid w:val="539820DA"/>
    <w:rsid w:val="539B083F"/>
    <w:rsid w:val="539C16BB"/>
    <w:rsid w:val="539F2640"/>
    <w:rsid w:val="53A039CC"/>
    <w:rsid w:val="53A1505A"/>
    <w:rsid w:val="53A304DF"/>
    <w:rsid w:val="53A33D07"/>
    <w:rsid w:val="53A45945"/>
    <w:rsid w:val="53A71537"/>
    <w:rsid w:val="53AB5652"/>
    <w:rsid w:val="53B278ED"/>
    <w:rsid w:val="53B27FC3"/>
    <w:rsid w:val="53B34F90"/>
    <w:rsid w:val="53B36EAB"/>
    <w:rsid w:val="53B92A73"/>
    <w:rsid w:val="53C12709"/>
    <w:rsid w:val="53C70FDB"/>
    <w:rsid w:val="53C77C7D"/>
    <w:rsid w:val="53C90F08"/>
    <w:rsid w:val="53CA0F06"/>
    <w:rsid w:val="53D2506A"/>
    <w:rsid w:val="53D26312"/>
    <w:rsid w:val="53D53D51"/>
    <w:rsid w:val="53D61877"/>
    <w:rsid w:val="53D76A77"/>
    <w:rsid w:val="53D87A0B"/>
    <w:rsid w:val="53DE7BA6"/>
    <w:rsid w:val="53DF072C"/>
    <w:rsid w:val="53DF552A"/>
    <w:rsid w:val="53E030A9"/>
    <w:rsid w:val="53E709D1"/>
    <w:rsid w:val="53E82710"/>
    <w:rsid w:val="53E83C5B"/>
    <w:rsid w:val="53EE5C42"/>
    <w:rsid w:val="53F025CD"/>
    <w:rsid w:val="53F54397"/>
    <w:rsid w:val="53F817ED"/>
    <w:rsid w:val="53FD1217"/>
    <w:rsid w:val="53FF4E44"/>
    <w:rsid w:val="54005B5D"/>
    <w:rsid w:val="54007CFB"/>
    <w:rsid w:val="54063E08"/>
    <w:rsid w:val="54067A66"/>
    <w:rsid w:val="540B0B46"/>
    <w:rsid w:val="540C383F"/>
    <w:rsid w:val="540D4E72"/>
    <w:rsid w:val="540F142A"/>
    <w:rsid w:val="5410177E"/>
    <w:rsid w:val="54101C22"/>
    <w:rsid w:val="541128AF"/>
    <w:rsid w:val="5411465D"/>
    <w:rsid w:val="54134879"/>
    <w:rsid w:val="541741D6"/>
    <w:rsid w:val="5417660E"/>
    <w:rsid w:val="541A6A5D"/>
    <w:rsid w:val="541B04B2"/>
    <w:rsid w:val="541C372E"/>
    <w:rsid w:val="541D1254"/>
    <w:rsid w:val="541F6242"/>
    <w:rsid w:val="54201234"/>
    <w:rsid w:val="54214C37"/>
    <w:rsid w:val="54237016"/>
    <w:rsid w:val="5427219D"/>
    <w:rsid w:val="54275A1C"/>
    <w:rsid w:val="54296C5D"/>
    <w:rsid w:val="542A2224"/>
    <w:rsid w:val="542F70DE"/>
    <w:rsid w:val="54324CFF"/>
    <w:rsid w:val="543437E8"/>
    <w:rsid w:val="54363A17"/>
    <w:rsid w:val="54375424"/>
    <w:rsid w:val="543A1E06"/>
    <w:rsid w:val="543C7F40"/>
    <w:rsid w:val="54422A68"/>
    <w:rsid w:val="54435C81"/>
    <w:rsid w:val="544607AB"/>
    <w:rsid w:val="54462559"/>
    <w:rsid w:val="544A6FD5"/>
    <w:rsid w:val="544B268E"/>
    <w:rsid w:val="544C3A5E"/>
    <w:rsid w:val="544D7D8B"/>
    <w:rsid w:val="544F3BE0"/>
    <w:rsid w:val="544F3FD8"/>
    <w:rsid w:val="54521413"/>
    <w:rsid w:val="545333E8"/>
    <w:rsid w:val="5455279C"/>
    <w:rsid w:val="54563E63"/>
    <w:rsid w:val="54570C85"/>
    <w:rsid w:val="545A4256"/>
    <w:rsid w:val="545A6004"/>
    <w:rsid w:val="545E3978"/>
    <w:rsid w:val="546142C1"/>
    <w:rsid w:val="546208E7"/>
    <w:rsid w:val="5463135D"/>
    <w:rsid w:val="54667951"/>
    <w:rsid w:val="546926EB"/>
    <w:rsid w:val="546979FD"/>
    <w:rsid w:val="546E5C98"/>
    <w:rsid w:val="546F6218"/>
    <w:rsid w:val="54703A7A"/>
    <w:rsid w:val="5471419D"/>
    <w:rsid w:val="547846DC"/>
    <w:rsid w:val="54790B80"/>
    <w:rsid w:val="547E6196"/>
    <w:rsid w:val="547F6CE6"/>
    <w:rsid w:val="54815C87"/>
    <w:rsid w:val="54817A35"/>
    <w:rsid w:val="54892630"/>
    <w:rsid w:val="548A4B3B"/>
    <w:rsid w:val="548D0188"/>
    <w:rsid w:val="548D2129"/>
    <w:rsid w:val="548D2425"/>
    <w:rsid w:val="549412E0"/>
    <w:rsid w:val="5495528E"/>
    <w:rsid w:val="54962859"/>
    <w:rsid w:val="54980C95"/>
    <w:rsid w:val="54990098"/>
    <w:rsid w:val="549A6186"/>
    <w:rsid w:val="549B0E72"/>
    <w:rsid w:val="549B7CA5"/>
    <w:rsid w:val="54A30979"/>
    <w:rsid w:val="54A84FC1"/>
    <w:rsid w:val="54A97595"/>
    <w:rsid w:val="54AB4AB2"/>
    <w:rsid w:val="54AB503B"/>
    <w:rsid w:val="54AB5F5C"/>
    <w:rsid w:val="54AD3CB4"/>
    <w:rsid w:val="54B27EE3"/>
    <w:rsid w:val="54B35CEE"/>
    <w:rsid w:val="54B81990"/>
    <w:rsid w:val="54BE47E5"/>
    <w:rsid w:val="54C35392"/>
    <w:rsid w:val="54C44D86"/>
    <w:rsid w:val="54C46B74"/>
    <w:rsid w:val="54C52422"/>
    <w:rsid w:val="54C737A2"/>
    <w:rsid w:val="54C87878"/>
    <w:rsid w:val="54CC1D1D"/>
    <w:rsid w:val="54CE4AE4"/>
    <w:rsid w:val="54D2203E"/>
    <w:rsid w:val="54D264E2"/>
    <w:rsid w:val="54D33936"/>
    <w:rsid w:val="54D538DD"/>
    <w:rsid w:val="54D651D3"/>
    <w:rsid w:val="54E30A9C"/>
    <w:rsid w:val="54E66A4D"/>
    <w:rsid w:val="54ED6E78"/>
    <w:rsid w:val="54EF6649"/>
    <w:rsid w:val="54F14BBA"/>
    <w:rsid w:val="54F1641E"/>
    <w:rsid w:val="54F372B3"/>
    <w:rsid w:val="54F613CB"/>
    <w:rsid w:val="54F62BF2"/>
    <w:rsid w:val="54F71AA5"/>
    <w:rsid w:val="54F73313"/>
    <w:rsid w:val="54F80955"/>
    <w:rsid w:val="54FE1085"/>
    <w:rsid w:val="550137B4"/>
    <w:rsid w:val="55032E10"/>
    <w:rsid w:val="55085517"/>
    <w:rsid w:val="55085A60"/>
    <w:rsid w:val="550D2817"/>
    <w:rsid w:val="55115317"/>
    <w:rsid w:val="551255ED"/>
    <w:rsid w:val="5513726A"/>
    <w:rsid w:val="55144405"/>
    <w:rsid w:val="5516017D"/>
    <w:rsid w:val="55172147"/>
    <w:rsid w:val="551D2AB1"/>
    <w:rsid w:val="551E1FFA"/>
    <w:rsid w:val="551E684F"/>
    <w:rsid w:val="551F124E"/>
    <w:rsid w:val="551F76C9"/>
    <w:rsid w:val="5520724E"/>
    <w:rsid w:val="5524472E"/>
    <w:rsid w:val="5529540C"/>
    <w:rsid w:val="552A59D6"/>
    <w:rsid w:val="552C4242"/>
    <w:rsid w:val="552E326A"/>
    <w:rsid w:val="55300100"/>
    <w:rsid w:val="55324E51"/>
    <w:rsid w:val="55355B6F"/>
    <w:rsid w:val="55387608"/>
    <w:rsid w:val="553C395C"/>
    <w:rsid w:val="553E52D5"/>
    <w:rsid w:val="55401D6C"/>
    <w:rsid w:val="5540344C"/>
    <w:rsid w:val="55410BF9"/>
    <w:rsid w:val="55432F3C"/>
    <w:rsid w:val="55445577"/>
    <w:rsid w:val="5545537D"/>
    <w:rsid w:val="554738F5"/>
    <w:rsid w:val="554B5B7F"/>
    <w:rsid w:val="554B78D9"/>
    <w:rsid w:val="554E25D0"/>
    <w:rsid w:val="554F1434"/>
    <w:rsid w:val="55503B49"/>
    <w:rsid w:val="555170A7"/>
    <w:rsid w:val="5552317F"/>
    <w:rsid w:val="5556068C"/>
    <w:rsid w:val="555708FA"/>
    <w:rsid w:val="55571991"/>
    <w:rsid w:val="55587413"/>
    <w:rsid w:val="555B42EF"/>
    <w:rsid w:val="556101D6"/>
    <w:rsid w:val="55664D57"/>
    <w:rsid w:val="556829A3"/>
    <w:rsid w:val="556935BA"/>
    <w:rsid w:val="556B0632"/>
    <w:rsid w:val="556F3D31"/>
    <w:rsid w:val="55763D8B"/>
    <w:rsid w:val="557673CF"/>
    <w:rsid w:val="557A3E6A"/>
    <w:rsid w:val="557C7E48"/>
    <w:rsid w:val="557D4AFD"/>
    <w:rsid w:val="558427C1"/>
    <w:rsid w:val="55843A92"/>
    <w:rsid w:val="55867CE8"/>
    <w:rsid w:val="5587536D"/>
    <w:rsid w:val="55877F62"/>
    <w:rsid w:val="55882160"/>
    <w:rsid w:val="55894DF3"/>
    <w:rsid w:val="558D3D29"/>
    <w:rsid w:val="55935C72"/>
    <w:rsid w:val="55937A20"/>
    <w:rsid w:val="55947D08"/>
    <w:rsid w:val="5595676E"/>
    <w:rsid w:val="559A6552"/>
    <w:rsid w:val="559B174B"/>
    <w:rsid w:val="559B68D4"/>
    <w:rsid w:val="559E7B87"/>
    <w:rsid w:val="55A150EB"/>
    <w:rsid w:val="55A41882"/>
    <w:rsid w:val="55A504D3"/>
    <w:rsid w:val="55AB03BC"/>
    <w:rsid w:val="55AD5535"/>
    <w:rsid w:val="55B07AA1"/>
    <w:rsid w:val="55B17D0B"/>
    <w:rsid w:val="55B36828"/>
    <w:rsid w:val="55B67488"/>
    <w:rsid w:val="55B87486"/>
    <w:rsid w:val="55B915A0"/>
    <w:rsid w:val="55BD4BB9"/>
    <w:rsid w:val="55BF560B"/>
    <w:rsid w:val="55C37BD9"/>
    <w:rsid w:val="55C45E2B"/>
    <w:rsid w:val="55CA5266"/>
    <w:rsid w:val="55CE0CF4"/>
    <w:rsid w:val="55CE3F18"/>
    <w:rsid w:val="55CE40CE"/>
    <w:rsid w:val="55D17F37"/>
    <w:rsid w:val="55D3606E"/>
    <w:rsid w:val="55D65B5E"/>
    <w:rsid w:val="55D831E4"/>
    <w:rsid w:val="55DA38A0"/>
    <w:rsid w:val="55E003C4"/>
    <w:rsid w:val="55E42029"/>
    <w:rsid w:val="55E54A78"/>
    <w:rsid w:val="55E72F2E"/>
    <w:rsid w:val="55E759FD"/>
    <w:rsid w:val="55E9250B"/>
    <w:rsid w:val="55EB1088"/>
    <w:rsid w:val="55F10BEA"/>
    <w:rsid w:val="55F3226C"/>
    <w:rsid w:val="55F45FE4"/>
    <w:rsid w:val="55F66200"/>
    <w:rsid w:val="55FB7373"/>
    <w:rsid w:val="55FF26B3"/>
    <w:rsid w:val="55FF3F3F"/>
    <w:rsid w:val="56031AAA"/>
    <w:rsid w:val="560378AC"/>
    <w:rsid w:val="56040230"/>
    <w:rsid w:val="56067310"/>
    <w:rsid w:val="560674C5"/>
    <w:rsid w:val="560763AD"/>
    <w:rsid w:val="560A35A4"/>
    <w:rsid w:val="560E52F8"/>
    <w:rsid w:val="56146F57"/>
    <w:rsid w:val="56151416"/>
    <w:rsid w:val="56151AED"/>
    <w:rsid w:val="56160D40"/>
    <w:rsid w:val="56191A4F"/>
    <w:rsid w:val="561D09F2"/>
    <w:rsid w:val="56234114"/>
    <w:rsid w:val="56237DE0"/>
    <w:rsid w:val="56252926"/>
    <w:rsid w:val="56262642"/>
    <w:rsid w:val="56293EE0"/>
    <w:rsid w:val="562A7718"/>
    <w:rsid w:val="562E610E"/>
    <w:rsid w:val="56310FE7"/>
    <w:rsid w:val="56321E69"/>
    <w:rsid w:val="563263D1"/>
    <w:rsid w:val="56327239"/>
    <w:rsid w:val="56344877"/>
    <w:rsid w:val="56365413"/>
    <w:rsid w:val="563C2F09"/>
    <w:rsid w:val="56460CB2"/>
    <w:rsid w:val="564B654C"/>
    <w:rsid w:val="564F2CB4"/>
    <w:rsid w:val="564F3020"/>
    <w:rsid w:val="565847C5"/>
    <w:rsid w:val="5665366A"/>
    <w:rsid w:val="566664A3"/>
    <w:rsid w:val="566930C6"/>
    <w:rsid w:val="566C5C56"/>
    <w:rsid w:val="56707D61"/>
    <w:rsid w:val="56794FD1"/>
    <w:rsid w:val="567C046F"/>
    <w:rsid w:val="567C3CF2"/>
    <w:rsid w:val="567D4DE2"/>
    <w:rsid w:val="56830A66"/>
    <w:rsid w:val="56850D7E"/>
    <w:rsid w:val="56866800"/>
    <w:rsid w:val="56867584"/>
    <w:rsid w:val="568C1A97"/>
    <w:rsid w:val="568C1E02"/>
    <w:rsid w:val="569246E8"/>
    <w:rsid w:val="5697709C"/>
    <w:rsid w:val="569C6DA8"/>
    <w:rsid w:val="56A10311"/>
    <w:rsid w:val="56A30136"/>
    <w:rsid w:val="56A33BB2"/>
    <w:rsid w:val="56A33C92"/>
    <w:rsid w:val="56AB2B47"/>
    <w:rsid w:val="56AB4376"/>
    <w:rsid w:val="56AC3D25"/>
    <w:rsid w:val="56AF0889"/>
    <w:rsid w:val="56AF7299"/>
    <w:rsid w:val="56B22A9C"/>
    <w:rsid w:val="56B363CB"/>
    <w:rsid w:val="56B52866"/>
    <w:rsid w:val="56B61904"/>
    <w:rsid w:val="56B934B6"/>
    <w:rsid w:val="56BA72E9"/>
    <w:rsid w:val="56C43C09"/>
    <w:rsid w:val="56C47F06"/>
    <w:rsid w:val="56CD4634"/>
    <w:rsid w:val="56CF293C"/>
    <w:rsid w:val="56CF298E"/>
    <w:rsid w:val="56D46542"/>
    <w:rsid w:val="56D56319"/>
    <w:rsid w:val="56D77DE0"/>
    <w:rsid w:val="56DA167E"/>
    <w:rsid w:val="56DB5BC3"/>
    <w:rsid w:val="56E03A17"/>
    <w:rsid w:val="56E11498"/>
    <w:rsid w:val="56E44B68"/>
    <w:rsid w:val="56EB0252"/>
    <w:rsid w:val="56EB73E7"/>
    <w:rsid w:val="56EE6ECE"/>
    <w:rsid w:val="56EF07AE"/>
    <w:rsid w:val="56EF4990"/>
    <w:rsid w:val="56F72230"/>
    <w:rsid w:val="56FA5260"/>
    <w:rsid w:val="56FE278F"/>
    <w:rsid w:val="570057F6"/>
    <w:rsid w:val="57007337"/>
    <w:rsid w:val="570109B9"/>
    <w:rsid w:val="57013F4B"/>
    <w:rsid w:val="57016089"/>
    <w:rsid w:val="57032983"/>
    <w:rsid w:val="57044CE4"/>
    <w:rsid w:val="570650A1"/>
    <w:rsid w:val="570A5ABF"/>
    <w:rsid w:val="570C142A"/>
    <w:rsid w:val="570D55B0"/>
    <w:rsid w:val="57132F6C"/>
    <w:rsid w:val="571A6C30"/>
    <w:rsid w:val="571B3010"/>
    <w:rsid w:val="571C57F3"/>
    <w:rsid w:val="571E0092"/>
    <w:rsid w:val="572121A9"/>
    <w:rsid w:val="57222D48"/>
    <w:rsid w:val="57271C0D"/>
    <w:rsid w:val="5727418B"/>
    <w:rsid w:val="572A2264"/>
    <w:rsid w:val="572A43B4"/>
    <w:rsid w:val="572B2260"/>
    <w:rsid w:val="572B3ADE"/>
    <w:rsid w:val="572E5D14"/>
    <w:rsid w:val="57315742"/>
    <w:rsid w:val="573214BA"/>
    <w:rsid w:val="57342B3C"/>
    <w:rsid w:val="574761CB"/>
    <w:rsid w:val="574B1B98"/>
    <w:rsid w:val="574B60D8"/>
    <w:rsid w:val="57521214"/>
    <w:rsid w:val="575267EE"/>
    <w:rsid w:val="57533531"/>
    <w:rsid w:val="575647A8"/>
    <w:rsid w:val="57574D9F"/>
    <w:rsid w:val="5760060B"/>
    <w:rsid w:val="57610B0A"/>
    <w:rsid w:val="57643691"/>
    <w:rsid w:val="57643855"/>
    <w:rsid w:val="576645CF"/>
    <w:rsid w:val="576A0C54"/>
    <w:rsid w:val="576A2A02"/>
    <w:rsid w:val="576A3BB8"/>
    <w:rsid w:val="576C0FFD"/>
    <w:rsid w:val="5778511F"/>
    <w:rsid w:val="577C4928"/>
    <w:rsid w:val="577F009D"/>
    <w:rsid w:val="57825F9E"/>
    <w:rsid w:val="57834874"/>
    <w:rsid w:val="57867A28"/>
    <w:rsid w:val="578A642E"/>
    <w:rsid w:val="578E03E2"/>
    <w:rsid w:val="578F5C2B"/>
    <w:rsid w:val="578F614C"/>
    <w:rsid w:val="57914433"/>
    <w:rsid w:val="579212BC"/>
    <w:rsid w:val="579821FF"/>
    <w:rsid w:val="579B2A50"/>
    <w:rsid w:val="579E765B"/>
    <w:rsid w:val="579F72CD"/>
    <w:rsid w:val="57A001D2"/>
    <w:rsid w:val="57A20CD2"/>
    <w:rsid w:val="57A35F14"/>
    <w:rsid w:val="57AC03CE"/>
    <w:rsid w:val="57AE1B0B"/>
    <w:rsid w:val="57B162ED"/>
    <w:rsid w:val="57B72A76"/>
    <w:rsid w:val="57BB14B0"/>
    <w:rsid w:val="57BE7B82"/>
    <w:rsid w:val="57C100EB"/>
    <w:rsid w:val="57C3426C"/>
    <w:rsid w:val="57C739B1"/>
    <w:rsid w:val="57C77E54"/>
    <w:rsid w:val="57C84EB9"/>
    <w:rsid w:val="57C93BCD"/>
    <w:rsid w:val="57CD0385"/>
    <w:rsid w:val="57CE1F93"/>
    <w:rsid w:val="57D814F7"/>
    <w:rsid w:val="57D85BBE"/>
    <w:rsid w:val="57D9014C"/>
    <w:rsid w:val="57DA16B0"/>
    <w:rsid w:val="57DF519E"/>
    <w:rsid w:val="57E13CEA"/>
    <w:rsid w:val="57E14C71"/>
    <w:rsid w:val="57E176C8"/>
    <w:rsid w:val="57E532C4"/>
    <w:rsid w:val="57E666CC"/>
    <w:rsid w:val="57E736D6"/>
    <w:rsid w:val="57E94CAC"/>
    <w:rsid w:val="57EA63E9"/>
    <w:rsid w:val="57EE371D"/>
    <w:rsid w:val="57F10A2D"/>
    <w:rsid w:val="57FA4163"/>
    <w:rsid w:val="57FB5D50"/>
    <w:rsid w:val="57FE4859"/>
    <w:rsid w:val="580544D9"/>
    <w:rsid w:val="580567CC"/>
    <w:rsid w:val="5805720D"/>
    <w:rsid w:val="580B2DE3"/>
    <w:rsid w:val="581225E1"/>
    <w:rsid w:val="58132B0F"/>
    <w:rsid w:val="58163A93"/>
    <w:rsid w:val="5816663A"/>
    <w:rsid w:val="581666E6"/>
    <w:rsid w:val="581B26E6"/>
    <w:rsid w:val="581D1822"/>
    <w:rsid w:val="581D5CC6"/>
    <w:rsid w:val="581F76BE"/>
    <w:rsid w:val="58207565"/>
    <w:rsid w:val="58221AA4"/>
    <w:rsid w:val="58285DC9"/>
    <w:rsid w:val="582C6358"/>
    <w:rsid w:val="582E3A6C"/>
    <w:rsid w:val="582F2AD7"/>
    <w:rsid w:val="582F73E6"/>
    <w:rsid w:val="583120BF"/>
    <w:rsid w:val="5835390E"/>
    <w:rsid w:val="583628E4"/>
    <w:rsid w:val="583F03D5"/>
    <w:rsid w:val="58410767"/>
    <w:rsid w:val="584148D8"/>
    <w:rsid w:val="58417C07"/>
    <w:rsid w:val="58446E84"/>
    <w:rsid w:val="58450D5F"/>
    <w:rsid w:val="58474AF1"/>
    <w:rsid w:val="5847689F"/>
    <w:rsid w:val="58483F99"/>
    <w:rsid w:val="584A43BC"/>
    <w:rsid w:val="584C6310"/>
    <w:rsid w:val="584F5009"/>
    <w:rsid w:val="585103F5"/>
    <w:rsid w:val="5858676E"/>
    <w:rsid w:val="585B059D"/>
    <w:rsid w:val="585E3377"/>
    <w:rsid w:val="586048F0"/>
    <w:rsid w:val="586C4558"/>
    <w:rsid w:val="586C6A45"/>
    <w:rsid w:val="586E1F24"/>
    <w:rsid w:val="587177C3"/>
    <w:rsid w:val="58721B1C"/>
    <w:rsid w:val="58782D8B"/>
    <w:rsid w:val="5878627D"/>
    <w:rsid w:val="587902B5"/>
    <w:rsid w:val="587E5B38"/>
    <w:rsid w:val="588743D1"/>
    <w:rsid w:val="5887701A"/>
    <w:rsid w:val="588B6276"/>
    <w:rsid w:val="58920462"/>
    <w:rsid w:val="5897595F"/>
    <w:rsid w:val="589B7C55"/>
    <w:rsid w:val="58A41F44"/>
    <w:rsid w:val="58A80E04"/>
    <w:rsid w:val="58AB3744"/>
    <w:rsid w:val="58AB44A7"/>
    <w:rsid w:val="58B23F52"/>
    <w:rsid w:val="58B77EC9"/>
    <w:rsid w:val="58B8298B"/>
    <w:rsid w:val="58B96858"/>
    <w:rsid w:val="58BB67A0"/>
    <w:rsid w:val="58BE1257"/>
    <w:rsid w:val="58C2451D"/>
    <w:rsid w:val="58C425E6"/>
    <w:rsid w:val="58C7006B"/>
    <w:rsid w:val="58CA480A"/>
    <w:rsid w:val="58CD4FF7"/>
    <w:rsid w:val="58CF5213"/>
    <w:rsid w:val="58CF6576"/>
    <w:rsid w:val="58D00160"/>
    <w:rsid w:val="58D418C8"/>
    <w:rsid w:val="58D565A1"/>
    <w:rsid w:val="58D802CE"/>
    <w:rsid w:val="58D97E3F"/>
    <w:rsid w:val="58DA7055"/>
    <w:rsid w:val="58DB6CD4"/>
    <w:rsid w:val="58E01F18"/>
    <w:rsid w:val="58E14F46"/>
    <w:rsid w:val="58E37FE6"/>
    <w:rsid w:val="58E575E4"/>
    <w:rsid w:val="58E6430A"/>
    <w:rsid w:val="58ED38EB"/>
    <w:rsid w:val="58ED52CF"/>
    <w:rsid w:val="58ED5699"/>
    <w:rsid w:val="58EE31BF"/>
    <w:rsid w:val="58F05975"/>
    <w:rsid w:val="58F06D2E"/>
    <w:rsid w:val="58F3217D"/>
    <w:rsid w:val="58F5279F"/>
    <w:rsid w:val="58F72073"/>
    <w:rsid w:val="58FB63E9"/>
    <w:rsid w:val="58FC706B"/>
    <w:rsid w:val="58FF1E58"/>
    <w:rsid w:val="5906339C"/>
    <w:rsid w:val="59091DA7"/>
    <w:rsid w:val="590E4DA8"/>
    <w:rsid w:val="59122A32"/>
    <w:rsid w:val="591250FF"/>
    <w:rsid w:val="5915074C"/>
    <w:rsid w:val="591734E0"/>
    <w:rsid w:val="59184025"/>
    <w:rsid w:val="5919023C"/>
    <w:rsid w:val="591A2D58"/>
    <w:rsid w:val="591F15CA"/>
    <w:rsid w:val="592163C9"/>
    <w:rsid w:val="59266DFD"/>
    <w:rsid w:val="592C35DC"/>
    <w:rsid w:val="59350DEE"/>
    <w:rsid w:val="59376914"/>
    <w:rsid w:val="5939464F"/>
    <w:rsid w:val="593C03CE"/>
    <w:rsid w:val="593E5BF3"/>
    <w:rsid w:val="593E7CA2"/>
    <w:rsid w:val="59411541"/>
    <w:rsid w:val="594159E5"/>
    <w:rsid w:val="59441031"/>
    <w:rsid w:val="594828CF"/>
    <w:rsid w:val="5948761A"/>
    <w:rsid w:val="594E3CA4"/>
    <w:rsid w:val="59513E7A"/>
    <w:rsid w:val="5952570D"/>
    <w:rsid w:val="595439FE"/>
    <w:rsid w:val="596127B1"/>
    <w:rsid w:val="59635888"/>
    <w:rsid w:val="59635B05"/>
    <w:rsid w:val="59641B83"/>
    <w:rsid w:val="596521DC"/>
    <w:rsid w:val="59656C38"/>
    <w:rsid w:val="59661F2B"/>
    <w:rsid w:val="59662C8B"/>
    <w:rsid w:val="59671AD4"/>
    <w:rsid w:val="5967369D"/>
    <w:rsid w:val="596F235C"/>
    <w:rsid w:val="59704E92"/>
    <w:rsid w:val="59723D50"/>
    <w:rsid w:val="59734829"/>
    <w:rsid w:val="597439D0"/>
    <w:rsid w:val="59747B49"/>
    <w:rsid w:val="59750590"/>
    <w:rsid w:val="59775A81"/>
    <w:rsid w:val="597933D0"/>
    <w:rsid w:val="597E2D83"/>
    <w:rsid w:val="597E7408"/>
    <w:rsid w:val="598541D6"/>
    <w:rsid w:val="598629F0"/>
    <w:rsid w:val="598633F7"/>
    <w:rsid w:val="598650A1"/>
    <w:rsid w:val="59875AED"/>
    <w:rsid w:val="59877A50"/>
    <w:rsid w:val="598A5B73"/>
    <w:rsid w:val="598D123A"/>
    <w:rsid w:val="599035FD"/>
    <w:rsid w:val="59927FEE"/>
    <w:rsid w:val="59936158"/>
    <w:rsid w:val="59961079"/>
    <w:rsid w:val="59985FAB"/>
    <w:rsid w:val="59993355"/>
    <w:rsid w:val="599A3D2F"/>
    <w:rsid w:val="599C7DE4"/>
    <w:rsid w:val="59A0672C"/>
    <w:rsid w:val="59A3044D"/>
    <w:rsid w:val="59A55F73"/>
    <w:rsid w:val="59AD15AB"/>
    <w:rsid w:val="59AF6DF2"/>
    <w:rsid w:val="59B470DD"/>
    <w:rsid w:val="59B66EB3"/>
    <w:rsid w:val="59B94D9F"/>
    <w:rsid w:val="59BA4144"/>
    <w:rsid w:val="59BE36AB"/>
    <w:rsid w:val="59BF16A6"/>
    <w:rsid w:val="59C0439F"/>
    <w:rsid w:val="59C13ACF"/>
    <w:rsid w:val="59C17497"/>
    <w:rsid w:val="59C30027"/>
    <w:rsid w:val="59C70173"/>
    <w:rsid w:val="59CA59DA"/>
    <w:rsid w:val="59CC3500"/>
    <w:rsid w:val="59D9502B"/>
    <w:rsid w:val="59DD74BB"/>
    <w:rsid w:val="59E41FE5"/>
    <w:rsid w:val="59E52B83"/>
    <w:rsid w:val="59EF6B9D"/>
    <w:rsid w:val="59F130A5"/>
    <w:rsid w:val="59F26EC9"/>
    <w:rsid w:val="59F44805"/>
    <w:rsid w:val="59F62CA4"/>
    <w:rsid w:val="59F67A26"/>
    <w:rsid w:val="59F705C5"/>
    <w:rsid w:val="59FA62BF"/>
    <w:rsid w:val="5A001BC6"/>
    <w:rsid w:val="5A011459"/>
    <w:rsid w:val="5A02233A"/>
    <w:rsid w:val="5A026F22"/>
    <w:rsid w:val="5A04694A"/>
    <w:rsid w:val="5A052976"/>
    <w:rsid w:val="5A063E3B"/>
    <w:rsid w:val="5A081CC5"/>
    <w:rsid w:val="5A09562C"/>
    <w:rsid w:val="5A0C7908"/>
    <w:rsid w:val="5A0F4038"/>
    <w:rsid w:val="5A0F41EE"/>
    <w:rsid w:val="5A102BB5"/>
    <w:rsid w:val="5A112DD4"/>
    <w:rsid w:val="5A113973"/>
    <w:rsid w:val="5A115625"/>
    <w:rsid w:val="5A162204"/>
    <w:rsid w:val="5A165757"/>
    <w:rsid w:val="5A1A1BDF"/>
    <w:rsid w:val="5A203DAE"/>
    <w:rsid w:val="5A252C10"/>
    <w:rsid w:val="5A2B279F"/>
    <w:rsid w:val="5A2D7D25"/>
    <w:rsid w:val="5A2F1CE1"/>
    <w:rsid w:val="5A312D8C"/>
    <w:rsid w:val="5A317807"/>
    <w:rsid w:val="5A3D09A9"/>
    <w:rsid w:val="5A3E4927"/>
    <w:rsid w:val="5A3E5A0E"/>
    <w:rsid w:val="5A3E691C"/>
    <w:rsid w:val="5A3E7F6B"/>
    <w:rsid w:val="5A440B56"/>
    <w:rsid w:val="5A45448E"/>
    <w:rsid w:val="5A470FDB"/>
    <w:rsid w:val="5A4C2893"/>
    <w:rsid w:val="5A4E03B9"/>
    <w:rsid w:val="5A540ABF"/>
    <w:rsid w:val="5A587B93"/>
    <w:rsid w:val="5A5B515A"/>
    <w:rsid w:val="5A5F6122"/>
    <w:rsid w:val="5A5F6E50"/>
    <w:rsid w:val="5A626832"/>
    <w:rsid w:val="5A6310DA"/>
    <w:rsid w:val="5A644857"/>
    <w:rsid w:val="5A67279E"/>
    <w:rsid w:val="5A672A61"/>
    <w:rsid w:val="5A673229"/>
    <w:rsid w:val="5A680661"/>
    <w:rsid w:val="5A683600"/>
    <w:rsid w:val="5A68536B"/>
    <w:rsid w:val="5A6A4AC7"/>
    <w:rsid w:val="5A6B0E63"/>
    <w:rsid w:val="5A7125EE"/>
    <w:rsid w:val="5A733899"/>
    <w:rsid w:val="5A737E20"/>
    <w:rsid w:val="5A7B57FB"/>
    <w:rsid w:val="5A7C1BE0"/>
    <w:rsid w:val="5A802C08"/>
    <w:rsid w:val="5A8632ED"/>
    <w:rsid w:val="5A871B1D"/>
    <w:rsid w:val="5A875679"/>
    <w:rsid w:val="5A8838A1"/>
    <w:rsid w:val="5A8B4CF4"/>
    <w:rsid w:val="5A8E6A07"/>
    <w:rsid w:val="5A9009D2"/>
    <w:rsid w:val="5A902780"/>
    <w:rsid w:val="5A971D60"/>
    <w:rsid w:val="5A9B46F5"/>
    <w:rsid w:val="5A9D28FB"/>
    <w:rsid w:val="5AA95605"/>
    <w:rsid w:val="5AAB580B"/>
    <w:rsid w:val="5AAE2C06"/>
    <w:rsid w:val="5AB5009D"/>
    <w:rsid w:val="5AB53F94"/>
    <w:rsid w:val="5AB807E4"/>
    <w:rsid w:val="5AB81CD6"/>
    <w:rsid w:val="5AB94067"/>
    <w:rsid w:val="5ABC1175"/>
    <w:rsid w:val="5ABD109B"/>
    <w:rsid w:val="5ABE2233"/>
    <w:rsid w:val="5ABE26ED"/>
    <w:rsid w:val="5ABF12B7"/>
    <w:rsid w:val="5AC0437F"/>
    <w:rsid w:val="5AC10B8B"/>
    <w:rsid w:val="5AC44CFF"/>
    <w:rsid w:val="5AC46853"/>
    <w:rsid w:val="5AC664DB"/>
    <w:rsid w:val="5AC67AF9"/>
    <w:rsid w:val="5AC8016B"/>
    <w:rsid w:val="5ACB01DE"/>
    <w:rsid w:val="5ACD5782"/>
    <w:rsid w:val="5ACE2385"/>
    <w:rsid w:val="5ACF620B"/>
    <w:rsid w:val="5AD03C8C"/>
    <w:rsid w:val="5AD50B17"/>
    <w:rsid w:val="5AD54636"/>
    <w:rsid w:val="5AD57687"/>
    <w:rsid w:val="5AD74EFD"/>
    <w:rsid w:val="5AD80637"/>
    <w:rsid w:val="5ADC59C5"/>
    <w:rsid w:val="5ADD12F1"/>
    <w:rsid w:val="5ADD29F0"/>
    <w:rsid w:val="5ADF1011"/>
    <w:rsid w:val="5ADF3707"/>
    <w:rsid w:val="5AE4717C"/>
    <w:rsid w:val="5AE57637"/>
    <w:rsid w:val="5AEC6705"/>
    <w:rsid w:val="5AED1980"/>
    <w:rsid w:val="5AF20641"/>
    <w:rsid w:val="5AF30F60"/>
    <w:rsid w:val="5AF31824"/>
    <w:rsid w:val="5AF440A0"/>
    <w:rsid w:val="5AF52F61"/>
    <w:rsid w:val="5AF5778B"/>
    <w:rsid w:val="5AF745AD"/>
    <w:rsid w:val="5AF80757"/>
    <w:rsid w:val="5AF8134E"/>
    <w:rsid w:val="5AF815CD"/>
    <w:rsid w:val="5AF9704F"/>
    <w:rsid w:val="5AFC1A5E"/>
    <w:rsid w:val="5B01445B"/>
    <w:rsid w:val="5B044F1C"/>
    <w:rsid w:val="5B0C2763"/>
    <w:rsid w:val="5B0D4D97"/>
    <w:rsid w:val="5B0F4A76"/>
    <w:rsid w:val="5B0F5D9A"/>
    <w:rsid w:val="5B145BBA"/>
    <w:rsid w:val="5B16503A"/>
    <w:rsid w:val="5B167A65"/>
    <w:rsid w:val="5B1708CA"/>
    <w:rsid w:val="5B184523"/>
    <w:rsid w:val="5B1A64ED"/>
    <w:rsid w:val="5B1C2265"/>
    <w:rsid w:val="5B1C6D18"/>
    <w:rsid w:val="5B1C7B22"/>
    <w:rsid w:val="5B1D0508"/>
    <w:rsid w:val="5B2041D0"/>
    <w:rsid w:val="5B212792"/>
    <w:rsid w:val="5B237E93"/>
    <w:rsid w:val="5B2533FD"/>
    <w:rsid w:val="5B295D1F"/>
    <w:rsid w:val="5B303F63"/>
    <w:rsid w:val="5B305D11"/>
    <w:rsid w:val="5B340651"/>
    <w:rsid w:val="5B355BAF"/>
    <w:rsid w:val="5B357F7A"/>
    <w:rsid w:val="5B3710B2"/>
    <w:rsid w:val="5B373A6F"/>
    <w:rsid w:val="5B3F6646"/>
    <w:rsid w:val="5B405245"/>
    <w:rsid w:val="5B432946"/>
    <w:rsid w:val="5B465BFF"/>
    <w:rsid w:val="5B48305A"/>
    <w:rsid w:val="5B4D35C8"/>
    <w:rsid w:val="5B5063B8"/>
    <w:rsid w:val="5B507A5E"/>
    <w:rsid w:val="5B527A35"/>
    <w:rsid w:val="5B5373CC"/>
    <w:rsid w:val="5B5555DB"/>
    <w:rsid w:val="5B5B1B8D"/>
    <w:rsid w:val="5B5E462C"/>
    <w:rsid w:val="5B615ECA"/>
    <w:rsid w:val="5B6724EE"/>
    <w:rsid w:val="5B676976"/>
    <w:rsid w:val="5B6854AA"/>
    <w:rsid w:val="5B6C2D6A"/>
    <w:rsid w:val="5B6C3DB3"/>
    <w:rsid w:val="5B6F1663"/>
    <w:rsid w:val="5B714AE5"/>
    <w:rsid w:val="5B727530"/>
    <w:rsid w:val="5B743B71"/>
    <w:rsid w:val="5B755872"/>
    <w:rsid w:val="5B763EB7"/>
    <w:rsid w:val="5B7B05F5"/>
    <w:rsid w:val="5B7B6323"/>
    <w:rsid w:val="5B7C4516"/>
    <w:rsid w:val="5B7E7DD1"/>
    <w:rsid w:val="5B7F07AB"/>
    <w:rsid w:val="5B811EE9"/>
    <w:rsid w:val="5B82245A"/>
    <w:rsid w:val="5B85605C"/>
    <w:rsid w:val="5B8C3B8D"/>
    <w:rsid w:val="5B8D3163"/>
    <w:rsid w:val="5B8D756D"/>
    <w:rsid w:val="5B8F2A37"/>
    <w:rsid w:val="5B93283B"/>
    <w:rsid w:val="5B943228"/>
    <w:rsid w:val="5B9601D2"/>
    <w:rsid w:val="5B961A42"/>
    <w:rsid w:val="5B981BF9"/>
    <w:rsid w:val="5B9A63AA"/>
    <w:rsid w:val="5B9B465A"/>
    <w:rsid w:val="5B9C083A"/>
    <w:rsid w:val="5BA02688"/>
    <w:rsid w:val="5BA11EA0"/>
    <w:rsid w:val="5BA87F9D"/>
    <w:rsid w:val="5BAA5AC3"/>
    <w:rsid w:val="5BAC6AF2"/>
    <w:rsid w:val="5BB12F7A"/>
    <w:rsid w:val="5BB4249E"/>
    <w:rsid w:val="5BB75007"/>
    <w:rsid w:val="5BBB382C"/>
    <w:rsid w:val="5BBD57F6"/>
    <w:rsid w:val="5BC6799A"/>
    <w:rsid w:val="5BCC5A39"/>
    <w:rsid w:val="5BCD22B6"/>
    <w:rsid w:val="5BD043CD"/>
    <w:rsid w:val="5BD2403C"/>
    <w:rsid w:val="5BD74A75"/>
    <w:rsid w:val="5BDB5443"/>
    <w:rsid w:val="5BDF3E49"/>
    <w:rsid w:val="5BDF5D95"/>
    <w:rsid w:val="5BE34433"/>
    <w:rsid w:val="5BE34B31"/>
    <w:rsid w:val="5BE72873"/>
    <w:rsid w:val="5BED535D"/>
    <w:rsid w:val="5BF07652"/>
    <w:rsid w:val="5BF1724E"/>
    <w:rsid w:val="5BF27270"/>
    <w:rsid w:val="5BF37867"/>
    <w:rsid w:val="5BF57987"/>
    <w:rsid w:val="5BF63A6F"/>
    <w:rsid w:val="5BF67593"/>
    <w:rsid w:val="5BF8682E"/>
    <w:rsid w:val="5BFD30FD"/>
    <w:rsid w:val="5BFE26BB"/>
    <w:rsid w:val="5BFE7528"/>
    <w:rsid w:val="5BFF0AFB"/>
    <w:rsid w:val="5BFF437E"/>
    <w:rsid w:val="5C001E00"/>
    <w:rsid w:val="5C0351D3"/>
    <w:rsid w:val="5C08720C"/>
    <w:rsid w:val="5C087F4D"/>
    <w:rsid w:val="5C0A0310"/>
    <w:rsid w:val="5C0C6506"/>
    <w:rsid w:val="5C0E2FD3"/>
    <w:rsid w:val="5C0E78F4"/>
    <w:rsid w:val="5C0F2DC3"/>
    <w:rsid w:val="5C127B1C"/>
    <w:rsid w:val="5C163FA3"/>
    <w:rsid w:val="5C1C624B"/>
    <w:rsid w:val="5C1C6713"/>
    <w:rsid w:val="5C1E5B2C"/>
    <w:rsid w:val="5C1F7933"/>
    <w:rsid w:val="5C2615A9"/>
    <w:rsid w:val="5C2B06C5"/>
    <w:rsid w:val="5C2C7A6D"/>
    <w:rsid w:val="5C2F11CB"/>
    <w:rsid w:val="5C376D9A"/>
    <w:rsid w:val="5C3842C4"/>
    <w:rsid w:val="5C390BF5"/>
    <w:rsid w:val="5C3929A3"/>
    <w:rsid w:val="5C393362"/>
    <w:rsid w:val="5C3A0EAF"/>
    <w:rsid w:val="5C3B6762"/>
    <w:rsid w:val="5C3E3E63"/>
    <w:rsid w:val="5C3F18E4"/>
    <w:rsid w:val="5C3F26AF"/>
    <w:rsid w:val="5C4067C1"/>
    <w:rsid w:val="5C464AF3"/>
    <w:rsid w:val="5C465B12"/>
    <w:rsid w:val="5C4849EC"/>
    <w:rsid w:val="5C4A4BB0"/>
    <w:rsid w:val="5C4E644E"/>
    <w:rsid w:val="5C4F0418"/>
    <w:rsid w:val="5C555AB7"/>
    <w:rsid w:val="5C590EB4"/>
    <w:rsid w:val="5C5E56D9"/>
    <w:rsid w:val="5C5F173A"/>
    <w:rsid w:val="5C5F52A8"/>
    <w:rsid w:val="5C60665C"/>
    <w:rsid w:val="5C642423"/>
    <w:rsid w:val="5C6519EA"/>
    <w:rsid w:val="5C657C3C"/>
    <w:rsid w:val="5C69689F"/>
    <w:rsid w:val="5C6B35CE"/>
    <w:rsid w:val="5C700ABB"/>
    <w:rsid w:val="5C734F6B"/>
    <w:rsid w:val="5C7550A1"/>
    <w:rsid w:val="5C764A62"/>
    <w:rsid w:val="5C776F19"/>
    <w:rsid w:val="5C7D4904"/>
    <w:rsid w:val="5C844566"/>
    <w:rsid w:val="5C846314"/>
    <w:rsid w:val="5C85148E"/>
    <w:rsid w:val="5C8A495A"/>
    <w:rsid w:val="5C8C6F77"/>
    <w:rsid w:val="5C8D0284"/>
    <w:rsid w:val="5C8F1D6F"/>
    <w:rsid w:val="5C922E65"/>
    <w:rsid w:val="5C9272E9"/>
    <w:rsid w:val="5C9418A6"/>
    <w:rsid w:val="5C950379"/>
    <w:rsid w:val="5C9F7056"/>
    <w:rsid w:val="5CA0283D"/>
    <w:rsid w:val="5CA8053F"/>
    <w:rsid w:val="5CA80DA4"/>
    <w:rsid w:val="5CA90C0B"/>
    <w:rsid w:val="5CA93512"/>
    <w:rsid w:val="5CAA4AD6"/>
    <w:rsid w:val="5CAB38A1"/>
    <w:rsid w:val="5CAC6B74"/>
    <w:rsid w:val="5CAC6D2A"/>
    <w:rsid w:val="5CAD6BEE"/>
    <w:rsid w:val="5CAD7A90"/>
    <w:rsid w:val="5CAE321D"/>
    <w:rsid w:val="5CAE48B6"/>
    <w:rsid w:val="5CB00D05"/>
    <w:rsid w:val="5CB14C2F"/>
    <w:rsid w:val="5CB35043"/>
    <w:rsid w:val="5CB564CD"/>
    <w:rsid w:val="5CB73B2D"/>
    <w:rsid w:val="5CB97030"/>
    <w:rsid w:val="5CBC5AAE"/>
    <w:rsid w:val="5CBD7F70"/>
    <w:rsid w:val="5CC340BC"/>
    <w:rsid w:val="5CC93A47"/>
    <w:rsid w:val="5CCC024F"/>
    <w:rsid w:val="5CCD7D10"/>
    <w:rsid w:val="5CCF011E"/>
    <w:rsid w:val="5CD03307"/>
    <w:rsid w:val="5CD808C6"/>
    <w:rsid w:val="5CD85A7F"/>
    <w:rsid w:val="5CD91AE3"/>
    <w:rsid w:val="5CD9561D"/>
    <w:rsid w:val="5CDA307C"/>
    <w:rsid w:val="5CDE5F6B"/>
    <w:rsid w:val="5CDF022A"/>
    <w:rsid w:val="5CE045E7"/>
    <w:rsid w:val="5CE15514"/>
    <w:rsid w:val="5CE648D9"/>
    <w:rsid w:val="5CEA77FF"/>
    <w:rsid w:val="5CEF3C87"/>
    <w:rsid w:val="5CF36FF6"/>
    <w:rsid w:val="5CFA1A18"/>
    <w:rsid w:val="5CFD7E74"/>
    <w:rsid w:val="5D00718A"/>
    <w:rsid w:val="5D017965"/>
    <w:rsid w:val="5D032927"/>
    <w:rsid w:val="5D043BDE"/>
    <w:rsid w:val="5D0C00B7"/>
    <w:rsid w:val="5D135CE5"/>
    <w:rsid w:val="5D136571"/>
    <w:rsid w:val="5D144A17"/>
    <w:rsid w:val="5D15022C"/>
    <w:rsid w:val="5D15428C"/>
    <w:rsid w:val="5D165643"/>
    <w:rsid w:val="5D174E5B"/>
    <w:rsid w:val="5D1A5681"/>
    <w:rsid w:val="5D1A6F72"/>
    <w:rsid w:val="5D1C5A4F"/>
    <w:rsid w:val="5D2031A1"/>
    <w:rsid w:val="5D210B97"/>
    <w:rsid w:val="5D215318"/>
    <w:rsid w:val="5D2231DC"/>
    <w:rsid w:val="5D2D156D"/>
    <w:rsid w:val="5D2D376B"/>
    <w:rsid w:val="5D2E0F81"/>
    <w:rsid w:val="5D301FF8"/>
    <w:rsid w:val="5D3024F2"/>
    <w:rsid w:val="5D3333A2"/>
    <w:rsid w:val="5D355860"/>
    <w:rsid w:val="5D3C0A1B"/>
    <w:rsid w:val="5D3D22B4"/>
    <w:rsid w:val="5D3E4715"/>
    <w:rsid w:val="5D3F277F"/>
    <w:rsid w:val="5D406B8A"/>
    <w:rsid w:val="5D443CF5"/>
    <w:rsid w:val="5D46181B"/>
    <w:rsid w:val="5D480AC5"/>
    <w:rsid w:val="5D49149F"/>
    <w:rsid w:val="5D492930"/>
    <w:rsid w:val="5D4B44AF"/>
    <w:rsid w:val="5D4B6E32"/>
    <w:rsid w:val="5D4E3CA0"/>
    <w:rsid w:val="5D4F6922"/>
    <w:rsid w:val="5D5104A8"/>
    <w:rsid w:val="5D513C37"/>
    <w:rsid w:val="5D573851"/>
    <w:rsid w:val="5D5749AC"/>
    <w:rsid w:val="5D577585"/>
    <w:rsid w:val="5D5C103F"/>
    <w:rsid w:val="5D5C19F4"/>
    <w:rsid w:val="5D623872"/>
    <w:rsid w:val="5D645228"/>
    <w:rsid w:val="5D665A1A"/>
    <w:rsid w:val="5D667504"/>
    <w:rsid w:val="5D683540"/>
    <w:rsid w:val="5D69550A"/>
    <w:rsid w:val="5D6E48CE"/>
    <w:rsid w:val="5D7209DD"/>
    <w:rsid w:val="5D7243BE"/>
    <w:rsid w:val="5D762E2E"/>
    <w:rsid w:val="5D773C38"/>
    <w:rsid w:val="5D787085"/>
    <w:rsid w:val="5D7E0072"/>
    <w:rsid w:val="5D803576"/>
    <w:rsid w:val="5D845EA0"/>
    <w:rsid w:val="5D861C18"/>
    <w:rsid w:val="5D8D11F8"/>
    <w:rsid w:val="5D9630DD"/>
    <w:rsid w:val="5D9C1821"/>
    <w:rsid w:val="5D9C3D56"/>
    <w:rsid w:val="5D9E058D"/>
    <w:rsid w:val="5DA052A8"/>
    <w:rsid w:val="5DA52CD8"/>
    <w:rsid w:val="5DA65ECB"/>
    <w:rsid w:val="5DA82C29"/>
    <w:rsid w:val="5DA85633"/>
    <w:rsid w:val="5DB10042"/>
    <w:rsid w:val="5DB20097"/>
    <w:rsid w:val="5DB20E44"/>
    <w:rsid w:val="5DB736CF"/>
    <w:rsid w:val="5DBC7D30"/>
    <w:rsid w:val="5DBD12C2"/>
    <w:rsid w:val="5DBD3FBB"/>
    <w:rsid w:val="5DC15346"/>
    <w:rsid w:val="5DC80482"/>
    <w:rsid w:val="5DCB1D21"/>
    <w:rsid w:val="5DCC2E35"/>
    <w:rsid w:val="5DD017B6"/>
    <w:rsid w:val="5DD02C46"/>
    <w:rsid w:val="5DD15589"/>
    <w:rsid w:val="5DD51469"/>
    <w:rsid w:val="5DD60DF1"/>
    <w:rsid w:val="5DD7237A"/>
    <w:rsid w:val="5DD74EFD"/>
    <w:rsid w:val="5DD92690"/>
    <w:rsid w:val="5DD92868"/>
    <w:rsid w:val="5DDB01B6"/>
    <w:rsid w:val="5DDC260A"/>
    <w:rsid w:val="5DDD008C"/>
    <w:rsid w:val="5DDE730D"/>
    <w:rsid w:val="5DDF5E8A"/>
    <w:rsid w:val="5DE352BC"/>
    <w:rsid w:val="5DE3706A"/>
    <w:rsid w:val="5DE6548E"/>
    <w:rsid w:val="5DEB4E23"/>
    <w:rsid w:val="5DEC4171"/>
    <w:rsid w:val="5DED15CA"/>
    <w:rsid w:val="5DED613B"/>
    <w:rsid w:val="5DEF1EB3"/>
    <w:rsid w:val="5DFB13FF"/>
    <w:rsid w:val="5DFB3BF1"/>
    <w:rsid w:val="5DFD2E6F"/>
    <w:rsid w:val="5E056A6C"/>
    <w:rsid w:val="5E086AD1"/>
    <w:rsid w:val="5E0A2849"/>
    <w:rsid w:val="5E0A56D8"/>
    <w:rsid w:val="5E103114"/>
    <w:rsid w:val="5E14191A"/>
    <w:rsid w:val="5E160396"/>
    <w:rsid w:val="5E165C67"/>
    <w:rsid w:val="5E1E4546"/>
    <w:rsid w:val="5E231B5D"/>
    <w:rsid w:val="5E2467F1"/>
    <w:rsid w:val="5E296C3F"/>
    <w:rsid w:val="5E2E3A79"/>
    <w:rsid w:val="5E3027E5"/>
    <w:rsid w:val="5E313656"/>
    <w:rsid w:val="5E323B4E"/>
    <w:rsid w:val="5E373936"/>
    <w:rsid w:val="5E3B2A02"/>
    <w:rsid w:val="5E3D71AC"/>
    <w:rsid w:val="5E4044BD"/>
    <w:rsid w:val="5E437C6C"/>
    <w:rsid w:val="5E4775F9"/>
    <w:rsid w:val="5E483371"/>
    <w:rsid w:val="5E495699"/>
    <w:rsid w:val="5E4A3A26"/>
    <w:rsid w:val="5E4A533B"/>
    <w:rsid w:val="5E4C10B3"/>
    <w:rsid w:val="5E4C6141"/>
    <w:rsid w:val="5E512FDE"/>
    <w:rsid w:val="5E5238CE"/>
    <w:rsid w:val="5E532196"/>
    <w:rsid w:val="5E541D16"/>
    <w:rsid w:val="5E571F54"/>
    <w:rsid w:val="5E581806"/>
    <w:rsid w:val="5E587A58"/>
    <w:rsid w:val="5E590ADE"/>
    <w:rsid w:val="5E5D1025"/>
    <w:rsid w:val="5E5D46F5"/>
    <w:rsid w:val="5E5E2B95"/>
    <w:rsid w:val="5E5F0496"/>
    <w:rsid w:val="5E631F59"/>
    <w:rsid w:val="5E635D67"/>
    <w:rsid w:val="5E6376C3"/>
    <w:rsid w:val="5E652175"/>
    <w:rsid w:val="5E6572D0"/>
    <w:rsid w:val="5E663254"/>
    <w:rsid w:val="5E702CD8"/>
    <w:rsid w:val="5E736640"/>
    <w:rsid w:val="5E77028A"/>
    <w:rsid w:val="5E7A0FE5"/>
    <w:rsid w:val="5E7D126D"/>
    <w:rsid w:val="5E826883"/>
    <w:rsid w:val="5E852688"/>
    <w:rsid w:val="5E865F52"/>
    <w:rsid w:val="5E886968"/>
    <w:rsid w:val="5E8A356A"/>
    <w:rsid w:val="5E8A5738"/>
    <w:rsid w:val="5E8C3B32"/>
    <w:rsid w:val="5E8C512D"/>
    <w:rsid w:val="5E960581"/>
    <w:rsid w:val="5E96232F"/>
    <w:rsid w:val="5E980438"/>
    <w:rsid w:val="5E9A3CC2"/>
    <w:rsid w:val="5E9B5B97"/>
    <w:rsid w:val="5E9C4600"/>
    <w:rsid w:val="5E9F7435"/>
    <w:rsid w:val="5EA306D2"/>
    <w:rsid w:val="5EA66A16"/>
    <w:rsid w:val="5EA90CA0"/>
    <w:rsid w:val="5EAF150A"/>
    <w:rsid w:val="5EB033F0"/>
    <w:rsid w:val="5EB50BC5"/>
    <w:rsid w:val="5EB61768"/>
    <w:rsid w:val="5EBA0137"/>
    <w:rsid w:val="5EC16571"/>
    <w:rsid w:val="5ECC3D6F"/>
    <w:rsid w:val="5ECC5D50"/>
    <w:rsid w:val="5ECD7994"/>
    <w:rsid w:val="5ED01686"/>
    <w:rsid w:val="5ED574D6"/>
    <w:rsid w:val="5ED6597D"/>
    <w:rsid w:val="5ED864A3"/>
    <w:rsid w:val="5EDA221B"/>
    <w:rsid w:val="5EDB56E2"/>
    <w:rsid w:val="5EDD34B2"/>
    <w:rsid w:val="5EDD7C2F"/>
    <w:rsid w:val="5EDE31B9"/>
    <w:rsid w:val="5EDE3BFC"/>
    <w:rsid w:val="5EE035AA"/>
    <w:rsid w:val="5EE13A22"/>
    <w:rsid w:val="5EE31B38"/>
    <w:rsid w:val="5EE80C8D"/>
    <w:rsid w:val="5EEA01B0"/>
    <w:rsid w:val="5EF5617C"/>
    <w:rsid w:val="5F0157EA"/>
    <w:rsid w:val="5F0333E3"/>
    <w:rsid w:val="5F164E84"/>
    <w:rsid w:val="5F1A2B43"/>
    <w:rsid w:val="5F1E1D1D"/>
    <w:rsid w:val="5F214EA0"/>
    <w:rsid w:val="5F221E14"/>
    <w:rsid w:val="5F225970"/>
    <w:rsid w:val="5F230066"/>
    <w:rsid w:val="5F247488"/>
    <w:rsid w:val="5F2800AE"/>
    <w:rsid w:val="5F2913F5"/>
    <w:rsid w:val="5F2931A3"/>
    <w:rsid w:val="5F2D48AB"/>
    <w:rsid w:val="5F2F6BBC"/>
    <w:rsid w:val="5F3545E4"/>
    <w:rsid w:val="5F3833E6"/>
    <w:rsid w:val="5F383F3E"/>
    <w:rsid w:val="5F3A1188"/>
    <w:rsid w:val="5F3B02CD"/>
    <w:rsid w:val="5F3E69CE"/>
    <w:rsid w:val="5F4104EC"/>
    <w:rsid w:val="5F4311DC"/>
    <w:rsid w:val="5F4408D8"/>
    <w:rsid w:val="5F48187B"/>
    <w:rsid w:val="5F4C495A"/>
    <w:rsid w:val="5F4D50E3"/>
    <w:rsid w:val="5F4F3B85"/>
    <w:rsid w:val="5F50744C"/>
    <w:rsid w:val="5F5101AF"/>
    <w:rsid w:val="5F517BED"/>
    <w:rsid w:val="5F542CA1"/>
    <w:rsid w:val="5F571ABE"/>
    <w:rsid w:val="5F592D75"/>
    <w:rsid w:val="5F5A2904"/>
    <w:rsid w:val="5F5C5FB8"/>
    <w:rsid w:val="5F5F71CF"/>
    <w:rsid w:val="5F615F3B"/>
    <w:rsid w:val="5F6244B3"/>
    <w:rsid w:val="5F657A2C"/>
    <w:rsid w:val="5F662111"/>
    <w:rsid w:val="5F67539C"/>
    <w:rsid w:val="5F6972FD"/>
    <w:rsid w:val="5F702B80"/>
    <w:rsid w:val="5F705A8F"/>
    <w:rsid w:val="5F7408C2"/>
    <w:rsid w:val="5F75009A"/>
    <w:rsid w:val="5F76780E"/>
    <w:rsid w:val="5F775C2F"/>
    <w:rsid w:val="5F7E0093"/>
    <w:rsid w:val="5F8536F5"/>
    <w:rsid w:val="5F857143"/>
    <w:rsid w:val="5F8D1984"/>
    <w:rsid w:val="5F8D3732"/>
    <w:rsid w:val="5F8D48C9"/>
    <w:rsid w:val="5F8E4D72"/>
    <w:rsid w:val="5F925575"/>
    <w:rsid w:val="5F941697"/>
    <w:rsid w:val="5F942FDA"/>
    <w:rsid w:val="5F950838"/>
    <w:rsid w:val="5F984EEC"/>
    <w:rsid w:val="5FA52F14"/>
    <w:rsid w:val="5FA665A1"/>
    <w:rsid w:val="5FA76FF0"/>
    <w:rsid w:val="5FA911F0"/>
    <w:rsid w:val="5FAF68D7"/>
    <w:rsid w:val="5FB837BB"/>
    <w:rsid w:val="5FB95AD1"/>
    <w:rsid w:val="5FBA1B9B"/>
    <w:rsid w:val="5FBB029F"/>
    <w:rsid w:val="5FBF6023"/>
    <w:rsid w:val="5FC05F61"/>
    <w:rsid w:val="5FC34763"/>
    <w:rsid w:val="5FC353A5"/>
    <w:rsid w:val="5FC53002"/>
    <w:rsid w:val="5FC609F2"/>
    <w:rsid w:val="5FCA6F11"/>
    <w:rsid w:val="5FCC6AA8"/>
    <w:rsid w:val="5FD2225B"/>
    <w:rsid w:val="5FD546F3"/>
    <w:rsid w:val="5FDB26EF"/>
    <w:rsid w:val="5FDB5835"/>
    <w:rsid w:val="5FDB7B52"/>
    <w:rsid w:val="5FE13A7D"/>
    <w:rsid w:val="5FE16FE3"/>
    <w:rsid w:val="5FE771E7"/>
    <w:rsid w:val="5FE87E07"/>
    <w:rsid w:val="5FEA2932"/>
    <w:rsid w:val="5FEC2A61"/>
    <w:rsid w:val="5FED5F7E"/>
    <w:rsid w:val="5FED6AAD"/>
    <w:rsid w:val="5FF24416"/>
    <w:rsid w:val="5FF4555F"/>
    <w:rsid w:val="5FF61782"/>
    <w:rsid w:val="5FF64227"/>
    <w:rsid w:val="5FF92B75"/>
    <w:rsid w:val="5FF94438"/>
    <w:rsid w:val="5FF971C8"/>
    <w:rsid w:val="60011BE0"/>
    <w:rsid w:val="60015C19"/>
    <w:rsid w:val="60025ECE"/>
    <w:rsid w:val="60031C46"/>
    <w:rsid w:val="6005151A"/>
    <w:rsid w:val="600B06A1"/>
    <w:rsid w:val="600C0AFA"/>
    <w:rsid w:val="600D03CE"/>
    <w:rsid w:val="600F4147"/>
    <w:rsid w:val="601033A2"/>
    <w:rsid w:val="601131A9"/>
    <w:rsid w:val="6011550A"/>
    <w:rsid w:val="601259E5"/>
    <w:rsid w:val="60170588"/>
    <w:rsid w:val="60195438"/>
    <w:rsid w:val="601E18C0"/>
    <w:rsid w:val="60200932"/>
    <w:rsid w:val="60240655"/>
    <w:rsid w:val="602776E2"/>
    <w:rsid w:val="602A71D2"/>
    <w:rsid w:val="602C1292"/>
    <w:rsid w:val="60304AE7"/>
    <w:rsid w:val="60372198"/>
    <w:rsid w:val="60433DF0"/>
    <w:rsid w:val="6045514E"/>
    <w:rsid w:val="604D240F"/>
    <w:rsid w:val="604F4E8B"/>
    <w:rsid w:val="604F7B7F"/>
    <w:rsid w:val="60512BA9"/>
    <w:rsid w:val="60514A9F"/>
    <w:rsid w:val="60541D9A"/>
    <w:rsid w:val="6054424F"/>
    <w:rsid w:val="60554B79"/>
    <w:rsid w:val="60557755"/>
    <w:rsid w:val="60567FC7"/>
    <w:rsid w:val="605B1725"/>
    <w:rsid w:val="605E0C19"/>
    <w:rsid w:val="605F2329"/>
    <w:rsid w:val="60603A0C"/>
    <w:rsid w:val="6061582C"/>
    <w:rsid w:val="60626CD8"/>
    <w:rsid w:val="6065020A"/>
    <w:rsid w:val="60677735"/>
    <w:rsid w:val="606B19BF"/>
    <w:rsid w:val="606B69F7"/>
    <w:rsid w:val="606F4B42"/>
    <w:rsid w:val="606F4BE5"/>
    <w:rsid w:val="6075749E"/>
    <w:rsid w:val="607902C7"/>
    <w:rsid w:val="607B5C80"/>
    <w:rsid w:val="607C1407"/>
    <w:rsid w:val="607C7302"/>
    <w:rsid w:val="607D3E4F"/>
    <w:rsid w:val="60820545"/>
    <w:rsid w:val="60831ABD"/>
    <w:rsid w:val="6083657C"/>
    <w:rsid w:val="60894991"/>
    <w:rsid w:val="608A4105"/>
    <w:rsid w:val="608B2E38"/>
    <w:rsid w:val="608F7035"/>
    <w:rsid w:val="60941DC3"/>
    <w:rsid w:val="6094289E"/>
    <w:rsid w:val="609A4A1E"/>
    <w:rsid w:val="609B6155"/>
    <w:rsid w:val="609D4491"/>
    <w:rsid w:val="609F254E"/>
    <w:rsid w:val="60AC5E39"/>
    <w:rsid w:val="60AD570E"/>
    <w:rsid w:val="60B116A2"/>
    <w:rsid w:val="60B13610"/>
    <w:rsid w:val="60B3017E"/>
    <w:rsid w:val="60B44CEE"/>
    <w:rsid w:val="60B8623B"/>
    <w:rsid w:val="60B867A5"/>
    <w:rsid w:val="60BA4FC1"/>
    <w:rsid w:val="60BB71C0"/>
    <w:rsid w:val="60BD0047"/>
    <w:rsid w:val="60BE0AD7"/>
    <w:rsid w:val="60BF5B6D"/>
    <w:rsid w:val="60C018E5"/>
    <w:rsid w:val="60C16521"/>
    <w:rsid w:val="60C34F31"/>
    <w:rsid w:val="60C969EB"/>
    <w:rsid w:val="60CC405A"/>
    <w:rsid w:val="60CE0912"/>
    <w:rsid w:val="60CF38D6"/>
    <w:rsid w:val="60D456DF"/>
    <w:rsid w:val="60D462BC"/>
    <w:rsid w:val="60D50770"/>
    <w:rsid w:val="60D801D1"/>
    <w:rsid w:val="60D96503"/>
    <w:rsid w:val="60DB1C99"/>
    <w:rsid w:val="60DF620F"/>
    <w:rsid w:val="60E00D2B"/>
    <w:rsid w:val="60E0295D"/>
    <w:rsid w:val="60E03D35"/>
    <w:rsid w:val="60E2707F"/>
    <w:rsid w:val="60E73D51"/>
    <w:rsid w:val="60EA79A6"/>
    <w:rsid w:val="60EE1FAE"/>
    <w:rsid w:val="60F15814"/>
    <w:rsid w:val="60F554D2"/>
    <w:rsid w:val="60F66235"/>
    <w:rsid w:val="60F90189"/>
    <w:rsid w:val="60FA6BA5"/>
    <w:rsid w:val="60FB18C6"/>
    <w:rsid w:val="60FE6B6B"/>
    <w:rsid w:val="61001EB2"/>
    <w:rsid w:val="610D0ABC"/>
    <w:rsid w:val="610E2650"/>
    <w:rsid w:val="610E78E5"/>
    <w:rsid w:val="61120392"/>
    <w:rsid w:val="611543D6"/>
    <w:rsid w:val="6115578D"/>
    <w:rsid w:val="611565D4"/>
    <w:rsid w:val="61167A72"/>
    <w:rsid w:val="611759A9"/>
    <w:rsid w:val="61187559"/>
    <w:rsid w:val="611C2D78"/>
    <w:rsid w:val="6122442E"/>
    <w:rsid w:val="612358EA"/>
    <w:rsid w:val="61237025"/>
    <w:rsid w:val="612C0778"/>
    <w:rsid w:val="612E684E"/>
    <w:rsid w:val="61351088"/>
    <w:rsid w:val="6138591F"/>
    <w:rsid w:val="613C1835"/>
    <w:rsid w:val="61404326"/>
    <w:rsid w:val="61445B9D"/>
    <w:rsid w:val="61447E20"/>
    <w:rsid w:val="6145071A"/>
    <w:rsid w:val="61480D1A"/>
    <w:rsid w:val="614C6AAF"/>
    <w:rsid w:val="614E5143"/>
    <w:rsid w:val="615074AC"/>
    <w:rsid w:val="61563A1F"/>
    <w:rsid w:val="615640F5"/>
    <w:rsid w:val="615D0EE2"/>
    <w:rsid w:val="61642270"/>
    <w:rsid w:val="6166050D"/>
    <w:rsid w:val="61690053"/>
    <w:rsid w:val="61696AD3"/>
    <w:rsid w:val="616B6916"/>
    <w:rsid w:val="616C409A"/>
    <w:rsid w:val="61712C70"/>
    <w:rsid w:val="61721AF1"/>
    <w:rsid w:val="617309B0"/>
    <w:rsid w:val="61736957"/>
    <w:rsid w:val="61747C2C"/>
    <w:rsid w:val="61761FA3"/>
    <w:rsid w:val="617821BF"/>
    <w:rsid w:val="61782DF6"/>
    <w:rsid w:val="61794F77"/>
    <w:rsid w:val="617C507F"/>
    <w:rsid w:val="617D2B01"/>
    <w:rsid w:val="617D4CFF"/>
    <w:rsid w:val="617E615C"/>
    <w:rsid w:val="618154D4"/>
    <w:rsid w:val="61891CD7"/>
    <w:rsid w:val="618927A0"/>
    <w:rsid w:val="618B1EF3"/>
    <w:rsid w:val="61915DCF"/>
    <w:rsid w:val="61952D71"/>
    <w:rsid w:val="61971C06"/>
    <w:rsid w:val="61972646"/>
    <w:rsid w:val="619A2136"/>
    <w:rsid w:val="61A274BD"/>
    <w:rsid w:val="61A60ADB"/>
    <w:rsid w:val="61A73945"/>
    <w:rsid w:val="61A84853"/>
    <w:rsid w:val="61A94127"/>
    <w:rsid w:val="61AD00BB"/>
    <w:rsid w:val="61B2122D"/>
    <w:rsid w:val="61B26849"/>
    <w:rsid w:val="61B84CCE"/>
    <w:rsid w:val="61BC4533"/>
    <w:rsid w:val="61C176C2"/>
    <w:rsid w:val="61C45474"/>
    <w:rsid w:val="61C45B06"/>
    <w:rsid w:val="61C75926"/>
    <w:rsid w:val="61C84EF5"/>
    <w:rsid w:val="61CA1B71"/>
    <w:rsid w:val="61CA7231"/>
    <w:rsid w:val="61CE3805"/>
    <w:rsid w:val="61CE3B8D"/>
    <w:rsid w:val="61D03C31"/>
    <w:rsid w:val="61D06D08"/>
    <w:rsid w:val="61D246F2"/>
    <w:rsid w:val="61D261ED"/>
    <w:rsid w:val="61D60C11"/>
    <w:rsid w:val="61D61674"/>
    <w:rsid w:val="61D71F16"/>
    <w:rsid w:val="61D81D7A"/>
    <w:rsid w:val="61D902B3"/>
    <w:rsid w:val="61E03170"/>
    <w:rsid w:val="61E215D8"/>
    <w:rsid w:val="61E559A8"/>
    <w:rsid w:val="61E70D16"/>
    <w:rsid w:val="61E814E9"/>
    <w:rsid w:val="61E82EA1"/>
    <w:rsid w:val="61E93D7E"/>
    <w:rsid w:val="61EA2E7A"/>
    <w:rsid w:val="61EA3E09"/>
    <w:rsid w:val="61ED42C5"/>
    <w:rsid w:val="61ED6709"/>
    <w:rsid w:val="61F168F6"/>
    <w:rsid w:val="61FA2BD4"/>
    <w:rsid w:val="61FA4982"/>
    <w:rsid w:val="61FC694D"/>
    <w:rsid w:val="61FE0917"/>
    <w:rsid w:val="62024F58"/>
    <w:rsid w:val="62035F2D"/>
    <w:rsid w:val="6205712B"/>
    <w:rsid w:val="620847C0"/>
    <w:rsid w:val="6208709F"/>
    <w:rsid w:val="620A1105"/>
    <w:rsid w:val="620C267E"/>
    <w:rsid w:val="62132A20"/>
    <w:rsid w:val="62172E25"/>
    <w:rsid w:val="6218367B"/>
    <w:rsid w:val="621974FF"/>
    <w:rsid w:val="621B3277"/>
    <w:rsid w:val="621B3775"/>
    <w:rsid w:val="621E6D52"/>
    <w:rsid w:val="622019C2"/>
    <w:rsid w:val="62286805"/>
    <w:rsid w:val="62292A93"/>
    <w:rsid w:val="6229697B"/>
    <w:rsid w:val="622D1620"/>
    <w:rsid w:val="622F2563"/>
    <w:rsid w:val="622F4911"/>
    <w:rsid w:val="6230714F"/>
    <w:rsid w:val="623163A2"/>
    <w:rsid w:val="62347E94"/>
    <w:rsid w:val="62364782"/>
    <w:rsid w:val="62377985"/>
    <w:rsid w:val="62382A94"/>
    <w:rsid w:val="62390C3F"/>
    <w:rsid w:val="62404C02"/>
    <w:rsid w:val="62407F88"/>
    <w:rsid w:val="624327CD"/>
    <w:rsid w:val="6243457B"/>
    <w:rsid w:val="624F4CCE"/>
    <w:rsid w:val="625247BE"/>
    <w:rsid w:val="62540537"/>
    <w:rsid w:val="62555001"/>
    <w:rsid w:val="625B6A9B"/>
    <w:rsid w:val="625C5701"/>
    <w:rsid w:val="625D2AE4"/>
    <w:rsid w:val="625D436D"/>
    <w:rsid w:val="62610F56"/>
    <w:rsid w:val="62654422"/>
    <w:rsid w:val="62663D4C"/>
    <w:rsid w:val="626B41EF"/>
    <w:rsid w:val="626C3AD2"/>
    <w:rsid w:val="626C6B86"/>
    <w:rsid w:val="62705956"/>
    <w:rsid w:val="627209BD"/>
    <w:rsid w:val="627625A5"/>
    <w:rsid w:val="627778A2"/>
    <w:rsid w:val="627818F5"/>
    <w:rsid w:val="62782477"/>
    <w:rsid w:val="62782E5E"/>
    <w:rsid w:val="62791EFC"/>
    <w:rsid w:val="627A1826"/>
    <w:rsid w:val="627F5A8E"/>
    <w:rsid w:val="627F77D0"/>
    <w:rsid w:val="6280568A"/>
    <w:rsid w:val="62842E61"/>
    <w:rsid w:val="62844248"/>
    <w:rsid w:val="628578AE"/>
    <w:rsid w:val="62857AB0"/>
    <w:rsid w:val="6288436E"/>
    <w:rsid w:val="628C6EF7"/>
    <w:rsid w:val="628E28E5"/>
    <w:rsid w:val="62954A01"/>
    <w:rsid w:val="62966D01"/>
    <w:rsid w:val="62974414"/>
    <w:rsid w:val="629C6C2F"/>
    <w:rsid w:val="629D5835"/>
    <w:rsid w:val="62A1668C"/>
    <w:rsid w:val="62A41D6A"/>
    <w:rsid w:val="62A56FE4"/>
    <w:rsid w:val="62A7388A"/>
    <w:rsid w:val="62AC0373"/>
    <w:rsid w:val="62AC3ECF"/>
    <w:rsid w:val="62AD1323"/>
    <w:rsid w:val="62AD53F1"/>
    <w:rsid w:val="62B45479"/>
    <w:rsid w:val="62B67FAD"/>
    <w:rsid w:val="62B71584"/>
    <w:rsid w:val="62B92A90"/>
    <w:rsid w:val="62BB0B0F"/>
    <w:rsid w:val="62BB2188"/>
    <w:rsid w:val="62BB36B8"/>
    <w:rsid w:val="62BB6808"/>
    <w:rsid w:val="62C169B9"/>
    <w:rsid w:val="62C16D24"/>
    <w:rsid w:val="62C236F2"/>
    <w:rsid w:val="62C31A1B"/>
    <w:rsid w:val="62C52A98"/>
    <w:rsid w:val="62C61048"/>
    <w:rsid w:val="62CA27A3"/>
    <w:rsid w:val="62CF7BBD"/>
    <w:rsid w:val="62D60F4C"/>
    <w:rsid w:val="62D72BDE"/>
    <w:rsid w:val="62DB2AED"/>
    <w:rsid w:val="62DD677E"/>
    <w:rsid w:val="62E02F60"/>
    <w:rsid w:val="62E511DB"/>
    <w:rsid w:val="62EB733F"/>
    <w:rsid w:val="62EC5F9A"/>
    <w:rsid w:val="62EC6826"/>
    <w:rsid w:val="62EC7D19"/>
    <w:rsid w:val="62F00BE4"/>
    <w:rsid w:val="62F23C4B"/>
    <w:rsid w:val="62F31A87"/>
    <w:rsid w:val="62F810E9"/>
    <w:rsid w:val="62F86540"/>
    <w:rsid w:val="62F977F1"/>
    <w:rsid w:val="62FB0777"/>
    <w:rsid w:val="62FD68B3"/>
    <w:rsid w:val="63027872"/>
    <w:rsid w:val="63041F5D"/>
    <w:rsid w:val="630442B5"/>
    <w:rsid w:val="63091321"/>
    <w:rsid w:val="630930CF"/>
    <w:rsid w:val="630E4191"/>
    <w:rsid w:val="63105496"/>
    <w:rsid w:val="63133F4E"/>
    <w:rsid w:val="63163A3E"/>
    <w:rsid w:val="631A2E2B"/>
    <w:rsid w:val="631B69F2"/>
    <w:rsid w:val="631D4DCC"/>
    <w:rsid w:val="63220635"/>
    <w:rsid w:val="632F219A"/>
    <w:rsid w:val="63304B4A"/>
    <w:rsid w:val="63343EC4"/>
    <w:rsid w:val="63351CAA"/>
    <w:rsid w:val="633839B4"/>
    <w:rsid w:val="633A3BD0"/>
    <w:rsid w:val="633D2BD8"/>
    <w:rsid w:val="633D721D"/>
    <w:rsid w:val="634520EC"/>
    <w:rsid w:val="63456869"/>
    <w:rsid w:val="63461EEC"/>
    <w:rsid w:val="63486902"/>
    <w:rsid w:val="634E4F86"/>
    <w:rsid w:val="635051A2"/>
    <w:rsid w:val="63515EFF"/>
    <w:rsid w:val="6353259C"/>
    <w:rsid w:val="635527B8"/>
    <w:rsid w:val="635974FF"/>
    <w:rsid w:val="63666773"/>
    <w:rsid w:val="63674FF9"/>
    <w:rsid w:val="63676048"/>
    <w:rsid w:val="636B1FDC"/>
    <w:rsid w:val="636D6842"/>
    <w:rsid w:val="636F54AF"/>
    <w:rsid w:val="63724157"/>
    <w:rsid w:val="637807A0"/>
    <w:rsid w:val="637864A7"/>
    <w:rsid w:val="637A12C2"/>
    <w:rsid w:val="637C6E66"/>
    <w:rsid w:val="637E354B"/>
    <w:rsid w:val="6380341F"/>
    <w:rsid w:val="63807109"/>
    <w:rsid w:val="6381342F"/>
    <w:rsid w:val="6384309D"/>
    <w:rsid w:val="638763D9"/>
    <w:rsid w:val="63895C70"/>
    <w:rsid w:val="638C3D00"/>
    <w:rsid w:val="638D7B34"/>
    <w:rsid w:val="638E55D2"/>
    <w:rsid w:val="638E7A78"/>
    <w:rsid w:val="638F71D4"/>
    <w:rsid w:val="63902AC3"/>
    <w:rsid w:val="63931232"/>
    <w:rsid w:val="63932B55"/>
    <w:rsid w:val="6394356A"/>
    <w:rsid w:val="63953FA2"/>
    <w:rsid w:val="63966077"/>
    <w:rsid w:val="63970658"/>
    <w:rsid w:val="63974B7F"/>
    <w:rsid w:val="639C2195"/>
    <w:rsid w:val="639C2AFB"/>
    <w:rsid w:val="639F3861"/>
    <w:rsid w:val="63A177AC"/>
    <w:rsid w:val="63A31776"/>
    <w:rsid w:val="63A34684"/>
    <w:rsid w:val="63A365C7"/>
    <w:rsid w:val="63A57A90"/>
    <w:rsid w:val="63A6062F"/>
    <w:rsid w:val="63A6340B"/>
    <w:rsid w:val="63A81BA8"/>
    <w:rsid w:val="63A92B04"/>
    <w:rsid w:val="63B212A3"/>
    <w:rsid w:val="63B662DA"/>
    <w:rsid w:val="63B81CCF"/>
    <w:rsid w:val="63C03819"/>
    <w:rsid w:val="63C13032"/>
    <w:rsid w:val="63C61B2C"/>
    <w:rsid w:val="63C7091D"/>
    <w:rsid w:val="63CC63FA"/>
    <w:rsid w:val="63D17EA6"/>
    <w:rsid w:val="63D40BE9"/>
    <w:rsid w:val="63D43B3C"/>
    <w:rsid w:val="63D56FFD"/>
    <w:rsid w:val="63DE39EA"/>
    <w:rsid w:val="63DF2082"/>
    <w:rsid w:val="63E079CB"/>
    <w:rsid w:val="63E13A0B"/>
    <w:rsid w:val="63F06D02"/>
    <w:rsid w:val="63F27EFF"/>
    <w:rsid w:val="63F514B5"/>
    <w:rsid w:val="63F55D49"/>
    <w:rsid w:val="63F568B1"/>
    <w:rsid w:val="63F7386F"/>
    <w:rsid w:val="63F96C30"/>
    <w:rsid w:val="63FE4C1B"/>
    <w:rsid w:val="63FF44D2"/>
    <w:rsid w:val="64045705"/>
    <w:rsid w:val="640B24A8"/>
    <w:rsid w:val="640D40A6"/>
    <w:rsid w:val="64102431"/>
    <w:rsid w:val="64114CB8"/>
    <w:rsid w:val="64131199"/>
    <w:rsid w:val="641536BE"/>
    <w:rsid w:val="64162907"/>
    <w:rsid w:val="6418315C"/>
    <w:rsid w:val="64184044"/>
    <w:rsid w:val="64194A1E"/>
    <w:rsid w:val="641A130C"/>
    <w:rsid w:val="641C50CD"/>
    <w:rsid w:val="642503DD"/>
    <w:rsid w:val="64265F03"/>
    <w:rsid w:val="64283A29"/>
    <w:rsid w:val="642A5BE2"/>
    <w:rsid w:val="642B2624"/>
    <w:rsid w:val="642B3519"/>
    <w:rsid w:val="642E704C"/>
    <w:rsid w:val="642F1E02"/>
    <w:rsid w:val="64371293"/>
    <w:rsid w:val="64374EF8"/>
    <w:rsid w:val="643A3DC4"/>
    <w:rsid w:val="643F6D26"/>
    <w:rsid w:val="64415D30"/>
    <w:rsid w:val="644545DB"/>
    <w:rsid w:val="64457A91"/>
    <w:rsid w:val="64482C5A"/>
    <w:rsid w:val="644B4006"/>
    <w:rsid w:val="644C4E9D"/>
    <w:rsid w:val="644F259F"/>
    <w:rsid w:val="64517158"/>
    <w:rsid w:val="64537D84"/>
    <w:rsid w:val="64540922"/>
    <w:rsid w:val="64540CC2"/>
    <w:rsid w:val="6454481E"/>
    <w:rsid w:val="645804F4"/>
    <w:rsid w:val="64583414"/>
    <w:rsid w:val="646003B3"/>
    <w:rsid w:val="646060BC"/>
    <w:rsid w:val="64654FB0"/>
    <w:rsid w:val="646A5DEF"/>
    <w:rsid w:val="6470717E"/>
    <w:rsid w:val="64755141"/>
    <w:rsid w:val="647C3834"/>
    <w:rsid w:val="647C3D75"/>
    <w:rsid w:val="647D3761"/>
    <w:rsid w:val="647E4A19"/>
    <w:rsid w:val="647F52EC"/>
    <w:rsid w:val="64800D38"/>
    <w:rsid w:val="64833355"/>
    <w:rsid w:val="64850E7B"/>
    <w:rsid w:val="64852C29"/>
    <w:rsid w:val="648A0240"/>
    <w:rsid w:val="648D138E"/>
    <w:rsid w:val="648D7D30"/>
    <w:rsid w:val="649030B3"/>
    <w:rsid w:val="64A00449"/>
    <w:rsid w:val="64A13B2C"/>
    <w:rsid w:val="64A51B2D"/>
    <w:rsid w:val="64A5243A"/>
    <w:rsid w:val="64A61F35"/>
    <w:rsid w:val="64A72D12"/>
    <w:rsid w:val="64AD5CFB"/>
    <w:rsid w:val="64AF6674"/>
    <w:rsid w:val="64AF7CA6"/>
    <w:rsid w:val="64B0133E"/>
    <w:rsid w:val="64B51049"/>
    <w:rsid w:val="64B539FA"/>
    <w:rsid w:val="64C2508B"/>
    <w:rsid w:val="64C574CA"/>
    <w:rsid w:val="64C96613"/>
    <w:rsid w:val="64CF321D"/>
    <w:rsid w:val="64D6157E"/>
    <w:rsid w:val="64D67FEA"/>
    <w:rsid w:val="64D90805"/>
    <w:rsid w:val="64DC4773"/>
    <w:rsid w:val="64DD55CE"/>
    <w:rsid w:val="64E04C97"/>
    <w:rsid w:val="64E1442E"/>
    <w:rsid w:val="64E2758F"/>
    <w:rsid w:val="64E536C8"/>
    <w:rsid w:val="64E75692"/>
    <w:rsid w:val="64E97D5C"/>
    <w:rsid w:val="64EB560C"/>
    <w:rsid w:val="64F270AC"/>
    <w:rsid w:val="64F531DE"/>
    <w:rsid w:val="64F63B27"/>
    <w:rsid w:val="64F81422"/>
    <w:rsid w:val="64F8715B"/>
    <w:rsid w:val="64F87534"/>
    <w:rsid w:val="64FA7EF1"/>
    <w:rsid w:val="64FB2EEB"/>
    <w:rsid w:val="64FD39BC"/>
    <w:rsid w:val="64FD5FBF"/>
    <w:rsid w:val="65030030"/>
    <w:rsid w:val="65037FF2"/>
    <w:rsid w:val="65046BCA"/>
    <w:rsid w:val="6505749B"/>
    <w:rsid w:val="650661B2"/>
    <w:rsid w:val="6509385A"/>
    <w:rsid w:val="650A1380"/>
    <w:rsid w:val="650A63BE"/>
    <w:rsid w:val="65130235"/>
    <w:rsid w:val="651435E1"/>
    <w:rsid w:val="65177DE9"/>
    <w:rsid w:val="65181CEF"/>
    <w:rsid w:val="651B09EE"/>
    <w:rsid w:val="651B67EF"/>
    <w:rsid w:val="65222B6E"/>
    <w:rsid w:val="652404E2"/>
    <w:rsid w:val="65266F67"/>
    <w:rsid w:val="65271F32"/>
    <w:rsid w:val="65284422"/>
    <w:rsid w:val="65294DFC"/>
    <w:rsid w:val="652E3C0F"/>
    <w:rsid w:val="652E7A0E"/>
    <w:rsid w:val="652F0DE7"/>
    <w:rsid w:val="6530163A"/>
    <w:rsid w:val="6531690D"/>
    <w:rsid w:val="653247FB"/>
    <w:rsid w:val="65336B29"/>
    <w:rsid w:val="65355DF9"/>
    <w:rsid w:val="65373578"/>
    <w:rsid w:val="653B572C"/>
    <w:rsid w:val="653D3504"/>
    <w:rsid w:val="653E3D8F"/>
    <w:rsid w:val="653F1EA7"/>
    <w:rsid w:val="65423943"/>
    <w:rsid w:val="65433422"/>
    <w:rsid w:val="65472E29"/>
    <w:rsid w:val="6548383B"/>
    <w:rsid w:val="654E07CD"/>
    <w:rsid w:val="654F7E2F"/>
    <w:rsid w:val="6558733B"/>
    <w:rsid w:val="65591DAB"/>
    <w:rsid w:val="655E1A15"/>
    <w:rsid w:val="65622F6B"/>
    <w:rsid w:val="65644665"/>
    <w:rsid w:val="65652A5B"/>
    <w:rsid w:val="656C666D"/>
    <w:rsid w:val="65744900"/>
    <w:rsid w:val="65752C9E"/>
    <w:rsid w:val="657613D2"/>
    <w:rsid w:val="65765D68"/>
    <w:rsid w:val="65765F2C"/>
    <w:rsid w:val="657A70A6"/>
    <w:rsid w:val="657B7B0E"/>
    <w:rsid w:val="657C4CC0"/>
    <w:rsid w:val="65806194"/>
    <w:rsid w:val="65847385"/>
    <w:rsid w:val="65864EAB"/>
    <w:rsid w:val="65865E9F"/>
    <w:rsid w:val="6589396E"/>
    <w:rsid w:val="658B2578"/>
    <w:rsid w:val="658B50AB"/>
    <w:rsid w:val="658C7FE7"/>
    <w:rsid w:val="658E5B0E"/>
    <w:rsid w:val="65924CA9"/>
    <w:rsid w:val="65942505"/>
    <w:rsid w:val="659830FE"/>
    <w:rsid w:val="65993E6E"/>
    <w:rsid w:val="659C46CE"/>
    <w:rsid w:val="65A25A5D"/>
    <w:rsid w:val="65A476F6"/>
    <w:rsid w:val="65A65FB1"/>
    <w:rsid w:val="65A83860"/>
    <w:rsid w:val="65A84457"/>
    <w:rsid w:val="65AE19FB"/>
    <w:rsid w:val="65AE61B0"/>
    <w:rsid w:val="65AE7A2C"/>
    <w:rsid w:val="65AF25E9"/>
    <w:rsid w:val="65AF3460"/>
    <w:rsid w:val="65B16963"/>
    <w:rsid w:val="65B243BC"/>
    <w:rsid w:val="65B66DEA"/>
    <w:rsid w:val="65B80302"/>
    <w:rsid w:val="65BA6903"/>
    <w:rsid w:val="65BB2AF6"/>
    <w:rsid w:val="65BD2836"/>
    <w:rsid w:val="65BF1961"/>
    <w:rsid w:val="65C111B7"/>
    <w:rsid w:val="65C43C25"/>
    <w:rsid w:val="65C576AE"/>
    <w:rsid w:val="65C7198A"/>
    <w:rsid w:val="65C92FEA"/>
    <w:rsid w:val="65CA4684"/>
    <w:rsid w:val="65CB6D62"/>
    <w:rsid w:val="65CC0E9B"/>
    <w:rsid w:val="65CD0D2C"/>
    <w:rsid w:val="65D06126"/>
    <w:rsid w:val="65D1387D"/>
    <w:rsid w:val="65D200F0"/>
    <w:rsid w:val="65D9764D"/>
    <w:rsid w:val="65DA73CC"/>
    <w:rsid w:val="65DC4ACB"/>
    <w:rsid w:val="65E174B2"/>
    <w:rsid w:val="65E250FE"/>
    <w:rsid w:val="65E36238"/>
    <w:rsid w:val="65E777D1"/>
    <w:rsid w:val="65E97C39"/>
    <w:rsid w:val="65EC32C5"/>
    <w:rsid w:val="65ED4F2A"/>
    <w:rsid w:val="65EF127F"/>
    <w:rsid w:val="65EF17A0"/>
    <w:rsid w:val="65F30067"/>
    <w:rsid w:val="65F43B01"/>
    <w:rsid w:val="65F500A7"/>
    <w:rsid w:val="65FA7647"/>
    <w:rsid w:val="65FB00E6"/>
    <w:rsid w:val="65FD6DE2"/>
    <w:rsid w:val="65FE6DA5"/>
    <w:rsid w:val="65FF1D4D"/>
    <w:rsid w:val="65FF2424"/>
    <w:rsid w:val="660109D5"/>
    <w:rsid w:val="6601664A"/>
    <w:rsid w:val="66053EEB"/>
    <w:rsid w:val="66056E07"/>
    <w:rsid w:val="66065FEC"/>
    <w:rsid w:val="6607508D"/>
    <w:rsid w:val="660A0257"/>
    <w:rsid w:val="660C4727"/>
    <w:rsid w:val="660E2E6E"/>
    <w:rsid w:val="661207DE"/>
    <w:rsid w:val="66166BA8"/>
    <w:rsid w:val="66170870"/>
    <w:rsid w:val="661853E7"/>
    <w:rsid w:val="661C1ABD"/>
    <w:rsid w:val="661C7ED9"/>
    <w:rsid w:val="661E7317"/>
    <w:rsid w:val="662463E4"/>
    <w:rsid w:val="66271AA6"/>
    <w:rsid w:val="662A17C1"/>
    <w:rsid w:val="662D17CA"/>
    <w:rsid w:val="662D1B30"/>
    <w:rsid w:val="662D4566"/>
    <w:rsid w:val="66313FE8"/>
    <w:rsid w:val="66320B8F"/>
    <w:rsid w:val="66325478"/>
    <w:rsid w:val="66336550"/>
    <w:rsid w:val="663372BC"/>
    <w:rsid w:val="66342450"/>
    <w:rsid w:val="6638520C"/>
    <w:rsid w:val="663937A1"/>
    <w:rsid w:val="663A3EE7"/>
    <w:rsid w:val="663A5C95"/>
    <w:rsid w:val="66415276"/>
    <w:rsid w:val="66456B14"/>
    <w:rsid w:val="664803B2"/>
    <w:rsid w:val="66485C13"/>
    <w:rsid w:val="66485DC8"/>
    <w:rsid w:val="664A237C"/>
    <w:rsid w:val="664A412A"/>
    <w:rsid w:val="664C55A8"/>
    <w:rsid w:val="664E58E8"/>
    <w:rsid w:val="664F1741"/>
    <w:rsid w:val="664F5567"/>
    <w:rsid w:val="665E5436"/>
    <w:rsid w:val="66662F8E"/>
    <w:rsid w:val="666A1995"/>
    <w:rsid w:val="666A657B"/>
    <w:rsid w:val="666E44D5"/>
    <w:rsid w:val="667016B7"/>
    <w:rsid w:val="6672542F"/>
    <w:rsid w:val="667271DD"/>
    <w:rsid w:val="667411A7"/>
    <w:rsid w:val="667663A9"/>
    <w:rsid w:val="66775427"/>
    <w:rsid w:val="6679056C"/>
    <w:rsid w:val="667927DD"/>
    <w:rsid w:val="667A530E"/>
    <w:rsid w:val="667F1E9F"/>
    <w:rsid w:val="66800C9F"/>
    <w:rsid w:val="66815BB8"/>
    <w:rsid w:val="66822C7A"/>
    <w:rsid w:val="66826A6F"/>
    <w:rsid w:val="668A0FC1"/>
    <w:rsid w:val="668B029F"/>
    <w:rsid w:val="668E78CC"/>
    <w:rsid w:val="668F4651"/>
    <w:rsid w:val="669265A4"/>
    <w:rsid w:val="6694184A"/>
    <w:rsid w:val="66954F1E"/>
    <w:rsid w:val="66967370"/>
    <w:rsid w:val="669E6224"/>
    <w:rsid w:val="66A016B9"/>
    <w:rsid w:val="66A11AEE"/>
    <w:rsid w:val="66A565A6"/>
    <w:rsid w:val="66A64A6A"/>
    <w:rsid w:val="66AA6977"/>
    <w:rsid w:val="66AC79F5"/>
    <w:rsid w:val="66B0019C"/>
    <w:rsid w:val="66B1690D"/>
    <w:rsid w:val="66B772E6"/>
    <w:rsid w:val="66B97195"/>
    <w:rsid w:val="66BA73A0"/>
    <w:rsid w:val="66BB0B84"/>
    <w:rsid w:val="66BC09E3"/>
    <w:rsid w:val="66C11F13"/>
    <w:rsid w:val="66C43787"/>
    <w:rsid w:val="66C534E6"/>
    <w:rsid w:val="66C7577B"/>
    <w:rsid w:val="66C832A1"/>
    <w:rsid w:val="66CA526B"/>
    <w:rsid w:val="66CC61B6"/>
    <w:rsid w:val="66CE3047"/>
    <w:rsid w:val="66D437D5"/>
    <w:rsid w:val="66D71E37"/>
    <w:rsid w:val="66DB2FD4"/>
    <w:rsid w:val="66DC5DEE"/>
    <w:rsid w:val="66DC6450"/>
    <w:rsid w:val="66E000D7"/>
    <w:rsid w:val="66E14363"/>
    <w:rsid w:val="66E32002"/>
    <w:rsid w:val="66E50CF7"/>
    <w:rsid w:val="66E60851"/>
    <w:rsid w:val="66E63727"/>
    <w:rsid w:val="66E82263"/>
    <w:rsid w:val="66E8749F"/>
    <w:rsid w:val="66EA796E"/>
    <w:rsid w:val="66ED2D08"/>
    <w:rsid w:val="66EE2624"/>
    <w:rsid w:val="66F1746D"/>
    <w:rsid w:val="66F27A29"/>
    <w:rsid w:val="66F44096"/>
    <w:rsid w:val="66F83C73"/>
    <w:rsid w:val="66FA4BA0"/>
    <w:rsid w:val="66FB5425"/>
    <w:rsid w:val="67034111"/>
    <w:rsid w:val="6706262C"/>
    <w:rsid w:val="67065096"/>
    <w:rsid w:val="670A6088"/>
    <w:rsid w:val="670D1063"/>
    <w:rsid w:val="670E516D"/>
    <w:rsid w:val="670F05EC"/>
    <w:rsid w:val="670F0ED0"/>
    <w:rsid w:val="671250CD"/>
    <w:rsid w:val="671604B0"/>
    <w:rsid w:val="67165330"/>
    <w:rsid w:val="671A62EE"/>
    <w:rsid w:val="671A6C35"/>
    <w:rsid w:val="671D552C"/>
    <w:rsid w:val="671E1113"/>
    <w:rsid w:val="671F124A"/>
    <w:rsid w:val="67201F39"/>
    <w:rsid w:val="672020EF"/>
    <w:rsid w:val="67210FD7"/>
    <w:rsid w:val="67222BCE"/>
    <w:rsid w:val="672274EB"/>
    <w:rsid w:val="67237B54"/>
    <w:rsid w:val="67254250"/>
    <w:rsid w:val="67264E20"/>
    <w:rsid w:val="6727446C"/>
    <w:rsid w:val="672F3320"/>
    <w:rsid w:val="672F43AB"/>
    <w:rsid w:val="67302F6D"/>
    <w:rsid w:val="673247A9"/>
    <w:rsid w:val="67341AAC"/>
    <w:rsid w:val="67381478"/>
    <w:rsid w:val="67395F4D"/>
    <w:rsid w:val="673979C5"/>
    <w:rsid w:val="67397CFB"/>
    <w:rsid w:val="673F17B5"/>
    <w:rsid w:val="674028F1"/>
    <w:rsid w:val="674212A6"/>
    <w:rsid w:val="67430B7A"/>
    <w:rsid w:val="67441712"/>
    <w:rsid w:val="67490664"/>
    <w:rsid w:val="674C076E"/>
    <w:rsid w:val="674D05B9"/>
    <w:rsid w:val="67512142"/>
    <w:rsid w:val="67520CE0"/>
    <w:rsid w:val="6755677A"/>
    <w:rsid w:val="675A3622"/>
    <w:rsid w:val="676520A4"/>
    <w:rsid w:val="676663B4"/>
    <w:rsid w:val="67694A84"/>
    <w:rsid w:val="67703441"/>
    <w:rsid w:val="67790849"/>
    <w:rsid w:val="677A33C6"/>
    <w:rsid w:val="677A5055"/>
    <w:rsid w:val="677B1F86"/>
    <w:rsid w:val="67915D89"/>
    <w:rsid w:val="679348FA"/>
    <w:rsid w:val="679459C7"/>
    <w:rsid w:val="67961F6A"/>
    <w:rsid w:val="67962FFB"/>
    <w:rsid w:val="67963A3C"/>
    <w:rsid w:val="67973300"/>
    <w:rsid w:val="67987117"/>
    <w:rsid w:val="679B0E95"/>
    <w:rsid w:val="679E56E3"/>
    <w:rsid w:val="679F6B5E"/>
    <w:rsid w:val="67A05FCC"/>
    <w:rsid w:val="67A32996"/>
    <w:rsid w:val="67AC05B8"/>
    <w:rsid w:val="67AD2607"/>
    <w:rsid w:val="67AE3A97"/>
    <w:rsid w:val="67B32C30"/>
    <w:rsid w:val="67B87403"/>
    <w:rsid w:val="67BB003D"/>
    <w:rsid w:val="67BE0FC1"/>
    <w:rsid w:val="67BF28F6"/>
    <w:rsid w:val="67BF3619"/>
    <w:rsid w:val="67C11F46"/>
    <w:rsid w:val="67C24194"/>
    <w:rsid w:val="67C25F5F"/>
    <w:rsid w:val="67C3130F"/>
    <w:rsid w:val="67C439C6"/>
    <w:rsid w:val="67C5345F"/>
    <w:rsid w:val="67C65A33"/>
    <w:rsid w:val="67CE0D8B"/>
    <w:rsid w:val="67D11A4E"/>
    <w:rsid w:val="67D46EF3"/>
    <w:rsid w:val="67D61EEB"/>
    <w:rsid w:val="67DD0FCE"/>
    <w:rsid w:val="67DF4D79"/>
    <w:rsid w:val="67E027FB"/>
    <w:rsid w:val="67E20393"/>
    <w:rsid w:val="67E62186"/>
    <w:rsid w:val="67E6412F"/>
    <w:rsid w:val="67E65ED5"/>
    <w:rsid w:val="67ED628D"/>
    <w:rsid w:val="67EE0C5C"/>
    <w:rsid w:val="67F07212"/>
    <w:rsid w:val="67FA33A5"/>
    <w:rsid w:val="67FB3E7A"/>
    <w:rsid w:val="68010AE0"/>
    <w:rsid w:val="680229AF"/>
    <w:rsid w:val="68041736"/>
    <w:rsid w:val="68095BBE"/>
    <w:rsid w:val="68097770"/>
    <w:rsid w:val="680B5A60"/>
    <w:rsid w:val="680C4F78"/>
    <w:rsid w:val="68137AB9"/>
    <w:rsid w:val="68142C42"/>
    <w:rsid w:val="681F6961"/>
    <w:rsid w:val="68203394"/>
    <w:rsid w:val="682057E3"/>
    <w:rsid w:val="682643BE"/>
    <w:rsid w:val="68290671"/>
    <w:rsid w:val="6832790E"/>
    <w:rsid w:val="6834396F"/>
    <w:rsid w:val="68352BB8"/>
    <w:rsid w:val="68364B21"/>
    <w:rsid w:val="68365042"/>
    <w:rsid w:val="683651F8"/>
    <w:rsid w:val="68373BBF"/>
    <w:rsid w:val="6838538E"/>
    <w:rsid w:val="683A6742"/>
    <w:rsid w:val="683C5CF5"/>
    <w:rsid w:val="683C7AA3"/>
    <w:rsid w:val="683C7CBB"/>
    <w:rsid w:val="683E214F"/>
    <w:rsid w:val="683F7593"/>
    <w:rsid w:val="68420E31"/>
    <w:rsid w:val="6842721E"/>
    <w:rsid w:val="68430781"/>
    <w:rsid w:val="68430CA2"/>
    <w:rsid w:val="68430E58"/>
    <w:rsid w:val="68442DFB"/>
    <w:rsid w:val="68494FD3"/>
    <w:rsid w:val="68497369"/>
    <w:rsid w:val="684D75AC"/>
    <w:rsid w:val="68517B9D"/>
    <w:rsid w:val="68522A3E"/>
    <w:rsid w:val="68595181"/>
    <w:rsid w:val="68610A2F"/>
    <w:rsid w:val="686139AD"/>
    <w:rsid w:val="68626DA9"/>
    <w:rsid w:val="6865617D"/>
    <w:rsid w:val="68682EB7"/>
    <w:rsid w:val="68696EDC"/>
    <w:rsid w:val="686B2D87"/>
    <w:rsid w:val="686C0F86"/>
    <w:rsid w:val="686F5562"/>
    <w:rsid w:val="68710AB1"/>
    <w:rsid w:val="68715612"/>
    <w:rsid w:val="68751AA8"/>
    <w:rsid w:val="68760770"/>
    <w:rsid w:val="687D7FB3"/>
    <w:rsid w:val="68805514"/>
    <w:rsid w:val="6889198F"/>
    <w:rsid w:val="688D2B5D"/>
    <w:rsid w:val="688D300E"/>
    <w:rsid w:val="689340DA"/>
    <w:rsid w:val="68946690"/>
    <w:rsid w:val="68983EEB"/>
    <w:rsid w:val="68994EF5"/>
    <w:rsid w:val="689A6AB9"/>
    <w:rsid w:val="689D3EB3"/>
    <w:rsid w:val="689E1934"/>
    <w:rsid w:val="689E60B1"/>
    <w:rsid w:val="689E69AF"/>
    <w:rsid w:val="68A32539"/>
    <w:rsid w:val="68AA773C"/>
    <w:rsid w:val="68AA7E13"/>
    <w:rsid w:val="68AB61CD"/>
    <w:rsid w:val="68AC79CD"/>
    <w:rsid w:val="68B22C67"/>
    <w:rsid w:val="68B61BDB"/>
    <w:rsid w:val="68B7537B"/>
    <w:rsid w:val="68B93CF2"/>
    <w:rsid w:val="68BA405E"/>
    <w:rsid w:val="68BC0BE4"/>
    <w:rsid w:val="68BE7F21"/>
    <w:rsid w:val="68BF1C67"/>
    <w:rsid w:val="68C006D4"/>
    <w:rsid w:val="68C40467"/>
    <w:rsid w:val="68C62B27"/>
    <w:rsid w:val="68C6580E"/>
    <w:rsid w:val="68C83429"/>
    <w:rsid w:val="68D51CA5"/>
    <w:rsid w:val="68D55884"/>
    <w:rsid w:val="68D66648"/>
    <w:rsid w:val="68D777CC"/>
    <w:rsid w:val="68DB72BC"/>
    <w:rsid w:val="68DD0B4C"/>
    <w:rsid w:val="68DD74D8"/>
    <w:rsid w:val="68E02B24"/>
    <w:rsid w:val="68E21FF0"/>
    <w:rsid w:val="68E31BD1"/>
    <w:rsid w:val="68E81FE4"/>
    <w:rsid w:val="68EA0173"/>
    <w:rsid w:val="68EB61B0"/>
    <w:rsid w:val="68F27821"/>
    <w:rsid w:val="68F56AC0"/>
    <w:rsid w:val="68F66048"/>
    <w:rsid w:val="68F71C1C"/>
    <w:rsid w:val="68F71D0E"/>
    <w:rsid w:val="68F75FCA"/>
    <w:rsid w:val="68FB170C"/>
    <w:rsid w:val="68FB5BB0"/>
    <w:rsid w:val="69025032"/>
    <w:rsid w:val="690412D8"/>
    <w:rsid w:val="6905258B"/>
    <w:rsid w:val="690647DC"/>
    <w:rsid w:val="69074555"/>
    <w:rsid w:val="690B56C7"/>
    <w:rsid w:val="690D143F"/>
    <w:rsid w:val="690E6278"/>
    <w:rsid w:val="69100406"/>
    <w:rsid w:val="69112CDD"/>
    <w:rsid w:val="69124CA8"/>
    <w:rsid w:val="69125186"/>
    <w:rsid w:val="69132EFA"/>
    <w:rsid w:val="69166546"/>
    <w:rsid w:val="691B6CFF"/>
    <w:rsid w:val="691C093F"/>
    <w:rsid w:val="691D3625"/>
    <w:rsid w:val="691E2BE3"/>
    <w:rsid w:val="691E4967"/>
    <w:rsid w:val="6925180D"/>
    <w:rsid w:val="692644EC"/>
    <w:rsid w:val="69280027"/>
    <w:rsid w:val="69280ED7"/>
    <w:rsid w:val="69293AE1"/>
    <w:rsid w:val="69296B69"/>
    <w:rsid w:val="692C5D69"/>
    <w:rsid w:val="692D4614"/>
    <w:rsid w:val="69316E2F"/>
    <w:rsid w:val="6933534A"/>
    <w:rsid w:val="693A7F09"/>
    <w:rsid w:val="693D5E8F"/>
    <w:rsid w:val="693E30FD"/>
    <w:rsid w:val="693F542E"/>
    <w:rsid w:val="694766FF"/>
    <w:rsid w:val="6949691B"/>
    <w:rsid w:val="694A2693"/>
    <w:rsid w:val="694E2071"/>
    <w:rsid w:val="694E2BB7"/>
    <w:rsid w:val="694F1A58"/>
    <w:rsid w:val="69524E67"/>
    <w:rsid w:val="695D4175"/>
    <w:rsid w:val="6966360B"/>
    <w:rsid w:val="69674FF3"/>
    <w:rsid w:val="69675B47"/>
    <w:rsid w:val="696E17E8"/>
    <w:rsid w:val="69751EF0"/>
    <w:rsid w:val="69766163"/>
    <w:rsid w:val="697919C0"/>
    <w:rsid w:val="697A3B33"/>
    <w:rsid w:val="697B0A9F"/>
    <w:rsid w:val="697B41D2"/>
    <w:rsid w:val="697E59BE"/>
    <w:rsid w:val="698066A4"/>
    <w:rsid w:val="69833DCE"/>
    <w:rsid w:val="69851D54"/>
    <w:rsid w:val="69866811"/>
    <w:rsid w:val="69884083"/>
    <w:rsid w:val="698F62F8"/>
    <w:rsid w:val="69911DD0"/>
    <w:rsid w:val="69971724"/>
    <w:rsid w:val="69992312"/>
    <w:rsid w:val="699A724E"/>
    <w:rsid w:val="69A022B3"/>
    <w:rsid w:val="69A1722F"/>
    <w:rsid w:val="69AF244E"/>
    <w:rsid w:val="69B018C1"/>
    <w:rsid w:val="69B048EF"/>
    <w:rsid w:val="69B55AF0"/>
    <w:rsid w:val="69B905E2"/>
    <w:rsid w:val="69BE7442"/>
    <w:rsid w:val="69BF3B13"/>
    <w:rsid w:val="69C05D8A"/>
    <w:rsid w:val="69C064B2"/>
    <w:rsid w:val="69C940D0"/>
    <w:rsid w:val="69CA10DE"/>
    <w:rsid w:val="69CB7928"/>
    <w:rsid w:val="69CC1D57"/>
    <w:rsid w:val="69CE5543"/>
    <w:rsid w:val="69CE58AE"/>
    <w:rsid w:val="69D31390"/>
    <w:rsid w:val="69D44760"/>
    <w:rsid w:val="69D63F27"/>
    <w:rsid w:val="69DC2584"/>
    <w:rsid w:val="69DE2637"/>
    <w:rsid w:val="69E36773"/>
    <w:rsid w:val="69E4773D"/>
    <w:rsid w:val="69E8517D"/>
    <w:rsid w:val="69E954AC"/>
    <w:rsid w:val="69EA2868"/>
    <w:rsid w:val="69EC32FE"/>
    <w:rsid w:val="69ED5758"/>
    <w:rsid w:val="69F119F4"/>
    <w:rsid w:val="69F32F6D"/>
    <w:rsid w:val="69F71B66"/>
    <w:rsid w:val="69F85C4B"/>
    <w:rsid w:val="69FA19C4"/>
    <w:rsid w:val="69FC1C8E"/>
    <w:rsid w:val="69FE14F0"/>
    <w:rsid w:val="69FF27F5"/>
    <w:rsid w:val="6A021292"/>
    <w:rsid w:val="6A0D0F9F"/>
    <w:rsid w:val="6A136F29"/>
    <w:rsid w:val="6A14250A"/>
    <w:rsid w:val="6A1A691F"/>
    <w:rsid w:val="6A1D29A9"/>
    <w:rsid w:val="6A1D3904"/>
    <w:rsid w:val="6A1E7827"/>
    <w:rsid w:val="6A2133F4"/>
    <w:rsid w:val="6A223CAF"/>
    <w:rsid w:val="6A235589"/>
    <w:rsid w:val="6A250730"/>
    <w:rsid w:val="6A2F7A10"/>
    <w:rsid w:val="6A304232"/>
    <w:rsid w:val="6A333509"/>
    <w:rsid w:val="6A335CEC"/>
    <w:rsid w:val="6A337DDD"/>
    <w:rsid w:val="6A350C4E"/>
    <w:rsid w:val="6A39656C"/>
    <w:rsid w:val="6A3F7ACC"/>
    <w:rsid w:val="6A401CB8"/>
    <w:rsid w:val="6A42015E"/>
    <w:rsid w:val="6A425452"/>
    <w:rsid w:val="6A433642"/>
    <w:rsid w:val="6A477F6A"/>
    <w:rsid w:val="6A4A73F1"/>
    <w:rsid w:val="6A520EC7"/>
    <w:rsid w:val="6A5269FC"/>
    <w:rsid w:val="6A53650D"/>
    <w:rsid w:val="6A553A32"/>
    <w:rsid w:val="6A57516F"/>
    <w:rsid w:val="6A5D6C72"/>
    <w:rsid w:val="6A6235B7"/>
    <w:rsid w:val="6A6257BB"/>
    <w:rsid w:val="6A681638"/>
    <w:rsid w:val="6A6A2D76"/>
    <w:rsid w:val="6A6B735D"/>
    <w:rsid w:val="6A71346D"/>
    <w:rsid w:val="6A742F09"/>
    <w:rsid w:val="6A794FDE"/>
    <w:rsid w:val="6A7A265C"/>
    <w:rsid w:val="6A7A3035"/>
    <w:rsid w:val="6A7A66A0"/>
    <w:rsid w:val="6A7B243E"/>
    <w:rsid w:val="6A7B27A9"/>
    <w:rsid w:val="6A7E1191"/>
    <w:rsid w:val="6A837C0B"/>
    <w:rsid w:val="6A841BD5"/>
    <w:rsid w:val="6A865F51"/>
    <w:rsid w:val="6A890F99"/>
    <w:rsid w:val="6A8C58DC"/>
    <w:rsid w:val="6A8F4802"/>
    <w:rsid w:val="6A8F63BD"/>
    <w:rsid w:val="6A9242F2"/>
    <w:rsid w:val="6A9525EC"/>
    <w:rsid w:val="6A975464"/>
    <w:rsid w:val="6A984853"/>
    <w:rsid w:val="6A9D076F"/>
    <w:rsid w:val="6AA13A6B"/>
    <w:rsid w:val="6AA24062"/>
    <w:rsid w:val="6AA33E09"/>
    <w:rsid w:val="6AA71349"/>
    <w:rsid w:val="6AA7208F"/>
    <w:rsid w:val="6AA9734A"/>
    <w:rsid w:val="6AB53B3C"/>
    <w:rsid w:val="6AB57FE0"/>
    <w:rsid w:val="6AB72182"/>
    <w:rsid w:val="6AB75B07"/>
    <w:rsid w:val="6ABD54CC"/>
    <w:rsid w:val="6AC02C0D"/>
    <w:rsid w:val="6AC25DB6"/>
    <w:rsid w:val="6AC344AB"/>
    <w:rsid w:val="6AC50223"/>
    <w:rsid w:val="6AC60321"/>
    <w:rsid w:val="6AC76600"/>
    <w:rsid w:val="6AC76706"/>
    <w:rsid w:val="6AC963E3"/>
    <w:rsid w:val="6ACB15B2"/>
    <w:rsid w:val="6ACB53C1"/>
    <w:rsid w:val="6ACD70D8"/>
    <w:rsid w:val="6AD45CD0"/>
    <w:rsid w:val="6AD77F57"/>
    <w:rsid w:val="6ADB239F"/>
    <w:rsid w:val="6ADB5DB0"/>
    <w:rsid w:val="6ADC6960"/>
    <w:rsid w:val="6ADD7165"/>
    <w:rsid w:val="6ADE1E63"/>
    <w:rsid w:val="6AE01877"/>
    <w:rsid w:val="6AE30927"/>
    <w:rsid w:val="6AE329B7"/>
    <w:rsid w:val="6AE6017E"/>
    <w:rsid w:val="6AE61F48"/>
    <w:rsid w:val="6AE85CC0"/>
    <w:rsid w:val="6AEA51E8"/>
    <w:rsid w:val="6AEF520E"/>
    <w:rsid w:val="6AF3041C"/>
    <w:rsid w:val="6AF50F9A"/>
    <w:rsid w:val="6AF705F9"/>
    <w:rsid w:val="6AF74155"/>
    <w:rsid w:val="6AF87E20"/>
    <w:rsid w:val="6AF92B4D"/>
    <w:rsid w:val="6AF942B5"/>
    <w:rsid w:val="6AFB0AEC"/>
    <w:rsid w:val="6AFB5005"/>
    <w:rsid w:val="6AFC64A2"/>
    <w:rsid w:val="6AFE019A"/>
    <w:rsid w:val="6B0413A1"/>
    <w:rsid w:val="6B05769F"/>
    <w:rsid w:val="6B080441"/>
    <w:rsid w:val="6B0845B4"/>
    <w:rsid w:val="6B0C5E52"/>
    <w:rsid w:val="6B0E04B9"/>
    <w:rsid w:val="6B104D22"/>
    <w:rsid w:val="6B115DF5"/>
    <w:rsid w:val="6B122D3D"/>
    <w:rsid w:val="6B126E3A"/>
    <w:rsid w:val="6B136FFE"/>
    <w:rsid w:val="6B150A32"/>
    <w:rsid w:val="6B196A05"/>
    <w:rsid w:val="6B1D68BE"/>
    <w:rsid w:val="6B203091"/>
    <w:rsid w:val="6B213A15"/>
    <w:rsid w:val="6B215608"/>
    <w:rsid w:val="6B226B91"/>
    <w:rsid w:val="6B226F7E"/>
    <w:rsid w:val="6B2312D3"/>
    <w:rsid w:val="6B2A6A5F"/>
    <w:rsid w:val="6B2B5474"/>
    <w:rsid w:val="6B2B66DF"/>
    <w:rsid w:val="6B2F435D"/>
    <w:rsid w:val="6B2F7D93"/>
    <w:rsid w:val="6B322639"/>
    <w:rsid w:val="6B380692"/>
    <w:rsid w:val="6B3F3E52"/>
    <w:rsid w:val="6B414E2C"/>
    <w:rsid w:val="6B421874"/>
    <w:rsid w:val="6B421B88"/>
    <w:rsid w:val="6B427886"/>
    <w:rsid w:val="6B481BA2"/>
    <w:rsid w:val="6B483A91"/>
    <w:rsid w:val="6B4849B1"/>
    <w:rsid w:val="6B4E54B0"/>
    <w:rsid w:val="6B54127A"/>
    <w:rsid w:val="6B572E46"/>
    <w:rsid w:val="6B5D66AE"/>
    <w:rsid w:val="6B5E41D4"/>
    <w:rsid w:val="6B616BB9"/>
    <w:rsid w:val="6B6317EA"/>
    <w:rsid w:val="6B647753"/>
    <w:rsid w:val="6B68305E"/>
    <w:rsid w:val="6B686E01"/>
    <w:rsid w:val="6B6A2B79"/>
    <w:rsid w:val="6B6D350C"/>
    <w:rsid w:val="6B713F07"/>
    <w:rsid w:val="6B724E0D"/>
    <w:rsid w:val="6B751903"/>
    <w:rsid w:val="6B79554B"/>
    <w:rsid w:val="6B7D3DF4"/>
    <w:rsid w:val="6B7E5284"/>
    <w:rsid w:val="6B7F73BC"/>
    <w:rsid w:val="6B8050BC"/>
    <w:rsid w:val="6B822971"/>
    <w:rsid w:val="6B824366"/>
    <w:rsid w:val="6B8538F6"/>
    <w:rsid w:val="6B8A2C35"/>
    <w:rsid w:val="6B8A4FC9"/>
    <w:rsid w:val="6B905F88"/>
    <w:rsid w:val="6B915026"/>
    <w:rsid w:val="6B924DC4"/>
    <w:rsid w:val="6B961BC0"/>
    <w:rsid w:val="6B963C3C"/>
    <w:rsid w:val="6B964ADE"/>
    <w:rsid w:val="6B994A5D"/>
    <w:rsid w:val="6B9B310B"/>
    <w:rsid w:val="6B9C5818"/>
    <w:rsid w:val="6BA31452"/>
    <w:rsid w:val="6BA4038A"/>
    <w:rsid w:val="6BA4226C"/>
    <w:rsid w:val="6BA57DFF"/>
    <w:rsid w:val="6BAB5D34"/>
    <w:rsid w:val="6BAC3CEF"/>
    <w:rsid w:val="6BAE18B0"/>
    <w:rsid w:val="6BAE515B"/>
    <w:rsid w:val="6BAF387A"/>
    <w:rsid w:val="6BB04B7E"/>
    <w:rsid w:val="6BB564B9"/>
    <w:rsid w:val="6BBA58AE"/>
    <w:rsid w:val="6BBB2524"/>
    <w:rsid w:val="6BBB5FAB"/>
    <w:rsid w:val="6BBC7DF7"/>
    <w:rsid w:val="6BBE4C73"/>
    <w:rsid w:val="6BC229B5"/>
    <w:rsid w:val="6BC62B46"/>
    <w:rsid w:val="6BC97EFC"/>
    <w:rsid w:val="6BCA6012"/>
    <w:rsid w:val="6BCB7ABB"/>
    <w:rsid w:val="6BCC3834"/>
    <w:rsid w:val="6BCE220C"/>
    <w:rsid w:val="6BD72F65"/>
    <w:rsid w:val="6BD821D8"/>
    <w:rsid w:val="6BDA065F"/>
    <w:rsid w:val="6BDD7130"/>
    <w:rsid w:val="6BDF7488"/>
    <w:rsid w:val="6BE102FE"/>
    <w:rsid w:val="6BE54C14"/>
    <w:rsid w:val="6BE73D9E"/>
    <w:rsid w:val="6BE74475"/>
    <w:rsid w:val="6BF32FC3"/>
    <w:rsid w:val="6BF608B1"/>
    <w:rsid w:val="6BF66731"/>
    <w:rsid w:val="6BF90704"/>
    <w:rsid w:val="6BFA5AB3"/>
    <w:rsid w:val="6BFB1C7D"/>
    <w:rsid w:val="6BFC7B3D"/>
    <w:rsid w:val="6C005CE7"/>
    <w:rsid w:val="6C032026"/>
    <w:rsid w:val="6C05153C"/>
    <w:rsid w:val="6C0A7EB8"/>
    <w:rsid w:val="6C0E4753"/>
    <w:rsid w:val="6C0F0C37"/>
    <w:rsid w:val="6C0F54CE"/>
    <w:rsid w:val="6C130940"/>
    <w:rsid w:val="6C184383"/>
    <w:rsid w:val="6C186A79"/>
    <w:rsid w:val="6C1B4DB5"/>
    <w:rsid w:val="6C1D408F"/>
    <w:rsid w:val="6C1D7BEB"/>
    <w:rsid w:val="6C224524"/>
    <w:rsid w:val="6C237218"/>
    <w:rsid w:val="6C260C93"/>
    <w:rsid w:val="6C267BFC"/>
    <w:rsid w:val="6C2947E2"/>
    <w:rsid w:val="6C297D9E"/>
    <w:rsid w:val="6C2D4E30"/>
    <w:rsid w:val="6C2E783A"/>
    <w:rsid w:val="6C2F0D7C"/>
    <w:rsid w:val="6C2F456B"/>
    <w:rsid w:val="6C317BB9"/>
    <w:rsid w:val="6C323B8B"/>
    <w:rsid w:val="6C340BCC"/>
    <w:rsid w:val="6C360CAD"/>
    <w:rsid w:val="6C382C77"/>
    <w:rsid w:val="6C3867D3"/>
    <w:rsid w:val="6C3A0673"/>
    <w:rsid w:val="6C3D370F"/>
    <w:rsid w:val="6C3D3BAD"/>
    <w:rsid w:val="6C3E2441"/>
    <w:rsid w:val="6C3E27AC"/>
    <w:rsid w:val="6C4046DD"/>
    <w:rsid w:val="6C445178"/>
    <w:rsid w:val="6C45090D"/>
    <w:rsid w:val="6C494E84"/>
    <w:rsid w:val="6C4C59CB"/>
    <w:rsid w:val="6C4D333F"/>
    <w:rsid w:val="6C4D4027"/>
    <w:rsid w:val="6C5B59F4"/>
    <w:rsid w:val="6C5E0930"/>
    <w:rsid w:val="6C636C38"/>
    <w:rsid w:val="6C643A6C"/>
    <w:rsid w:val="6C664248"/>
    <w:rsid w:val="6C684A88"/>
    <w:rsid w:val="6C6B0234"/>
    <w:rsid w:val="6C6B28EF"/>
    <w:rsid w:val="6C6F75E5"/>
    <w:rsid w:val="6C7034F3"/>
    <w:rsid w:val="6C7218C1"/>
    <w:rsid w:val="6C7227EB"/>
    <w:rsid w:val="6C726189"/>
    <w:rsid w:val="6C734478"/>
    <w:rsid w:val="6C735A5D"/>
    <w:rsid w:val="6C743198"/>
    <w:rsid w:val="6C77456B"/>
    <w:rsid w:val="6C77554D"/>
    <w:rsid w:val="6C7843B5"/>
    <w:rsid w:val="6C79668F"/>
    <w:rsid w:val="6C7A1DDB"/>
    <w:rsid w:val="6C7A6DEC"/>
    <w:rsid w:val="6C7D060B"/>
    <w:rsid w:val="6C7D698A"/>
    <w:rsid w:val="6C832144"/>
    <w:rsid w:val="6C833123"/>
    <w:rsid w:val="6C8574C7"/>
    <w:rsid w:val="6C861855"/>
    <w:rsid w:val="6C864FC7"/>
    <w:rsid w:val="6C9205D9"/>
    <w:rsid w:val="6C920E73"/>
    <w:rsid w:val="6C924135"/>
    <w:rsid w:val="6C9328BE"/>
    <w:rsid w:val="6C96452E"/>
    <w:rsid w:val="6C967E80"/>
    <w:rsid w:val="6C997F3B"/>
    <w:rsid w:val="6C9D6EE8"/>
    <w:rsid w:val="6C9F4DAD"/>
    <w:rsid w:val="6CA13C29"/>
    <w:rsid w:val="6CA351A2"/>
    <w:rsid w:val="6CA4287F"/>
    <w:rsid w:val="6CA67BE1"/>
    <w:rsid w:val="6CA91F70"/>
    <w:rsid w:val="6CA975D8"/>
    <w:rsid w:val="6CAB36AD"/>
    <w:rsid w:val="6CAB36D8"/>
    <w:rsid w:val="6CAD4A62"/>
    <w:rsid w:val="6CAF32C0"/>
    <w:rsid w:val="6CBF5146"/>
    <w:rsid w:val="6CC10EBE"/>
    <w:rsid w:val="6CC2341A"/>
    <w:rsid w:val="6CC24944"/>
    <w:rsid w:val="6CC45CF8"/>
    <w:rsid w:val="6CC60283"/>
    <w:rsid w:val="6CC91625"/>
    <w:rsid w:val="6CCB0D4B"/>
    <w:rsid w:val="6CCE28A2"/>
    <w:rsid w:val="6CCF08E7"/>
    <w:rsid w:val="6CD009DE"/>
    <w:rsid w:val="6CD00D49"/>
    <w:rsid w:val="6CD0141F"/>
    <w:rsid w:val="6CD12293"/>
    <w:rsid w:val="6CD61A56"/>
    <w:rsid w:val="6CD8343A"/>
    <w:rsid w:val="6CD94E77"/>
    <w:rsid w:val="6CD97FB6"/>
    <w:rsid w:val="6CDB4A0E"/>
    <w:rsid w:val="6CDB520D"/>
    <w:rsid w:val="6CDD63F2"/>
    <w:rsid w:val="6CDF6931"/>
    <w:rsid w:val="6CE1418C"/>
    <w:rsid w:val="6CE355F5"/>
    <w:rsid w:val="6CE4695B"/>
    <w:rsid w:val="6CE81FA7"/>
    <w:rsid w:val="6CEA1EDF"/>
    <w:rsid w:val="6CEC6C65"/>
    <w:rsid w:val="6CED5810"/>
    <w:rsid w:val="6CF21078"/>
    <w:rsid w:val="6CF303EA"/>
    <w:rsid w:val="6CF47A31"/>
    <w:rsid w:val="6CF515C7"/>
    <w:rsid w:val="6CF71B0B"/>
    <w:rsid w:val="6D0072BA"/>
    <w:rsid w:val="6D087F43"/>
    <w:rsid w:val="6D0938B4"/>
    <w:rsid w:val="6D093C1F"/>
    <w:rsid w:val="6D0B038C"/>
    <w:rsid w:val="6D0E7C73"/>
    <w:rsid w:val="6D0F45C6"/>
    <w:rsid w:val="6D100875"/>
    <w:rsid w:val="6D125276"/>
    <w:rsid w:val="6D147240"/>
    <w:rsid w:val="6D15307C"/>
    <w:rsid w:val="6D16193B"/>
    <w:rsid w:val="6D1C60F5"/>
    <w:rsid w:val="6D1E6388"/>
    <w:rsid w:val="6D205BE5"/>
    <w:rsid w:val="6D2232F1"/>
    <w:rsid w:val="6D231231"/>
    <w:rsid w:val="6D233CCC"/>
    <w:rsid w:val="6D233E90"/>
    <w:rsid w:val="6D235680"/>
    <w:rsid w:val="6D281A14"/>
    <w:rsid w:val="6D2D3750"/>
    <w:rsid w:val="6D2E0155"/>
    <w:rsid w:val="6D2E358B"/>
    <w:rsid w:val="6D2F17B7"/>
    <w:rsid w:val="6D30028F"/>
    <w:rsid w:val="6D30394E"/>
    <w:rsid w:val="6D316241"/>
    <w:rsid w:val="6D321474"/>
    <w:rsid w:val="6D3451EC"/>
    <w:rsid w:val="6D351FB7"/>
    <w:rsid w:val="6D3618D2"/>
    <w:rsid w:val="6D364CFE"/>
    <w:rsid w:val="6D400035"/>
    <w:rsid w:val="6D411B6C"/>
    <w:rsid w:val="6D411D30"/>
    <w:rsid w:val="6D446D4F"/>
    <w:rsid w:val="6D452785"/>
    <w:rsid w:val="6D4549E6"/>
    <w:rsid w:val="6D45564C"/>
    <w:rsid w:val="6D4A0EB4"/>
    <w:rsid w:val="6D4A44DB"/>
    <w:rsid w:val="6D4A4A10"/>
    <w:rsid w:val="6D4C4D5E"/>
    <w:rsid w:val="6D4C59E2"/>
    <w:rsid w:val="6D512242"/>
    <w:rsid w:val="6D526817"/>
    <w:rsid w:val="6D526D38"/>
    <w:rsid w:val="6D543AE1"/>
    <w:rsid w:val="6D547936"/>
    <w:rsid w:val="6D5B17B0"/>
    <w:rsid w:val="6D601880"/>
    <w:rsid w:val="6D602485"/>
    <w:rsid w:val="6D621B82"/>
    <w:rsid w:val="6D627B71"/>
    <w:rsid w:val="6D653C86"/>
    <w:rsid w:val="6D6B2492"/>
    <w:rsid w:val="6D6B6067"/>
    <w:rsid w:val="6D7D3A31"/>
    <w:rsid w:val="6D7D5B31"/>
    <w:rsid w:val="6D7F6140"/>
    <w:rsid w:val="6D895BE1"/>
    <w:rsid w:val="6D8D2B4F"/>
    <w:rsid w:val="6D91263F"/>
    <w:rsid w:val="6D9126D1"/>
    <w:rsid w:val="6D9263B7"/>
    <w:rsid w:val="6D9745DB"/>
    <w:rsid w:val="6D9D5488"/>
    <w:rsid w:val="6D9E41B1"/>
    <w:rsid w:val="6D9E678A"/>
    <w:rsid w:val="6DA73C0F"/>
    <w:rsid w:val="6DA87988"/>
    <w:rsid w:val="6DAA75C3"/>
    <w:rsid w:val="6DAB2AD4"/>
    <w:rsid w:val="6DAE20B4"/>
    <w:rsid w:val="6DB34098"/>
    <w:rsid w:val="6DB545B6"/>
    <w:rsid w:val="6DB86AA0"/>
    <w:rsid w:val="6DBA3368"/>
    <w:rsid w:val="6DC04CD2"/>
    <w:rsid w:val="6DC618A6"/>
    <w:rsid w:val="6DC63D25"/>
    <w:rsid w:val="6DCC0119"/>
    <w:rsid w:val="6DCC3677"/>
    <w:rsid w:val="6DD07C38"/>
    <w:rsid w:val="6DD227AB"/>
    <w:rsid w:val="6DD2469D"/>
    <w:rsid w:val="6DD24A05"/>
    <w:rsid w:val="6DD36D10"/>
    <w:rsid w:val="6DD4663E"/>
    <w:rsid w:val="6DD616F3"/>
    <w:rsid w:val="6DD625D7"/>
    <w:rsid w:val="6DD77708"/>
    <w:rsid w:val="6DD93FE6"/>
    <w:rsid w:val="6DD95C8D"/>
    <w:rsid w:val="6DDB64CE"/>
    <w:rsid w:val="6DE02FB4"/>
    <w:rsid w:val="6DE11C2D"/>
    <w:rsid w:val="6DE377D2"/>
    <w:rsid w:val="6DE76703"/>
    <w:rsid w:val="6DEA0FF9"/>
    <w:rsid w:val="6DEA7FA1"/>
    <w:rsid w:val="6DEC0C2F"/>
    <w:rsid w:val="6DEC53E6"/>
    <w:rsid w:val="6DED70C2"/>
    <w:rsid w:val="6DED7568"/>
    <w:rsid w:val="6DEF21E8"/>
    <w:rsid w:val="6DEF7365"/>
    <w:rsid w:val="6DF337EC"/>
    <w:rsid w:val="6DFC2E5C"/>
    <w:rsid w:val="6DFF5B12"/>
    <w:rsid w:val="6E002E86"/>
    <w:rsid w:val="6E0146AF"/>
    <w:rsid w:val="6E0252EB"/>
    <w:rsid w:val="6E025E88"/>
    <w:rsid w:val="6E027C29"/>
    <w:rsid w:val="6E03333B"/>
    <w:rsid w:val="6E0407B8"/>
    <w:rsid w:val="6E0732BA"/>
    <w:rsid w:val="6E085B93"/>
    <w:rsid w:val="6E096679"/>
    <w:rsid w:val="6E0E1EE1"/>
    <w:rsid w:val="6E111A99"/>
    <w:rsid w:val="6E1A3E0B"/>
    <w:rsid w:val="6E1B63AC"/>
    <w:rsid w:val="6E1F58A5"/>
    <w:rsid w:val="6E2214E9"/>
    <w:rsid w:val="6E25115A"/>
    <w:rsid w:val="6E26547D"/>
    <w:rsid w:val="6E2C680B"/>
    <w:rsid w:val="6E2D223D"/>
    <w:rsid w:val="6E310F56"/>
    <w:rsid w:val="6E340ADE"/>
    <w:rsid w:val="6E376F09"/>
    <w:rsid w:val="6E395321"/>
    <w:rsid w:val="6E3A0E16"/>
    <w:rsid w:val="6E3A408D"/>
    <w:rsid w:val="6E3B3456"/>
    <w:rsid w:val="6E413283"/>
    <w:rsid w:val="6E423939"/>
    <w:rsid w:val="6E4512D6"/>
    <w:rsid w:val="6E475B2E"/>
    <w:rsid w:val="6E4D5442"/>
    <w:rsid w:val="6E4F6056"/>
    <w:rsid w:val="6E4F7FF6"/>
    <w:rsid w:val="6E503A09"/>
    <w:rsid w:val="6E514CED"/>
    <w:rsid w:val="6E5210EE"/>
    <w:rsid w:val="6E57007A"/>
    <w:rsid w:val="6E5813AF"/>
    <w:rsid w:val="6E5F4684"/>
    <w:rsid w:val="6E601AA5"/>
    <w:rsid w:val="6E623FDB"/>
    <w:rsid w:val="6E6A4AE2"/>
    <w:rsid w:val="6E6E0BD2"/>
    <w:rsid w:val="6E6E0DBB"/>
    <w:rsid w:val="6E7004A6"/>
    <w:rsid w:val="6E71421E"/>
    <w:rsid w:val="6E7541DD"/>
    <w:rsid w:val="6E7659E3"/>
    <w:rsid w:val="6E7855AD"/>
    <w:rsid w:val="6E795BCA"/>
    <w:rsid w:val="6E7D2524"/>
    <w:rsid w:val="6E7D7067"/>
    <w:rsid w:val="6E7F693B"/>
    <w:rsid w:val="6E85656F"/>
    <w:rsid w:val="6E866AA3"/>
    <w:rsid w:val="6E8C2E06"/>
    <w:rsid w:val="6E9128A6"/>
    <w:rsid w:val="6E954194"/>
    <w:rsid w:val="6E992F04"/>
    <w:rsid w:val="6EA0448C"/>
    <w:rsid w:val="6EA463A2"/>
    <w:rsid w:val="6EA72219"/>
    <w:rsid w:val="6EAF6227"/>
    <w:rsid w:val="6EAF63DD"/>
    <w:rsid w:val="6EB14DA4"/>
    <w:rsid w:val="6EB563D5"/>
    <w:rsid w:val="6EB84DF6"/>
    <w:rsid w:val="6EBC0B3A"/>
    <w:rsid w:val="6EBD1446"/>
    <w:rsid w:val="6EBD1966"/>
    <w:rsid w:val="6EBE3907"/>
    <w:rsid w:val="6EC10D02"/>
    <w:rsid w:val="6ECD2B0B"/>
    <w:rsid w:val="6ECD6B0B"/>
    <w:rsid w:val="6ECF651E"/>
    <w:rsid w:val="6ED317D6"/>
    <w:rsid w:val="6ED400FB"/>
    <w:rsid w:val="6ED511A0"/>
    <w:rsid w:val="6ED72B2B"/>
    <w:rsid w:val="6ED92677"/>
    <w:rsid w:val="6ED9594A"/>
    <w:rsid w:val="6EDB4DC7"/>
    <w:rsid w:val="6EDB5B6B"/>
    <w:rsid w:val="6EDF387E"/>
    <w:rsid w:val="6EE345B3"/>
    <w:rsid w:val="6EE80872"/>
    <w:rsid w:val="6EEA46FD"/>
    <w:rsid w:val="6EEC0CAE"/>
    <w:rsid w:val="6EEC3FE5"/>
    <w:rsid w:val="6EED7335"/>
    <w:rsid w:val="6EF908FE"/>
    <w:rsid w:val="6EFE0E88"/>
    <w:rsid w:val="6EFE4E26"/>
    <w:rsid w:val="6F012FA0"/>
    <w:rsid w:val="6F05256C"/>
    <w:rsid w:val="6F0532E4"/>
    <w:rsid w:val="6F062233"/>
    <w:rsid w:val="6F062BB9"/>
    <w:rsid w:val="6F0D3F9D"/>
    <w:rsid w:val="6F105EF0"/>
    <w:rsid w:val="6F133948"/>
    <w:rsid w:val="6F1B6725"/>
    <w:rsid w:val="6F1C23DC"/>
    <w:rsid w:val="6F1F19DF"/>
    <w:rsid w:val="6F1F1ECC"/>
    <w:rsid w:val="6F225983"/>
    <w:rsid w:val="6F2316CE"/>
    <w:rsid w:val="6F23376B"/>
    <w:rsid w:val="6F240E42"/>
    <w:rsid w:val="6F2614AD"/>
    <w:rsid w:val="6F2667AC"/>
    <w:rsid w:val="6F286FD3"/>
    <w:rsid w:val="6F287EEA"/>
    <w:rsid w:val="6F2C6A6A"/>
    <w:rsid w:val="6F2F65B3"/>
    <w:rsid w:val="6F3109DA"/>
    <w:rsid w:val="6F3239AE"/>
    <w:rsid w:val="6F360803"/>
    <w:rsid w:val="6F380483"/>
    <w:rsid w:val="6F3C5F3C"/>
    <w:rsid w:val="6F3E05A4"/>
    <w:rsid w:val="6F3F0FBC"/>
    <w:rsid w:val="6F401113"/>
    <w:rsid w:val="6F402272"/>
    <w:rsid w:val="6F413BF1"/>
    <w:rsid w:val="6F457B85"/>
    <w:rsid w:val="6F466764"/>
    <w:rsid w:val="6F467459"/>
    <w:rsid w:val="6F4F0424"/>
    <w:rsid w:val="6F5002D8"/>
    <w:rsid w:val="6F551878"/>
    <w:rsid w:val="6F563B40"/>
    <w:rsid w:val="6F6311CD"/>
    <w:rsid w:val="6F633A2E"/>
    <w:rsid w:val="6F6A0833"/>
    <w:rsid w:val="6F6A1399"/>
    <w:rsid w:val="6F6F043D"/>
    <w:rsid w:val="6F6F3EC3"/>
    <w:rsid w:val="6F6F69B0"/>
    <w:rsid w:val="6F745D74"/>
    <w:rsid w:val="6F755D6A"/>
    <w:rsid w:val="6F7A7850"/>
    <w:rsid w:val="6F7B6738"/>
    <w:rsid w:val="6F7E4E45"/>
    <w:rsid w:val="6F811B7C"/>
    <w:rsid w:val="6F845265"/>
    <w:rsid w:val="6F887A72"/>
    <w:rsid w:val="6F891E77"/>
    <w:rsid w:val="6F8C5F60"/>
    <w:rsid w:val="6F92247E"/>
    <w:rsid w:val="6F926B42"/>
    <w:rsid w:val="6F937367"/>
    <w:rsid w:val="6F9603E0"/>
    <w:rsid w:val="6F96629E"/>
    <w:rsid w:val="6F9666F7"/>
    <w:rsid w:val="6F993A2D"/>
    <w:rsid w:val="6F9A0528"/>
    <w:rsid w:val="6F9B1682"/>
    <w:rsid w:val="6FA21A81"/>
    <w:rsid w:val="6FA33526"/>
    <w:rsid w:val="6FA40CFB"/>
    <w:rsid w:val="6FA42CB6"/>
    <w:rsid w:val="6FA431BE"/>
    <w:rsid w:val="6FA5448B"/>
    <w:rsid w:val="6FA61EDA"/>
    <w:rsid w:val="6FA652D6"/>
    <w:rsid w:val="6FA75122"/>
    <w:rsid w:val="6FA81EC2"/>
    <w:rsid w:val="6FAC19B2"/>
    <w:rsid w:val="6FAC7C04"/>
    <w:rsid w:val="6FB34015"/>
    <w:rsid w:val="6FB47687"/>
    <w:rsid w:val="6FB76BD5"/>
    <w:rsid w:val="6FBC771B"/>
    <w:rsid w:val="6FC04FDA"/>
    <w:rsid w:val="6FC21BFD"/>
    <w:rsid w:val="6FC46FA9"/>
    <w:rsid w:val="6FC7136C"/>
    <w:rsid w:val="6FCC795E"/>
    <w:rsid w:val="6FCF2F80"/>
    <w:rsid w:val="6FD252FB"/>
    <w:rsid w:val="6FD256EB"/>
    <w:rsid w:val="6FD34BE3"/>
    <w:rsid w:val="6FD601DD"/>
    <w:rsid w:val="6FD81756"/>
    <w:rsid w:val="6FD864AA"/>
    <w:rsid w:val="6FDD577E"/>
    <w:rsid w:val="6FDD774B"/>
    <w:rsid w:val="6FDD7DBD"/>
    <w:rsid w:val="6FDE58E3"/>
    <w:rsid w:val="6FE16D2C"/>
    <w:rsid w:val="6FE1724C"/>
    <w:rsid w:val="6FE21015"/>
    <w:rsid w:val="6FE258A8"/>
    <w:rsid w:val="6FE3639E"/>
    <w:rsid w:val="6FE40D44"/>
    <w:rsid w:val="6FE62BA6"/>
    <w:rsid w:val="6FE67F50"/>
    <w:rsid w:val="6FE70C3C"/>
    <w:rsid w:val="6FE729EA"/>
    <w:rsid w:val="6FE95D22"/>
    <w:rsid w:val="6FEC0000"/>
    <w:rsid w:val="6FF4180D"/>
    <w:rsid w:val="6FF54D63"/>
    <w:rsid w:val="6FF9096F"/>
    <w:rsid w:val="6FFC5590"/>
    <w:rsid w:val="6FFD4572"/>
    <w:rsid w:val="6FFE360F"/>
    <w:rsid w:val="7005713B"/>
    <w:rsid w:val="700630E4"/>
    <w:rsid w:val="70080B5C"/>
    <w:rsid w:val="70082960"/>
    <w:rsid w:val="700E6579"/>
    <w:rsid w:val="700E7CBA"/>
    <w:rsid w:val="70176FD3"/>
    <w:rsid w:val="701A5722"/>
    <w:rsid w:val="7020414E"/>
    <w:rsid w:val="70221C74"/>
    <w:rsid w:val="70286D76"/>
    <w:rsid w:val="70291255"/>
    <w:rsid w:val="702932C7"/>
    <w:rsid w:val="70294DB1"/>
    <w:rsid w:val="70385584"/>
    <w:rsid w:val="703F2826"/>
    <w:rsid w:val="704020FA"/>
    <w:rsid w:val="70425E72"/>
    <w:rsid w:val="7047516D"/>
    <w:rsid w:val="70485E9C"/>
    <w:rsid w:val="704A2F79"/>
    <w:rsid w:val="704B5D09"/>
    <w:rsid w:val="704B7E6C"/>
    <w:rsid w:val="705160AC"/>
    <w:rsid w:val="70551426"/>
    <w:rsid w:val="7056334C"/>
    <w:rsid w:val="705636CC"/>
    <w:rsid w:val="70577FA3"/>
    <w:rsid w:val="705C6010"/>
    <w:rsid w:val="705D0EFE"/>
    <w:rsid w:val="705F4E88"/>
    <w:rsid w:val="70643377"/>
    <w:rsid w:val="706450BB"/>
    <w:rsid w:val="706630F4"/>
    <w:rsid w:val="706732A6"/>
    <w:rsid w:val="706865F7"/>
    <w:rsid w:val="706B6D2D"/>
    <w:rsid w:val="706D1DD0"/>
    <w:rsid w:val="707120B4"/>
    <w:rsid w:val="70744886"/>
    <w:rsid w:val="7075449A"/>
    <w:rsid w:val="7076081A"/>
    <w:rsid w:val="70795D2D"/>
    <w:rsid w:val="707F70C6"/>
    <w:rsid w:val="708228FC"/>
    <w:rsid w:val="70822A24"/>
    <w:rsid w:val="7084648B"/>
    <w:rsid w:val="70856B87"/>
    <w:rsid w:val="70877D29"/>
    <w:rsid w:val="708B58B2"/>
    <w:rsid w:val="708E3C26"/>
    <w:rsid w:val="7090171E"/>
    <w:rsid w:val="709020CD"/>
    <w:rsid w:val="709A01EE"/>
    <w:rsid w:val="709A03B2"/>
    <w:rsid w:val="709E5136"/>
    <w:rsid w:val="709F2E8A"/>
    <w:rsid w:val="709F3E68"/>
    <w:rsid w:val="709F401E"/>
    <w:rsid w:val="70A02B99"/>
    <w:rsid w:val="70A1703D"/>
    <w:rsid w:val="70A370D3"/>
    <w:rsid w:val="70A47C72"/>
    <w:rsid w:val="70A71BC5"/>
    <w:rsid w:val="70A73F27"/>
    <w:rsid w:val="70AB06C0"/>
    <w:rsid w:val="70AC59E2"/>
    <w:rsid w:val="70AE7531"/>
    <w:rsid w:val="70AF25EE"/>
    <w:rsid w:val="70AF47ED"/>
    <w:rsid w:val="70B25771"/>
    <w:rsid w:val="70B3029A"/>
    <w:rsid w:val="70B32E6B"/>
    <w:rsid w:val="70B36D70"/>
    <w:rsid w:val="70BA245B"/>
    <w:rsid w:val="70BB5063"/>
    <w:rsid w:val="70BC0AB7"/>
    <w:rsid w:val="70BD03E1"/>
    <w:rsid w:val="70C14FE6"/>
    <w:rsid w:val="70C27A56"/>
    <w:rsid w:val="70CB2A08"/>
    <w:rsid w:val="70D00087"/>
    <w:rsid w:val="70D31FDB"/>
    <w:rsid w:val="70D35CA6"/>
    <w:rsid w:val="70D527EE"/>
    <w:rsid w:val="70D7566B"/>
    <w:rsid w:val="70D94A29"/>
    <w:rsid w:val="70E14550"/>
    <w:rsid w:val="70E60EF4"/>
    <w:rsid w:val="70E90DC7"/>
    <w:rsid w:val="70E92897"/>
    <w:rsid w:val="70EB3C4B"/>
    <w:rsid w:val="70EB6F9A"/>
    <w:rsid w:val="70ED50B2"/>
    <w:rsid w:val="70EE1B56"/>
    <w:rsid w:val="70EE5F27"/>
    <w:rsid w:val="70EF6902"/>
    <w:rsid w:val="70EF6DAB"/>
    <w:rsid w:val="70EF7B22"/>
    <w:rsid w:val="70F46BBC"/>
    <w:rsid w:val="70FA6D60"/>
    <w:rsid w:val="70FC24C5"/>
    <w:rsid w:val="70FE236E"/>
    <w:rsid w:val="71010D74"/>
    <w:rsid w:val="71036320"/>
    <w:rsid w:val="7105557C"/>
    <w:rsid w:val="71110CB5"/>
    <w:rsid w:val="71127D51"/>
    <w:rsid w:val="711357CA"/>
    <w:rsid w:val="71147636"/>
    <w:rsid w:val="71157B90"/>
    <w:rsid w:val="7119421C"/>
    <w:rsid w:val="711955DA"/>
    <w:rsid w:val="711C01E4"/>
    <w:rsid w:val="711C2B67"/>
    <w:rsid w:val="711E3842"/>
    <w:rsid w:val="712026E3"/>
    <w:rsid w:val="71267542"/>
    <w:rsid w:val="7128436B"/>
    <w:rsid w:val="71290DE0"/>
    <w:rsid w:val="712970EF"/>
    <w:rsid w:val="712E63F7"/>
    <w:rsid w:val="71306040"/>
    <w:rsid w:val="7131740F"/>
    <w:rsid w:val="71344A46"/>
    <w:rsid w:val="71357785"/>
    <w:rsid w:val="7137124E"/>
    <w:rsid w:val="713A655B"/>
    <w:rsid w:val="714162DA"/>
    <w:rsid w:val="71467BE4"/>
    <w:rsid w:val="714B50B3"/>
    <w:rsid w:val="714C1B10"/>
    <w:rsid w:val="714E33F1"/>
    <w:rsid w:val="714E7574"/>
    <w:rsid w:val="715173C6"/>
    <w:rsid w:val="715655B5"/>
    <w:rsid w:val="71566079"/>
    <w:rsid w:val="71570879"/>
    <w:rsid w:val="715776FB"/>
    <w:rsid w:val="715A543E"/>
    <w:rsid w:val="715B5300"/>
    <w:rsid w:val="715D2A57"/>
    <w:rsid w:val="7161307A"/>
    <w:rsid w:val="716145C8"/>
    <w:rsid w:val="716360A0"/>
    <w:rsid w:val="71662034"/>
    <w:rsid w:val="716963F3"/>
    <w:rsid w:val="716D1443"/>
    <w:rsid w:val="716F4C0E"/>
    <w:rsid w:val="717179A6"/>
    <w:rsid w:val="71722787"/>
    <w:rsid w:val="71727542"/>
    <w:rsid w:val="71740ABB"/>
    <w:rsid w:val="71752DEB"/>
    <w:rsid w:val="717670E7"/>
    <w:rsid w:val="717806B0"/>
    <w:rsid w:val="71787FD9"/>
    <w:rsid w:val="71796ACF"/>
    <w:rsid w:val="717A56C5"/>
    <w:rsid w:val="717B51BA"/>
    <w:rsid w:val="717C6E02"/>
    <w:rsid w:val="717F6C52"/>
    <w:rsid w:val="718A5D23"/>
    <w:rsid w:val="718B1E1B"/>
    <w:rsid w:val="719170B1"/>
    <w:rsid w:val="71954707"/>
    <w:rsid w:val="719641E7"/>
    <w:rsid w:val="71985ADC"/>
    <w:rsid w:val="719E17CE"/>
    <w:rsid w:val="71A053FA"/>
    <w:rsid w:val="71A30FC5"/>
    <w:rsid w:val="71A33AA5"/>
    <w:rsid w:val="71A37770"/>
    <w:rsid w:val="71A464A3"/>
    <w:rsid w:val="71A466C1"/>
    <w:rsid w:val="71A5490B"/>
    <w:rsid w:val="71A861A9"/>
    <w:rsid w:val="71AA3CCF"/>
    <w:rsid w:val="71B132B0"/>
    <w:rsid w:val="71BA40BB"/>
    <w:rsid w:val="71BA7C8A"/>
    <w:rsid w:val="71BE790F"/>
    <w:rsid w:val="71BF3A88"/>
    <w:rsid w:val="71C1726B"/>
    <w:rsid w:val="71C21FDA"/>
    <w:rsid w:val="71C22BD1"/>
    <w:rsid w:val="71C31235"/>
    <w:rsid w:val="71C60C68"/>
    <w:rsid w:val="71C87FCB"/>
    <w:rsid w:val="71C97FC6"/>
    <w:rsid w:val="71CC1122"/>
    <w:rsid w:val="71CD3E62"/>
    <w:rsid w:val="71D16BD8"/>
    <w:rsid w:val="71D27091"/>
    <w:rsid w:val="71D27F8A"/>
    <w:rsid w:val="71D33218"/>
    <w:rsid w:val="71D4494F"/>
    <w:rsid w:val="71DD22F7"/>
    <w:rsid w:val="71DE606F"/>
    <w:rsid w:val="71DE7F80"/>
    <w:rsid w:val="71E00465"/>
    <w:rsid w:val="71E01DE7"/>
    <w:rsid w:val="71E25E63"/>
    <w:rsid w:val="71E7506F"/>
    <w:rsid w:val="71EC4871"/>
    <w:rsid w:val="71EF202A"/>
    <w:rsid w:val="71F45C1D"/>
    <w:rsid w:val="71F64988"/>
    <w:rsid w:val="71FA0BD5"/>
    <w:rsid w:val="71FB4B45"/>
    <w:rsid w:val="71FC60B5"/>
    <w:rsid w:val="71FD5767"/>
    <w:rsid w:val="72001B41"/>
    <w:rsid w:val="72086C48"/>
    <w:rsid w:val="720A68E1"/>
    <w:rsid w:val="720B74BE"/>
    <w:rsid w:val="720D49AF"/>
    <w:rsid w:val="720F5523"/>
    <w:rsid w:val="72135E5F"/>
    <w:rsid w:val="7216013B"/>
    <w:rsid w:val="722103D4"/>
    <w:rsid w:val="72252EC6"/>
    <w:rsid w:val="72277A0C"/>
    <w:rsid w:val="723051E8"/>
    <w:rsid w:val="72364F60"/>
    <w:rsid w:val="7237336F"/>
    <w:rsid w:val="723F6B0D"/>
    <w:rsid w:val="72411700"/>
    <w:rsid w:val="72431297"/>
    <w:rsid w:val="72450ADE"/>
    <w:rsid w:val="72501D1B"/>
    <w:rsid w:val="72505BF1"/>
    <w:rsid w:val="72516841"/>
    <w:rsid w:val="72522BEE"/>
    <w:rsid w:val="7254168E"/>
    <w:rsid w:val="72553024"/>
    <w:rsid w:val="72556331"/>
    <w:rsid w:val="72556B31"/>
    <w:rsid w:val="72564FB8"/>
    <w:rsid w:val="72591B25"/>
    <w:rsid w:val="725D1030"/>
    <w:rsid w:val="725D3437"/>
    <w:rsid w:val="725D51E5"/>
    <w:rsid w:val="72606E27"/>
    <w:rsid w:val="72611FD8"/>
    <w:rsid w:val="726141B3"/>
    <w:rsid w:val="726227FC"/>
    <w:rsid w:val="72697041"/>
    <w:rsid w:val="726A7902"/>
    <w:rsid w:val="726E11A1"/>
    <w:rsid w:val="72706B69"/>
    <w:rsid w:val="72707240"/>
    <w:rsid w:val="72750781"/>
    <w:rsid w:val="72757BBD"/>
    <w:rsid w:val="7276222A"/>
    <w:rsid w:val="727A0E5E"/>
    <w:rsid w:val="727C2B53"/>
    <w:rsid w:val="727E1A1D"/>
    <w:rsid w:val="72812303"/>
    <w:rsid w:val="72816D82"/>
    <w:rsid w:val="72840E99"/>
    <w:rsid w:val="72883B4F"/>
    <w:rsid w:val="728B515C"/>
    <w:rsid w:val="728E2A0C"/>
    <w:rsid w:val="728E2BC1"/>
    <w:rsid w:val="728E30E2"/>
    <w:rsid w:val="728F1117"/>
    <w:rsid w:val="7295118A"/>
    <w:rsid w:val="729B1591"/>
    <w:rsid w:val="729B22F4"/>
    <w:rsid w:val="729D3834"/>
    <w:rsid w:val="729E4018"/>
    <w:rsid w:val="72A16523"/>
    <w:rsid w:val="72A204A0"/>
    <w:rsid w:val="72A2709C"/>
    <w:rsid w:val="72A93F87"/>
    <w:rsid w:val="72AA5244"/>
    <w:rsid w:val="72AB72EF"/>
    <w:rsid w:val="72AB79C6"/>
    <w:rsid w:val="72AC7F1B"/>
    <w:rsid w:val="72B56DCF"/>
    <w:rsid w:val="72B82BE4"/>
    <w:rsid w:val="72B82D9A"/>
    <w:rsid w:val="72BA00C5"/>
    <w:rsid w:val="72BD3ED6"/>
    <w:rsid w:val="72BE3825"/>
    <w:rsid w:val="72BF7DD0"/>
    <w:rsid w:val="72C07522"/>
    <w:rsid w:val="72C16C19"/>
    <w:rsid w:val="72C214EC"/>
    <w:rsid w:val="72C47013"/>
    <w:rsid w:val="72C72545"/>
    <w:rsid w:val="72C76B03"/>
    <w:rsid w:val="72CB65F3"/>
    <w:rsid w:val="72D30A86"/>
    <w:rsid w:val="72D52643"/>
    <w:rsid w:val="72D66D46"/>
    <w:rsid w:val="72D71070"/>
    <w:rsid w:val="72D75819"/>
    <w:rsid w:val="72D90331"/>
    <w:rsid w:val="72DA05E4"/>
    <w:rsid w:val="72E041B6"/>
    <w:rsid w:val="72E503E5"/>
    <w:rsid w:val="72E651DB"/>
    <w:rsid w:val="72F21DBC"/>
    <w:rsid w:val="72F44A27"/>
    <w:rsid w:val="72F64A73"/>
    <w:rsid w:val="72F86CBC"/>
    <w:rsid w:val="72FC49FE"/>
    <w:rsid w:val="73016C5F"/>
    <w:rsid w:val="73025EB3"/>
    <w:rsid w:val="73041B05"/>
    <w:rsid w:val="730D09BA"/>
    <w:rsid w:val="730F0F1C"/>
    <w:rsid w:val="73104006"/>
    <w:rsid w:val="73122968"/>
    <w:rsid w:val="73190632"/>
    <w:rsid w:val="731C0BFD"/>
    <w:rsid w:val="731D16EF"/>
    <w:rsid w:val="731F5D5E"/>
    <w:rsid w:val="73247AB1"/>
    <w:rsid w:val="732D1E02"/>
    <w:rsid w:val="732D2E0A"/>
    <w:rsid w:val="732E4532"/>
    <w:rsid w:val="73375FDC"/>
    <w:rsid w:val="733A72D5"/>
    <w:rsid w:val="733B2786"/>
    <w:rsid w:val="733D069E"/>
    <w:rsid w:val="734463B8"/>
    <w:rsid w:val="734B045B"/>
    <w:rsid w:val="734B2FC2"/>
    <w:rsid w:val="734B5436"/>
    <w:rsid w:val="734C302C"/>
    <w:rsid w:val="734D50D9"/>
    <w:rsid w:val="734D525A"/>
    <w:rsid w:val="734E1D53"/>
    <w:rsid w:val="734E5E3C"/>
    <w:rsid w:val="735018BD"/>
    <w:rsid w:val="7350457E"/>
    <w:rsid w:val="735A17EF"/>
    <w:rsid w:val="735A60D6"/>
    <w:rsid w:val="735C6276"/>
    <w:rsid w:val="735D0D8C"/>
    <w:rsid w:val="73610D05"/>
    <w:rsid w:val="73612AB3"/>
    <w:rsid w:val="73691781"/>
    <w:rsid w:val="736E4462"/>
    <w:rsid w:val="736E51D0"/>
    <w:rsid w:val="737060E3"/>
    <w:rsid w:val="73737D7B"/>
    <w:rsid w:val="73761AFD"/>
    <w:rsid w:val="7377757F"/>
    <w:rsid w:val="737C5C05"/>
    <w:rsid w:val="737E0B7F"/>
    <w:rsid w:val="737E18B7"/>
    <w:rsid w:val="737F2F3A"/>
    <w:rsid w:val="7381373D"/>
    <w:rsid w:val="738270AF"/>
    <w:rsid w:val="73852C46"/>
    <w:rsid w:val="73877819"/>
    <w:rsid w:val="738A200A"/>
    <w:rsid w:val="738D3403"/>
    <w:rsid w:val="73935307"/>
    <w:rsid w:val="7394444F"/>
    <w:rsid w:val="739629B5"/>
    <w:rsid w:val="73992AC3"/>
    <w:rsid w:val="739C6BE4"/>
    <w:rsid w:val="739D1444"/>
    <w:rsid w:val="739E52A7"/>
    <w:rsid w:val="73A2518E"/>
    <w:rsid w:val="73A26C2C"/>
    <w:rsid w:val="73A40BF2"/>
    <w:rsid w:val="73A905BB"/>
    <w:rsid w:val="73B01AE0"/>
    <w:rsid w:val="73B13A3B"/>
    <w:rsid w:val="73B250BD"/>
    <w:rsid w:val="73B4105B"/>
    <w:rsid w:val="73B928EF"/>
    <w:rsid w:val="73B9469D"/>
    <w:rsid w:val="73BA4A84"/>
    <w:rsid w:val="73BA64C3"/>
    <w:rsid w:val="73BE1CB4"/>
    <w:rsid w:val="73BF77DA"/>
    <w:rsid w:val="73C51AD5"/>
    <w:rsid w:val="73C746B0"/>
    <w:rsid w:val="73C7661F"/>
    <w:rsid w:val="73CA3785"/>
    <w:rsid w:val="73CC268A"/>
    <w:rsid w:val="73CD6C4F"/>
    <w:rsid w:val="73D0069D"/>
    <w:rsid w:val="73D32C53"/>
    <w:rsid w:val="73D54113"/>
    <w:rsid w:val="73D616A1"/>
    <w:rsid w:val="73D7180E"/>
    <w:rsid w:val="73DB1277"/>
    <w:rsid w:val="73DC0315"/>
    <w:rsid w:val="73DE2130"/>
    <w:rsid w:val="73E111AC"/>
    <w:rsid w:val="73E70B37"/>
    <w:rsid w:val="73EA1ABC"/>
    <w:rsid w:val="73EA337E"/>
    <w:rsid w:val="73EA3A54"/>
    <w:rsid w:val="73F07F6B"/>
    <w:rsid w:val="73F658CE"/>
    <w:rsid w:val="73F76E28"/>
    <w:rsid w:val="73F77349"/>
    <w:rsid w:val="73F85EC6"/>
    <w:rsid w:val="73FA64D3"/>
    <w:rsid w:val="73FE0683"/>
    <w:rsid w:val="73FE6CCE"/>
    <w:rsid w:val="74031D63"/>
    <w:rsid w:val="740A3A87"/>
    <w:rsid w:val="740A7D83"/>
    <w:rsid w:val="740AC215"/>
    <w:rsid w:val="740E62F8"/>
    <w:rsid w:val="7415295F"/>
    <w:rsid w:val="74152E80"/>
    <w:rsid w:val="74156C0C"/>
    <w:rsid w:val="74161AF0"/>
    <w:rsid w:val="74166A67"/>
    <w:rsid w:val="741E793C"/>
    <w:rsid w:val="74221C16"/>
    <w:rsid w:val="742324DB"/>
    <w:rsid w:val="74263DA8"/>
    <w:rsid w:val="7428537F"/>
    <w:rsid w:val="742A5B7E"/>
    <w:rsid w:val="742D385E"/>
    <w:rsid w:val="742D5A28"/>
    <w:rsid w:val="74324450"/>
    <w:rsid w:val="74327764"/>
    <w:rsid w:val="743B2F14"/>
    <w:rsid w:val="74404A49"/>
    <w:rsid w:val="744203E7"/>
    <w:rsid w:val="74420D55"/>
    <w:rsid w:val="7447614D"/>
    <w:rsid w:val="74477EFB"/>
    <w:rsid w:val="745126A4"/>
    <w:rsid w:val="74524843"/>
    <w:rsid w:val="7454240A"/>
    <w:rsid w:val="7456013E"/>
    <w:rsid w:val="74566BED"/>
    <w:rsid w:val="745D193A"/>
    <w:rsid w:val="745E3944"/>
    <w:rsid w:val="745F3C79"/>
    <w:rsid w:val="74606BF5"/>
    <w:rsid w:val="74663604"/>
    <w:rsid w:val="74686D4B"/>
    <w:rsid w:val="746C0E4C"/>
    <w:rsid w:val="746D05CC"/>
    <w:rsid w:val="746E36DA"/>
    <w:rsid w:val="74736975"/>
    <w:rsid w:val="74753C1E"/>
    <w:rsid w:val="74786307"/>
    <w:rsid w:val="7479207F"/>
    <w:rsid w:val="74795BDB"/>
    <w:rsid w:val="747B287D"/>
    <w:rsid w:val="747C191A"/>
    <w:rsid w:val="747C4852"/>
    <w:rsid w:val="747D1B6F"/>
    <w:rsid w:val="747E57F8"/>
    <w:rsid w:val="74846437"/>
    <w:rsid w:val="74881FC6"/>
    <w:rsid w:val="748A505A"/>
    <w:rsid w:val="748A7DE8"/>
    <w:rsid w:val="7490208F"/>
    <w:rsid w:val="74943856"/>
    <w:rsid w:val="749869A9"/>
    <w:rsid w:val="74987D58"/>
    <w:rsid w:val="74996569"/>
    <w:rsid w:val="749F700F"/>
    <w:rsid w:val="74A05010"/>
    <w:rsid w:val="74A247D3"/>
    <w:rsid w:val="74A71E6F"/>
    <w:rsid w:val="74A83174"/>
    <w:rsid w:val="74A837A2"/>
    <w:rsid w:val="74AD7D25"/>
    <w:rsid w:val="74B0584E"/>
    <w:rsid w:val="74B3733F"/>
    <w:rsid w:val="74B454CD"/>
    <w:rsid w:val="74B70345"/>
    <w:rsid w:val="74BB4445"/>
    <w:rsid w:val="74C52CCA"/>
    <w:rsid w:val="74C84C15"/>
    <w:rsid w:val="74C96B62"/>
    <w:rsid w:val="74D01480"/>
    <w:rsid w:val="74D12037"/>
    <w:rsid w:val="74D13C69"/>
    <w:rsid w:val="74D20734"/>
    <w:rsid w:val="74D552C0"/>
    <w:rsid w:val="74D62C03"/>
    <w:rsid w:val="74D77CB0"/>
    <w:rsid w:val="74D8263E"/>
    <w:rsid w:val="74D95E98"/>
    <w:rsid w:val="74DB35C2"/>
    <w:rsid w:val="74DF337F"/>
    <w:rsid w:val="74E044A9"/>
    <w:rsid w:val="74E12CBB"/>
    <w:rsid w:val="74EB5B7C"/>
    <w:rsid w:val="74EE278D"/>
    <w:rsid w:val="74EE481B"/>
    <w:rsid w:val="74F16F36"/>
    <w:rsid w:val="74F23177"/>
    <w:rsid w:val="74F46D84"/>
    <w:rsid w:val="74F556AA"/>
    <w:rsid w:val="74F7485D"/>
    <w:rsid w:val="74FA4F6E"/>
    <w:rsid w:val="74FD05BA"/>
    <w:rsid w:val="74FF67F2"/>
    <w:rsid w:val="74FF707E"/>
    <w:rsid w:val="75033304"/>
    <w:rsid w:val="750656C7"/>
    <w:rsid w:val="750B1268"/>
    <w:rsid w:val="750B288E"/>
    <w:rsid w:val="750C5B34"/>
    <w:rsid w:val="750C6A4F"/>
    <w:rsid w:val="750D1F31"/>
    <w:rsid w:val="750E639B"/>
    <w:rsid w:val="750F0599"/>
    <w:rsid w:val="75113A9C"/>
    <w:rsid w:val="7513273D"/>
    <w:rsid w:val="75151DA7"/>
    <w:rsid w:val="751D2F20"/>
    <w:rsid w:val="75241FEA"/>
    <w:rsid w:val="752B15CB"/>
    <w:rsid w:val="752C17D6"/>
    <w:rsid w:val="752D794D"/>
    <w:rsid w:val="752E3D92"/>
    <w:rsid w:val="753005DD"/>
    <w:rsid w:val="753179E2"/>
    <w:rsid w:val="75330480"/>
    <w:rsid w:val="75383B7F"/>
    <w:rsid w:val="75387844"/>
    <w:rsid w:val="753B0061"/>
    <w:rsid w:val="753D75F6"/>
    <w:rsid w:val="75404290"/>
    <w:rsid w:val="754232F1"/>
    <w:rsid w:val="754819F8"/>
    <w:rsid w:val="75491A51"/>
    <w:rsid w:val="754937FF"/>
    <w:rsid w:val="754B7577"/>
    <w:rsid w:val="7552048D"/>
    <w:rsid w:val="75564973"/>
    <w:rsid w:val="7556556B"/>
    <w:rsid w:val="75587EE6"/>
    <w:rsid w:val="755B49B2"/>
    <w:rsid w:val="75610B49"/>
    <w:rsid w:val="7561323F"/>
    <w:rsid w:val="75630BE3"/>
    <w:rsid w:val="75647EFD"/>
    <w:rsid w:val="756722AD"/>
    <w:rsid w:val="75675427"/>
    <w:rsid w:val="75681D19"/>
    <w:rsid w:val="756920F3"/>
    <w:rsid w:val="756B5E6B"/>
    <w:rsid w:val="756D573F"/>
    <w:rsid w:val="756E1C38"/>
    <w:rsid w:val="75703482"/>
    <w:rsid w:val="7571063E"/>
    <w:rsid w:val="75712FAC"/>
    <w:rsid w:val="75722DB1"/>
    <w:rsid w:val="75742F72"/>
    <w:rsid w:val="757A34CC"/>
    <w:rsid w:val="757F20E7"/>
    <w:rsid w:val="75870269"/>
    <w:rsid w:val="75880263"/>
    <w:rsid w:val="758807CB"/>
    <w:rsid w:val="758C6643"/>
    <w:rsid w:val="758E00C1"/>
    <w:rsid w:val="758F6FBE"/>
    <w:rsid w:val="7590605C"/>
    <w:rsid w:val="75907680"/>
    <w:rsid w:val="759252EF"/>
    <w:rsid w:val="75932D71"/>
    <w:rsid w:val="75944076"/>
    <w:rsid w:val="75954C96"/>
    <w:rsid w:val="75974E97"/>
    <w:rsid w:val="7598178A"/>
    <w:rsid w:val="759848F7"/>
    <w:rsid w:val="759B1284"/>
    <w:rsid w:val="759B3A01"/>
    <w:rsid w:val="759B6A0E"/>
    <w:rsid w:val="759E13C5"/>
    <w:rsid w:val="759E640B"/>
    <w:rsid w:val="75A66EA3"/>
    <w:rsid w:val="75A804BF"/>
    <w:rsid w:val="75AD3D8E"/>
    <w:rsid w:val="75AF26A1"/>
    <w:rsid w:val="75B020C3"/>
    <w:rsid w:val="75B83D0F"/>
    <w:rsid w:val="75B96BD7"/>
    <w:rsid w:val="75BB0D7A"/>
    <w:rsid w:val="75C34064"/>
    <w:rsid w:val="75C34332"/>
    <w:rsid w:val="75C86896"/>
    <w:rsid w:val="75C86E1A"/>
    <w:rsid w:val="75CD3A2D"/>
    <w:rsid w:val="75CD4430"/>
    <w:rsid w:val="75D13EDB"/>
    <w:rsid w:val="75D27E21"/>
    <w:rsid w:val="75D752AF"/>
    <w:rsid w:val="75DA14E0"/>
    <w:rsid w:val="75E30307"/>
    <w:rsid w:val="75E75140"/>
    <w:rsid w:val="75EB4A85"/>
    <w:rsid w:val="75ED4550"/>
    <w:rsid w:val="75F23E97"/>
    <w:rsid w:val="75F52E16"/>
    <w:rsid w:val="75F57AD2"/>
    <w:rsid w:val="75F61D2B"/>
    <w:rsid w:val="75FB149C"/>
    <w:rsid w:val="75FD289B"/>
    <w:rsid w:val="75FE1F8C"/>
    <w:rsid w:val="75FF3725"/>
    <w:rsid w:val="760246AA"/>
    <w:rsid w:val="76032986"/>
    <w:rsid w:val="76041BD9"/>
    <w:rsid w:val="76050756"/>
    <w:rsid w:val="760B5492"/>
    <w:rsid w:val="760B6D06"/>
    <w:rsid w:val="760D23F9"/>
    <w:rsid w:val="760D536B"/>
    <w:rsid w:val="760D5A65"/>
    <w:rsid w:val="760D77C7"/>
    <w:rsid w:val="76100FC1"/>
    <w:rsid w:val="761115B8"/>
    <w:rsid w:val="7613329E"/>
    <w:rsid w:val="76151AFF"/>
    <w:rsid w:val="761756AB"/>
    <w:rsid w:val="76191423"/>
    <w:rsid w:val="761A519B"/>
    <w:rsid w:val="761E4ABF"/>
    <w:rsid w:val="762258C6"/>
    <w:rsid w:val="762436BA"/>
    <w:rsid w:val="76253251"/>
    <w:rsid w:val="76262512"/>
    <w:rsid w:val="762878B8"/>
    <w:rsid w:val="762A1FEB"/>
    <w:rsid w:val="762F0E50"/>
    <w:rsid w:val="7635099D"/>
    <w:rsid w:val="763E70DC"/>
    <w:rsid w:val="76402E54"/>
    <w:rsid w:val="764263FD"/>
    <w:rsid w:val="76443835"/>
    <w:rsid w:val="76452218"/>
    <w:rsid w:val="7647519E"/>
    <w:rsid w:val="76484E1E"/>
    <w:rsid w:val="764D37C3"/>
    <w:rsid w:val="764D4466"/>
    <w:rsid w:val="76500BBD"/>
    <w:rsid w:val="765B48C0"/>
    <w:rsid w:val="765E32DA"/>
    <w:rsid w:val="765F4A43"/>
    <w:rsid w:val="76637A2B"/>
    <w:rsid w:val="76642E13"/>
    <w:rsid w:val="766641C7"/>
    <w:rsid w:val="76671E50"/>
    <w:rsid w:val="76692A59"/>
    <w:rsid w:val="766A78CC"/>
    <w:rsid w:val="76701885"/>
    <w:rsid w:val="7671125F"/>
    <w:rsid w:val="76714625"/>
    <w:rsid w:val="76793BFD"/>
    <w:rsid w:val="767B2BA3"/>
    <w:rsid w:val="767C48BF"/>
    <w:rsid w:val="76832D41"/>
    <w:rsid w:val="7684674F"/>
    <w:rsid w:val="76852F5D"/>
    <w:rsid w:val="76853303"/>
    <w:rsid w:val="768537A4"/>
    <w:rsid w:val="76866162"/>
    <w:rsid w:val="768C6099"/>
    <w:rsid w:val="768E2102"/>
    <w:rsid w:val="768E6A1F"/>
    <w:rsid w:val="76957293"/>
    <w:rsid w:val="76984A3E"/>
    <w:rsid w:val="76985CAE"/>
    <w:rsid w:val="769928BD"/>
    <w:rsid w:val="769B32FE"/>
    <w:rsid w:val="769B62DC"/>
    <w:rsid w:val="769E5DCD"/>
    <w:rsid w:val="76A2766B"/>
    <w:rsid w:val="76A41635"/>
    <w:rsid w:val="76A673B6"/>
    <w:rsid w:val="76A71125"/>
    <w:rsid w:val="76AA163F"/>
    <w:rsid w:val="76B15B00"/>
    <w:rsid w:val="76B44018"/>
    <w:rsid w:val="76B6740F"/>
    <w:rsid w:val="76BA05D5"/>
    <w:rsid w:val="76BA547C"/>
    <w:rsid w:val="76BE5699"/>
    <w:rsid w:val="76C23869"/>
    <w:rsid w:val="76C30C21"/>
    <w:rsid w:val="76C3673C"/>
    <w:rsid w:val="76C75323"/>
    <w:rsid w:val="76C84BF7"/>
    <w:rsid w:val="76CD2BCD"/>
    <w:rsid w:val="76CE3202"/>
    <w:rsid w:val="76D4736B"/>
    <w:rsid w:val="76D85607"/>
    <w:rsid w:val="76D856AE"/>
    <w:rsid w:val="76DB438D"/>
    <w:rsid w:val="76DD1CA6"/>
    <w:rsid w:val="76DE441B"/>
    <w:rsid w:val="76DE455C"/>
    <w:rsid w:val="76DF266D"/>
    <w:rsid w:val="76E61FA9"/>
    <w:rsid w:val="76EA57E2"/>
    <w:rsid w:val="76EB7E51"/>
    <w:rsid w:val="76EC6353"/>
    <w:rsid w:val="76EC70A4"/>
    <w:rsid w:val="76F65C09"/>
    <w:rsid w:val="76F8794E"/>
    <w:rsid w:val="76FA210D"/>
    <w:rsid w:val="76FA4C42"/>
    <w:rsid w:val="76FD7B4F"/>
    <w:rsid w:val="76FE17BD"/>
    <w:rsid w:val="77005500"/>
    <w:rsid w:val="7707575C"/>
    <w:rsid w:val="770943D1"/>
    <w:rsid w:val="770B3462"/>
    <w:rsid w:val="770C71DA"/>
    <w:rsid w:val="770E38E2"/>
    <w:rsid w:val="770F1502"/>
    <w:rsid w:val="771E02F9"/>
    <w:rsid w:val="77277F01"/>
    <w:rsid w:val="77282C5F"/>
    <w:rsid w:val="772A798F"/>
    <w:rsid w:val="772B75E9"/>
    <w:rsid w:val="772C460D"/>
    <w:rsid w:val="772F05CC"/>
    <w:rsid w:val="77303A34"/>
    <w:rsid w:val="77334A1B"/>
    <w:rsid w:val="77343640"/>
    <w:rsid w:val="773B54A3"/>
    <w:rsid w:val="773C7ABF"/>
    <w:rsid w:val="773D17AA"/>
    <w:rsid w:val="77435591"/>
    <w:rsid w:val="77456248"/>
    <w:rsid w:val="774626EC"/>
    <w:rsid w:val="77463282"/>
    <w:rsid w:val="77471FC0"/>
    <w:rsid w:val="775363CA"/>
    <w:rsid w:val="77536580"/>
    <w:rsid w:val="77585F7B"/>
    <w:rsid w:val="775E2B2C"/>
    <w:rsid w:val="7760202A"/>
    <w:rsid w:val="776021E0"/>
    <w:rsid w:val="776204D1"/>
    <w:rsid w:val="77630DEE"/>
    <w:rsid w:val="77640A6E"/>
    <w:rsid w:val="776641EE"/>
    <w:rsid w:val="77672662"/>
    <w:rsid w:val="776808B4"/>
    <w:rsid w:val="776816DF"/>
    <w:rsid w:val="776D606E"/>
    <w:rsid w:val="776F2682"/>
    <w:rsid w:val="777001A6"/>
    <w:rsid w:val="777234E1"/>
    <w:rsid w:val="77723B16"/>
    <w:rsid w:val="777367F2"/>
    <w:rsid w:val="77752853"/>
    <w:rsid w:val="77762421"/>
    <w:rsid w:val="77784870"/>
    <w:rsid w:val="777A2396"/>
    <w:rsid w:val="777A3593"/>
    <w:rsid w:val="777D1E86"/>
    <w:rsid w:val="777D6AC4"/>
    <w:rsid w:val="77804B1B"/>
    <w:rsid w:val="778154D2"/>
    <w:rsid w:val="77850FA2"/>
    <w:rsid w:val="7785286B"/>
    <w:rsid w:val="77860258"/>
    <w:rsid w:val="778760F8"/>
    <w:rsid w:val="778921AB"/>
    <w:rsid w:val="778925D9"/>
    <w:rsid w:val="778D031B"/>
    <w:rsid w:val="778E7BEF"/>
    <w:rsid w:val="77901B44"/>
    <w:rsid w:val="77935205"/>
    <w:rsid w:val="77951E3D"/>
    <w:rsid w:val="77981E3E"/>
    <w:rsid w:val="779B7DB1"/>
    <w:rsid w:val="77A26354"/>
    <w:rsid w:val="77A959CF"/>
    <w:rsid w:val="77AA2EC6"/>
    <w:rsid w:val="77AA454C"/>
    <w:rsid w:val="77AB07A1"/>
    <w:rsid w:val="77AD62C7"/>
    <w:rsid w:val="77B56B1F"/>
    <w:rsid w:val="77B63F2C"/>
    <w:rsid w:val="77BC38A7"/>
    <w:rsid w:val="77BE2474"/>
    <w:rsid w:val="77BF249E"/>
    <w:rsid w:val="77C6382D"/>
    <w:rsid w:val="77C875A5"/>
    <w:rsid w:val="77C96E79"/>
    <w:rsid w:val="77CA22DF"/>
    <w:rsid w:val="77CA7011"/>
    <w:rsid w:val="77CB0ED0"/>
    <w:rsid w:val="77CB17B3"/>
    <w:rsid w:val="77CB499F"/>
    <w:rsid w:val="77CB4ADD"/>
    <w:rsid w:val="77D236C0"/>
    <w:rsid w:val="77D445A5"/>
    <w:rsid w:val="77D44DFB"/>
    <w:rsid w:val="77D47CF8"/>
    <w:rsid w:val="77DD34CF"/>
    <w:rsid w:val="77E15F71"/>
    <w:rsid w:val="77E24114"/>
    <w:rsid w:val="77E3682C"/>
    <w:rsid w:val="77E37423"/>
    <w:rsid w:val="77E5555E"/>
    <w:rsid w:val="77E90D1D"/>
    <w:rsid w:val="77ED0DBA"/>
    <w:rsid w:val="77EE068E"/>
    <w:rsid w:val="77EF0747"/>
    <w:rsid w:val="77F11529"/>
    <w:rsid w:val="77F20749"/>
    <w:rsid w:val="77F35CA4"/>
    <w:rsid w:val="77F71C38"/>
    <w:rsid w:val="77FB257C"/>
    <w:rsid w:val="77FC0FFD"/>
    <w:rsid w:val="7804581B"/>
    <w:rsid w:val="78061E7B"/>
    <w:rsid w:val="78080136"/>
    <w:rsid w:val="780A47CE"/>
    <w:rsid w:val="780D5A03"/>
    <w:rsid w:val="780F09F4"/>
    <w:rsid w:val="78150891"/>
    <w:rsid w:val="78183E6F"/>
    <w:rsid w:val="78197E01"/>
    <w:rsid w:val="78206C22"/>
    <w:rsid w:val="78234247"/>
    <w:rsid w:val="7829084F"/>
    <w:rsid w:val="782E0B97"/>
    <w:rsid w:val="782E17BB"/>
    <w:rsid w:val="782F44E1"/>
    <w:rsid w:val="78322234"/>
    <w:rsid w:val="78341A4E"/>
    <w:rsid w:val="783D6892"/>
    <w:rsid w:val="783D7431"/>
    <w:rsid w:val="78430448"/>
    <w:rsid w:val="78434E7D"/>
    <w:rsid w:val="78496AB4"/>
    <w:rsid w:val="784A7A67"/>
    <w:rsid w:val="784D7151"/>
    <w:rsid w:val="784E05E1"/>
    <w:rsid w:val="784F3822"/>
    <w:rsid w:val="785077F9"/>
    <w:rsid w:val="785173F2"/>
    <w:rsid w:val="78520C1D"/>
    <w:rsid w:val="78570929"/>
    <w:rsid w:val="78573034"/>
    <w:rsid w:val="78594D2E"/>
    <w:rsid w:val="785B2BE5"/>
    <w:rsid w:val="785C5E6F"/>
    <w:rsid w:val="785E3180"/>
    <w:rsid w:val="785F1F8A"/>
    <w:rsid w:val="78640611"/>
    <w:rsid w:val="78642166"/>
    <w:rsid w:val="786D7738"/>
    <w:rsid w:val="786F17CF"/>
    <w:rsid w:val="78724169"/>
    <w:rsid w:val="78764DC8"/>
    <w:rsid w:val="78776B2A"/>
    <w:rsid w:val="7879089F"/>
    <w:rsid w:val="787E6801"/>
    <w:rsid w:val="78830507"/>
    <w:rsid w:val="7883527A"/>
    <w:rsid w:val="78847AC6"/>
    <w:rsid w:val="78850FF2"/>
    <w:rsid w:val="7885416D"/>
    <w:rsid w:val="788F00C3"/>
    <w:rsid w:val="78911745"/>
    <w:rsid w:val="789143F5"/>
    <w:rsid w:val="78967EE6"/>
    <w:rsid w:val="78994A9D"/>
    <w:rsid w:val="789E52F2"/>
    <w:rsid w:val="78A05156"/>
    <w:rsid w:val="78A07EF6"/>
    <w:rsid w:val="78A1403E"/>
    <w:rsid w:val="78A371FC"/>
    <w:rsid w:val="78A90480"/>
    <w:rsid w:val="78AA797A"/>
    <w:rsid w:val="78B35AFC"/>
    <w:rsid w:val="78B712A4"/>
    <w:rsid w:val="78BB4A14"/>
    <w:rsid w:val="78BE1364"/>
    <w:rsid w:val="78C0780A"/>
    <w:rsid w:val="78C24E17"/>
    <w:rsid w:val="78C3642C"/>
    <w:rsid w:val="78C62C34"/>
    <w:rsid w:val="78C673B0"/>
    <w:rsid w:val="78CA2EA9"/>
    <w:rsid w:val="78CC6F84"/>
    <w:rsid w:val="78CD4747"/>
    <w:rsid w:val="78CD5224"/>
    <w:rsid w:val="78CD7367"/>
    <w:rsid w:val="78CE223E"/>
    <w:rsid w:val="78D23F9B"/>
    <w:rsid w:val="78D41F79"/>
    <w:rsid w:val="78D67AA0"/>
    <w:rsid w:val="78E0447A"/>
    <w:rsid w:val="78E315A2"/>
    <w:rsid w:val="78E55F35"/>
    <w:rsid w:val="78ED02C3"/>
    <w:rsid w:val="78EF290F"/>
    <w:rsid w:val="78F10436"/>
    <w:rsid w:val="78F246B6"/>
    <w:rsid w:val="78F63C9E"/>
    <w:rsid w:val="78F97604"/>
    <w:rsid w:val="78FB3062"/>
    <w:rsid w:val="78FE6611"/>
    <w:rsid w:val="7908577F"/>
    <w:rsid w:val="790A4622"/>
    <w:rsid w:val="790D55A6"/>
    <w:rsid w:val="790F19B7"/>
    <w:rsid w:val="79174450"/>
    <w:rsid w:val="791813B9"/>
    <w:rsid w:val="791A1C51"/>
    <w:rsid w:val="79240792"/>
    <w:rsid w:val="792415EC"/>
    <w:rsid w:val="79252C4D"/>
    <w:rsid w:val="79272CBF"/>
    <w:rsid w:val="792C3B64"/>
    <w:rsid w:val="79330960"/>
    <w:rsid w:val="793547C6"/>
    <w:rsid w:val="79356116"/>
    <w:rsid w:val="79357BE8"/>
    <w:rsid w:val="793C0847"/>
    <w:rsid w:val="793D2324"/>
    <w:rsid w:val="79424F6E"/>
    <w:rsid w:val="79440EAD"/>
    <w:rsid w:val="79492020"/>
    <w:rsid w:val="794D0F04"/>
    <w:rsid w:val="794F4242"/>
    <w:rsid w:val="79510D9E"/>
    <w:rsid w:val="79535D1B"/>
    <w:rsid w:val="7954379C"/>
    <w:rsid w:val="795A0647"/>
    <w:rsid w:val="795A4B43"/>
    <w:rsid w:val="795D6D0D"/>
    <w:rsid w:val="795F1331"/>
    <w:rsid w:val="79627585"/>
    <w:rsid w:val="79633DB7"/>
    <w:rsid w:val="79667075"/>
    <w:rsid w:val="7968243D"/>
    <w:rsid w:val="796B468C"/>
    <w:rsid w:val="796D4C26"/>
    <w:rsid w:val="79711576"/>
    <w:rsid w:val="797152CB"/>
    <w:rsid w:val="797307CE"/>
    <w:rsid w:val="79741AD3"/>
    <w:rsid w:val="79757554"/>
    <w:rsid w:val="797846B3"/>
    <w:rsid w:val="797B7924"/>
    <w:rsid w:val="797C0332"/>
    <w:rsid w:val="797D2DA2"/>
    <w:rsid w:val="797F3C93"/>
    <w:rsid w:val="797F3E53"/>
    <w:rsid w:val="797F7E64"/>
    <w:rsid w:val="79815591"/>
    <w:rsid w:val="79882D39"/>
    <w:rsid w:val="798B6F10"/>
    <w:rsid w:val="7990031C"/>
    <w:rsid w:val="799257FF"/>
    <w:rsid w:val="79954710"/>
    <w:rsid w:val="79A25BD4"/>
    <w:rsid w:val="79AF6D5B"/>
    <w:rsid w:val="79B0571C"/>
    <w:rsid w:val="79B10E72"/>
    <w:rsid w:val="79B124A7"/>
    <w:rsid w:val="79B25E17"/>
    <w:rsid w:val="79B4167A"/>
    <w:rsid w:val="79B41A4E"/>
    <w:rsid w:val="79B53B29"/>
    <w:rsid w:val="79B646C7"/>
    <w:rsid w:val="79B80F53"/>
    <w:rsid w:val="79C142AC"/>
    <w:rsid w:val="79C2046E"/>
    <w:rsid w:val="79C25500"/>
    <w:rsid w:val="79C30024"/>
    <w:rsid w:val="79C337E9"/>
    <w:rsid w:val="79C618C2"/>
    <w:rsid w:val="79C8172F"/>
    <w:rsid w:val="79C93DBB"/>
    <w:rsid w:val="79CD2C51"/>
    <w:rsid w:val="79CD4BFB"/>
    <w:rsid w:val="79CE4C1B"/>
    <w:rsid w:val="79CF180D"/>
    <w:rsid w:val="79D05643"/>
    <w:rsid w:val="79D129F2"/>
    <w:rsid w:val="79D43F4C"/>
    <w:rsid w:val="79D52F39"/>
    <w:rsid w:val="79D8414E"/>
    <w:rsid w:val="79DD09BA"/>
    <w:rsid w:val="79DE7C47"/>
    <w:rsid w:val="79E41D48"/>
    <w:rsid w:val="79E41D86"/>
    <w:rsid w:val="79E61F64"/>
    <w:rsid w:val="79E63D12"/>
    <w:rsid w:val="79EB30D7"/>
    <w:rsid w:val="79EE2C15"/>
    <w:rsid w:val="79EF706B"/>
    <w:rsid w:val="79F1491F"/>
    <w:rsid w:val="79F3642F"/>
    <w:rsid w:val="79F57AA2"/>
    <w:rsid w:val="79F91C98"/>
    <w:rsid w:val="79FB7128"/>
    <w:rsid w:val="79FC1788"/>
    <w:rsid w:val="79FD0A32"/>
    <w:rsid w:val="7A037EEE"/>
    <w:rsid w:val="7A043929"/>
    <w:rsid w:val="7A0569E7"/>
    <w:rsid w:val="7A067F11"/>
    <w:rsid w:val="7A0E4D2E"/>
    <w:rsid w:val="7A1055E1"/>
    <w:rsid w:val="7A1847B2"/>
    <w:rsid w:val="7A1926F8"/>
    <w:rsid w:val="7A232B70"/>
    <w:rsid w:val="7A2465E9"/>
    <w:rsid w:val="7A293A71"/>
    <w:rsid w:val="7A2A24FB"/>
    <w:rsid w:val="7A2F2206"/>
    <w:rsid w:val="7A3327E5"/>
    <w:rsid w:val="7A3507F6"/>
    <w:rsid w:val="7A364017"/>
    <w:rsid w:val="7A380852"/>
    <w:rsid w:val="7A3A4D14"/>
    <w:rsid w:val="7A3C3932"/>
    <w:rsid w:val="7A3C4A59"/>
    <w:rsid w:val="7A3C7DD6"/>
    <w:rsid w:val="7A3E3B4E"/>
    <w:rsid w:val="7A4553DD"/>
    <w:rsid w:val="7A483DE5"/>
    <w:rsid w:val="7A4E4FD6"/>
    <w:rsid w:val="7A545B1C"/>
    <w:rsid w:val="7A561865"/>
    <w:rsid w:val="7A5719C0"/>
    <w:rsid w:val="7A59162D"/>
    <w:rsid w:val="7A5A5398"/>
    <w:rsid w:val="7A5C66B0"/>
    <w:rsid w:val="7A5F62EE"/>
    <w:rsid w:val="7A644C9E"/>
    <w:rsid w:val="7A6B0D66"/>
    <w:rsid w:val="7A6F0F55"/>
    <w:rsid w:val="7A6F3D08"/>
    <w:rsid w:val="7A6F7CFA"/>
    <w:rsid w:val="7A726172"/>
    <w:rsid w:val="7A751EAC"/>
    <w:rsid w:val="7A7C01D3"/>
    <w:rsid w:val="7A7C6425"/>
    <w:rsid w:val="7A802D36"/>
    <w:rsid w:val="7A8150B7"/>
    <w:rsid w:val="7A8265E1"/>
    <w:rsid w:val="7A8279C3"/>
    <w:rsid w:val="7A855718"/>
    <w:rsid w:val="7A86600D"/>
    <w:rsid w:val="7A8732F7"/>
    <w:rsid w:val="7A8C2B0C"/>
    <w:rsid w:val="7A8E2818"/>
    <w:rsid w:val="7A904DD0"/>
    <w:rsid w:val="7A921C5D"/>
    <w:rsid w:val="7A9B0394"/>
    <w:rsid w:val="7AA15E8B"/>
    <w:rsid w:val="7AA80FC8"/>
    <w:rsid w:val="7AA91CB5"/>
    <w:rsid w:val="7AAA11E4"/>
    <w:rsid w:val="7AAC1825"/>
    <w:rsid w:val="7AAD1C06"/>
    <w:rsid w:val="7AAD5FED"/>
    <w:rsid w:val="7AAE2E34"/>
    <w:rsid w:val="7AB20EB9"/>
    <w:rsid w:val="7AB35528"/>
    <w:rsid w:val="7AB94F83"/>
    <w:rsid w:val="7ABD74EB"/>
    <w:rsid w:val="7AC05B99"/>
    <w:rsid w:val="7AC8166A"/>
    <w:rsid w:val="7ACC2F08"/>
    <w:rsid w:val="7AD0650C"/>
    <w:rsid w:val="7AD324E9"/>
    <w:rsid w:val="7AD3647C"/>
    <w:rsid w:val="7AD57EFF"/>
    <w:rsid w:val="7AD86FC8"/>
    <w:rsid w:val="7AD97E4F"/>
    <w:rsid w:val="7ADC47C3"/>
    <w:rsid w:val="7ADD0E32"/>
    <w:rsid w:val="7ADF1D64"/>
    <w:rsid w:val="7AE07E53"/>
    <w:rsid w:val="7AE446F6"/>
    <w:rsid w:val="7AE606AF"/>
    <w:rsid w:val="7AEB48C6"/>
    <w:rsid w:val="7AF1431C"/>
    <w:rsid w:val="7B00296F"/>
    <w:rsid w:val="7B0242C6"/>
    <w:rsid w:val="7B032352"/>
    <w:rsid w:val="7B0816F7"/>
    <w:rsid w:val="7B081C49"/>
    <w:rsid w:val="7B0A53EC"/>
    <w:rsid w:val="7B0B75EA"/>
    <w:rsid w:val="7B0C77A9"/>
    <w:rsid w:val="7B0D4423"/>
    <w:rsid w:val="7B1002B3"/>
    <w:rsid w:val="7B111613"/>
    <w:rsid w:val="7B1117C8"/>
    <w:rsid w:val="7B120866"/>
    <w:rsid w:val="7B160627"/>
    <w:rsid w:val="7B167B29"/>
    <w:rsid w:val="7B1B3E90"/>
    <w:rsid w:val="7B1D4B83"/>
    <w:rsid w:val="7B226FCC"/>
    <w:rsid w:val="7B2E30E3"/>
    <w:rsid w:val="7B326164"/>
    <w:rsid w:val="7B361733"/>
    <w:rsid w:val="7B3A013A"/>
    <w:rsid w:val="7B3D06D4"/>
    <w:rsid w:val="7B400F8D"/>
    <w:rsid w:val="7B4231CA"/>
    <w:rsid w:val="7B430918"/>
    <w:rsid w:val="7B4619CE"/>
    <w:rsid w:val="7B4E2772"/>
    <w:rsid w:val="7B560A24"/>
    <w:rsid w:val="7B5909EE"/>
    <w:rsid w:val="7B5F523F"/>
    <w:rsid w:val="7B62561B"/>
    <w:rsid w:val="7B626777"/>
    <w:rsid w:val="7B6307D6"/>
    <w:rsid w:val="7B636094"/>
    <w:rsid w:val="7B686D42"/>
    <w:rsid w:val="7B6D77B5"/>
    <w:rsid w:val="7B6E0463"/>
    <w:rsid w:val="7B6E515A"/>
    <w:rsid w:val="7B6F442B"/>
    <w:rsid w:val="7B70048C"/>
    <w:rsid w:val="7B711D02"/>
    <w:rsid w:val="7B74701A"/>
    <w:rsid w:val="7B771C06"/>
    <w:rsid w:val="7B7E2A90"/>
    <w:rsid w:val="7B821819"/>
    <w:rsid w:val="7B841746"/>
    <w:rsid w:val="7B872A40"/>
    <w:rsid w:val="7B8C0E3D"/>
    <w:rsid w:val="7B915F00"/>
    <w:rsid w:val="7B933826"/>
    <w:rsid w:val="7B933A26"/>
    <w:rsid w:val="7B941449"/>
    <w:rsid w:val="7B9A3006"/>
    <w:rsid w:val="7B9C1CE2"/>
    <w:rsid w:val="7B9C41E5"/>
    <w:rsid w:val="7BA00179"/>
    <w:rsid w:val="7BA2010D"/>
    <w:rsid w:val="7BA4768F"/>
    <w:rsid w:val="7BA563C1"/>
    <w:rsid w:val="7BA5672C"/>
    <w:rsid w:val="7BA908FD"/>
    <w:rsid w:val="7BB2603A"/>
    <w:rsid w:val="7BB309E9"/>
    <w:rsid w:val="7BB30B9E"/>
    <w:rsid w:val="7BB65090"/>
    <w:rsid w:val="7BB74E20"/>
    <w:rsid w:val="7BB8348D"/>
    <w:rsid w:val="7BB96FE3"/>
    <w:rsid w:val="7BBA15A2"/>
    <w:rsid w:val="7BBB190C"/>
    <w:rsid w:val="7BBD4F47"/>
    <w:rsid w:val="7BBE2911"/>
    <w:rsid w:val="7BBF13B3"/>
    <w:rsid w:val="7BC0478B"/>
    <w:rsid w:val="7BC168A4"/>
    <w:rsid w:val="7BC934AC"/>
    <w:rsid w:val="7BCB4BEA"/>
    <w:rsid w:val="7BCD518A"/>
    <w:rsid w:val="7BCE76B2"/>
    <w:rsid w:val="7BD063E4"/>
    <w:rsid w:val="7BD42149"/>
    <w:rsid w:val="7BD56567"/>
    <w:rsid w:val="7BDA78A7"/>
    <w:rsid w:val="7BDB0514"/>
    <w:rsid w:val="7BDE0F2D"/>
    <w:rsid w:val="7BE443BC"/>
    <w:rsid w:val="7BE60B36"/>
    <w:rsid w:val="7BE67FFA"/>
    <w:rsid w:val="7BEE1BB0"/>
    <w:rsid w:val="7BF02C26"/>
    <w:rsid w:val="7BF22E42"/>
    <w:rsid w:val="7BF30969"/>
    <w:rsid w:val="7BF5648F"/>
    <w:rsid w:val="7BF70459"/>
    <w:rsid w:val="7BFA7117"/>
    <w:rsid w:val="7BFC4C19"/>
    <w:rsid w:val="7BFD0CC1"/>
    <w:rsid w:val="7C000DFC"/>
    <w:rsid w:val="7C055284"/>
    <w:rsid w:val="7C06244A"/>
    <w:rsid w:val="7C070AEE"/>
    <w:rsid w:val="7C07486D"/>
    <w:rsid w:val="7C0B4DE9"/>
    <w:rsid w:val="7C0B67FF"/>
    <w:rsid w:val="7C0C5CFB"/>
    <w:rsid w:val="7C0E77F2"/>
    <w:rsid w:val="7C0E7DE9"/>
    <w:rsid w:val="7C131762"/>
    <w:rsid w:val="7C166823"/>
    <w:rsid w:val="7C176405"/>
    <w:rsid w:val="7C1E3C37"/>
    <w:rsid w:val="7C207132"/>
    <w:rsid w:val="7C2253BC"/>
    <w:rsid w:val="7C262AEC"/>
    <w:rsid w:val="7C264DF2"/>
    <w:rsid w:val="7C300245"/>
    <w:rsid w:val="7C305C49"/>
    <w:rsid w:val="7C3272B2"/>
    <w:rsid w:val="7C336FB7"/>
    <w:rsid w:val="7C351656"/>
    <w:rsid w:val="7C365F96"/>
    <w:rsid w:val="7C3E7E36"/>
    <w:rsid w:val="7C4279E8"/>
    <w:rsid w:val="7C440929"/>
    <w:rsid w:val="7C457B4B"/>
    <w:rsid w:val="7C482875"/>
    <w:rsid w:val="7C482A62"/>
    <w:rsid w:val="7C484073"/>
    <w:rsid w:val="7C504C5E"/>
    <w:rsid w:val="7C514068"/>
    <w:rsid w:val="7C523992"/>
    <w:rsid w:val="7C532359"/>
    <w:rsid w:val="7C557240"/>
    <w:rsid w:val="7C5970C0"/>
    <w:rsid w:val="7C5B6663"/>
    <w:rsid w:val="7C5D3714"/>
    <w:rsid w:val="7C6158D2"/>
    <w:rsid w:val="7C6C2CF0"/>
    <w:rsid w:val="7C6C5AC7"/>
    <w:rsid w:val="7C6D39AE"/>
    <w:rsid w:val="7C704248"/>
    <w:rsid w:val="7C716B68"/>
    <w:rsid w:val="7C743857"/>
    <w:rsid w:val="7C781299"/>
    <w:rsid w:val="7C783E6A"/>
    <w:rsid w:val="7C786FF2"/>
    <w:rsid w:val="7C7927C7"/>
    <w:rsid w:val="7C7D65A8"/>
    <w:rsid w:val="7C7E0232"/>
    <w:rsid w:val="7C7F116C"/>
    <w:rsid w:val="7C7F3FAA"/>
    <w:rsid w:val="7C8233E8"/>
    <w:rsid w:val="7C833DC2"/>
    <w:rsid w:val="7C887303"/>
    <w:rsid w:val="7C8A4E29"/>
    <w:rsid w:val="7C8D66C7"/>
    <w:rsid w:val="7C935EA0"/>
    <w:rsid w:val="7C953391"/>
    <w:rsid w:val="7C970076"/>
    <w:rsid w:val="7C9C4B5C"/>
    <w:rsid w:val="7C9E08D4"/>
    <w:rsid w:val="7CA247BC"/>
    <w:rsid w:val="7CA3413D"/>
    <w:rsid w:val="7CA554B7"/>
    <w:rsid w:val="7CA57EB5"/>
    <w:rsid w:val="7CA852AF"/>
    <w:rsid w:val="7CAA10D2"/>
    <w:rsid w:val="7CAB4D9F"/>
    <w:rsid w:val="7CAF7C9B"/>
    <w:rsid w:val="7CB04D76"/>
    <w:rsid w:val="7CB41EA6"/>
    <w:rsid w:val="7CB458B4"/>
    <w:rsid w:val="7CB61980"/>
    <w:rsid w:val="7CB71996"/>
    <w:rsid w:val="7CB73928"/>
    <w:rsid w:val="7CB820F7"/>
    <w:rsid w:val="7CB95EE4"/>
    <w:rsid w:val="7CC6544B"/>
    <w:rsid w:val="7CC8486F"/>
    <w:rsid w:val="7CCB0AFF"/>
    <w:rsid w:val="7CCB4BA1"/>
    <w:rsid w:val="7CD12A58"/>
    <w:rsid w:val="7CD267D0"/>
    <w:rsid w:val="7CD673E6"/>
    <w:rsid w:val="7CD80A03"/>
    <w:rsid w:val="7CD868E1"/>
    <w:rsid w:val="7CE42605"/>
    <w:rsid w:val="7CE43DC9"/>
    <w:rsid w:val="7CE75A18"/>
    <w:rsid w:val="7CE85E18"/>
    <w:rsid w:val="7CEC5AE4"/>
    <w:rsid w:val="7CF008DB"/>
    <w:rsid w:val="7CF2174C"/>
    <w:rsid w:val="7CF25824"/>
    <w:rsid w:val="7CF34556"/>
    <w:rsid w:val="7CF624BE"/>
    <w:rsid w:val="7CFA56EB"/>
    <w:rsid w:val="7CFC55FB"/>
    <w:rsid w:val="7D021373"/>
    <w:rsid w:val="7D0239FF"/>
    <w:rsid w:val="7D025527"/>
    <w:rsid w:val="7D02613C"/>
    <w:rsid w:val="7D02665D"/>
    <w:rsid w:val="7D050EA4"/>
    <w:rsid w:val="7D063F2D"/>
    <w:rsid w:val="7D0C7D3D"/>
    <w:rsid w:val="7D0F3580"/>
    <w:rsid w:val="7D1144BC"/>
    <w:rsid w:val="7D141BE8"/>
    <w:rsid w:val="7D192609"/>
    <w:rsid w:val="7D1D4A9A"/>
    <w:rsid w:val="7D1E15D4"/>
    <w:rsid w:val="7D1E1DE6"/>
    <w:rsid w:val="7D1F6674"/>
    <w:rsid w:val="7D20578D"/>
    <w:rsid w:val="7D21425A"/>
    <w:rsid w:val="7D220DCD"/>
    <w:rsid w:val="7D22132A"/>
    <w:rsid w:val="7D2334DD"/>
    <w:rsid w:val="7D2863F0"/>
    <w:rsid w:val="7D2A660C"/>
    <w:rsid w:val="7D2E7F9F"/>
    <w:rsid w:val="7D31799A"/>
    <w:rsid w:val="7D334F2E"/>
    <w:rsid w:val="7D3C74B9"/>
    <w:rsid w:val="7D3D00ED"/>
    <w:rsid w:val="7D3F63A3"/>
    <w:rsid w:val="7D401CB4"/>
    <w:rsid w:val="7D4274B2"/>
    <w:rsid w:val="7D4421C5"/>
    <w:rsid w:val="7D4476CE"/>
    <w:rsid w:val="7D466F15"/>
    <w:rsid w:val="7D4A0A5C"/>
    <w:rsid w:val="7D4C01C7"/>
    <w:rsid w:val="7D4F211A"/>
    <w:rsid w:val="7D5316BF"/>
    <w:rsid w:val="7D540579"/>
    <w:rsid w:val="7D542DE0"/>
    <w:rsid w:val="7D545437"/>
    <w:rsid w:val="7D5611AF"/>
    <w:rsid w:val="7D5B67C5"/>
    <w:rsid w:val="7D5C493C"/>
    <w:rsid w:val="7D5C5B5D"/>
    <w:rsid w:val="7D5E40CD"/>
    <w:rsid w:val="7D630A43"/>
    <w:rsid w:val="7D63567A"/>
    <w:rsid w:val="7D676A9B"/>
    <w:rsid w:val="7D676E06"/>
    <w:rsid w:val="7D677171"/>
    <w:rsid w:val="7D6961D0"/>
    <w:rsid w:val="7D6F22D8"/>
    <w:rsid w:val="7D741635"/>
    <w:rsid w:val="7D7B1EE7"/>
    <w:rsid w:val="7D7E4262"/>
    <w:rsid w:val="7D7F360E"/>
    <w:rsid w:val="7D853355"/>
    <w:rsid w:val="7D8E6B9B"/>
    <w:rsid w:val="7D8F646F"/>
    <w:rsid w:val="7D943785"/>
    <w:rsid w:val="7D94748A"/>
    <w:rsid w:val="7D9879F5"/>
    <w:rsid w:val="7D9903CF"/>
    <w:rsid w:val="7D9B1948"/>
    <w:rsid w:val="7D9C3085"/>
    <w:rsid w:val="7D9D7924"/>
    <w:rsid w:val="7DA5021A"/>
    <w:rsid w:val="7DAF30C1"/>
    <w:rsid w:val="7DB02960"/>
    <w:rsid w:val="7DB20F2C"/>
    <w:rsid w:val="7DB3215D"/>
    <w:rsid w:val="7DB4431C"/>
    <w:rsid w:val="7DB77972"/>
    <w:rsid w:val="7DB87774"/>
    <w:rsid w:val="7DBF6B2A"/>
    <w:rsid w:val="7DCA4F70"/>
    <w:rsid w:val="7DCC0512"/>
    <w:rsid w:val="7DCC6151"/>
    <w:rsid w:val="7DCD56F2"/>
    <w:rsid w:val="7DD3057F"/>
    <w:rsid w:val="7DD4587F"/>
    <w:rsid w:val="7DD52E9F"/>
    <w:rsid w:val="7DD56578"/>
    <w:rsid w:val="7DD72298"/>
    <w:rsid w:val="7DDA1DE0"/>
    <w:rsid w:val="7DDB01A1"/>
    <w:rsid w:val="7DDF49B4"/>
    <w:rsid w:val="7DE315FF"/>
    <w:rsid w:val="7DE50961"/>
    <w:rsid w:val="7DEB30E6"/>
    <w:rsid w:val="7DEB3451"/>
    <w:rsid w:val="7DEB7B49"/>
    <w:rsid w:val="7DEC3DB3"/>
    <w:rsid w:val="7DED5F44"/>
    <w:rsid w:val="7DF04625"/>
    <w:rsid w:val="7DF115D5"/>
    <w:rsid w:val="7DF509C8"/>
    <w:rsid w:val="7DF86B91"/>
    <w:rsid w:val="7DFC1D56"/>
    <w:rsid w:val="7DFD37EB"/>
    <w:rsid w:val="7E0155BF"/>
    <w:rsid w:val="7E066731"/>
    <w:rsid w:val="7E094473"/>
    <w:rsid w:val="7E0E0C95"/>
    <w:rsid w:val="7E10311A"/>
    <w:rsid w:val="7E144D2B"/>
    <w:rsid w:val="7E15161E"/>
    <w:rsid w:val="7E152E18"/>
    <w:rsid w:val="7E153868"/>
    <w:rsid w:val="7E154BC6"/>
    <w:rsid w:val="7E1562E9"/>
    <w:rsid w:val="7E160416"/>
    <w:rsid w:val="7E1717EC"/>
    <w:rsid w:val="7E1C1010"/>
    <w:rsid w:val="7E1D36F5"/>
    <w:rsid w:val="7E226F1F"/>
    <w:rsid w:val="7E237E00"/>
    <w:rsid w:val="7E260B81"/>
    <w:rsid w:val="7E265CC1"/>
    <w:rsid w:val="7E292808"/>
    <w:rsid w:val="7E3205E4"/>
    <w:rsid w:val="7E320950"/>
    <w:rsid w:val="7E36511A"/>
    <w:rsid w:val="7E370FE0"/>
    <w:rsid w:val="7E380D1F"/>
    <w:rsid w:val="7E3F4EBC"/>
    <w:rsid w:val="7E3F7E95"/>
    <w:rsid w:val="7E467EAD"/>
    <w:rsid w:val="7E486D4A"/>
    <w:rsid w:val="7E487111"/>
    <w:rsid w:val="7E4B67C3"/>
    <w:rsid w:val="7E4C5BA2"/>
    <w:rsid w:val="7E4D25B2"/>
    <w:rsid w:val="7E4E5754"/>
    <w:rsid w:val="7E564B54"/>
    <w:rsid w:val="7E582D05"/>
    <w:rsid w:val="7E584145"/>
    <w:rsid w:val="7E584AB3"/>
    <w:rsid w:val="7E5B6A5D"/>
    <w:rsid w:val="7E5C5697"/>
    <w:rsid w:val="7E5D029C"/>
    <w:rsid w:val="7E5F22E5"/>
    <w:rsid w:val="7E5F24F8"/>
    <w:rsid w:val="7E5F5B4C"/>
    <w:rsid w:val="7E61605D"/>
    <w:rsid w:val="7E6B47E6"/>
    <w:rsid w:val="7E6C1441"/>
    <w:rsid w:val="7E6C1E82"/>
    <w:rsid w:val="7E6E38C7"/>
    <w:rsid w:val="7E7223E0"/>
    <w:rsid w:val="7E725B75"/>
    <w:rsid w:val="7E7924D3"/>
    <w:rsid w:val="7E7F0156"/>
    <w:rsid w:val="7E803351"/>
    <w:rsid w:val="7E813212"/>
    <w:rsid w:val="7E822156"/>
    <w:rsid w:val="7E837D82"/>
    <w:rsid w:val="7E8402B2"/>
    <w:rsid w:val="7E896245"/>
    <w:rsid w:val="7E8A1F33"/>
    <w:rsid w:val="7E8B46EC"/>
    <w:rsid w:val="7E8C6CE6"/>
    <w:rsid w:val="7E947AFA"/>
    <w:rsid w:val="7E970F43"/>
    <w:rsid w:val="7E9C7095"/>
    <w:rsid w:val="7E9E2BC1"/>
    <w:rsid w:val="7EA05231"/>
    <w:rsid w:val="7EA053AE"/>
    <w:rsid w:val="7EA71D7C"/>
    <w:rsid w:val="7EA919D9"/>
    <w:rsid w:val="7EAB72D9"/>
    <w:rsid w:val="7EAF557B"/>
    <w:rsid w:val="7EB42631"/>
    <w:rsid w:val="7EB45827"/>
    <w:rsid w:val="7EB503F0"/>
    <w:rsid w:val="7EB55306"/>
    <w:rsid w:val="7EB77A2B"/>
    <w:rsid w:val="7EBA751C"/>
    <w:rsid w:val="7EBE7F49"/>
    <w:rsid w:val="7EC31904"/>
    <w:rsid w:val="7EC65C47"/>
    <w:rsid w:val="7ECB618F"/>
    <w:rsid w:val="7ECD1958"/>
    <w:rsid w:val="7ECF50E5"/>
    <w:rsid w:val="7ECF746B"/>
    <w:rsid w:val="7ED05532"/>
    <w:rsid w:val="7ED26C70"/>
    <w:rsid w:val="7ED405DD"/>
    <w:rsid w:val="7ED50BC3"/>
    <w:rsid w:val="7ED70C48"/>
    <w:rsid w:val="7ED7363A"/>
    <w:rsid w:val="7EDD618C"/>
    <w:rsid w:val="7EE10F4C"/>
    <w:rsid w:val="7EEA0AA5"/>
    <w:rsid w:val="7EEB23F4"/>
    <w:rsid w:val="7EEC5082"/>
    <w:rsid w:val="7EED3DCE"/>
    <w:rsid w:val="7EEE0C91"/>
    <w:rsid w:val="7EF053B6"/>
    <w:rsid w:val="7EF32454"/>
    <w:rsid w:val="7EF50554"/>
    <w:rsid w:val="7EF50B7A"/>
    <w:rsid w:val="7EF944E8"/>
    <w:rsid w:val="7EFA2FCA"/>
    <w:rsid w:val="7EFD09A6"/>
    <w:rsid w:val="7EFE041F"/>
    <w:rsid w:val="7F001CE7"/>
    <w:rsid w:val="7F0A2251"/>
    <w:rsid w:val="7F0B18FA"/>
    <w:rsid w:val="7F0C79A6"/>
    <w:rsid w:val="7F122D08"/>
    <w:rsid w:val="7F1468BC"/>
    <w:rsid w:val="7F14777D"/>
    <w:rsid w:val="7F182BC0"/>
    <w:rsid w:val="7F1A39AC"/>
    <w:rsid w:val="7F1B454B"/>
    <w:rsid w:val="7F1C462C"/>
    <w:rsid w:val="7F207CC7"/>
    <w:rsid w:val="7F297695"/>
    <w:rsid w:val="7F29784B"/>
    <w:rsid w:val="7F2A03AF"/>
    <w:rsid w:val="7F2B657D"/>
    <w:rsid w:val="7F346BB3"/>
    <w:rsid w:val="7F39180C"/>
    <w:rsid w:val="7F392B36"/>
    <w:rsid w:val="7F402553"/>
    <w:rsid w:val="7F442685"/>
    <w:rsid w:val="7F45772D"/>
    <w:rsid w:val="7F47533B"/>
    <w:rsid w:val="7F492D2C"/>
    <w:rsid w:val="7F496220"/>
    <w:rsid w:val="7F497F59"/>
    <w:rsid w:val="7F4A4D43"/>
    <w:rsid w:val="7F4B4027"/>
    <w:rsid w:val="7F4D0390"/>
    <w:rsid w:val="7F533B06"/>
    <w:rsid w:val="7F556C75"/>
    <w:rsid w:val="7F5659A9"/>
    <w:rsid w:val="7F5A2CF4"/>
    <w:rsid w:val="7F5C05D3"/>
    <w:rsid w:val="7F5D4A77"/>
    <w:rsid w:val="7F5D6825"/>
    <w:rsid w:val="7F631C62"/>
    <w:rsid w:val="7F663995"/>
    <w:rsid w:val="7F6E2A76"/>
    <w:rsid w:val="7F6E6D71"/>
    <w:rsid w:val="7F731732"/>
    <w:rsid w:val="7F7333C7"/>
    <w:rsid w:val="7F733EE9"/>
    <w:rsid w:val="7F743B6E"/>
    <w:rsid w:val="7F7462EF"/>
    <w:rsid w:val="7F7D5010"/>
    <w:rsid w:val="7F7D5B5B"/>
    <w:rsid w:val="7F7E49ED"/>
    <w:rsid w:val="7F805EED"/>
    <w:rsid w:val="7F806F63"/>
    <w:rsid w:val="7F83123F"/>
    <w:rsid w:val="7F842003"/>
    <w:rsid w:val="7F871AF4"/>
    <w:rsid w:val="7F8E22D2"/>
    <w:rsid w:val="7F8F61BD"/>
    <w:rsid w:val="7F907247"/>
    <w:rsid w:val="7F93440F"/>
    <w:rsid w:val="7F9554E0"/>
    <w:rsid w:val="7F995383"/>
    <w:rsid w:val="7F9B09AC"/>
    <w:rsid w:val="7F9C4E6B"/>
    <w:rsid w:val="7F9D70B2"/>
    <w:rsid w:val="7FA112F3"/>
    <w:rsid w:val="7FA73F44"/>
    <w:rsid w:val="7FA97CBC"/>
    <w:rsid w:val="7FAA7DED"/>
    <w:rsid w:val="7FAB3A34"/>
    <w:rsid w:val="7FAE1614"/>
    <w:rsid w:val="7FAE7080"/>
    <w:rsid w:val="7FB15F3A"/>
    <w:rsid w:val="7FB4040F"/>
    <w:rsid w:val="7FBA7CAC"/>
    <w:rsid w:val="7FBC2E67"/>
    <w:rsid w:val="7FC74040"/>
    <w:rsid w:val="7FC8211E"/>
    <w:rsid w:val="7FC9210C"/>
    <w:rsid w:val="7FCB7B83"/>
    <w:rsid w:val="7FCC1916"/>
    <w:rsid w:val="7FCE14D1"/>
    <w:rsid w:val="7FD05249"/>
    <w:rsid w:val="7FD25273"/>
    <w:rsid w:val="7FD30895"/>
    <w:rsid w:val="7FD37543"/>
    <w:rsid w:val="7FD5583B"/>
    <w:rsid w:val="7FD63D4B"/>
    <w:rsid w:val="7FD64829"/>
    <w:rsid w:val="7FDC6EA5"/>
    <w:rsid w:val="7FDD34C2"/>
    <w:rsid w:val="7FE37A28"/>
    <w:rsid w:val="7FE47E50"/>
    <w:rsid w:val="7FE54E2A"/>
    <w:rsid w:val="7FEB046D"/>
    <w:rsid w:val="7FEC5DFB"/>
    <w:rsid w:val="7FED00ED"/>
    <w:rsid w:val="7FED672C"/>
    <w:rsid w:val="7FEE13F2"/>
    <w:rsid w:val="7FF220EA"/>
    <w:rsid w:val="7FFA22C6"/>
    <w:rsid w:val="7FFD2F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semiHidden="0" w:name="heading 2" w:locked="1"/>
    <w:lsdException w:qFormat="1" w:unhideWhenUsed="0" w:uiPriority="0" w:semiHidden="0" w:name="heading 3" w:locked="1"/>
    <w:lsdException w:qFormat="1" w:unhideWhenUsed="0" w:uiPriority="0" w:semiHidden="0" w:name="heading 4" w:locked="1"/>
    <w:lsdException w:qFormat="1" w:unhideWhenUsed="0" w:uiPriority="0" w:semiHidden="0" w:name="heading 5" w:locked="1"/>
    <w:lsdException w:qFormat="1" w:unhideWhenUsed="0" w:uiPriority="0" w:semiHidden="0" w:name="heading 6" w:locked="1"/>
    <w:lsdException w:qFormat="1" w:unhideWhenUsed="0" w:uiPriority="0" w:semiHidden="0" w:name="heading 7" w:locked="1"/>
    <w:lsdException w:qFormat="1" w:unhideWhenUsed="0" w:uiPriority="0" w:semiHidden="0" w:name="heading 8" w:locked="1"/>
    <w:lsdException w:qFormat="1" w:unhideWhenUsed="0" w:uiPriority="0" w:semiHidden="0" w:name="heading 9" w:locked="1"/>
    <w:lsdException w:unhideWhenUsed="0" w:uiPriority="0" w:semiHidden="0" w:name="index 1" w:locked="1"/>
    <w:lsdException w:unhideWhenUsed="0" w:uiPriority="0" w:semiHidden="0" w:name="index 2" w:locked="1"/>
    <w:lsdException w:unhideWhenUsed="0" w:uiPriority="0" w:semiHidden="0" w:name="index 3" w:locked="1"/>
    <w:lsdException w:unhideWhenUsed="0" w:uiPriority="0" w:semiHidden="0" w:name="index 4" w:locked="1"/>
    <w:lsdException w:unhideWhenUsed="0" w:uiPriority="0" w:semiHidden="0" w:name="index 5" w:locked="1"/>
    <w:lsdException w:unhideWhenUsed="0" w:uiPriority="0" w:semiHidden="0" w:name="index 6" w:locked="1"/>
    <w:lsdException w:unhideWhenUsed="0" w:uiPriority="0" w:semiHidden="0" w:name="index 7" w:locked="1"/>
    <w:lsdException w:unhideWhenUsed="0" w:uiPriority="0" w:semiHidden="0" w:name="index 8" w:locked="1"/>
    <w:lsdException w:unhideWhenUsed="0" w:uiPriority="0" w:semiHidden="0" w:name="index 9" w:locked="1"/>
    <w:lsdException w:qFormat="1" w:unhideWhenUsed="0" w:uiPriority="39" w:semiHidden="0" w:name="toc 1" w:locked="1"/>
    <w:lsdException w:qFormat="1" w:unhideWhenUsed="0" w:uiPriority="0" w:semiHidden="0" w:name="toc 2" w:locked="1"/>
    <w:lsdException w:qFormat="1" w:unhideWhenUsed="0" w:uiPriority="39" w:semiHidden="0" w:name="toc 3" w:locked="1"/>
    <w:lsdException w:qFormat="1" w:unhideWhenUsed="0" w:uiPriority="0" w:semiHidden="0" w:name="toc 4" w:locked="1"/>
    <w:lsdException w:qFormat="1" w:unhideWhenUsed="0" w:uiPriority="0" w:semiHidden="0" w:name="toc 5" w:locked="1"/>
    <w:lsdException w:qFormat="1" w:unhideWhenUsed="0" w:uiPriority="0" w:semiHidden="0" w:name="toc 6" w:locked="1"/>
    <w:lsdException w:qFormat="1" w:unhideWhenUsed="0" w:uiPriority="0" w:semiHidden="0" w:name="toc 7" w:locked="1"/>
    <w:lsdException w:qFormat="1" w:unhideWhenUsed="0" w:uiPriority="0" w:semiHidden="0" w:name="toc 8" w:locked="1"/>
    <w:lsdException w:qFormat="1" w:unhideWhenUsed="0" w:uiPriority="0" w:semiHidden="0" w:name="toc 9" w:locked="1"/>
    <w:lsdException w:qFormat="1" w:unhideWhenUsed="0" w:uiPriority="0" w:semiHidden="0" w:name="Normal Indent" w:locked="1"/>
    <w:lsdException w:unhideWhenUsed="0" w:uiPriority="0" w:semiHidden="0" w:name="footnote text" w:locked="1"/>
    <w:lsdException w:qFormat="1" w:unhideWhenUsed="0" w:uiPriority="99" w:name="annotation text"/>
    <w:lsdException w:qFormat="1" w:unhideWhenUsed="0" w:uiPriority="0" w:semiHidden="0" w:name="header"/>
    <w:lsdException w:qFormat="1" w:unhideWhenUsed="0" w:uiPriority="99" w:semiHidden="0" w:name="footer"/>
    <w:lsdException w:unhideWhenUsed="0" w:uiPriority="0" w:semiHidden="0" w:name="index heading" w:locked="1"/>
    <w:lsdException w:qFormat="1" w:uiPriority="0" w:semiHidden="0" w:name="caption" w:locked="1"/>
    <w:lsdException w:qFormat="1" w:unhideWhenUsed="0" w:uiPriority="99" w:semiHidden="0" w:name="table of figures" w:locked="1"/>
    <w:lsdException w:unhideWhenUsed="0" w:uiPriority="0" w:semiHidden="0" w:name="envelope address" w:locked="1"/>
    <w:lsdException w:unhideWhenUsed="0" w:uiPriority="0" w:semiHidden="0" w:name="envelope return" w:locked="1"/>
    <w:lsdException w:unhideWhenUsed="0" w:uiPriority="0" w:semiHidden="0" w:name="footnote reference" w:locked="1"/>
    <w:lsdException w:qFormat="1" w:unhideWhenUsed="0" w:uiPriority="0" w:name="annotation reference"/>
    <w:lsdException w:unhideWhenUsed="0" w:uiPriority="0" w:semiHidden="0" w:name="line number" w:locked="1"/>
    <w:lsdException w:qFormat="1" w:unhideWhenUsed="0" w:uiPriority="0" w:semiHidden="0" w:name="page number" w:locked="1"/>
    <w:lsdException w:unhideWhenUsed="0" w:uiPriority="0" w:semiHidden="0" w:name="endnote reference" w:locked="1"/>
    <w:lsdException w:unhideWhenUsed="0" w:uiPriority="0" w:semiHidden="0" w:name="endnote text" w:locked="1"/>
    <w:lsdException w:unhideWhenUsed="0" w:uiPriority="0" w:semiHidden="0" w:name="table of authorities" w:locked="1"/>
    <w:lsdException w:unhideWhenUsed="0" w:uiPriority="0" w:semiHidden="0" w:name="macro" w:locked="1"/>
    <w:lsdException w:unhideWhenUsed="0" w:uiPriority="0" w:semiHidden="0" w:name="toa heading" w:locked="1"/>
    <w:lsdException w:qFormat="1" w:unhideWhenUsed="0" w:uiPriority="0" w:semiHidden="0" w:name="List" w:locked="1"/>
    <w:lsdException w:unhideWhenUsed="0" w:uiPriority="0" w:semiHidden="0" w:name="List Bullet" w:locked="1"/>
    <w:lsdException w:unhideWhenUsed="0" w:uiPriority="0" w:semiHidden="0" w:name="List Number" w:locked="1"/>
    <w:lsdException w:unhideWhenUsed="0" w:uiPriority="0" w:semiHidden="0" w:name="List 2" w:locked="1"/>
    <w:lsdException w:unhideWhenUsed="0" w:uiPriority="0" w:semiHidden="0" w:name="List 3" w:locked="1"/>
    <w:lsdException w:unhideWhenUsed="0" w:uiPriority="0" w:semiHidden="0" w:name="List 4" w:locked="1"/>
    <w:lsdException w:unhideWhenUsed="0" w:uiPriority="0" w:semiHidden="0" w:name="List 5" w:locked="1"/>
    <w:lsdException w:qFormat="1" w:unhideWhenUsed="0" w:uiPriority="0" w:semiHidden="0" w:name="List Bullet 2" w:locked="1"/>
    <w:lsdException w:unhideWhenUsed="0" w:uiPriority="0" w:semiHidden="0" w:name="List Bullet 3" w:locked="1"/>
    <w:lsdException w:unhideWhenUsed="0" w:uiPriority="0" w:semiHidden="0" w:name="List Bullet 4" w:locked="1"/>
    <w:lsdException w:qFormat="1" w:unhideWhenUsed="0" w:uiPriority="0" w:semiHidden="0" w:name="List Bullet 5" w:locked="1"/>
    <w:lsdException w:unhideWhenUsed="0" w:uiPriority="0" w:semiHidden="0" w:name="List Number 2" w:locked="1"/>
    <w:lsdException w:unhideWhenUsed="0" w:uiPriority="0" w:semiHidden="0" w:name="List Number 3" w:locked="1"/>
    <w:lsdException w:unhideWhenUsed="0" w:uiPriority="0" w:semiHidden="0" w:name="List Number 4" w:locked="1"/>
    <w:lsdException w:unhideWhenUsed="0" w:uiPriority="0" w:semiHidden="0" w:name="List Number 5" w:locked="1"/>
    <w:lsdException w:qFormat="1" w:unhideWhenUsed="0" w:uiPriority="10" w:semiHidden="0" w:name="Title" w:locked="1"/>
    <w:lsdException w:unhideWhenUsed="0" w:uiPriority="0" w:semiHidden="0" w:name="Closing" w:locked="1"/>
    <w:lsdException w:unhideWhenUsed="0" w:uiPriority="0" w:semiHidden="0" w:name="Signature" w:locked="1"/>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ocked="1"/>
    <w:lsdException w:unhideWhenUsed="0" w:uiPriority="0" w:semiHidden="0" w:name="List Continue 2" w:locked="1"/>
    <w:lsdException w:unhideWhenUsed="0" w:uiPriority="0" w:semiHidden="0" w:name="List Continue 3" w:locked="1"/>
    <w:lsdException w:unhideWhenUsed="0" w:uiPriority="0" w:semiHidden="0" w:name="List Continue 4" w:locked="1"/>
    <w:lsdException w:unhideWhenUsed="0" w:uiPriority="0" w:semiHidden="0" w:name="List Continue 5" w:locked="1"/>
    <w:lsdException w:unhideWhenUsed="0" w:uiPriority="0" w:semiHidden="0" w:name="Message Header" w:locked="1"/>
    <w:lsdException w:unhideWhenUsed="0" w:uiPriority="0" w:semiHidden="0" w:name="Subtitle" w:locked="1"/>
    <w:lsdException w:unhideWhenUsed="0" w:uiPriority="0" w:semiHidden="0" w:name="Salutation" w:locked="1"/>
    <w:lsdException w:qFormat="1" w:unhideWhenUsed="0" w:uiPriority="0" w:semiHidden="0" w:name="Date"/>
    <w:lsdException w:qFormat="1" w:unhideWhenUsed="0" w:uiPriority="0" w:semiHidden="0" w:name="Body Text First Indent" w:locked="1"/>
    <w:lsdException w:qFormat="1" w:unhideWhenUsed="0" w:uiPriority="0" w:semiHidden="0" w:name="Body Text First Indent 2" w:locked="1"/>
    <w:lsdException w:unhideWhenUsed="0" w:uiPriority="0" w:semiHidden="0" w:name="Note Heading" w:locked="1"/>
    <w:lsdException w:unhideWhenUsed="0" w:uiPriority="0" w:semiHidden="0" w:name="Body Text 2" w:locked="1"/>
    <w:lsdException w:unhideWhenUsed="0" w:uiPriority="0" w:semiHidden="0" w:name="Body Text 3" w:locked="1"/>
    <w:lsdException w:qFormat="1" w:unhideWhenUsed="0" w:uiPriority="0" w:semiHidden="0" w:name="Body Text Indent 2" w:locked="1"/>
    <w:lsdException w:unhideWhenUsed="0" w:uiPriority="0" w:semiHidden="0" w:name="Body Text Indent 3" w:locked="1"/>
    <w:lsdException w:qFormat="1" w:unhideWhenUsed="0" w:uiPriority="0" w:semiHidden="0" w:name="Block Text" w:locked="1"/>
    <w:lsdException w:qFormat="1" w:unhideWhenUsed="0" w:uiPriority="99" w:semiHidden="0" w:name="Hyperlink" w:locked="1"/>
    <w:lsdException w:qFormat="1" w:unhideWhenUsed="0" w:uiPriority="0" w:semiHidden="0" w:name="FollowedHyperlink" w:locked="1"/>
    <w:lsdException w:qFormat="1" w:unhideWhenUsed="0" w:uiPriority="0" w:semiHidden="0" w:name="Strong" w:locked="1"/>
    <w:lsdException w:unhideWhenUsed="0" w:uiPriority="0" w:semiHidden="0" w:name="Emphasis" w:locked="1"/>
    <w:lsdException w:unhideWhenUsed="0" w:uiPriority="0" w:semiHidden="0" w:name="Document Map" w:locked="1"/>
    <w:lsdException w:unhideWhenUsed="0" w:uiPriority="0" w:semiHidden="0" w:name="Plain Text" w:locked="1"/>
    <w:lsdException w:unhideWhenUsed="0" w:uiPriority="0" w:semiHidden="0" w:name="E-mail Signature" w:locked="1"/>
    <w:lsdException w:qFormat="1" w:unhideWhenUsed="0" w:uiPriority="0" w:semiHidden="0" w:name="Normal (Web)"/>
    <w:lsdException w:unhideWhenUsed="0" w:uiPriority="0" w:semiHidden="0" w:name="HTML Acronym" w:locked="1"/>
    <w:lsdException w:unhideWhenUsed="0" w:uiPriority="0" w:semiHidden="0" w:name="HTML Address" w:locked="1"/>
    <w:lsdException w:unhideWhenUsed="0" w:uiPriority="0" w:semiHidden="0" w:name="HTML Cite" w:locked="1"/>
    <w:lsdException w:unhideWhenUsed="0" w:uiPriority="0" w:semiHidden="0" w:name="HTML Code" w:locked="1"/>
    <w:lsdException w:unhideWhenUsed="0" w:uiPriority="0" w:semiHidden="0" w:name="HTML Definition" w:locked="1"/>
    <w:lsdException w:unhideWhenUsed="0" w:uiPriority="0" w:semiHidden="0" w:name="HTML Keyboard" w:locked="1"/>
    <w:lsdException w:unhideWhenUsed="0" w:uiPriority="0" w:semiHidden="0" w:name="HTML Preformatted" w:locked="1"/>
    <w:lsdException w:unhideWhenUsed="0" w:uiPriority="0" w:semiHidden="0" w:name="HTML Sample" w:locked="1"/>
    <w:lsdException w:unhideWhenUsed="0" w:uiPriority="0" w:semiHidden="0" w:name="HTML Typewriter" w:locked="1"/>
    <w:lsdException w:unhideWhenUsed="0" w:uiPriority="0" w:semiHidden="0" w:name="HTML Variable" w:locked="1"/>
    <w:lsdException w:qFormat="1" w:uiPriority="99" w:name="Normal Table"/>
    <w:lsdException w:qFormat="1" w:unhideWhenUsed="0" w:uiPriority="0" w:name="annotation subject"/>
    <w:lsdException w:uiPriority="0" w:name="Table Simple 1" w:locked="1"/>
    <w:lsdException w:uiPriority="0" w:name="Table Simple 2" w:locked="1"/>
    <w:lsdException w:uiPriority="0" w:name="Table Simple 3" w:locked="1"/>
    <w:lsdException w:uiPriority="0" w:name="Table Classic 1" w:locked="1"/>
    <w:lsdException w:uiPriority="0" w:name="Table Classic 2" w:locked="1"/>
    <w:lsdException w:uiPriority="0" w:name="Table Classic 3" w:locked="1"/>
    <w:lsdException w:uiPriority="0" w:name="Table Classic 4" w:locked="1"/>
    <w:lsdException w:uiPriority="0" w:name="Table Colorful 1" w:locked="1"/>
    <w:lsdException w:uiPriority="0" w:name="Table Colorful 2" w:locked="1"/>
    <w:lsdException w:uiPriority="0" w:name="Table Colorful 3" w:locked="1"/>
    <w:lsdException w:uiPriority="0" w:name="Table Columns 1" w:locked="1"/>
    <w:lsdException w:uiPriority="0" w:name="Table Columns 2" w:locked="1"/>
    <w:lsdException w:uiPriority="0" w:name="Table Columns 3" w:locked="1"/>
    <w:lsdException w:uiPriority="0" w:name="Table Columns 4" w:locked="1"/>
    <w:lsdException w:uiPriority="0" w:name="Table Columns 5" w:locked="1"/>
    <w:lsdException w:uiPriority="0" w:name="Table Grid 1" w:locked="1"/>
    <w:lsdException w:uiPriority="0" w:name="Table Grid 2" w:locked="1"/>
    <w:lsdException w:uiPriority="0" w:name="Table Grid 3" w:locked="1"/>
    <w:lsdException w:uiPriority="0" w:name="Table Grid 4" w:locked="1"/>
    <w:lsdException w:uiPriority="0" w:name="Table Grid 5" w:locked="1"/>
    <w:lsdException w:uiPriority="0" w:name="Table Grid 6" w:locked="1"/>
    <w:lsdException w:uiPriority="0" w:name="Table Grid 7" w:locked="1"/>
    <w:lsdException w:uiPriority="0" w:name="Table Grid 8" w:locked="1"/>
    <w:lsdException w:uiPriority="0" w:name="Table List 1" w:locked="1"/>
    <w:lsdException w:uiPriority="0" w:name="Table List 2" w:locked="1"/>
    <w:lsdException w:uiPriority="0" w:name="Table List 3" w:locked="1"/>
    <w:lsdException w:uiPriority="0" w:name="Table List 4" w:locked="1"/>
    <w:lsdException w:uiPriority="0" w:name="Table List 5" w:locked="1"/>
    <w:lsdException w:uiPriority="0" w:name="Table List 6" w:locked="1"/>
    <w:lsdException w:uiPriority="0" w:name="Table List 7" w:locked="1"/>
    <w:lsdException w:uiPriority="0" w:name="Table List 8" w:locked="1"/>
    <w:lsdException w:uiPriority="0" w:name="Table 3D effects 1" w:locked="1"/>
    <w:lsdException w:uiPriority="0" w:name="Table 3D effects 2" w:locked="1"/>
    <w:lsdException w:uiPriority="0" w:name="Table 3D effects 3" w:locked="1"/>
    <w:lsdException w:uiPriority="0" w:name="Table Contemporary" w:locked="1"/>
    <w:lsdException w:uiPriority="0" w:name="Table Elegant" w:locked="1"/>
    <w:lsdException w:uiPriority="0" w:name="Table Professional" w:locked="1"/>
    <w:lsdException w:uiPriority="0" w:name="Table Subtle 1" w:locked="1"/>
    <w:lsdException w:uiPriority="0" w:name="Table Subtle 2" w:locked="1"/>
    <w:lsdException w:uiPriority="0" w:name="Table Web 1" w:locked="1"/>
    <w:lsdException w:uiPriority="0" w:name="Table Web 2" w:locked="1"/>
    <w:lsdException w:uiPriority="0" w:name="Table Web 3" w:locked="1"/>
    <w:lsdException w:qFormat="1" w:unhideWhenUsed="0" w:uiPriority="0" w:name="Balloon Text"/>
    <w:lsdException w:qFormat="1" w:unhideWhenUsed="0" w:uiPriority="99" w:semiHidden="0" w:name="Table Grid"/>
    <w:lsdException w:uiPriority="0" w:name="Table Theme" w:locked="1"/>
    <w:lsdException w:qFormat="1" w:uiPriority="99" w:semiHidden="0" w:name="Placeholder Text"/>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locked/>
    <w:uiPriority w:val="0"/>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3">
    <w:name w:val="heading 2"/>
    <w:basedOn w:val="1"/>
    <w:next w:val="1"/>
    <w:link w:val="153"/>
    <w:unhideWhenUsed/>
    <w:qFormat/>
    <w:locked/>
    <w:uiPriority w:val="0"/>
    <w:pPr>
      <w:keepNext/>
      <w:keepLines/>
      <w:spacing w:before="260" w:after="260" w:line="416" w:lineRule="auto"/>
      <w:outlineLvl w:val="1"/>
    </w:pPr>
    <w:rPr>
      <w:rFonts w:ascii="等线 Light" w:hAnsi="等线 Light" w:eastAsia="等线 Light"/>
      <w:b/>
      <w:bCs/>
      <w:sz w:val="32"/>
      <w:szCs w:val="32"/>
    </w:rPr>
  </w:style>
  <w:style w:type="paragraph" w:styleId="4">
    <w:name w:val="heading 3"/>
    <w:basedOn w:val="1"/>
    <w:next w:val="1"/>
    <w:link w:val="157"/>
    <w:qFormat/>
    <w:locked/>
    <w:uiPriority w:val="0"/>
    <w:pPr>
      <w:keepNext/>
      <w:keepLines/>
      <w:autoSpaceDE w:val="0"/>
      <w:autoSpaceDN w:val="0"/>
      <w:adjustRightInd w:val="0"/>
      <w:spacing w:before="20" w:after="20" w:line="288" w:lineRule="auto"/>
      <w:jc w:val="left"/>
      <w:textAlignment w:val="baseline"/>
      <w:outlineLvl w:val="2"/>
    </w:pPr>
    <w:rPr>
      <w:rFonts w:eastAsia="黑体"/>
      <w:kern w:val="0"/>
      <w:sz w:val="28"/>
      <w:szCs w:val="20"/>
    </w:rPr>
  </w:style>
  <w:style w:type="paragraph" w:styleId="5">
    <w:name w:val="heading 4"/>
    <w:basedOn w:val="1"/>
    <w:next w:val="1"/>
    <w:link w:val="158"/>
    <w:qFormat/>
    <w:locked/>
    <w:uiPriority w:val="0"/>
    <w:pPr>
      <w:keepNext/>
      <w:keepLines/>
      <w:autoSpaceDE w:val="0"/>
      <w:autoSpaceDN w:val="0"/>
      <w:adjustRightInd w:val="0"/>
      <w:spacing w:before="20" w:line="288" w:lineRule="auto"/>
      <w:jc w:val="left"/>
      <w:textAlignment w:val="baseline"/>
      <w:outlineLvl w:val="3"/>
    </w:pPr>
    <w:rPr>
      <w:rFonts w:eastAsia="长城楷体"/>
      <w:b/>
      <w:kern w:val="0"/>
      <w:sz w:val="28"/>
      <w:szCs w:val="20"/>
    </w:rPr>
  </w:style>
  <w:style w:type="paragraph" w:styleId="6">
    <w:name w:val="heading 5"/>
    <w:basedOn w:val="1"/>
    <w:next w:val="1"/>
    <w:link w:val="159"/>
    <w:qFormat/>
    <w:locked/>
    <w:uiPriority w:val="0"/>
    <w:pPr>
      <w:keepNext/>
      <w:keepLines/>
      <w:autoSpaceDE w:val="0"/>
      <w:autoSpaceDN w:val="0"/>
      <w:adjustRightInd w:val="0"/>
      <w:spacing w:line="288" w:lineRule="auto"/>
      <w:jc w:val="left"/>
      <w:textAlignment w:val="baseline"/>
      <w:outlineLvl w:val="4"/>
    </w:pPr>
    <w:rPr>
      <w:b/>
      <w:kern w:val="0"/>
      <w:sz w:val="24"/>
      <w:szCs w:val="20"/>
    </w:rPr>
  </w:style>
  <w:style w:type="paragraph" w:styleId="7">
    <w:name w:val="heading 6"/>
    <w:basedOn w:val="1"/>
    <w:next w:val="1"/>
    <w:link w:val="160"/>
    <w:qFormat/>
    <w:locked/>
    <w:uiPriority w:val="0"/>
    <w:pPr>
      <w:keepNext/>
      <w:keepLines/>
      <w:autoSpaceDE w:val="0"/>
      <w:autoSpaceDN w:val="0"/>
      <w:adjustRightInd w:val="0"/>
      <w:spacing w:before="240" w:after="64" w:line="320" w:lineRule="auto"/>
      <w:jc w:val="left"/>
      <w:textAlignment w:val="baseline"/>
      <w:outlineLvl w:val="5"/>
    </w:pPr>
    <w:rPr>
      <w:rFonts w:ascii="Arial" w:hAnsi="Arial" w:eastAsia="黑体"/>
      <w:b/>
      <w:kern w:val="0"/>
      <w:sz w:val="24"/>
      <w:szCs w:val="20"/>
    </w:rPr>
  </w:style>
  <w:style w:type="paragraph" w:styleId="8">
    <w:name w:val="heading 7"/>
    <w:basedOn w:val="1"/>
    <w:next w:val="1"/>
    <w:link w:val="161"/>
    <w:qFormat/>
    <w:locked/>
    <w:uiPriority w:val="0"/>
    <w:pPr>
      <w:keepNext/>
      <w:keepLines/>
      <w:autoSpaceDE w:val="0"/>
      <w:autoSpaceDN w:val="0"/>
      <w:adjustRightInd w:val="0"/>
      <w:spacing w:before="240" w:after="64" w:line="320" w:lineRule="auto"/>
      <w:jc w:val="left"/>
      <w:textAlignment w:val="baseline"/>
      <w:outlineLvl w:val="6"/>
    </w:pPr>
    <w:rPr>
      <w:b/>
      <w:kern w:val="0"/>
      <w:sz w:val="24"/>
      <w:szCs w:val="20"/>
    </w:rPr>
  </w:style>
  <w:style w:type="paragraph" w:styleId="9">
    <w:name w:val="heading 8"/>
    <w:basedOn w:val="1"/>
    <w:next w:val="1"/>
    <w:link w:val="162"/>
    <w:qFormat/>
    <w:locked/>
    <w:uiPriority w:val="0"/>
    <w:pPr>
      <w:keepNext/>
      <w:keepLines/>
      <w:autoSpaceDE w:val="0"/>
      <w:autoSpaceDN w:val="0"/>
      <w:adjustRightInd w:val="0"/>
      <w:spacing w:before="240" w:after="64" w:line="320" w:lineRule="auto"/>
      <w:jc w:val="left"/>
      <w:textAlignment w:val="baseline"/>
      <w:outlineLvl w:val="7"/>
    </w:pPr>
    <w:rPr>
      <w:rFonts w:ascii="Arial" w:hAnsi="Arial" w:eastAsia="黑体"/>
      <w:kern w:val="0"/>
      <w:sz w:val="24"/>
      <w:szCs w:val="20"/>
    </w:rPr>
  </w:style>
  <w:style w:type="paragraph" w:styleId="10">
    <w:name w:val="heading 9"/>
    <w:basedOn w:val="1"/>
    <w:next w:val="1"/>
    <w:link w:val="163"/>
    <w:qFormat/>
    <w:locked/>
    <w:uiPriority w:val="0"/>
    <w:pPr>
      <w:keepNext/>
      <w:keepLines/>
      <w:autoSpaceDE w:val="0"/>
      <w:autoSpaceDN w:val="0"/>
      <w:adjustRightInd w:val="0"/>
      <w:spacing w:before="240" w:after="64" w:line="320" w:lineRule="auto"/>
      <w:jc w:val="left"/>
      <w:textAlignment w:val="baseline"/>
      <w:outlineLvl w:val="8"/>
    </w:pPr>
    <w:rPr>
      <w:rFonts w:ascii="Arial" w:hAnsi="Arial" w:eastAsia="黑体"/>
      <w:kern w:val="0"/>
      <w:szCs w:val="20"/>
    </w:rPr>
  </w:style>
  <w:style w:type="character" w:default="1" w:styleId="43">
    <w:name w:val="Default Paragraph Font"/>
    <w:semiHidden/>
    <w:unhideWhenUsed/>
    <w:qFormat/>
    <w:uiPriority w:val="1"/>
  </w:style>
  <w:style w:type="table" w:default="1" w:styleId="41">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locked/>
    <w:uiPriority w:val="0"/>
    <w:pPr>
      <w:ind w:left="1260"/>
      <w:jc w:val="left"/>
    </w:pPr>
    <w:rPr>
      <w:rFonts w:asciiTheme="minorHAnsi" w:eastAsiaTheme="minorHAnsi"/>
      <w:sz w:val="18"/>
      <w:szCs w:val="18"/>
    </w:rPr>
  </w:style>
  <w:style w:type="paragraph" w:styleId="12">
    <w:name w:val="Normal Indent"/>
    <w:basedOn w:val="1"/>
    <w:link w:val="206"/>
    <w:qFormat/>
    <w:locked/>
    <w:uiPriority w:val="0"/>
    <w:pPr>
      <w:autoSpaceDE w:val="0"/>
      <w:autoSpaceDN w:val="0"/>
      <w:ind w:firstLine="0" w:firstLineChars="0"/>
      <w:jc w:val="center"/>
    </w:pPr>
    <w:rPr>
      <w:rFonts w:ascii="Times New Roman" w:hAnsi="Times New Roman" w:eastAsia="黑体"/>
      <w:lang w:eastAsia="en-US"/>
    </w:rPr>
  </w:style>
  <w:style w:type="paragraph" w:styleId="13">
    <w:name w:val="caption"/>
    <w:basedOn w:val="1"/>
    <w:next w:val="14"/>
    <w:link w:val="149"/>
    <w:unhideWhenUsed/>
    <w:qFormat/>
    <w:locked/>
    <w:uiPriority w:val="0"/>
    <w:pPr>
      <w:jc w:val="center"/>
    </w:pPr>
    <w:rPr>
      <w:rFonts w:ascii="Times New Roman" w:hAnsi="Times New Roman" w:eastAsia="宋体" w:cs="Times New Roman"/>
      <w:b/>
      <w:color w:val="000000"/>
      <w:sz w:val="21"/>
      <w:lang w:val="en-US" w:eastAsia="en-US" w:bidi="ar-SA"/>
    </w:rPr>
  </w:style>
  <w:style w:type="paragraph" w:styleId="14">
    <w:name w:val="No Spacing"/>
    <w:basedOn w:val="1"/>
    <w:next w:val="1"/>
    <w:link w:val="150"/>
    <w:qFormat/>
    <w:uiPriority w:val="0"/>
    <w:pPr>
      <w:adjustRightInd w:val="0"/>
      <w:snapToGrid w:val="0"/>
      <w:jc w:val="center"/>
    </w:pPr>
    <w:rPr>
      <w:rFonts w:ascii="Times New Roman" w:hAnsi="Times New Roman" w:eastAsia="宋体" w:cs="Times New Roman"/>
      <w:color w:val="000000"/>
      <w:sz w:val="21"/>
      <w:szCs w:val="18"/>
      <w:shd w:val="clear" w:color="auto" w:fill="FFFFFF"/>
      <w:lang w:val="zh-TW" w:eastAsia="zh-CN" w:bidi="ar-SA"/>
    </w:rPr>
  </w:style>
  <w:style w:type="paragraph" w:styleId="15">
    <w:name w:val="annotation text"/>
    <w:basedOn w:val="1"/>
    <w:link w:val="49"/>
    <w:semiHidden/>
    <w:qFormat/>
    <w:uiPriority w:val="99"/>
    <w:pPr>
      <w:jc w:val="left"/>
    </w:pPr>
    <w:rPr>
      <w:kern w:val="0"/>
      <w:sz w:val="24"/>
      <w:szCs w:val="20"/>
    </w:rPr>
  </w:style>
  <w:style w:type="paragraph" w:styleId="16">
    <w:name w:val="Body Text"/>
    <w:basedOn w:val="1"/>
    <w:next w:val="17"/>
    <w:link w:val="50"/>
    <w:qFormat/>
    <w:uiPriority w:val="0"/>
    <w:pPr>
      <w:widowControl/>
      <w:snapToGrid w:val="0"/>
      <w:spacing w:before="60" w:after="160" w:line="259" w:lineRule="auto"/>
      <w:ind w:right="113"/>
    </w:pPr>
    <w:rPr>
      <w:kern w:val="0"/>
      <w:sz w:val="18"/>
      <w:szCs w:val="20"/>
    </w:rPr>
  </w:style>
  <w:style w:type="paragraph" w:styleId="17">
    <w:name w:val="Body Text First Indent"/>
    <w:basedOn w:val="16"/>
    <w:next w:val="1"/>
    <w:link w:val="128"/>
    <w:qFormat/>
    <w:locked/>
    <w:uiPriority w:val="0"/>
    <w:pPr>
      <w:widowControl w:val="0"/>
      <w:snapToGrid/>
      <w:spacing w:before="0" w:after="120" w:line="240" w:lineRule="auto"/>
      <w:ind w:right="0" w:firstLine="420" w:firstLineChars="100"/>
    </w:pPr>
    <w:rPr>
      <w:kern w:val="2"/>
      <w:sz w:val="21"/>
      <w:szCs w:val="24"/>
    </w:rPr>
  </w:style>
  <w:style w:type="paragraph" w:styleId="18">
    <w:name w:val="Body Text Indent"/>
    <w:basedOn w:val="1"/>
    <w:next w:val="19"/>
    <w:link w:val="51"/>
    <w:qFormat/>
    <w:uiPriority w:val="0"/>
    <w:pPr>
      <w:spacing w:after="120"/>
      <w:ind w:left="420" w:leftChars="200"/>
    </w:pPr>
    <w:rPr>
      <w:kern w:val="0"/>
      <w:sz w:val="24"/>
      <w:szCs w:val="20"/>
    </w:rPr>
  </w:style>
  <w:style w:type="paragraph" w:styleId="19">
    <w:name w:val="List"/>
    <w:basedOn w:val="1"/>
    <w:qFormat/>
    <w:locked/>
    <w:uiPriority w:val="0"/>
    <w:pPr>
      <w:ind w:left="200" w:hanging="200" w:hangingChars="200"/>
    </w:pPr>
  </w:style>
  <w:style w:type="paragraph" w:styleId="20">
    <w:name w:val="Block Text"/>
    <w:basedOn w:val="1"/>
    <w:qFormat/>
    <w:locked/>
    <w:uiPriority w:val="0"/>
    <w:pPr>
      <w:spacing w:line="360" w:lineRule="exact"/>
      <w:ind w:left="-57" w:right="-57"/>
    </w:pPr>
    <w:rPr>
      <w:sz w:val="18"/>
      <w:szCs w:val="20"/>
    </w:rPr>
  </w:style>
  <w:style w:type="paragraph" w:styleId="21">
    <w:name w:val="List Bullet 2"/>
    <w:basedOn w:val="1"/>
    <w:qFormat/>
    <w:locked/>
    <w:uiPriority w:val="0"/>
    <w:pPr>
      <w:tabs>
        <w:tab w:val="left" w:pos="780"/>
      </w:tabs>
      <w:ind w:left="780" w:hanging="360"/>
    </w:pPr>
    <w:rPr>
      <w:sz w:val="24"/>
      <w:szCs w:val="20"/>
    </w:rPr>
  </w:style>
  <w:style w:type="paragraph" w:styleId="22">
    <w:name w:val="toc 5"/>
    <w:basedOn w:val="1"/>
    <w:next w:val="1"/>
    <w:qFormat/>
    <w:locked/>
    <w:uiPriority w:val="0"/>
    <w:pPr>
      <w:ind w:left="840"/>
      <w:jc w:val="left"/>
    </w:pPr>
    <w:rPr>
      <w:rFonts w:asciiTheme="minorHAnsi" w:eastAsiaTheme="minorHAnsi"/>
      <w:sz w:val="18"/>
      <w:szCs w:val="18"/>
    </w:rPr>
  </w:style>
  <w:style w:type="paragraph" w:styleId="23">
    <w:name w:val="toc 3"/>
    <w:basedOn w:val="1"/>
    <w:next w:val="1"/>
    <w:qFormat/>
    <w:locked/>
    <w:uiPriority w:val="39"/>
    <w:pPr>
      <w:ind w:left="420"/>
      <w:jc w:val="left"/>
    </w:pPr>
    <w:rPr>
      <w:rFonts w:asciiTheme="minorHAnsi" w:eastAsiaTheme="minorHAnsi"/>
      <w:i/>
      <w:iCs/>
      <w:sz w:val="20"/>
      <w:szCs w:val="20"/>
    </w:rPr>
  </w:style>
  <w:style w:type="paragraph" w:styleId="24">
    <w:name w:val="List Bullet 5"/>
    <w:basedOn w:val="1"/>
    <w:qFormat/>
    <w:locked/>
    <w:uiPriority w:val="0"/>
    <w:pPr>
      <w:numPr>
        <w:ilvl w:val="0"/>
        <w:numId w:val="1"/>
      </w:numPr>
    </w:pPr>
  </w:style>
  <w:style w:type="paragraph" w:styleId="25">
    <w:name w:val="toc 8"/>
    <w:basedOn w:val="1"/>
    <w:next w:val="1"/>
    <w:qFormat/>
    <w:locked/>
    <w:uiPriority w:val="0"/>
    <w:pPr>
      <w:ind w:left="1470"/>
      <w:jc w:val="left"/>
    </w:pPr>
    <w:rPr>
      <w:rFonts w:asciiTheme="minorHAnsi" w:eastAsiaTheme="minorHAnsi"/>
      <w:sz w:val="18"/>
      <w:szCs w:val="18"/>
    </w:rPr>
  </w:style>
  <w:style w:type="paragraph" w:styleId="26">
    <w:name w:val="Date"/>
    <w:basedOn w:val="1"/>
    <w:next w:val="1"/>
    <w:link w:val="52"/>
    <w:qFormat/>
    <w:uiPriority w:val="0"/>
    <w:pPr>
      <w:ind w:left="100" w:leftChars="2500"/>
    </w:pPr>
    <w:rPr>
      <w:kern w:val="0"/>
      <w:sz w:val="24"/>
      <w:szCs w:val="20"/>
    </w:rPr>
  </w:style>
  <w:style w:type="paragraph" w:styleId="27">
    <w:name w:val="Body Text Indent 2"/>
    <w:basedOn w:val="1"/>
    <w:link w:val="122"/>
    <w:qFormat/>
    <w:locked/>
    <w:uiPriority w:val="0"/>
    <w:pPr>
      <w:spacing w:after="120" w:line="480" w:lineRule="auto"/>
      <w:ind w:left="420" w:leftChars="200"/>
    </w:pPr>
  </w:style>
  <w:style w:type="paragraph" w:styleId="28">
    <w:name w:val="Balloon Text"/>
    <w:basedOn w:val="1"/>
    <w:link w:val="53"/>
    <w:semiHidden/>
    <w:qFormat/>
    <w:uiPriority w:val="0"/>
    <w:rPr>
      <w:kern w:val="0"/>
      <w:sz w:val="18"/>
      <w:szCs w:val="20"/>
    </w:rPr>
  </w:style>
  <w:style w:type="paragraph" w:styleId="29">
    <w:name w:val="footer"/>
    <w:basedOn w:val="1"/>
    <w:link w:val="54"/>
    <w:qFormat/>
    <w:uiPriority w:val="99"/>
    <w:pPr>
      <w:tabs>
        <w:tab w:val="center" w:pos="4153"/>
        <w:tab w:val="right" w:pos="8306"/>
      </w:tabs>
      <w:snapToGrid w:val="0"/>
      <w:jc w:val="left"/>
    </w:pPr>
    <w:rPr>
      <w:kern w:val="0"/>
      <w:sz w:val="18"/>
      <w:szCs w:val="20"/>
    </w:rPr>
  </w:style>
  <w:style w:type="paragraph" w:styleId="30">
    <w:name w:val="header"/>
    <w:basedOn w:val="1"/>
    <w:link w:val="55"/>
    <w:qFormat/>
    <w:uiPriority w:val="0"/>
    <w:pPr>
      <w:pBdr>
        <w:bottom w:val="single" w:color="auto" w:sz="6" w:space="1"/>
      </w:pBdr>
      <w:tabs>
        <w:tab w:val="center" w:pos="4153"/>
        <w:tab w:val="right" w:pos="8306"/>
      </w:tabs>
      <w:snapToGrid w:val="0"/>
      <w:jc w:val="center"/>
    </w:pPr>
    <w:rPr>
      <w:kern w:val="0"/>
      <w:sz w:val="18"/>
      <w:szCs w:val="20"/>
    </w:rPr>
  </w:style>
  <w:style w:type="paragraph" w:styleId="31">
    <w:name w:val="toc 1"/>
    <w:basedOn w:val="1"/>
    <w:next w:val="1"/>
    <w:qFormat/>
    <w:locked/>
    <w:uiPriority w:val="39"/>
    <w:pPr>
      <w:spacing w:before="120" w:after="120"/>
      <w:jc w:val="left"/>
    </w:pPr>
    <w:rPr>
      <w:rFonts w:asciiTheme="minorHAnsi" w:eastAsiaTheme="minorHAnsi"/>
      <w:b/>
      <w:bCs/>
      <w:caps/>
      <w:sz w:val="20"/>
      <w:szCs w:val="20"/>
    </w:rPr>
  </w:style>
  <w:style w:type="paragraph" w:styleId="32">
    <w:name w:val="toc 4"/>
    <w:basedOn w:val="1"/>
    <w:next w:val="1"/>
    <w:qFormat/>
    <w:locked/>
    <w:uiPriority w:val="0"/>
    <w:pPr>
      <w:ind w:left="630"/>
      <w:jc w:val="left"/>
    </w:pPr>
    <w:rPr>
      <w:rFonts w:asciiTheme="minorHAnsi" w:eastAsiaTheme="minorHAnsi"/>
      <w:sz w:val="18"/>
      <w:szCs w:val="18"/>
    </w:rPr>
  </w:style>
  <w:style w:type="paragraph" w:styleId="33">
    <w:name w:val="toc 6"/>
    <w:basedOn w:val="1"/>
    <w:next w:val="1"/>
    <w:qFormat/>
    <w:locked/>
    <w:uiPriority w:val="0"/>
    <w:pPr>
      <w:ind w:left="1050"/>
      <w:jc w:val="left"/>
    </w:pPr>
    <w:rPr>
      <w:rFonts w:asciiTheme="minorHAnsi" w:eastAsiaTheme="minorHAnsi"/>
      <w:sz w:val="18"/>
      <w:szCs w:val="18"/>
    </w:rPr>
  </w:style>
  <w:style w:type="paragraph" w:styleId="34">
    <w:name w:val="table of figures"/>
    <w:basedOn w:val="1"/>
    <w:next w:val="1"/>
    <w:qFormat/>
    <w:locked/>
    <w:uiPriority w:val="99"/>
    <w:pPr>
      <w:ind w:left="200" w:leftChars="200" w:hanging="200" w:hangingChars="200"/>
    </w:pPr>
    <w:rPr>
      <w:rFonts w:ascii="仿宋_GB2312" w:hAnsi="仿宋_GB2312" w:cs="仿宋_GB2312"/>
    </w:rPr>
  </w:style>
  <w:style w:type="paragraph" w:styleId="35">
    <w:name w:val="toc 2"/>
    <w:basedOn w:val="1"/>
    <w:next w:val="1"/>
    <w:qFormat/>
    <w:locked/>
    <w:uiPriority w:val="0"/>
    <w:pPr>
      <w:ind w:left="210"/>
      <w:jc w:val="left"/>
    </w:pPr>
    <w:rPr>
      <w:rFonts w:asciiTheme="minorHAnsi" w:eastAsiaTheme="minorHAnsi"/>
      <w:smallCaps/>
      <w:sz w:val="20"/>
      <w:szCs w:val="20"/>
    </w:rPr>
  </w:style>
  <w:style w:type="paragraph" w:styleId="36">
    <w:name w:val="toc 9"/>
    <w:basedOn w:val="1"/>
    <w:next w:val="1"/>
    <w:qFormat/>
    <w:locked/>
    <w:uiPriority w:val="0"/>
    <w:pPr>
      <w:ind w:left="1680"/>
      <w:jc w:val="left"/>
    </w:pPr>
    <w:rPr>
      <w:rFonts w:asciiTheme="minorHAnsi" w:eastAsiaTheme="minorHAnsi"/>
      <w:sz w:val="18"/>
      <w:szCs w:val="18"/>
    </w:rPr>
  </w:style>
  <w:style w:type="paragraph" w:styleId="37">
    <w:name w:val="Normal (Web)"/>
    <w:basedOn w:val="1"/>
    <w:link w:val="56"/>
    <w:qFormat/>
    <w:uiPriority w:val="0"/>
    <w:pPr>
      <w:widowControl/>
      <w:spacing w:before="100" w:beforeAutospacing="1" w:after="100" w:afterAutospacing="1"/>
      <w:jc w:val="left"/>
    </w:pPr>
    <w:rPr>
      <w:rFonts w:ascii="宋体" w:hAnsi="宋体"/>
      <w:kern w:val="0"/>
      <w:sz w:val="24"/>
      <w:szCs w:val="20"/>
    </w:rPr>
  </w:style>
  <w:style w:type="paragraph" w:styleId="38">
    <w:name w:val="Title"/>
    <w:basedOn w:val="1"/>
    <w:next w:val="1"/>
    <w:link w:val="75"/>
    <w:qFormat/>
    <w:locked/>
    <w:uiPriority w:val="10"/>
    <w:pPr>
      <w:spacing w:before="240" w:after="60"/>
      <w:jc w:val="center"/>
      <w:outlineLvl w:val="0"/>
    </w:pPr>
    <w:rPr>
      <w:rFonts w:ascii="等线 Light" w:hAnsi="等线 Light"/>
      <w:b/>
      <w:bCs/>
      <w:sz w:val="32"/>
      <w:szCs w:val="32"/>
    </w:rPr>
  </w:style>
  <w:style w:type="paragraph" w:styleId="39">
    <w:name w:val="annotation subject"/>
    <w:basedOn w:val="15"/>
    <w:next w:val="15"/>
    <w:link w:val="57"/>
    <w:semiHidden/>
    <w:qFormat/>
    <w:uiPriority w:val="0"/>
    <w:rPr>
      <w:b/>
    </w:rPr>
  </w:style>
  <w:style w:type="paragraph" w:styleId="40">
    <w:name w:val="Body Text First Indent 2"/>
    <w:basedOn w:val="18"/>
    <w:qFormat/>
    <w:locked/>
    <w:uiPriority w:val="0"/>
    <w:pPr>
      <w:ind w:firstLine="210" w:firstLineChars="200"/>
    </w:pPr>
  </w:style>
  <w:style w:type="table" w:styleId="42">
    <w:name w:val="Table Grid"/>
    <w:basedOn w:val="41"/>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4">
    <w:name w:val="Strong"/>
    <w:basedOn w:val="43"/>
    <w:qFormat/>
    <w:locked/>
    <w:uiPriority w:val="0"/>
    <w:rPr>
      <w:b/>
    </w:rPr>
  </w:style>
  <w:style w:type="character" w:styleId="45">
    <w:name w:val="page number"/>
    <w:qFormat/>
    <w:locked/>
    <w:uiPriority w:val="0"/>
  </w:style>
  <w:style w:type="character" w:styleId="46">
    <w:name w:val="FollowedHyperlink"/>
    <w:qFormat/>
    <w:locked/>
    <w:uiPriority w:val="0"/>
    <w:rPr>
      <w:color w:val="954F72"/>
      <w:u w:val="single"/>
    </w:rPr>
  </w:style>
  <w:style w:type="character" w:styleId="47">
    <w:name w:val="Hyperlink"/>
    <w:qFormat/>
    <w:locked/>
    <w:uiPriority w:val="99"/>
    <w:rPr>
      <w:color w:val="0563C1"/>
      <w:u w:val="single"/>
    </w:rPr>
  </w:style>
  <w:style w:type="character" w:styleId="48">
    <w:name w:val="annotation reference"/>
    <w:semiHidden/>
    <w:qFormat/>
    <w:uiPriority w:val="0"/>
    <w:rPr>
      <w:sz w:val="21"/>
    </w:rPr>
  </w:style>
  <w:style w:type="character" w:customStyle="1" w:styleId="49">
    <w:name w:val="批注文字 字符"/>
    <w:link w:val="15"/>
    <w:qFormat/>
    <w:locked/>
    <w:uiPriority w:val="99"/>
    <w:rPr>
      <w:rFonts w:ascii="Times New Roman" w:hAnsi="Times New Roman" w:eastAsia="宋体"/>
      <w:sz w:val="24"/>
    </w:rPr>
  </w:style>
  <w:style w:type="character" w:customStyle="1" w:styleId="50">
    <w:name w:val="正文文本 字符"/>
    <w:link w:val="16"/>
    <w:qFormat/>
    <w:locked/>
    <w:uiPriority w:val="0"/>
    <w:rPr>
      <w:sz w:val="18"/>
    </w:rPr>
  </w:style>
  <w:style w:type="character" w:customStyle="1" w:styleId="51">
    <w:name w:val="正文文本缩进 字符"/>
    <w:link w:val="18"/>
    <w:semiHidden/>
    <w:qFormat/>
    <w:locked/>
    <w:uiPriority w:val="0"/>
    <w:rPr>
      <w:rFonts w:ascii="Times New Roman" w:hAnsi="Times New Roman" w:eastAsia="宋体"/>
      <w:sz w:val="24"/>
    </w:rPr>
  </w:style>
  <w:style w:type="character" w:customStyle="1" w:styleId="52">
    <w:name w:val="日期 字符1"/>
    <w:link w:val="26"/>
    <w:qFormat/>
    <w:locked/>
    <w:uiPriority w:val="0"/>
    <w:rPr>
      <w:rFonts w:ascii="Times New Roman" w:hAnsi="Times New Roman" w:eastAsia="宋体"/>
      <w:sz w:val="24"/>
    </w:rPr>
  </w:style>
  <w:style w:type="character" w:customStyle="1" w:styleId="53">
    <w:name w:val="批注框文本 字符"/>
    <w:link w:val="28"/>
    <w:semiHidden/>
    <w:qFormat/>
    <w:locked/>
    <w:uiPriority w:val="0"/>
    <w:rPr>
      <w:rFonts w:ascii="Times New Roman" w:hAnsi="Times New Roman" w:eastAsia="宋体"/>
      <w:sz w:val="18"/>
    </w:rPr>
  </w:style>
  <w:style w:type="character" w:customStyle="1" w:styleId="54">
    <w:name w:val="页脚 字符1"/>
    <w:link w:val="29"/>
    <w:qFormat/>
    <w:locked/>
    <w:uiPriority w:val="99"/>
    <w:rPr>
      <w:sz w:val="18"/>
    </w:rPr>
  </w:style>
  <w:style w:type="character" w:customStyle="1" w:styleId="55">
    <w:name w:val="页眉 字符"/>
    <w:link w:val="30"/>
    <w:qFormat/>
    <w:locked/>
    <w:uiPriority w:val="0"/>
    <w:rPr>
      <w:sz w:val="18"/>
    </w:rPr>
  </w:style>
  <w:style w:type="character" w:customStyle="1" w:styleId="56">
    <w:name w:val="普通(网站) 字符"/>
    <w:link w:val="37"/>
    <w:qFormat/>
    <w:locked/>
    <w:uiPriority w:val="0"/>
    <w:rPr>
      <w:rFonts w:ascii="宋体" w:hAnsi="宋体" w:eastAsia="宋体"/>
      <w:sz w:val="24"/>
    </w:rPr>
  </w:style>
  <w:style w:type="character" w:customStyle="1" w:styleId="57">
    <w:name w:val="批注主题 字符"/>
    <w:link w:val="39"/>
    <w:semiHidden/>
    <w:qFormat/>
    <w:locked/>
    <w:uiPriority w:val="0"/>
    <w:rPr>
      <w:rFonts w:ascii="Times New Roman" w:hAnsi="Times New Roman" w:eastAsia="宋体"/>
      <w:b/>
      <w:kern w:val="2"/>
      <w:sz w:val="24"/>
    </w:rPr>
  </w:style>
  <w:style w:type="character" w:customStyle="1" w:styleId="58">
    <w:name w:val="页脚 字符"/>
    <w:qFormat/>
    <w:uiPriority w:val="99"/>
  </w:style>
  <w:style w:type="character" w:customStyle="1" w:styleId="59">
    <w:name w:val="正文文本 字符1"/>
    <w:semiHidden/>
    <w:qFormat/>
    <w:uiPriority w:val="0"/>
    <w:rPr>
      <w:rFonts w:ascii="Times New Roman" w:hAnsi="Times New Roman" w:eastAsia="宋体"/>
      <w:sz w:val="24"/>
    </w:rPr>
  </w:style>
  <w:style w:type="character" w:customStyle="1" w:styleId="60">
    <w:name w:val="表格 Char"/>
    <w:link w:val="61"/>
    <w:qFormat/>
    <w:locked/>
    <w:uiPriority w:val="0"/>
    <w:rPr>
      <w:rFonts w:ascii="宋体"/>
      <w:sz w:val="21"/>
    </w:rPr>
  </w:style>
  <w:style w:type="paragraph" w:customStyle="1" w:styleId="61">
    <w:name w:val="表格"/>
    <w:basedOn w:val="1"/>
    <w:next w:val="1"/>
    <w:link w:val="60"/>
    <w:qFormat/>
    <w:uiPriority w:val="0"/>
    <w:pPr>
      <w:adjustRightInd w:val="0"/>
      <w:snapToGrid w:val="0"/>
      <w:spacing w:beforeLines="10" w:afterLines="10" w:line="259" w:lineRule="auto"/>
      <w:jc w:val="center"/>
    </w:pPr>
    <w:rPr>
      <w:rFonts w:ascii="宋体"/>
      <w:kern w:val="0"/>
      <w:szCs w:val="20"/>
    </w:rPr>
  </w:style>
  <w:style w:type="character" w:customStyle="1" w:styleId="62">
    <w:name w:val="日期 字符"/>
    <w:semiHidden/>
    <w:qFormat/>
    <w:uiPriority w:val="0"/>
    <w:rPr>
      <w:rFonts w:ascii="Times New Roman" w:hAnsi="Times New Roman" w:eastAsia="宋体"/>
      <w:sz w:val="24"/>
    </w:rPr>
  </w:style>
  <w:style w:type="character" w:customStyle="1" w:styleId="63">
    <w:name w:val="批注文字 字符1"/>
    <w:semiHidden/>
    <w:qFormat/>
    <w:uiPriority w:val="0"/>
    <w:rPr>
      <w:rFonts w:ascii="Times New Roman" w:hAnsi="Times New Roman" w:eastAsia="宋体"/>
      <w:sz w:val="24"/>
    </w:rPr>
  </w:style>
  <w:style w:type="paragraph" w:customStyle="1" w:styleId="64">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5">
    <w:name w:val="普通(网站)2"/>
    <w:basedOn w:val="1"/>
    <w:qFormat/>
    <w:uiPriority w:val="0"/>
    <w:pPr>
      <w:widowControl/>
      <w:spacing w:before="100" w:beforeAutospacing="1" w:after="100" w:afterAutospacing="1"/>
      <w:jc w:val="left"/>
    </w:pPr>
    <w:rPr>
      <w:rFonts w:ascii="宋体" w:hAnsi="宋体"/>
      <w:sz w:val="24"/>
      <w:szCs w:val="20"/>
    </w:rPr>
  </w:style>
  <w:style w:type="paragraph" w:customStyle="1" w:styleId="66">
    <w:name w:val="报告正文"/>
    <w:basedOn w:val="1"/>
    <w:link w:val="67"/>
    <w:qFormat/>
    <w:uiPriority w:val="0"/>
    <w:pPr>
      <w:autoSpaceDE w:val="0"/>
      <w:autoSpaceDN w:val="0"/>
      <w:adjustRightInd w:val="0"/>
      <w:snapToGrid w:val="0"/>
      <w:spacing w:line="560" w:lineRule="exact"/>
      <w:ind w:firstLine="480" w:firstLineChars="200"/>
    </w:pPr>
    <w:rPr>
      <w:color w:val="000000"/>
      <w:kern w:val="0"/>
      <w:sz w:val="24"/>
    </w:rPr>
  </w:style>
  <w:style w:type="character" w:customStyle="1" w:styleId="67">
    <w:name w:val="报告正文 字符"/>
    <w:link w:val="66"/>
    <w:qFormat/>
    <w:uiPriority w:val="0"/>
    <w:rPr>
      <w:color w:val="000000"/>
      <w:sz w:val="24"/>
      <w:szCs w:val="24"/>
    </w:rPr>
  </w:style>
  <w:style w:type="paragraph" w:customStyle="1" w:styleId="68">
    <w:name w:val="表头"/>
    <w:basedOn w:val="1"/>
    <w:link w:val="69"/>
    <w:qFormat/>
    <w:uiPriority w:val="0"/>
    <w:pPr>
      <w:autoSpaceDE w:val="0"/>
      <w:autoSpaceDN w:val="0"/>
      <w:adjustRightInd w:val="0"/>
      <w:snapToGrid w:val="0"/>
      <w:spacing w:line="360" w:lineRule="exact"/>
      <w:jc w:val="center"/>
    </w:pPr>
    <w:rPr>
      <w:rFonts w:eastAsia="黑体"/>
      <w:color w:val="000000"/>
      <w:szCs w:val="21"/>
    </w:rPr>
  </w:style>
  <w:style w:type="character" w:customStyle="1" w:styleId="69">
    <w:name w:val="表头 字符"/>
    <w:link w:val="68"/>
    <w:qFormat/>
    <w:uiPriority w:val="0"/>
    <w:rPr>
      <w:rFonts w:eastAsia="黑体"/>
      <w:color w:val="000000"/>
      <w:kern w:val="2"/>
      <w:sz w:val="21"/>
      <w:szCs w:val="21"/>
    </w:rPr>
  </w:style>
  <w:style w:type="paragraph" w:customStyle="1" w:styleId="70">
    <w:name w:val="报告表格"/>
    <w:basedOn w:val="1"/>
    <w:link w:val="71"/>
    <w:qFormat/>
    <w:uiPriority w:val="0"/>
    <w:pPr>
      <w:autoSpaceDE w:val="0"/>
      <w:autoSpaceDN w:val="0"/>
      <w:adjustRightInd w:val="0"/>
      <w:snapToGrid w:val="0"/>
      <w:spacing w:line="360" w:lineRule="exact"/>
      <w:jc w:val="center"/>
    </w:pPr>
    <w:rPr>
      <w:color w:val="000000"/>
      <w:kern w:val="0"/>
      <w:sz w:val="18"/>
      <w:szCs w:val="18"/>
    </w:rPr>
  </w:style>
  <w:style w:type="character" w:customStyle="1" w:styleId="71">
    <w:name w:val="报告表格 字符"/>
    <w:link w:val="70"/>
    <w:qFormat/>
    <w:uiPriority w:val="0"/>
    <w:rPr>
      <w:color w:val="000000"/>
      <w:sz w:val="18"/>
      <w:szCs w:val="18"/>
    </w:rPr>
  </w:style>
  <w:style w:type="paragraph" w:customStyle="1" w:styleId="72">
    <w:name w:val="标准正文"/>
    <w:qFormat/>
    <w:uiPriority w:val="0"/>
    <w:pPr>
      <w:keepNext/>
      <w:keepLines/>
      <w:snapToGrid w:val="0"/>
      <w:spacing w:before="156" w:beforeLines="50" w:after="156" w:afterLines="50" w:line="360" w:lineRule="auto"/>
      <w:ind w:firstLine="200" w:firstLineChars="200"/>
      <w:jc w:val="both"/>
    </w:pPr>
    <w:rPr>
      <w:rFonts w:ascii="Calibri" w:hAnsi="Calibri" w:eastAsia="宋体" w:cs="Times New Roman"/>
      <w:sz w:val="24"/>
      <w:szCs w:val="24"/>
      <w:lang w:val="en-US" w:eastAsia="zh-CN" w:bidi="ar-SA"/>
    </w:rPr>
  </w:style>
  <w:style w:type="paragraph" w:customStyle="1" w:styleId="73">
    <w:name w:val="头"/>
    <w:basedOn w:val="66"/>
    <w:link w:val="74"/>
    <w:qFormat/>
    <w:uiPriority w:val="0"/>
    <w:pPr>
      <w:ind w:firstLine="0" w:firstLineChars="0"/>
    </w:pPr>
    <w:rPr>
      <w:b/>
      <w:bCs/>
    </w:rPr>
  </w:style>
  <w:style w:type="character" w:customStyle="1" w:styleId="74">
    <w:name w:val="头 字符"/>
    <w:link w:val="73"/>
    <w:qFormat/>
    <w:uiPriority w:val="0"/>
    <w:rPr>
      <w:b/>
      <w:bCs/>
      <w:color w:val="000000"/>
      <w:sz w:val="24"/>
      <w:szCs w:val="24"/>
    </w:rPr>
  </w:style>
  <w:style w:type="character" w:customStyle="1" w:styleId="75">
    <w:name w:val="标题 字符"/>
    <w:link w:val="38"/>
    <w:qFormat/>
    <w:uiPriority w:val="10"/>
    <w:rPr>
      <w:rFonts w:ascii="等线 Light" w:hAnsi="等线 Light" w:cs="Times New Roman"/>
      <w:b/>
      <w:bCs/>
      <w:kern w:val="2"/>
      <w:sz w:val="32"/>
      <w:szCs w:val="32"/>
    </w:rPr>
  </w:style>
  <w:style w:type="paragraph" w:customStyle="1" w:styleId="76">
    <w:name w:val="表中文字"/>
    <w:basedOn w:val="1"/>
    <w:next w:val="1"/>
    <w:qFormat/>
    <w:uiPriority w:val="0"/>
    <w:pPr>
      <w:spacing w:line="280" w:lineRule="exact"/>
      <w:jc w:val="center"/>
    </w:pPr>
    <w:rPr>
      <w:sz w:val="18"/>
      <w:szCs w:val="18"/>
    </w:rPr>
  </w:style>
  <w:style w:type="paragraph" w:customStyle="1" w:styleId="77">
    <w:name w:val="样式 表文字+居中 + 首行缩进:  0.74 厘米"/>
    <w:basedOn w:val="1"/>
    <w:semiHidden/>
    <w:qFormat/>
    <w:uiPriority w:val="0"/>
    <w:pPr>
      <w:adjustRightInd w:val="0"/>
      <w:snapToGrid w:val="0"/>
      <w:jc w:val="center"/>
    </w:pPr>
    <w:rPr>
      <w:rFonts w:cs="宋体"/>
      <w:color w:val="000000"/>
      <w:kern w:val="0"/>
      <w:szCs w:val="20"/>
    </w:rPr>
  </w:style>
  <w:style w:type="paragraph" w:customStyle="1" w:styleId="78">
    <w:name w:val="图片"/>
    <w:basedOn w:val="66"/>
    <w:link w:val="79"/>
    <w:qFormat/>
    <w:uiPriority w:val="0"/>
    <w:pPr>
      <w:spacing w:line="360" w:lineRule="auto"/>
      <w:ind w:firstLine="0" w:firstLineChars="0"/>
      <w:jc w:val="center"/>
    </w:pPr>
  </w:style>
  <w:style w:type="character" w:customStyle="1" w:styleId="79">
    <w:name w:val="图片 字符"/>
    <w:basedOn w:val="67"/>
    <w:link w:val="78"/>
    <w:qFormat/>
    <w:uiPriority w:val="0"/>
    <w:rPr>
      <w:color w:val="000000"/>
      <w:sz w:val="24"/>
      <w:szCs w:val="24"/>
    </w:rPr>
  </w:style>
  <w:style w:type="paragraph" w:customStyle="1" w:styleId="80">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81">
    <w:name w:val="font0"/>
    <w:basedOn w:val="1"/>
    <w:qFormat/>
    <w:uiPriority w:val="0"/>
    <w:pPr>
      <w:widowControl/>
      <w:spacing w:before="100" w:beforeAutospacing="1" w:after="100" w:afterAutospacing="1"/>
      <w:jc w:val="left"/>
    </w:pPr>
    <w:rPr>
      <w:rFonts w:ascii="宋体" w:hAnsi="宋体" w:cs="宋体"/>
      <w:color w:val="000000"/>
      <w:kern w:val="0"/>
      <w:sz w:val="24"/>
    </w:rPr>
  </w:style>
  <w:style w:type="paragraph" w:customStyle="1" w:styleId="82">
    <w:name w:val="font1"/>
    <w:basedOn w:val="1"/>
    <w:qFormat/>
    <w:uiPriority w:val="0"/>
    <w:pPr>
      <w:widowControl/>
      <w:spacing w:before="100" w:beforeAutospacing="1" w:after="100" w:afterAutospacing="1"/>
      <w:jc w:val="left"/>
    </w:pPr>
    <w:rPr>
      <w:rFonts w:ascii="宋体" w:hAnsi="宋体" w:cs="宋体"/>
      <w:color w:val="0000FF"/>
      <w:kern w:val="0"/>
      <w:sz w:val="18"/>
      <w:szCs w:val="18"/>
    </w:rPr>
  </w:style>
  <w:style w:type="paragraph" w:customStyle="1" w:styleId="83">
    <w:name w:val="font2"/>
    <w:basedOn w:val="1"/>
    <w:qFormat/>
    <w:uiPriority w:val="0"/>
    <w:pPr>
      <w:widowControl/>
      <w:spacing w:before="100" w:beforeAutospacing="1" w:after="100" w:afterAutospacing="1"/>
      <w:jc w:val="left"/>
    </w:pPr>
    <w:rPr>
      <w:color w:val="000000"/>
      <w:kern w:val="0"/>
      <w:sz w:val="18"/>
      <w:szCs w:val="18"/>
    </w:rPr>
  </w:style>
  <w:style w:type="paragraph" w:customStyle="1" w:styleId="84">
    <w:name w:val="font3"/>
    <w:basedOn w:val="1"/>
    <w:qFormat/>
    <w:uiPriority w:val="0"/>
    <w:pPr>
      <w:widowControl/>
      <w:spacing w:before="100" w:beforeAutospacing="1" w:after="100" w:afterAutospacing="1"/>
      <w:jc w:val="left"/>
    </w:pPr>
    <w:rPr>
      <w:color w:val="0000FF"/>
      <w:kern w:val="0"/>
      <w:sz w:val="18"/>
      <w:szCs w:val="18"/>
    </w:rPr>
  </w:style>
  <w:style w:type="paragraph" w:customStyle="1" w:styleId="85">
    <w:name w:val="font4"/>
    <w:basedOn w:val="1"/>
    <w:qFormat/>
    <w:uiPriority w:val="0"/>
    <w:pPr>
      <w:widowControl/>
      <w:spacing w:before="100" w:beforeAutospacing="1" w:after="100" w:afterAutospacing="1"/>
      <w:jc w:val="left"/>
    </w:pPr>
    <w:rPr>
      <w:rFonts w:ascii="Arial" w:hAnsi="Arial" w:cs="Arial"/>
      <w:color w:val="0000FF"/>
      <w:kern w:val="0"/>
      <w:sz w:val="18"/>
      <w:szCs w:val="18"/>
    </w:rPr>
  </w:style>
  <w:style w:type="paragraph" w:customStyle="1" w:styleId="86">
    <w:name w:val="font5"/>
    <w:basedOn w:val="1"/>
    <w:qFormat/>
    <w:uiPriority w:val="0"/>
    <w:pPr>
      <w:widowControl/>
      <w:spacing w:before="100" w:beforeAutospacing="1" w:after="100" w:afterAutospacing="1"/>
      <w:jc w:val="left"/>
    </w:pPr>
    <w:rPr>
      <w:rFonts w:ascii="Arial" w:hAnsi="Arial" w:cs="Arial"/>
      <w:color w:val="0000FF"/>
      <w:kern w:val="0"/>
      <w:sz w:val="18"/>
      <w:szCs w:val="18"/>
    </w:rPr>
  </w:style>
  <w:style w:type="paragraph" w:customStyle="1" w:styleId="87">
    <w:name w:val="font6"/>
    <w:basedOn w:val="1"/>
    <w:qFormat/>
    <w:uiPriority w:val="0"/>
    <w:pPr>
      <w:widowControl/>
      <w:spacing w:before="100" w:beforeAutospacing="1" w:after="100" w:afterAutospacing="1"/>
      <w:jc w:val="left"/>
    </w:pPr>
    <w:rPr>
      <w:color w:val="0000FF"/>
      <w:kern w:val="0"/>
      <w:sz w:val="18"/>
      <w:szCs w:val="18"/>
    </w:rPr>
  </w:style>
  <w:style w:type="paragraph" w:customStyle="1" w:styleId="88">
    <w:name w:val="font7"/>
    <w:basedOn w:val="1"/>
    <w:qFormat/>
    <w:uiPriority w:val="0"/>
    <w:pPr>
      <w:widowControl/>
      <w:spacing w:before="100" w:beforeAutospacing="1" w:after="100" w:afterAutospacing="1"/>
      <w:jc w:val="left"/>
    </w:pPr>
    <w:rPr>
      <w:rFonts w:ascii="宋体" w:hAnsi="宋体" w:cs="宋体"/>
      <w:color w:val="000000"/>
      <w:kern w:val="0"/>
      <w:sz w:val="18"/>
      <w:szCs w:val="18"/>
    </w:rPr>
  </w:style>
  <w:style w:type="paragraph" w:customStyle="1" w:styleId="89">
    <w:name w:val="font8"/>
    <w:basedOn w:val="1"/>
    <w:qFormat/>
    <w:uiPriority w:val="0"/>
    <w:pPr>
      <w:widowControl/>
      <w:spacing w:before="100" w:beforeAutospacing="1" w:after="100" w:afterAutospacing="1"/>
      <w:jc w:val="left"/>
    </w:pPr>
    <w:rPr>
      <w:color w:val="0000FF"/>
      <w:kern w:val="0"/>
      <w:sz w:val="18"/>
      <w:szCs w:val="18"/>
      <w:vertAlign w:val="superscript"/>
    </w:rPr>
  </w:style>
  <w:style w:type="paragraph" w:customStyle="1" w:styleId="90">
    <w:name w:val="font9"/>
    <w:basedOn w:val="1"/>
    <w:qFormat/>
    <w:uiPriority w:val="0"/>
    <w:pPr>
      <w:widowControl/>
      <w:spacing w:before="100" w:beforeAutospacing="1" w:after="100" w:afterAutospacing="1"/>
      <w:jc w:val="left"/>
    </w:pPr>
    <w:rPr>
      <w:color w:val="0000FF"/>
      <w:kern w:val="0"/>
      <w:sz w:val="18"/>
      <w:szCs w:val="18"/>
      <w:vertAlign w:val="superscript"/>
    </w:rPr>
  </w:style>
  <w:style w:type="paragraph" w:customStyle="1" w:styleId="91">
    <w:name w:val="et2"/>
    <w:basedOn w:val="1"/>
    <w:qFormat/>
    <w:uiPriority w:val="0"/>
    <w:pPr>
      <w:widowControl/>
      <w:pBdr>
        <w:top w:val="single" w:color="000000" w:sz="8" w:space="0"/>
        <w:bottom w:val="single" w:color="000000" w:sz="8" w:space="0"/>
        <w:right w:val="single" w:color="000000" w:sz="8" w:space="0"/>
      </w:pBdr>
      <w:spacing w:before="100" w:beforeAutospacing="1" w:after="100" w:afterAutospacing="1"/>
      <w:jc w:val="center"/>
    </w:pPr>
    <w:rPr>
      <w:rFonts w:ascii="宋体" w:hAnsi="宋体" w:cs="宋体"/>
      <w:color w:val="0000FF"/>
      <w:kern w:val="0"/>
      <w:sz w:val="18"/>
      <w:szCs w:val="18"/>
    </w:rPr>
  </w:style>
  <w:style w:type="paragraph" w:customStyle="1" w:styleId="92">
    <w:name w:val="et3"/>
    <w:basedOn w:val="1"/>
    <w:qFormat/>
    <w:uiPriority w:val="0"/>
    <w:pPr>
      <w:widowControl/>
      <w:pBdr>
        <w:top w:val="single" w:color="000000" w:sz="8" w:space="0"/>
        <w:left w:val="single" w:color="000000" w:sz="8" w:space="0"/>
        <w:bottom w:val="single" w:color="000000" w:sz="8" w:space="0"/>
        <w:right w:val="single" w:color="000000" w:sz="8" w:space="0"/>
      </w:pBdr>
      <w:spacing w:before="100" w:beforeAutospacing="1" w:after="100" w:afterAutospacing="1"/>
      <w:jc w:val="center"/>
    </w:pPr>
    <w:rPr>
      <w:rFonts w:ascii="宋体" w:hAnsi="宋体" w:cs="宋体"/>
      <w:color w:val="0000FF"/>
      <w:kern w:val="0"/>
      <w:sz w:val="18"/>
      <w:szCs w:val="18"/>
    </w:rPr>
  </w:style>
  <w:style w:type="paragraph" w:customStyle="1" w:styleId="93">
    <w:name w:val="et4"/>
    <w:basedOn w:val="1"/>
    <w:qFormat/>
    <w:uiPriority w:val="0"/>
    <w:pPr>
      <w:widowControl/>
      <w:pBdr>
        <w:top w:val="single" w:color="000000" w:sz="8" w:space="0"/>
        <w:bottom w:val="single" w:color="000000" w:sz="8" w:space="0"/>
        <w:right w:val="single" w:color="000000" w:sz="8" w:space="0"/>
      </w:pBdr>
      <w:spacing w:before="100" w:beforeAutospacing="1" w:after="100" w:afterAutospacing="1"/>
      <w:jc w:val="center"/>
    </w:pPr>
    <w:rPr>
      <w:color w:val="000000"/>
      <w:kern w:val="0"/>
      <w:sz w:val="18"/>
      <w:szCs w:val="18"/>
    </w:rPr>
  </w:style>
  <w:style w:type="paragraph" w:customStyle="1" w:styleId="94">
    <w:name w:val="et6"/>
    <w:basedOn w:val="1"/>
    <w:qFormat/>
    <w:uiPriority w:val="0"/>
    <w:pPr>
      <w:widowControl/>
      <w:pBdr>
        <w:top w:val="single" w:color="000000" w:sz="8" w:space="0"/>
        <w:left w:val="single" w:color="000000" w:sz="8" w:space="0"/>
        <w:bottom w:val="single" w:color="000000" w:sz="8" w:space="0"/>
        <w:right w:val="single" w:color="000000" w:sz="8" w:space="0"/>
      </w:pBdr>
      <w:spacing w:before="100" w:beforeAutospacing="1" w:after="100" w:afterAutospacing="1"/>
      <w:jc w:val="center"/>
    </w:pPr>
    <w:rPr>
      <w:color w:val="0000FF"/>
      <w:kern w:val="0"/>
      <w:sz w:val="18"/>
      <w:szCs w:val="18"/>
    </w:rPr>
  </w:style>
  <w:style w:type="paragraph" w:customStyle="1" w:styleId="95">
    <w:name w:val="et8"/>
    <w:basedOn w:val="1"/>
    <w:qFormat/>
    <w:uiPriority w:val="0"/>
    <w:pPr>
      <w:widowControl/>
      <w:pBdr>
        <w:top w:val="single" w:color="000000" w:sz="8" w:space="0"/>
        <w:left w:val="single" w:color="000000" w:sz="8" w:space="0"/>
        <w:bottom w:val="single" w:color="000000" w:sz="8" w:space="0"/>
      </w:pBdr>
      <w:spacing w:before="100" w:beforeAutospacing="1" w:after="100" w:afterAutospacing="1"/>
      <w:jc w:val="center"/>
    </w:pPr>
    <w:rPr>
      <w:rFonts w:ascii="宋体" w:hAnsi="宋体" w:cs="宋体"/>
      <w:color w:val="0000FF"/>
      <w:kern w:val="0"/>
      <w:sz w:val="18"/>
      <w:szCs w:val="18"/>
    </w:rPr>
  </w:style>
  <w:style w:type="paragraph" w:customStyle="1" w:styleId="96">
    <w:name w:val="et9"/>
    <w:basedOn w:val="1"/>
    <w:qFormat/>
    <w:uiPriority w:val="0"/>
    <w:pPr>
      <w:widowControl/>
      <w:pBdr>
        <w:top w:val="single" w:color="000000" w:sz="8" w:space="0"/>
        <w:left w:val="single" w:color="000000" w:sz="8" w:space="0"/>
        <w:bottom w:val="single" w:color="000000" w:sz="8" w:space="0"/>
        <w:right w:val="single" w:color="000000" w:sz="8" w:space="0"/>
      </w:pBdr>
      <w:spacing w:before="100" w:beforeAutospacing="1" w:after="100" w:afterAutospacing="1"/>
    </w:pPr>
    <w:rPr>
      <w:color w:val="0000FF"/>
      <w:kern w:val="0"/>
      <w:sz w:val="18"/>
      <w:szCs w:val="18"/>
    </w:rPr>
  </w:style>
  <w:style w:type="paragraph" w:customStyle="1" w:styleId="97">
    <w:name w:val="et10"/>
    <w:basedOn w:val="1"/>
    <w:qFormat/>
    <w:uiPriority w:val="0"/>
    <w:pPr>
      <w:widowControl/>
      <w:pBdr>
        <w:top w:val="single" w:color="000000" w:sz="8" w:space="0"/>
        <w:left w:val="single" w:color="000000" w:sz="8" w:space="0"/>
        <w:bottom w:val="single" w:color="000000" w:sz="8" w:space="0"/>
      </w:pBdr>
      <w:spacing w:before="100" w:beforeAutospacing="1" w:after="100" w:afterAutospacing="1"/>
      <w:jc w:val="center"/>
    </w:pPr>
    <w:rPr>
      <w:color w:val="0000FF"/>
      <w:kern w:val="0"/>
      <w:sz w:val="18"/>
      <w:szCs w:val="18"/>
    </w:rPr>
  </w:style>
  <w:style w:type="paragraph" w:customStyle="1" w:styleId="98">
    <w:name w:val="et12"/>
    <w:basedOn w:val="1"/>
    <w:qFormat/>
    <w:uiPriority w:val="0"/>
    <w:pPr>
      <w:widowControl/>
      <w:pBdr>
        <w:top w:val="single" w:color="000000" w:sz="8" w:space="0"/>
        <w:left w:val="single" w:color="000000" w:sz="8" w:space="0"/>
        <w:bottom w:val="single" w:color="000000" w:sz="8" w:space="0"/>
        <w:right w:val="single" w:color="000000" w:sz="8" w:space="0"/>
      </w:pBdr>
      <w:spacing w:before="100" w:beforeAutospacing="1" w:after="100" w:afterAutospacing="1"/>
      <w:jc w:val="center"/>
    </w:pPr>
    <w:rPr>
      <w:rFonts w:ascii="Arial" w:hAnsi="Arial" w:cs="Arial"/>
      <w:color w:val="0000FF"/>
      <w:kern w:val="0"/>
      <w:sz w:val="18"/>
      <w:szCs w:val="18"/>
    </w:rPr>
  </w:style>
  <w:style w:type="paragraph" w:customStyle="1" w:styleId="99">
    <w:name w:val="et13"/>
    <w:basedOn w:val="1"/>
    <w:qFormat/>
    <w:uiPriority w:val="0"/>
    <w:pPr>
      <w:widowControl/>
      <w:pBdr>
        <w:top w:val="single" w:color="000000" w:sz="8" w:space="0"/>
        <w:left w:val="single" w:color="000000" w:sz="8" w:space="0"/>
        <w:bottom w:val="single" w:color="000000" w:sz="8" w:space="0"/>
        <w:right w:val="single" w:color="000000" w:sz="8" w:space="0"/>
      </w:pBdr>
      <w:spacing w:before="100" w:beforeAutospacing="1" w:after="100" w:afterAutospacing="1"/>
    </w:pPr>
    <w:rPr>
      <w:color w:val="0000FF"/>
      <w:kern w:val="0"/>
      <w:sz w:val="18"/>
      <w:szCs w:val="18"/>
    </w:rPr>
  </w:style>
  <w:style w:type="paragraph" w:customStyle="1" w:styleId="100">
    <w:name w:val="et14"/>
    <w:basedOn w:val="1"/>
    <w:qFormat/>
    <w:uiPriority w:val="0"/>
    <w:pPr>
      <w:widowControl/>
      <w:pBdr>
        <w:top w:val="single" w:color="000000" w:sz="8" w:space="0"/>
        <w:left w:val="single" w:color="000000" w:sz="8" w:space="0"/>
        <w:bottom w:val="single" w:color="000000" w:sz="8" w:space="0"/>
        <w:right w:val="single" w:color="000000" w:sz="8" w:space="0"/>
      </w:pBdr>
      <w:spacing w:before="100" w:beforeAutospacing="1" w:after="100" w:afterAutospacing="1"/>
      <w:jc w:val="center"/>
    </w:pPr>
    <w:rPr>
      <w:color w:val="0000FF"/>
      <w:kern w:val="0"/>
      <w:sz w:val="18"/>
      <w:szCs w:val="18"/>
    </w:rPr>
  </w:style>
  <w:style w:type="paragraph" w:customStyle="1" w:styleId="101">
    <w:name w:val="et15"/>
    <w:basedOn w:val="1"/>
    <w:qFormat/>
    <w:uiPriority w:val="0"/>
    <w:pPr>
      <w:widowControl/>
      <w:pBdr>
        <w:top w:val="single" w:color="000000" w:sz="8" w:space="0"/>
        <w:left w:val="single" w:color="000000" w:sz="8" w:space="0"/>
        <w:bottom w:val="single" w:color="000000" w:sz="8" w:space="0"/>
        <w:right w:val="single" w:color="000000" w:sz="8" w:space="0"/>
      </w:pBdr>
      <w:spacing w:before="100" w:beforeAutospacing="1" w:after="100" w:afterAutospacing="1"/>
      <w:jc w:val="center"/>
    </w:pPr>
    <w:rPr>
      <w:color w:val="0000FF"/>
      <w:kern w:val="0"/>
      <w:sz w:val="18"/>
      <w:szCs w:val="18"/>
    </w:rPr>
  </w:style>
  <w:style w:type="paragraph" w:customStyle="1" w:styleId="102">
    <w:name w:val="et16"/>
    <w:basedOn w:val="1"/>
    <w:qFormat/>
    <w:uiPriority w:val="0"/>
    <w:pPr>
      <w:widowControl/>
      <w:pBdr>
        <w:top w:val="single" w:color="000000" w:sz="8" w:space="0"/>
        <w:left w:val="single" w:color="000000" w:sz="8" w:space="0"/>
        <w:bottom w:val="single" w:color="000000" w:sz="8" w:space="0"/>
        <w:right w:val="single" w:color="000000" w:sz="8" w:space="0"/>
      </w:pBdr>
      <w:spacing w:before="100" w:beforeAutospacing="1" w:after="100" w:afterAutospacing="1"/>
    </w:pPr>
    <w:rPr>
      <w:color w:val="0000FF"/>
      <w:kern w:val="0"/>
      <w:sz w:val="18"/>
      <w:szCs w:val="18"/>
    </w:rPr>
  </w:style>
  <w:style w:type="paragraph" w:customStyle="1" w:styleId="103">
    <w:name w:val="et17"/>
    <w:basedOn w:val="1"/>
    <w:qFormat/>
    <w:uiPriority w:val="0"/>
    <w:pPr>
      <w:widowControl/>
      <w:pBdr>
        <w:top w:val="single" w:color="000000" w:sz="8" w:space="0"/>
        <w:left w:val="single" w:color="000000" w:sz="8" w:space="0"/>
        <w:bottom w:val="single" w:color="000000" w:sz="8" w:space="0"/>
        <w:right w:val="single" w:color="000000" w:sz="8" w:space="0"/>
      </w:pBdr>
      <w:spacing w:before="100" w:beforeAutospacing="1" w:after="100" w:afterAutospacing="1"/>
      <w:jc w:val="center"/>
    </w:pPr>
    <w:rPr>
      <w:color w:val="0000FF"/>
      <w:kern w:val="0"/>
      <w:sz w:val="18"/>
      <w:szCs w:val="18"/>
    </w:rPr>
  </w:style>
  <w:style w:type="paragraph" w:customStyle="1" w:styleId="104">
    <w:name w:val="et18"/>
    <w:basedOn w:val="1"/>
    <w:qFormat/>
    <w:uiPriority w:val="0"/>
    <w:pPr>
      <w:widowControl/>
      <w:pBdr>
        <w:top w:val="single" w:color="000000" w:sz="8" w:space="0"/>
        <w:left w:val="single" w:color="000000" w:sz="8" w:space="0"/>
        <w:bottom w:val="single" w:color="000000" w:sz="8" w:space="0"/>
        <w:right w:val="single" w:color="000000" w:sz="8" w:space="0"/>
      </w:pBdr>
      <w:spacing w:before="100" w:beforeAutospacing="1" w:after="100" w:afterAutospacing="1"/>
      <w:jc w:val="center"/>
    </w:pPr>
    <w:rPr>
      <w:rFonts w:ascii="Arial" w:hAnsi="Arial" w:cs="Arial"/>
      <w:color w:val="0000FF"/>
      <w:kern w:val="0"/>
      <w:sz w:val="18"/>
      <w:szCs w:val="18"/>
    </w:rPr>
  </w:style>
  <w:style w:type="paragraph" w:customStyle="1" w:styleId="105">
    <w:name w:val="et19"/>
    <w:basedOn w:val="1"/>
    <w:qFormat/>
    <w:uiPriority w:val="0"/>
    <w:pPr>
      <w:widowControl/>
      <w:pBdr>
        <w:top w:val="single" w:color="000000" w:sz="8" w:space="0"/>
        <w:left w:val="single" w:color="000000" w:sz="8" w:space="0"/>
        <w:bottom w:val="single" w:color="000000" w:sz="8" w:space="0"/>
        <w:right w:val="single" w:color="000000" w:sz="8" w:space="0"/>
      </w:pBdr>
      <w:spacing w:before="100" w:beforeAutospacing="1" w:after="100" w:afterAutospacing="1"/>
      <w:jc w:val="center"/>
    </w:pPr>
    <w:rPr>
      <w:color w:val="0000FF"/>
      <w:kern w:val="0"/>
      <w:sz w:val="18"/>
      <w:szCs w:val="18"/>
    </w:rPr>
  </w:style>
  <w:style w:type="paragraph" w:customStyle="1" w:styleId="106">
    <w:name w:val="et20"/>
    <w:basedOn w:val="1"/>
    <w:qFormat/>
    <w:uiPriority w:val="0"/>
    <w:pPr>
      <w:widowControl/>
      <w:pBdr>
        <w:top w:val="single" w:color="000000" w:sz="8" w:space="0"/>
        <w:bottom w:val="single" w:color="000000" w:sz="8" w:space="0"/>
        <w:right w:val="single" w:color="000000" w:sz="8" w:space="0"/>
      </w:pBdr>
      <w:spacing w:before="100" w:beforeAutospacing="1" w:after="100" w:afterAutospacing="1"/>
      <w:jc w:val="center"/>
    </w:pPr>
    <w:rPr>
      <w:color w:val="000000"/>
      <w:kern w:val="0"/>
      <w:sz w:val="18"/>
      <w:szCs w:val="18"/>
    </w:rPr>
  </w:style>
  <w:style w:type="paragraph" w:customStyle="1" w:styleId="107">
    <w:name w:val="et22"/>
    <w:basedOn w:val="1"/>
    <w:qFormat/>
    <w:uiPriority w:val="0"/>
    <w:pPr>
      <w:widowControl/>
      <w:pBdr>
        <w:top w:val="single" w:color="000000" w:sz="8" w:space="0"/>
        <w:left w:val="single" w:color="000000" w:sz="8" w:space="0"/>
        <w:bottom w:val="single" w:color="000000" w:sz="8" w:space="0"/>
      </w:pBdr>
      <w:spacing w:before="100" w:beforeAutospacing="1" w:after="100" w:afterAutospacing="1"/>
      <w:jc w:val="center"/>
    </w:pPr>
    <w:rPr>
      <w:color w:val="0000FF"/>
      <w:kern w:val="0"/>
      <w:sz w:val="18"/>
      <w:szCs w:val="18"/>
    </w:rPr>
  </w:style>
  <w:style w:type="character" w:customStyle="1" w:styleId="108">
    <w:name w:val="font11"/>
    <w:qFormat/>
    <w:uiPriority w:val="0"/>
    <w:rPr>
      <w:rFonts w:hint="eastAsia" w:ascii="宋体" w:hAnsi="宋体" w:eastAsia="宋体"/>
      <w:color w:val="0000FF"/>
      <w:sz w:val="18"/>
      <w:szCs w:val="18"/>
      <w:u w:val="none"/>
    </w:rPr>
  </w:style>
  <w:style w:type="character" w:customStyle="1" w:styleId="109">
    <w:name w:val="font31"/>
    <w:qFormat/>
    <w:uiPriority w:val="0"/>
    <w:rPr>
      <w:rFonts w:hint="default" w:ascii="Times New Roman" w:hAnsi="Times New Roman" w:cs="Times New Roman"/>
      <w:color w:val="0000FF"/>
      <w:sz w:val="18"/>
      <w:szCs w:val="18"/>
      <w:u w:val="none"/>
    </w:rPr>
  </w:style>
  <w:style w:type="character" w:customStyle="1" w:styleId="110">
    <w:name w:val="font71"/>
    <w:qFormat/>
    <w:uiPriority w:val="0"/>
    <w:rPr>
      <w:rFonts w:hint="eastAsia" w:ascii="宋体" w:hAnsi="宋体" w:eastAsia="宋体"/>
      <w:color w:val="000000"/>
      <w:sz w:val="18"/>
      <w:szCs w:val="18"/>
      <w:u w:val="none"/>
    </w:rPr>
  </w:style>
  <w:style w:type="character" w:customStyle="1" w:styleId="111">
    <w:name w:val="font21"/>
    <w:qFormat/>
    <w:uiPriority w:val="0"/>
    <w:rPr>
      <w:rFonts w:hint="default" w:ascii="Times New Roman" w:hAnsi="Times New Roman" w:cs="Times New Roman"/>
      <w:color w:val="000000"/>
      <w:sz w:val="18"/>
      <w:szCs w:val="18"/>
      <w:u w:val="none"/>
    </w:rPr>
  </w:style>
  <w:style w:type="character" w:customStyle="1" w:styleId="112">
    <w:name w:val="font81"/>
    <w:qFormat/>
    <w:uiPriority w:val="0"/>
    <w:rPr>
      <w:rFonts w:hint="default" w:ascii="Times New Roman" w:hAnsi="Times New Roman" w:cs="Times New Roman"/>
      <w:color w:val="0000FF"/>
      <w:sz w:val="18"/>
      <w:szCs w:val="18"/>
      <w:u w:val="none"/>
      <w:vertAlign w:val="superscript"/>
    </w:rPr>
  </w:style>
  <w:style w:type="character" w:customStyle="1" w:styleId="113">
    <w:name w:val="font41"/>
    <w:qFormat/>
    <w:uiPriority w:val="0"/>
    <w:rPr>
      <w:rFonts w:hint="default" w:ascii="Arial" w:hAnsi="Arial" w:cs="Arial"/>
      <w:color w:val="0000FF"/>
      <w:sz w:val="18"/>
      <w:szCs w:val="18"/>
      <w:u w:val="none"/>
    </w:rPr>
  </w:style>
  <w:style w:type="character" w:customStyle="1" w:styleId="114">
    <w:name w:val="font51"/>
    <w:qFormat/>
    <w:uiPriority w:val="0"/>
    <w:rPr>
      <w:rFonts w:hint="default" w:ascii="Arial" w:hAnsi="Arial" w:cs="Arial"/>
      <w:color w:val="0000FF"/>
      <w:sz w:val="18"/>
      <w:szCs w:val="18"/>
      <w:u w:val="none"/>
    </w:rPr>
  </w:style>
  <w:style w:type="character" w:customStyle="1" w:styleId="115">
    <w:name w:val="font91"/>
    <w:qFormat/>
    <w:uiPriority w:val="0"/>
    <w:rPr>
      <w:rFonts w:hint="default" w:ascii="Times New Roman" w:hAnsi="Times New Roman" w:cs="Times New Roman"/>
      <w:color w:val="0000FF"/>
      <w:sz w:val="18"/>
      <w:szCs w:val="18"/>
      <w:u w:val="none"/>
      <w:vertAlign w:val="superscript"/>
    </w:rPr>
  </w:style>
  <w:style w:type="paragraph" w:customStyle="1" w:styleId="116">
    <w:name w:val="Char Char Char"/>
    <w:basedOn w:val="1"/>
    <w:qFormat/>
    <w:uiPriority w:val="0"/>
    <w:rPr>
      <w:sz w:val="24"/>
    </w:rPr>
  </w:style>
  <w:style w:type="paragraph" w:customStyle="1" w:styleId="117">
    <w:name w:val="Char"/>
    <w:basedOn w:val="1"/>
    <w:qFormat/>
    <w:uiPriority w:val="0"/>
    <w:rPr>
      <w:rFonts w:ascii="Tahoma" w:hAnsi="Tahoma"/>
      <w:sz w:val="24"/>
      <w:szCs w:val="20"/>
    </w:rPr>
  </w:style>
  <w:style w:type="paragraph" w:customStyle="1" w:styleId="118">
    <w:name w:val="1表格"/>
    <w:basedOn w:val="1"/>
    <w:next w:val="16"/>
    <w:qFormat/>
    <w:uiPriority w:val="0"/>
    <w:pPr>
      <w:snapToGrid w:val="0"/>
      <w:spacing w:line="160" w:lineRule="atLeast"/>
      <w:jc w:val="center"/>
    </w:pPr>
    <w:rPr>
      <w:rFonts w:eastAsia="仿宋_GB2312"/>
    </w:rPr>
  </w:style>
  <w:style w:type="paragraph" w:customStyle="1" w:styleId="119">
    <w:name w:val="0正文"/>
    <w:basedOn w:val="1"/>
    <w:qFormat/>
    <w:uiPriority w:val="0"/>
    <w:pPr>
      <w:ind w:firstLine="480" w:firstLineChars="200"/>
    </w:pPr>
  </w:style>
  <w:style w:type="character" w:customStyle="1" w:styleId="120">
    <w:name w:val="未处理的提及1"/>
    <w:semiHidden/>
    <w:unhideWhenUsed/>
    <w:qFormat/>
    <w:uiPriority w:val="99"/>
    <w:rPr>
      <w:color w:val="605E5C"/>
      <w:shd w:val="clear" w:color="auto" w:fill="E1DFDD"/>
    </w:rPr>
  </w:style>
  <w:style w:type="character" w:customStyle="1" w:styleId="121">
    <w:name w:val="正文文本缩进 2 字符"/>
    <w:qFormat/>
    <w:uiPriority w:val="0"/>
    <w:rPr>
      <w:kern w:val="2"/>
      <w:sz w:val="21"/>
      <w:szCs w:val="24"/>
    </w:rPr>
  </w:style>
  <w:style w:type="character" w:customStyle="1" w:styleId="122">
    <w:name w:val="正文文本缩进 2 字符1"/>
    <w:link w:val="27"/>
    <w:qFormat/>
    <w:uiPriority w:val="0"/>
    <w:rPr>
      <w:kern w:val="2"/>
      <w:sz w:val="21"/>
      <w:szCs w:val="24"/>
    </w:rPr>
  </w:style>
  <w:style w:type="paragraph" w:customStyle="1" w:styleId="123">
    <w:name w:val="样式23"/>
    <w:basedOn w:val="1"/>
    <w:qFormat/>
    <w:uiPriority w:val="0"/>
    <w:pPr>
      <w:adjustRightInd w:val="0"/>
      <w:snapToGrid w:val="0"/>
      <w:spacing w:line="460" w:lineRule="exact"/>
      <w:ind w:firstLine="480" w:firstLineChars="200"/>
    </w:pPr>
    <w:rPr>
      <w:rFonts w:ascii="Calibri" w:hAnsi="Calibri"/>
      <w:color w:val="0000FF"/>
      <w:sz w:val="24"/>
      <w:szCs w:val="21"/>
    </w:rPr>
  </w:style>
  <w:style w:type="character" w:customStyle="1" w:styleId="124">
    <w:name w:val="表格文字 Char"/>
    <w:link w:val="125"/>
    <w:qFormat/>
    <w:uiPriority w:val="99"/>
    <w:rPr>
      <w:rFonts w:ascii="宋体"/>
      <w:color w:val="000000"/>
      <w:sz w:val="24"/>
    </w:rPr>
  </w:style>
  <w:style w:type="paragraph" w:customStyle="1" w:styleId="125">
    <w:name w:val="表格文字"/>
    <w:next w:val="1"/>
    <w:link w:val="124"/>
    <w:qFormat/>
    <w:uiPriority w:val="99"/>
    <w:pPr>
      <w:widowControl w:val="0"/>
      <w:autoSpaceDE w:val="0"/>
      <w:autoSpaceDN w:val="0"/>
      <w:adjustRightInd w:val="0"/>
      <w:spacing w:line="360" w:lineRule="auto"/>
      <w:jc w:val="both"/>
      <w:textAlignment w:val="baseline"/>
    </w:pPr>
    <w:rPr>
      <w:rFonts w:ascii="宋体" w:hAnsi="Times New Roman" w:eastAsia="宋体" w:cs="Times New Roman"/>
      <w:color w:val="000000"/>
      <w:sz w:val="24"/>
      <w:lang w:val="en-US" w:eastAsia="zh-CN" w:bidi="ar-SA"/>
    </w:rPr>
  </w:style>
  <w:style w:type="paragraph" w:customStyle="1" w:styleId="126">
    <w:name w:val="第十二章 图件标题"/>
    <w:basedOn w:val="1"/>
    <w:qFormat/>
    <w:uiPriority w:val="0"/>
    <w:pPr>
      <w:widowControl/>
      <w:tabs>
        <w:tab w:val="left" w:pos="360"/>
        <w:tab w:val="left" w:pos="851"/>
      </w:tabs>
      <w:jc w:val="left"/>
    </w:pPr>
    <w:rPr>
      <w:rFonts w:ascii="Calibri" w:hAnsi="Calibri"/>
      <w:szCs w:val="22"/>
    </w:rPr>
  </w:style>
  <w:style w:type="paragraph" w:customStyle="1" w:styleId="127">
    <w:name w:val="正文-欣欣"/>
    <w:basedOn w:val="1"/>
    <w:next w:val="1"/>
    <w:qFormat/>
    <w:uiPriority w:val="0"/>
    <w:pPr>
      <w:widowControl/>
      <w:adjustRightInd w:val="0"/>
      <w:spacing w:line="360" w:lineRule="auto"/>
      <w:ind w:firstLine="200" w:firstLineChars="200"/>
      <w:jc w:val="left"/>
    </w:pPr>
    <w:rPr>
      <w:rFonts w:ascii="Calibri" w:hAnsi="Calibri"/>
      <w:sz w:val="24"/>
      <w:szCs w:val="30"/>
    </w:rPr>
  </w:style>
  <w:style w:type="character" w:customStyle="1" w:styleId="128">
    <w:name w:val="正文文本首行缩进 字符"/>
    <w:link w:val="17"/>
    <w:qFormat/>
    <w:uiPriority w:val="0"/>
    <w:rPr>
      <w:kern w:val="2"/>
      <w:sz w:val="21"/>
      <w:szCs w:val="24"/>
    </w:rPr>
  </w:style>
  <w:style w:type="paragraph" w:customStyle="1" w:styleId="129">
    <w:name w:val="p16"/>
    <w:basedOn w:val="1"/>
    <w:qFormat/>
    <w:uiPriority w:val="0"/>
    <w:pPr>
      <w:widowControl/>
      <w:adjustRightInd w:val="0"/>
      <w:spacing w:line="480" w:lineRule="atLeast"/>
      <w:ind w:firstLine="482"/>
    </w:pPr>
    <w:rPr>
      <w:rFonts w:ascii="Calibri" w:hAnsi="Calibri"/>
      <w:kern w:val="0"/>
      <w:sz w:val="24"/>
      <w:szCs w:val="21"/>
    </w:rPr>
  </w:style>
  <w:style w:type="paragraph" w:customStyle="1" w:styleId="130">
    <w:name w:val="表格小五"/>
    <w:link w:val="131"/>
    <w:qFormat/>
    <w:uiPriority w:val="0"/>
    <w:pPr>
      <w:jc w:val="center"/>
    </w:pPr>
    <w:rPr>
      <w:rFonts w:ascii="Times New Roman" w:hAnsi="Times New Roman" w:eastAsia="宋体" w:cs="Times New Roman"/>
      <w:sz w:val="18"/>
      <w:szCs w:val="21"/>
      <w:lang w:val="en-US" w:eastAsia="zh-CN" w:bidi="ar-SA"/>
    </w:rPr>
  </w:style>
  <w:style w:type="character" w:customStyle="1" w:styleId="131">
    <w:name w:val="表格小五 字符"/>
    <w:link w:val="130"/>
    <w:qFormat/>
    <w:uiPriority w:val="0"/>
    <w:rPr>
      <w:sz w:val="18"/>
      <w:szCs w:val="21"/>
    </w:rPr>
  </w:style>
  <w:style w:type="paragraph" w:customStyle="1" w:styleId="132">
    <w:name w:val="表格小五左侧"/>
    <w:link w:val="134"/>
    <w:qFormat/>
    <w:uiPriority w:val="0"/>
    <w:pPr>
      <w:adjustRightInd w:val="0"/>
      <w:snapToGrid w:val="0"/>
    </w:pPr>
    <w:rPr>
      <w:rFonts w:ascii="Times New Roman" w:hAnsi="Times New Roman" w:eastAsia="宋体" w:cs="Times New Roman"/>
      <w:color w:val="000000"/>
      <w:kern w:val="2"/>
      <w:sz w:val="18"/>
      <w:szCs w:val="21"/>
      <w:lang w:val="en-US" w:eastAsia="zh-CN" w:bidi="ar-SA"/>
    </w:rPr>
  </w:style>
  <w:style w:type="paragraph" w:customStyle="1" w:styleId="133">
    <w:name w:val="表格粗小五"/>
    <w:link w:val="135"/>
    <w:qFormat/>
    <w:uiPriority w:val="0"/>
    <w:pPr>
      <w:jc w:val="center"/>
    </w:pPr>
    <w:rPr>
      <w:rFonts w:ascii="Times New Roman" w:hAnsi="Times New Roman" w:eastAsia="宋体" w:cs="Times New Roman"/>
      <w:b/>
      <w:snapToGrid w:val="0"/>
      <w:color w:val="000000"/>
      <w:kern w:val="2"/>
      <w:sz w:val="18"/>
      <w:szCs w:val="24"/>
      <w:lang w:val="zh-TW" w:eastAsia="zh-TW" w:bidi="ar-SA"/>
    </w:rPr>
  </w:style>
  <w:style w:type="character" w:customStyle="1" w:styleId="134">
    <w:name w:val="表格小五左侧 字符"/>
    <w:link w:val="132"/>
    <w:qFormat/>
    <w:uiPriority w:val="0"/>
    <w:rPr>
      <w:color w:val="000000"/>
      <w:kern w:val="2"/>
      <w:sz w:val="18"/>
      <w:szCs w:val="21"/>
    </w:rPr>
  </w:style>
  <w:style w:type="character" w:customStyle="1" w:styleId="135">
    <w:name w:val="表格粗小五 字符"/>
    <w:link w:val="133"/>
    <w:qFormat/>
    <w:uiPriority w:val="0"/>
    <w:rPr>
      <w:b/>
      <w:snapToGrid w:val="0"/>
      <w:color w:val="000000"/>
      <w:kern w:val="2"/>
      <w:sz w:val="18"/>
      <w:szCs w:val="24"/>
      <w:lang w:val="zh-TW" w:eastAsia="zh-TW"/>
    </w:rPr>
  </w:style>
  <w:style w:type="character" w:customStyle="1" w:styleId="136">
    <w:name w:val="font101"/>
    <w:qFormat/>
    <w:uiPriority w:val="0"/>
    <w:rPr>
      <w:rFonts w:hint="eastAsia" w:ascii="宋体" w:hAnsi="宋体" w:eastAsia="宋体"/>
      <w:color w:val="000000"/>
      <w:sz w:val="18"/>
      <w:szCs w:val="18"/>
      <w:u w:val="none"/>
    </w:rPr>
  </w:style>
  <w:style w:type="character" w:customStyle="1" w:styleId="137">
    <w:name w:val="font111"/>
    <w:qFormat/>
    <w:uiPriority w:val="0"/>
    <w:rPr>
      <w:rFonts w:hint="default" w:ascii="Times New Roman" w:hAnsi="Times New Roman" w:cs="Times New Roman"/>
      <w:color w:val="000000"/>
      <w:sz w:val="18"/>
      <w:szCs w:val="18"/>
      <w:u w:val="none"/>
    </w:rPr>
  </w:style>
  <w:style w:type="character" w:customStyle="1" w:styleId="138">
    <w:name w:val="font14"/>
    <w:qFormat/>
    <w:uiPriority w:val="0"/>
    <w:rPr>
      <w:rFonts w:hint="eastAsia" w:ascii="宋体" w:hAnsi="宋体" w:eastAsia="宋体"/>
      <w:color w:val="000000"/>
      <w:sz w:val="18"/>
      <w:szCs w:val="18"/>
      <w:u w:val="none"/>
    </w:rPr>
  </w:style>
  <w:style w:type="character" w:customStyle="1" w:styleId="139">
    <w:name w:val="font121"/>
    <w:qFormat/>
    <w:uiPriority w:val="0"/>
    <w:rPr>
      <w:rFonts w:hint="eastAsia" w:ascii="宋体" w:hAnsi="宋体" w:eastAsia="宋体"/>
      <w:color w:val="000000"/>
      <w:sz w:val="21"/>
      <w:szCs w:val="21"/>
      <w:u w:val="none"/>
    </w:rPr>
  </w:style>
  <w:style w:type="character" w:customStyle="1" w:styleId="140">
    <w:name w:val="font131"/>
    <w:qFormat/>
    <w:uiPriority w:val="0"/>
    <w:rPr>
      <w:rFonts w:hint="default" w:ascii="Times New Roman" w:hAnsi="Times New Roman" w:cs="Times New Roman"/>
      <w:color w:val="000000"/>
      <w:sz w:val="21"/>
      <w:szCs w:val="21"/>
      <w:u w:val="none"/>
    </w:rPr>
  </w:style>
  <w:style w:type="paragraph" w:customStyle="1" w:styleId="141">
    <w:name w:val="书正文"/>
    <w:basedOn w:val="1"/>
    <w:link w:val="142"/>
    <w:qFormat/>
    <w:uiPriority w:val="0"/>
    <w:pPr>
      <w:spacing w:line="360" w:lineRule="auto"/>
      <w:ind w:firstLine="480" w:firstLineChars="200"/>
    </w:pPr>
    <w:rPr>
      <w:snapToGrid w:val="0"/>
      <w:color w:val="000000"/>
      <w:sz w:val="24"/>
      <w:szCs w:val="22"/>
      <w:shd w:val="clear" w:color="auto" w:fill="FFFFFF"/>
      <w:lang w:val="zh-TW" w:eastAsia="zh-TW"/>
    </w:rPr>
  </w:style>
  <w:style w:type="character" w:customStyle="1" w:styleId="142">
    <w:name w:val="书正文 字符"/>
    <w:link w:val="141"/>
    <w:qFormat/>
    <w:uiPriority w:val="0"/>
    <w:rPr>
      <w:snapToGrid w:val="0"/>
      <w:color w:val="000000"/>
      <w:kern w:val="2"/>
      <w:sz w:val="24"/>
      <w:szCs w:val="22"/>
      <w:lang w:val="zh-TW" w:eastAsia="zh-TW"/>
    </w:rPr>
  </w:style>
  <w:style w:type="character" w:customStyle="1" w:styleId="143">
    <w:name w:val="font61"/>
    <w:qFormat/>
    <w:uiPriority w:val="0"/>
    <w:rPr>
      <w:rFonts w:hint="default" w:ascii="Times New Roman" w:hAnsi="Times New Roman" w:cs="Times New Roman"/>
      <w:color w:val="000000"/>
      <w:sz w:val="18"/>
      <w:szCs w:val="18"/>
      <w:u w:val="none"/>
    </w:rPr>
  </w:style>
  <w:style w:type="character" w:customStyle="1" w:styleId="144">
    <w:name w:val="font141"/>
    <w:qFormat/>
    <w:uiPriority w:val="0"/>
    <w:rPr>
      <w:rFonts w:hint="default" w:ascii="Times New Roman" w:hAnsi="Times New Roman" w:cs="Times New Roman"/>
      <w:color w:val="000000"/>
      <w:sz w:val="18"/>
      <w:szCs w:val="18"/>
      <w:u w:val="none"/>
      <w:vertAlign w:val="superscript"/>
    </w:rPr>
  </w:style>
  <w:style w:type="character" w:customStyle="1" w:styleId="145">
    <w:name w:val="font151"/>
    <w:qFormat/>
    <w:uiPriority w:val="0"/>
    <w:rPr>
      <w:rFonts w:hint="default" w:ascii="Times New Roman" w:hAnsi="Times New Roman" w:cs="Times New Roman"/>
      <w:color w:val="000000"/>
      <w:sz w:val="18"/>
      <w:szCs w:val="18"/>
      <w:u w:val="none"/>
      <w:vertAlign w:val="superscript"/>
    </w:rPr>
  </w:style>
  <w:style w:type="paragraph" w:customStyle="1" w:styleId="146">
    <w:name w:val="+正文"/>
    <w:basedOn w:val="1"/>
    <w:qFormat/>
    <w:uiPriority w:val="0"/>
    <w:pPr>
      <w:widowControl/>
      <w:spacing w:line="360" w:lineRule="auto"/>
      <w:jc w:val="left"/>
    </w:pPr>
    <w:rPr>
      <w:rFonts w:ascii="Calibri" w:hAnsi="Calibri"/>
      <w:sz w:val="24"/>
      <w:szCs w:val="28"/>
    </w:rPr>
  </w:style>
  <w:style w:type="paragraph" w:customStyle="1" w:styleId="147">
    <w:name w:val="表格粗"/>
    <w:basedOn w:val="1"/>
    <w:link w:val="148"/>
    <w:qFormat/>
    <w:uiPriority w:val="0"/>
    <w:pPr>
      <w:adjustRightInd w:val="0"/>
      <w:snapToGrid w:val="0"/>
      <w:jc w:val="center"/>
    </w:pPr>
    <w:rPr>
      <w:b/>
      <w:bCs/>
      <w:kern w:val="0"/>
      <w:szCs w:val="28"/>
    </w:rPr>
  </w:style>
  <w:style w:type="character" w:customStyle="1" w:styleId="148">
    <w:name w:val="表格粗 字符"/>
    <w:link w:val="147"/>
    <w:qFormat/>
    <w:uiPriority w:val="0"/>
    <w:rPr>
      <w:b/>
      <w:bCs/>
      <w:sz w:val="21"/>
      <w:szCs w:val="28"/>
    </w:rPr>
  </w:style>
  <w:style w:type="character" w:customStyle="1" w:styleId="149">
    <w:name w:val="题注 字符"/>
    <w:link w:val="13"/>
    <w:qFormat/>
    <w:uiPriority w:val="0"/>
    <w:rPr>
      <w:b/>
      <w:color w:val="000000"/>
      <w:sz w:val="21"/>
      <w:lang w:eastAsia="en-US"/>
    </w:rPr>
  </w:style>
  <w:style w:type="character" w:customStyle="1" w:styleId="150">
    <w:name w:val="无间隔 字符"/>
    <w:link w:val="14"/>
    <w:qFormat/>
    <w:uiPriority w:val="0"/>
    <w:rPr>
      <w:color w:val="000000"/>
      <w:sz w:val="21"/>
      <w:szCs w:val="18"/>
      <w:lang w:val="zh-TW"/>
    </w:rPr>
  </w:style>
  <w:style w:type="paragraph" w:customStyle="1" w:styleId="151">
    <w:name w:val="新版报告表正文"/>
    <w:basedOn w:val="1"/>
    <w:link w:val="152"/>
    <w:qFormat/>
    <w:uiPriority w:val="0"/>
    <w:pPr>
      <w:adjustRightInd w:val="0"/>
      <w:snapToGrid w:val="0"/>
      <w:spacing w:line="360" w:lineRule="auto"/>
      <w:ind w:firstLine="200" w:firstLineChars="200"/>
    </w:pPr>
    <w:rPr>
      <w:bCs/>
      <w:szCs w:val="21"/>
    </w:rPr>
  </w:style>
  <w:style w:type="character" w:customStyle="1" w:styleId="152">
    <w:name w:val="新版报告表正文 字符"/>
    <w:link w:val="151"/>
    <w:qFormat/>
    <w:uiPriority w:val="0"/>
    <w:rPr>
      <w:bCs/>
      <w:kern w:val="2"/>
      <w:sz w:val="21"/>
      <w:szCs w:val="21"/>
    </w:rPr>
  </w:style>
  <w:style w:type="character" w:customStyle="1" w:styleId="153">
    <w:name w:val="标题 2 字符"/>
    <w:link w:val="3"/>
    <w:semiHidden/>
    <w:qFormat/>
    <w:uiPriority w:val="0"/>
    <w:rPr>
      <w:rFonts w:ascii="等线 Light" w:hAnsi="等线 Light" w:eastAsia="等线 Light" w:cs="Times New Roman"/>
      <w:b/>
      <w:bCs/>
      <w:kern w:val="2"/>
      <w:sz w:val="32"/>
      <w:szCs w:val="32"/>
    </w:rPr>
  </w:style>
  <w:style w:type="paragraph" w:customStyle="1" w:styleId="154">
    <w:name w:val="Normal_0"/>
    <w:qFormat/>
    <w:uiPriority w:val="0"/>
    <w:pPr>
      <w:widowControl w:val="0"/>
      <w:spacing w:line="360" w:lineRule="auto"/>
      <w:ind w:firstLine="200" w:firstLineChars="200"/>
      <w:jc w:val="both"/>
    </w:pPr>
    <w:rPr>
      <w:rFonts w:ascii="Times New Roman" w:hAnsi="Times New Roman" w:eastAsia="仿宋" w:cs="Times New Roman"/>
      <w:kern w:val="2"/>
      <w:sz w:val="28"/>
      <w:szCs w:val="21"/>
      <w:lang w:val="en-US" w:eastAsia="zh-CN" w:bidi="ar-SA"/>
    </w:rPr>
  </w:style>
  <w:style w:type="character" w:customStyle="1" w:styleId="155">
    <w:name w:val="表格 字符"/>
    <w:qFormat/>
    <w:uiPriority w:val="0"/>
    <w:rPr>
      <w:rFonts w:ascii="Times New Roman" w:hAnsi="Times New Roman" w:eastAsia="宋体" w:cs="Times New Roman"/>
      <w:b/>
      <w:sz w:val="18"/>
      <w:szCs w:val="24"/>
    </w:rPr>
  </w:style>
  <w:style w:type="paragraph" w:customStyle="1" w:styleId="156">
    <w:name w:val="Normal_0_0"/>
    <w:qFormat/>
    <w:uiPriority w:val="0"/>
    <w:pPr>
      <w:widowControl w:val="0"/>
      <w:spacing w:line="360" w:lineRule="auto"/>
      <w:ind w:firstLine="200" w:firstLineChars="200"/>
      <w:jc w:val="both"/>
    </w:pPr>
    <w:rPr>
      <w:rFonts w:ascii="Times New Roman" w:hAnsi="Times New Roman" w:eastAsia="仿宋" w:cs="Times New Roman"/>
      <w:kern w:val="2"/>
      <w:sz w:val="28"/>
      <w:szCs w:val="21"/>
      <w:lang w:val="en-US" w:eastAsia="zh-CN" w:bidi="ar-SA"/>
    </w:rPr>
  </w:style>
  <w:style w:type="character" w:customStyle="1" w:styleId="157">
    <w:name w:val="标题 3 字符"/>
    <w:link w:val="4"/>
    <w:qFormat/>
    <w:uiPriority w:val="0"/>
    <w:rPr>
      <w:rFonts w:eastAsia="黑体"/>
      <w:sz w:val="28"/>
    </w:rPr>
  </w:style>
  <w:style w:type="character" w:customStyle="1" w:styleId="158">
    <w:name w:val="标题 4 字符"/>
    <w:link w:val="5"/>
    <w:qFormat/>
    <w:uiPriority w:val="0"/>
    <w:rPr>
      <w:rFonts w:eastAsia="长城楷体"/>
      <w:b/>
      <w:sz w:val="28"/>
    </w:rPr>
  </w:style>
  <w:style w:type="character" w:customStyle="1" w:styleId="159">
    <w:name w:val="标题 5 字符"/>
    <w:link w:val="6"/>
    <w:qFormat/>
    <w:uiPriority w:val="0"/>
    <w:rPr>
      <w:b/>
      <w:sz w:val="24"/>
    </w:rPr>
  </w:style>
  <w:style w:type="character" w:customStyle="1" w:styleId="160">
    <w:name w:val="标题 6 字符"/>
    <w:link w:val="7"/>
    <w:qFormat/>
    <w:uiPriority w:val="0"/>
    <w:rPr>
      <w:rFonts w:ascii="Arial" w:hAnsi="Arial" w:eastAsia="黑体"/>
      <w:b/>
      <w:sz w:val="24"/>
    </w:rPr>
  </w:style>
  <w:style w:type="character" w:customStyle="1" w:styleId="161">
    <w:name w:val="标题 7 字符"/>
    <w:link w:val="8"/>
    <w:qFormat/>
    <w:uiPriority w:val="0"/>
    <w:rPr>
      <w:b/>
      <w:sz w:val="24"/>
    </w:rPr>
  </w:style>
  <w:style w:type="character" w:customStyle="1" w:styleId="162">
    <w:name w:val="标题 8 字符"/>
    <w:link w:val="9"/>
    <w:qFormat/>
    <w:uiPriority w:val="0"/>
    <w:rPr>
      <w:rFonts w:ascii="Arial" w:hAnsi="Arial" w:eastAsia="黑体"/>
      <w:sz w:val="24"/>
    </w:rPr>
  </w:style>
  <w:style w:type="character" w:customStyle="1" w:styleId="163">
    <w:name w:val="标题 9 字符"/>
    <w:link w:val="10"/>
    <w:qFormat/>
    <w:uiPriority w:val="0"/>
    <w:rPr>
      <w:rFonts w:ascii="Arial" w:hAnsi="Arial" w:eastAsia="黑体"/>
      <w:sz w:val="21"/>
    </w:rPr>
  </w:style>
  <w:style w:type="paragraph" w:customStyle="1" w:styleId="164">
    <w:name w:val="表左侧"/>
    <w:link w:val="165"/>
    <w:qFormat/>
    <w:uiPriority w:val="99"/>
    <w:pPr>
      <w:adjustRightInd w:val="0"/>
      <w:snapToGrid w:val="0"/>
      <w:jc w:val="both"/>
    </w:pPr>
    <w:rPr>
      <w:rFonts w:ascii="Times New Roman" w:hAnsi="Times New Roman" w:eastAsia="宋体" w:cs="Times New Roman"/>
      <w:color w:val="000000"/>
      <w:kern w:val="2"/>
      <w:sz w:val="21"/>
      <w:szCs w:val="21"/>
      <w:shd w:val="clear" w:color="auto" w:fill="FFFFFF"/>
      <w:lang w:val="zh-TW" w:eastAsia="zh-TW" w:bidi="ar-SA"/>
    </w:rPr>
  </w:style>
  <w:style w:type="character" w:customStyle="1" w:styleId="165">
    <w:name w:val="表左侧 字符"/>
    <w:link w:val="164"/>
    <w:qFormat/>
    <w:uiPriority w:val="99"/>
    <w:rPr>
      <w:color w:val="000000"/>
      <w:kern w:val="2"/>
      <w:sz w:val="21"/>
      <w:szCs w:val="21"/>
      <w:lang w:val="zh-TW" w:eastAsia="zh-TW"/>
    </w:rPr>
  </w:style>
  <w:style w:type="paragraph" w:customStyle="1" w:styleId="166">
    <w:name w:val="正文粗"/>
    <w:basedOn w:val="1"/>
    <w:next w:val="141"/>
    <w:link w:val="167"/>
    <w:qFormat/>
    <w:uiPriority w:val="0"/>
    <w:pPr>
      <w:spacing w:line="360" w:lineRule="auto"/>
      <w:ind w:firstLine="480" w:firstLineChars="200"/>
    </w:pPr>
    <w:rPr>
      <w:b/>
      <w:bCs/>
      <w:color w:val="000000"/>
      <w:sz w:val="24"/>
      <w:szCs w:val="20"/>
    </w:rPr>
  </w:style>
  <w:style w:type="character" w:customStyle="1" w:styleId="167">
    <w:name w:val="正文粗 字符"/>
    <w:link w:val="166"/>
    <w:qFormat/>
    <w:uiPriority w:val="0"/>
    <w:rPr>
      <w:b/>
      <w:bCs/>
      <w:color w:val="000000"/>
      <w:kern w:val="2"/>
      <w:sz w:val="24"/>
    </w:rPr>
  </w:style>
  <w:style w:type="paragraph" w:customStyle="1" w:styleId="168">
    <w:name w:val="表格小五粗"/>
    <w:link w:val="169"/>
    <w:qFormat/>
    <w:uiPriority w:val="0"/>
    <w:pPr>
      <w:jc w:val="center"/>
    </w:pPr>
    <w:rPr>
      <w:rFonts w:ascii="Times New Roman" w:hAnsi="Times New Roman" w:eastAsia="宋体" w:cs="Times New Roman"/>
      <w:b/>
      <w:sz w:val="18"/>
      <w:szCs w:val="21"/>
      <w:lang w:val="en-US" w:eastAsia="zh-CN" w:bidi="ar-SA"/>
    </w:rPr>
  </w:style>
  <w:style w:type="character" w:customStyle="1" w:styleId="169">
    <w:name w:val="表格小五粗 字符"/>
    <w:link w:val="168"/>
    <w:qFormat/>
    <w:uiPriority w:val="0"/>
    <w:rPr>
      <w:b/>
      <w:sz w:val="18"/>
      <w:szCs w:val="21"/>
    </w:rPr>
  </w:style>
  <w:style w:type="paragraph" w:customStyle="1" w:styleId="170">
    <w:name w:val="文本"/>
    <w:basedOn w:val="1"/>
    <w:qFormat/>
    <w:uiPriority w:val="0"/>
    <w:pPr>
      <w:autoSpaceDE w:val="0"/>
      <w:autoSpaceDN w:val="0"/>
      <w:adjustRightInd w:val="0"/>
      <w:spacing w:line="360" w:lineRule="auto"/>
      <w:ind w:firstLine="482" w:firstLineChars="200"/>
      <w:outlineLvl w:val="3"/>
    </w:pPr>
    <w:rPr>
      <w:rFonts w:cs="宋体"/>
      <w:sz w:val="24"/>
    </w:rPr>
  </w:style>
  <w:style w:type="paragraph" w:customStyle="1" w:styleId="171">
    <w:name w:val="表内文字"/>
    <w:basedOn w:val="1"/>
    <w:next w:val="1"/>
    <w:link w:val="172"/>
    <w:qFormat/>
    <w:uiPriority w:val="0"/>
    <w:pPr>
      <w:spacing w:line="360" w:lineRule="exact"/>
      <w:jc w:val="center"/>
    </w:pPr>
    <w:rPr>
      <w:szCs w:val="22"/>
    </w:rPr>
  </w:style>
  <w:style w:type="character" w:customStyle="1" w:styleId="172">
    <w:name w:val="表内文字 字符"/>
    <w:link w:val="171"/>
    <w:qFormat/>
    <w:uiPriority w:val="0"/>
    <w:rPr>
      <w:kern w:val="2"/>
      <w:sz w:val="21"/>
      <w:szCs w:val="22"/>
    </w:rPr>
  </w:style>
  <w:style w:type="paragraph" w:customStyle="1" w:styleId="173">
    <w:name w:val="报告表正文"/>
    <w:basedOn w:val="1"/>
    <w:qFormat/>
    <w:uiPriority w:val="0"/>
    <w:pPr>
      <w:spacing w:line="520" w:lineRule="exact"/>
      <w:ind w:firstLine="720" w:firstLineChars="200"/>
    </w:pPr>
    <w:rPr>
      <w:sz w:val="24"/>
    </w:rPr>
  </w:style>
  <w:style w:type="paragraph" w:customStyle="1" w:styleId="174">
    <w:name w:val="表格文字2"/>
    <w:basedOn w:val="1"/>
    <w:qFormat/>
    <w:uiPriority w:val="0"/>
    <w:pPr>
      <w:spacing w:line="240" w:lineRule="exact"/>
      <w:jc w:val="center"/>
    </w:pPr>
    <w:rPr>
      <w:kern w:val="0"/>
      <w:sz w:val="20"/>
      <w:szCs w:val="20"/>
    </w:rPr>
  </w:style>
  <w:style w:type="character" w:customStyle="1" w:styleId="175">
    <w:name w:val="font01"/>
    <w:basedOn w:val="43"/>
    <w:qFormat/>
    <w:uiPriority w:val="0"/>
    <w:rPr>
      <w:rFonts w:hint="eastAsia" w:ascii="宋体" w:hAnsi="宋体" w:eastAsia="宋体"/>
      <w:color w:val="000000"/>
      <w:sz w:val="22"/>
      <w:szCs w:val="22"/>
      <w:u w:val="none"/>
    </w:rPr>
  </w:style>
  <w:style w:type="paragraph" w:customStyle="1" w:styleId="176">
    <w:name w:val="环科源正文"/>
    <w:basedOn w:val="1"/>
    <w:qFormat/>
    <w:uiPriority w:val="0"/>
    <w:pPr>
      <w:widowControl/>
      <w:spacing w:line="560" w:lineRule="exact"/>
      <w:ind w:firstLine="200" w:firstLineChars="200"/>
    </w:pPr>
    <w:rPr>
      <w:sz w:val="24"/>
      <w:szCs w:val="18"/>
    </w:rPr>
  </w:style>
  <w:style w:type="paragraph" w:customStyle="1" w:styleId="177">
    <w:name w:val="font10"/>
    <w:basedOn w:val="1"/>
    <w:qFormat/>
    <w:uiPriority w:val="0"/>
    <w:pPr>
      <w:widowControl/>
      <w:spacing w:before="100" w:beforeAutospacing="1" w:after="100" w:afterAutospacing="1"/>
      <w:jc w:val="left"/>
    </w:pPr>
    <w:rPr>
      <w:color w:val="000000"/>
      <w:kern w:val="0"/>
      <w:sz w:val="20"/>
      <w:szCs w:val="20"/>
      <w:vertAlign w:val="subscript"/>
    </w:rPr>
  </w:style>
  <w:style w:type="paragraph" w:customStyle="1" w:styleId="178">
    <w:name w:val="et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kern w:val="0"/>
      <w:sz w:val="20"/>
      <w:szCs w:val="20"/>
    </w:rPr>
  </w:style>
  <w:style w:type="paragraph" w:customStyle="1" w:styleId="179">
    <w:name w:val="et7"/>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center"/>
    </w:pPr>
    <w:rPr>
      <w:rFonts w:ascii="宋体" w:hAnsi="宋体" w:cs="宋体"/>
      <w:b/>
      <w:bCs/>
      <w:kern w:val="0"/>
      <w:sz w:val="20"/>
      <w:szCs w:val="20"/>
    </w:rPr>
  </w:style>
  <w:style w:type="paragraph" w:customStyle="1" w:styleId="180">
    <w:name w:val="et11"/>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0"/>
      <w:szCs w:val="20"/>
    </w:rPr>
  </w:style>
  <w:style w:type="paragraph" w:customStyle="1" w:styleId="181">
    <w:name w:val="et21"/>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0"/>
      <w:szCs w:val="20"/>
    </w:rPr>
  </w:style>
  <w:style w:type="paragraph" w:customStyle="1" w:styleId="182">
    <w:name w:val="et23"/>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color w:val="000000"/>
      <w:kern w:val="0"/>
      <w:sz w:val="20"/>
      <w:szCs w:val="20"/>
    </w:rPr>
  </w:style>
  <w:style w:type="paragraph" w:customStyle="1" w:styleId="183">
    <w:name w:val="et24"/>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0"/>
      <w:szCs w:val="20"/>
    </w:rPr>
  </w:style>
  <w:style w:type="paragraph" w:customStyle="1" w:styleId="184">
    <w:name w:val="et2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0"/>
      <w:szCs w:val="20"/>
    </w:rPr>
  </w:style>
  <w:style w:type="paragraph" w:customStyle="1" w:styleId="185">
    <w:name w:val="et26"/>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kern w:val="0"/>
      <w:sz w:val="20"/>
      <w:szCs w:val="20"/>
    </w:rPr>
  </w:style>
  <w:style w:type="paragraph" w:customStyle="1" w:styleId="186">
    <w:name w:val="et27"/>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center"/>
    </w:pPr>
    <w:rPr>
      <w:rFonts w:ascii="宋体" w:hAnsi="宋体" w:cs="宋体"/>
      <w:b/>
      <w:bCs/>
      <w:color w:val="FF0000"/>
      <w:kern w:val="0"/>
      <w:sz w:val="20"/>
      <w:szCs w:val="20"/>
    </w:rPr>
  </w:style>
  <w:style w:type="paragraph" w:customStyle="1" w:styleId="187">
    <w:name w:val="et28"/>
    <w:basedOn w:val="1"/>
    <w:qFormat/>
    <w:uiPriority w:val="0"/>
    <w:pPr>
      <w:widowControl/>
      <w:pBdr>
        <w:top w:val="single" w:color="000000" w:sz="4" w:space="0"/>
        <w:bottom w:val="single" w:color="000000" w:sz="4" w:space="0"/>
      </w:pBdr>
      <w:spacing w:before="100" w:beforeAutospacing="1" w:after="100" w:afterAutospacing="1"/>
      <w:jc w:val="center"/>
    </w:pPr>
    <w:rPr>
      <w:rFonts w:ascii="宋体" w:hAnsi="宋体" w:cs="宋体"/>
      <w:b/>
      <w:bCs/>
      <w:color w:val="FF0000"/>
      <w:kern w:val="0"/>
      <w:sz w:val="20"/>
      <w:szCs w:val="20"/>
    </w:rPr>
  </w:style>
  <w:style w:type="paragraph" w:customStyle="1" w:styleId="188">
    <w:name w:val="et29"/>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color w:val="FF0000"/>
      <w:kern w:val="0"/>
      <w:sz w:val="20"/>
      <w:szCs w:val="20"/>
    </w:rPr>
  </w:style>
  <w:style w:type="paragraph" w:customStyle="1" w:styleId="189">
    <w:name w:val="et3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kern w:val="0"/>
      <w:sz w:val="20"/>
      <w:szCs w:val="20"/>
    </w:rPr>
  </w:style>
  <w:style w:type="paragraph" w:customStyle="1" w:styleId="190">
    <w:name w:val="et31"/>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0"/>
      <w:szCs w:val="20"/>
    </w:rPr>
  </w:style>
  <w:style w:type="paragraph" w:customStyle="1" w:styleId="191">
    <w:name w:val="et3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FF0000"/>
      <w:kern w:val="0"/>
      <w:sz w:val="20"/>
      <w:szCs w:val="20"/>
    </w:rPr>
  </w:style>
  <w:style w:type="paragraph" w:customStyle="1" w:styleId="192">
    <w:name w:val="et3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0"/>
      <w:szCs w:val="20"/>
    </w:rPr>
  </w:style>
  <w:style w:type="paragraph" w:customStyle="1" w:styleId="193">
    <w:name w:val="et34"/>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color w:val="000000"/>
      <w:kern w:val="0"/>
      <w:sz w:val="20"/>
      <w:szCs w:val="20"/>
    </w:rPr>
  </w:style>
  <w:style w:type="paragraph" w:customStyle="1" w:styleId="194">
    <w:name w:val="et35"/>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color w:val="000000"/>
      <w:kern w:val="0"/>
      <w:sz w:val="20"/>
      <w:szCs w:val="20"/>
    </w:rPr>
  </w:style>
  <w:style w:type="paragraph" w:customStyle="1" w:styleId="195">
    <w:name w:val="et3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FF0000"/>
      <w:kern w:val="0"/>
      <w:sz w:val="20"/>
      <w:szCs w:val="20"/>
    </w:rPr>
  </w:style>
  <w:style w:type="paragraph" w:customStyle="1" w:styleId="196">
    <w:name w:val="et3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FF0000"/>
      <w:kern w:val="0"/>
      <w:sz w:val="20"/>
      <w:szCs w:val="20"/>
    </w:rPr>
  </w:style>
  <w:style w:type="paragraph" w:customStyle="1" w:styleId="197">
    <w:name w:val="et38"/>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0"/>
      <w:szCs w:val="20"/>
    </w:rPr>
  </w:style>
  <w:style w:type="paragraph" w:customStyle="1" w:styleId="198">
    <w:name w:val="et39"/>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szCs w:val="20"/>
    </w:rPr>
  </w:style>
  <w:style w:type="paragraph" w:customStyle="1" w:styleId="199">
    <w:name w:val="et4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FF0000"/>
      <w:kern w:val="0"/>
      <w:sz w:val="20"/>
      <w:szCs w:val="20"/>
    </w:rPr>
  </w:style>
  <w:style w:type="paragraph" w:customStyle="1" w:styleId="200">
    <w:name w:val="et41"/>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FF0000"/>
      <w:kern w:val="0"/>
      <w:sz w:val="20"/>
      <w:szCs w:val="20"/>
    </w:rPr>
  </w:style>
  <w:style w:type="paragraph" w:customStyle="1" w:styleId="201">
    <w:name w:val="et42"/>
    <w:basedOn w:val="1"/>
    <w:qFormat/>
    <w:uiPriority w:val="0"/>
    <w:pPr>
      <w:widowControl/>
      <w:pBdr>
        <w:top w:val="single" w:color="000000" w:sz="4" w:space="0"/>
        <w:left w:val="single" w:color="000000" w:sz="4" w:space="0"/>
        <w:right w:val="single" w:color="000000" w:sz="4" w:space="0"/>
      </w:pBdr>
      <w:shd w:val="clear" w:color="auto" w:fill="FF0000"/>
      <w:spacing w:before="100" w:beforeAutospacing="1" w:after="100" w:afterAutospacing="1"/>
      <w:jc w:val="center"/>
    </w:pPr>
    <w:rPr>
      <w:rFonts w:ascii="宋体" w:hAnsi="宋体" w:cs="宋体"/>
      <w:color w:val="000000"/>
      <w:kern w:val="0"/>
      <w:sz w:val="20"/>
      <w:szCs w:val="20"/>
    </w:rPr>
  </w:style>
  <w:style w:type="paragraph" w:customStyle="1" w:styleId="202">
    <w:name w:val="et43"/>
    <w:basedOn w:val="1"/>
    <w:qFormat/>
    <w:uiPriority w:val="0"/>
    <w:pPr>
      <w:widowControl/>
      <w:pBdr>
        <w:left w:val="single" w:color="000000" w:sz="4" w:space="0"/>
        <w:right w:val="single" w:color="000000" w:sz="4" w:space="0"/>
      </w:pBdr>
      <w:shd w:val="clear" w:color="auto" w:fill="FF0000"/>
      <w:spacing w:before="100" w:beforeAutospacing="1" w:after="100" w:afterAutospacing="1"/>
      <w:jc w:val="center"/>
    </w:pPr>
    <w:rPr>
      <w:rFonts w:ascii="宋体" w:hAnsi="宋体" w:cs="宋体"/>
      <w:color w:val="000000"/>
      <w:kern w:val="0"/>
      <w:sz w:val="20"/>
      <w:szCs w:val="20"/>
    </w:rPr>
  </w:style>
  <w:style w:type="paragraph" w:customStyle="1" w:styleId="203">
    <w:name w:val="et44"/>
    <w:basedOn w:val="1"/>
    <w:qFormat/>
    <w:uiPriority w:val="0"/>
    <w:pPr>
      <w:widowControl/>
      <w:pBdr>
        <w:left w:val="single" w:color="000000" w:sz="4" w:space="0"/>
        <w:bottom w:val="single" w:color="000000" w:sz="4" w:space="0"/>
        <w:right w:val="single" w:color="000000" w:sz="4" w:space="0"/>
      </w:pBdr>
      <w:shd w:val="clear" w:color="auto" w:fill="FF0000"/>
      <w:spacing w:before="100" w:beforeAutospacing="1" w:after="100" w:afterAutospacing="1"/>
      <w:jc w:val="center"/>
    </w:pPr>
    <w:rPr>
      <w:rFonts w:ascii="宋体" w:hAnsi="宋体" w:cs="宋体"/>
      <w:color w:val="000000"/>
      <w:kern w:val="0"/>
      <w:sz w:val="20"/>
      <w:szCs w:val="20"/>
    </w:rPr>
  </w:style>
  <w:style w:type="paragraph" w:customStyle="1" w:styleId="204">
    <w:name w:val="Table Paragraph"/>
    <w:basedOn w:val="1"/>
    <w:qFormat/>
    <w:uiPriority w:val="0"/>
    <w:rPr>
      <w:rFonts w:ascii="宋体" w:hAnsi="宋体" w:cs="宋体"/>
      <w:szCs w:val="21"/>
    </w:rPr>
  </w:style>
  <w:style w:type="character" w:styleId="205">
    <w:name w:val="Placeholder Text"/>
    <w:basedOn w:val="43"/>
    <w:unhideWhenUsed/>
    <w:qFormat/>
    <w:uiPriority w:val="99"/>
    <w:rPr>
      <w:color w:val="666666"/>
    </w:rPr>
  </w:style>
  <w:style w:type="character" w:customStyle="1" w:styleId="206">
    <w:name w:val="正文缩进 字符"/>
    <w:link w:val="12"/>
    <w:qFormat/>
    <w:uiPriority w:val="0"/>
    <w:rPr>
      <w:rFonts w:ascii="Times New Roman" w:hAnsi="Times New Roman" w:eastAsia="黑体"/>
      <w:lang w:eastAsia="en-US"/>
    </w:rPr>
  </w:style>
  <w:style w:type="paragraph" w:customStyle="1" w:styleId="207">
    <w:name w:val="A-正文"/>
    <w:basedOn w:val="1"/>
    <w:qFormat/>
    <w:uiPriority w:val="0"/>
    <w:pPr>
      <w:spacing w:line="360" w:lineRule="auto"/>
      <w:ind w:firstLine="200" w:firstLineChars="200"/>
      <w:jc w:val="left"/>
    </w:pPr>
    <w:rPr>
      <w:rFonts w:ascii="Times New Roman" w:hAnsi="Times New Roman" w:eastAsia="宋体"/>
      <w:sz w:val="24"/>
    </w:rPr>
  </w:style>
  <w:style w:type="paragraph" w:customStyle="1" w:styleId="208">
    <w:name w:val="真·正文"/>
    <w:basedOn w:val="1"/>
    <w:next w:val="118"/>
    <w:qFormat/>
    <w:uiPriority w:val="0"/>
    <w:pPr>
      <w:widowControl w:val="0"/>
      <w:autoSpaceDE/>
      <w:autoSpaceDN/>
      <w:spacing w:before="0" w:after="0" w:line="360" w:lineRule="auto"/>
      <w:ind w:left="0" w:firstLine="200"/>
      <w:jc w:val="both"/>
    </w:pPr>
    <w:rPr>
      <w:rFonts w:ascii="Calibri" w:eastAsia="宋体"/>
      <w:sz w:val="24"/>
    </w:rPr>
  </w:style>
  <w:style w:type="paragraph" w:customStyle="1" w:styleId="209">
    <w:name w:val="表格内容"/>
    <w:basedOn w:val="210"/>
    <w:qFormat/>
    <w:uiPriority w:val="0"/>
    <w:rPr>
      <w:color w:val="000000"/>
    </w:rPr>
  </w:style>
  <w:style w:type="paragraph" w:customStyle="1" w:styleId="210">
    <w:name w:val="表格标题"/>
    <w:basedOn w:val="13"/>
    <w:qFormat/>
    <w:uiPriority w:val="0"/>
    <w:pPr>
      <w:bidi/>
      <w:adjustRightInd w:val="0"/>
      <w:snapToGrid w:val="0"/>
    </w:pPr>
    <w:rPr>
      <w:rFonts w:eastAsia="仿宋_GB2312" w:cs="Times New Roman"/>
      <w:szCs w:val="21"/>
    </w:rPr>
  </w:style>
  <w:style w:type="paragraph" w:customStyle="1" w:styleId="211">
    <w:name w:val="正本文字"/>
    <w:basedOn w:val="1"/>
    <w:qFormat/>
    <w:uiPriority w:val="0"/>
    <w:pPr>
      <w:adjustRightInd w:val="0"/>
      <w:snapToGrid w:val="0"/>
      <w:spacing w:line="360" w:lineRule="auto"/>
      <w:ind w:firstLine="480" w:firstLineChars="200"/>
      <w:jc w:val="left"/>
    </w:pPr>
    <w:rPr>
      <w:rFonts w:cs="宋体"/>
      <w:kern w:val="18"/>
      <w:sz w:val="24"/>
      <w:szCs w:val="20"/>
    </w:rPr>
  </w:style>
  <w:style w:type="paragraph" w:customStyle="1" w:styleId="212">
    <w:name w:val="Default"/>
    <w:basedOn w:val="213"/>
    <w:qFormat/>
    <w:uiPriority w:val="0"/>
    <w:pPr>
      <w:widowControl w:val="0"/>
      <w:autoSpaceDE w:val="0"/>
      <w:autoSpaceDN w:val="0"/>
      <w:adjustRightInd w:val="0"/>
    </w:pPr>
    <w:rPr>
      <w:rFonts w:ascii="宋体" w:eastAsia="宋体" w:cs="宋体"/>
      <w:color w:val="000000"/>
      <w:sz w:val="24"/>
    </w:rPr>
  </w:style>
  <w:style w:type="paragraph" w:customStyle="1" w:styleId="213">
    <w:name w:val="纯文本1"/>
    <w:basedOn w:val="1"/>
    <w:qFormat/>
    <w:uiPriority w:val="0"/>
    <w:rPr>
      <w:rFonts w:ascii="宋体" w:hAnsi="Courier New"/>
    </w:rPr>
  </w:style>
  <w:style w:type="paragraph" w:customStyle="1" w:styleId="214">
    <w:name w:val="小表格内文字"/>
    <w:basedOn w:val="1"/>
    <w:qFormat/>
    <w:uiPriority w:val="0"/>
    <w:rPr>
      <w:color w:val="000000" w:themeColor="text1"/>
      <w:kern w:val="18"/>
      <w14:textFill>
        <w14:solidFill>
          <w14:schemeClr w14:val="tx1"/>
        </w14:solidFill>
      </w14:textFill>
    </w:rPr>
  </w:style>
  <w:style w:type="paragraph" w:customStyle="1" w:styleId="215">
    <w:name w:val="表格正文"/>
    <w:basedOn w:val="1"/>
    <w:qFormat/>
    <w:uiPriority w:val="0"/>
    <w:pPr>
      <w:spacing w:line="360" w:lineRule="auto"/>
      <w:ind w:firstLine="420" w:firstLineChars="200"/>
    </w:pPr>
    <w:rPr>
      <w:kern w:val="24"/>
      <w:sz w:val="24"/>
    </w:rPr>
  </w:style>
  <w:style w:type="paragraph" w:customStyle="1" w:styleId="216">
    <w:name w:val="++++++++正文"/>
    <w:basedOn w:val="1"/>
    <w:qFormat/>
    <w:uiPriority w:val="0"/>
    <w:pPr>
      <w:autoSpaceDE w:val="0"/>
      <w:autoSpaceDN w:val="0"/>
      <w:adjustRightInd w:val="0"/>
      <w:spacing w:line="360" w:lineRule="auto"/>
      <w:ind w:firstLine="200" w:firstLineChars="200"/>
    </w:pPr>
    <w:rPr>
      <w:sz w:val="24"/>
      <w:szCs w:val="20"/>
    </w:rPr>
  </w:style>
  <w:style w:type="paragraph" w:customStyle="1" w:styleId="217">
    <w:name w:val="【正文】"/>
    <w:basedOn w:val="1"/>
    <w:qFormat/>
    <w:uiPriority w:val="0"/>
    <w:pPr>
      <w:spacing w:line="440" w:lineRule="exact"/>
      <w:ind w:firstLine="544" w:firstLineChars="200"/>
    </w:pPr>
    <w:rPr>
      <w:rFonts w:ascii="宋体" w:hAnsi="宋体" w:cs="宋体"/>
      <w:sz w:val="24"/>
      <w:szCs w:val="22"/>
    </w:rPr>
  </w:style>
  <w:style w:type="paragraph" w:customStyle="1" w:styleId="218">
    <w:name w:val="报告"/>
    <w:basedOn w:val="1"/>
    <w:next w:val="1"/>
    <w:qFormat/>
    <w:uiPriority w:val="0"/>
    <w:pPr>
      <w:adjustRightInd w:val="0"/>
      <w:spacing w:line="360" w:lineRule="auto"/>
      <w:ind w:firstLine="505"/>
      <w:jc w:val="left"/>
      <w:textAlignment w:val="baseline"/>
    </w:pPr>
    <w:rPr>
      <w:kern w:val="0"/>
      <w:sz w:val="24"/>
      <w:szCs w:val="20"/>
    </w:rPr>
  </w:style>
  <w:style w:type="paragraph" w:customStyle="1" w:styleId="219">
    <w:name w:val="正文22"/>
    <w:basedOn w:val="1"/>
    <w:qFormat/>
    <w:uiPriority w:val="0"/>
    <w:pPr>
      <w:spacing w:line="360" w:lineRule="auto"/>
      <w:ind w:firstLine="480" w:firstLineChars="200"/>
    </w:pPr>
    <w:rPr>
      <w:rFonts w:hint="eastAsia" w:cs="方正大标宋简体"/>
      <w:kern w:val="0"/>
      <w:sz w:val="24"/>
      <w:szCs w:val="20"/>
    </w:rPr>
  </w:style>
  <w:style w:type="paragraph" w:customStyle="1" w:styleId="220">
    <w:name w:val="Table Text"/>
    <w:basedOn w:val="1"/>
    <w:semiHidden/>
    <w:qFormat/>
    <w:uiPriority w:val="0"/>
    <w:rPr>
      <w:rFonts w:ascii="宋体" w:hAnsi="宋体" w:eastAsia="宋体" w:cs="宋体"/>
      <w:sz w:val="20"/>
      <w:szCs w:val="20"/>
      <w:lang w:val="en-US" w:eastAsia="en-US" w:bidi="ar-SA"/>
    </w:rPr>
  </w:style>
  <w:style w:type="paragraph" w:customStyle="1" w:styleId="221">
    <w:name w:val="Default1"/>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222">
    <w:name w:val="正文样式"/>
    <w:basedOn w:val="1"/>
    <w:qFormat/>
    <w:uiPriority w:val="0"/>
    <w:pPr>
      <w:tabs>
        <w:tab w:val="left" w:pos="1440"/>
        <w:tab w:val="left" w:pos="4368"/>
      </w:tabs>
      <w:spacing w:line="360" w:lineRule="auto"/>
      <w:ind w:firstLine="493"/>
    </w:pPr>
    <w:rPr>
      <w:color w:val="FF0000"/>
      <w:sz w:val="24"/>
    </w:rPr>
  </w:style>
  <w:style w:type="paragraph" w:customStyle="1" w:styleId="223">
    <w:name w:val="正文-龙池"/>
    <w:basedOn w:val="1"/>
    <w:qFormat/>
    <w:uiPriority w:val="0"/>
    <w:pPr>
      <w:autoSpaceDE w:val="0"/>
      <w:autoSpaceDN w:val="0"/>
      <w:adjustRightInd w:val="0"/>
      <w:spacing w:line="360" w:lineRule="auto"/>
      <w:ind w:firstLine="200" w:firstLineChars="200"/>
      <w:contextualSpacing/>
    </w:pPr>
    <w:rPr>
      <w:kern w:val="0"/>
      <w:sz w:val="24"/>
    </w:rPr>
  </w:style>
  <w:style w:type="table" w:customStyle="1" w:styleId="224">
    <w:name w:val="Table Normal"/>
    <w:semiHidden/>
    <w:unhideWhenUsed/>
    <w:qFormat/>
    <w:uiPriority w:val="0"/>
    <w:tblPr>
      <w:tblCellMar>
        <w:top w:w="0" w:type="dxa"/>
        <w:left w:w="0" w:type="dxa"/>
        <w:bottom w:w="0" w:type="dxa"/>
        <w:right w:w="0" w:type="dxa"/>
      </w:tblCellMar>
    </w:tblPr>
  </w:style>
  <w:style w:type="paragraph" w:customStyle="1" w:styleId="225">
    <w:name w:val="正文 4"/>
    <w:basedOn w:val="1"/>
    <w:qFormat/>
    <w:uiPriority w:val="0"/>
    <w:pPr>
      <w:autoSpaceDE w:val="0"/>
      <w:autoSpaceDN w:val="0"/>
      <w:adjustRightInd w:val="0"/>
      <w:snapToGrid w:val="0"/>
      <w:spacing w:line="360" w:lineRule="auto"/>
      <w:ind w:firstLine="480" w:firstLineChars="200"/>
    </w:pPr>
    <w:rPr>
      <w:bCs/>
      <w:kern w:val="0"/>
      <w:sz w:val="24"/>
    </w:rPr>
  </w:style>
  <w:style w:type="paragraph" w:customStyle="1" w:styleId="226">
    <w:name w:val="报告书表格"/>
    <w:basedOn w:val="1"/>
    <w:qFormat/>
    <w:uiPriority w:val="0"/>
    <w:pPr>
      <w:adjustRightInd w:val="0"/>
      <w:spacing w:before="60" w:after="60" w:line="240" w:lineRule="atLeast"/>
      <w:jc w:val="center"/>
      <w:textAlignment w:val="baseline"/>
    </w:pPr>
    <w:rPr>
      <w:kern w:val="0"/>
      <w:szCs w:val="20"/>
    </w:rPr>
  </w:style>
  <w:style w:type="table" w:customStyle="1" w:styleId="227">
    <w:name w:val="普通表格1"/>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4.xml"/><Relationship Id="rId50" Type="http://schemas.openxmlformats.org/officeDocument/2006/relationships/fontTable" Target="fontTable.xml"/><Relationship Id="rId5" Type="http://schemas.openxmlformats.org/officeDocument/2006/relationships/footer" Target="footer3.xml"/><Relationship Id="rId49" Type="http://schemas.openxmlformats.org/officeDocument/2006/relationships/customXml" Target="../customXml/item2.xml"/><Relationship Id="rId48" Type="http://schemas.openxmlformats.org/officeDocument/2006/relationships/numbering" Target="numbering.xml"/><Relationship Id="rId47" Type="http://schemas.openxmlformats.org/officeDocument/2006/relationships/customXml" Target="../customXml/item1.xml"/><Relationship Id="rId46" Type="http://schemas.openxmlformats.org/officeDocument/2006/relationships/image" Target="media/image32.png"/><Relationship Id="rId45" Type="http://schemas.openxmlformats.org/officeDocument/2006/relationships/image" Target="media/image31.png"/><Relationship Id="rId44" Type="http://schemas.openxmlformats.org/officeDocument/2006/relationships/image" Target="media/image30.png"/><Relationship Id="rId43" Type="http://schemas.openxmlformats.org/officeDocument/2006/relationships/image" Target="media/image29.png"/><Relationship Id="rId42" Type="http://schemas.openxmlformats.org/officeDocument/2006/relationships/image" Target="media/image28.png"/><Relationship Id="rId41" Type="http://schemas.openxmlformats.org/officeDocument/2006/relationships/image" Target="media/image27.png"/><Relationship Id="rId40" Type="http://schemas.openxmlformats.org/officeDocument/2006/relationships/image" Target="media/image26.png"/><Relationship Id="rId4" Type="http://schemas.openxmlformats.org/officeDocument/2006/relationships/footer" Target="footer2.xml"/><Relationship Id="rId39" Type="http://schemas.openxmlformats.org/officeDocument/2006/relationships/image" Target="media/image25.png"/><Relationship Id="rId38" Type="http://schemas.openxmlformats.org/officeDocument/2006/relationships/image" Target="media/image24.png"/><Relationship Id="rId37" Type="http://schemas.openxmlformats.org/officeDocument/2006/relationships/image" Target="media/image23.png"/><Relationship Id="rId36" Type="http://schemas.openxmlformats.org/officeDocument/2006/relationships/image" Target="media/image22.png"/><Relationship Id="rId35" Type="http://schemas.openxmlformats.org/officeDocument/2006/relationships/image" Target="media/image21.png"/><Relationship Id="rId34" Type="http://schemas.openxmlformats.org/officeDocument/2006/relationships/image" Target="media/image20.png"/><Relationship Id="rId33" Type="http://schemas.openxmlformats.org/officeDocument/2006/relationships/image" Target="media/image19.png"/><Relationship Id="rId32" Type="http://schemas.openxmlformats.org/officeDocument/2006/relationships/image" Target="media/image18.png"/><Relationship Id="rId31" Type="http://schemas.openxmlformats.org/officeDocument/2006/relationships/image" Target="media/image17.png"/><Relationship Id="rId30" Type="http://schemas.openxmlformats.org/officeDocument/2006/relationships/image" Target="media/image16.wmf"/><Relationship Id="rId3" Type="http://schemas.openxmlformats.org/officeDocument/2006/relationships/footer" Target="footer1.xml"/><Relationship Id="rId29" Type="http://schemas.openxmlformats.org/officeDocument/2006/relationships/oleObject" Target="embeddings/oleObject7.bin"/><Relationship Id="rId28" Type="http://schemas.openxmlformats.org/officeDocument/2006/relationships/image" Target="media/image15.jpeg"/><Relationship Id="rId27" Type="http://schemas.openxmlformats.org/officeDocument/2006/relationships/image" Target="media/image14.jpeg"/><Relationship Id="rId26" Type="http://schemas.openxmlformats.org/officeDocument/2006/relationships/image" Target="media/image13.emf"/><Relationship Id="rId25" Type="http://schemas.openxmlformats.org/officeDocument/2006/relationships/oleObject" Target="embeddings/oleObject6.bin"/><Relationship Id="rId24" Type="http://schemas.openxmlformats.org/officeDocument/2006/relationships/image" Target="media/image12.png"/><Relationship Id="rId23" Type="http://schemas.openxmlformats.org/officeDocument/2006/relationships/image" Target="media/image11.emf"/><Relationship Id="rId22" Type="http://schemas.openxmlformats.org/officeDocument/2006/relationships/oleObject" Target="embeddings/oleObject5.bin"/><Relationship Id="rId21" Type="http://schemas.openxmlformats.org/officeDocument/2006/relationships/image" Target="media/image10.jpeg"/><Relationship Id="rId20" Type="http://schemas.openxmlformats.org/officeDocument/2006/relationships/image" Target="media/image9.emf"/><Relationship Id="rId2" Type="http://schemas.openxmlformats.org/officeDocument/2006/relationships/settings" Target="settings.xml"/><Relationship Id="rId19" Type="http://schemas.openxmlformats.org/officeDocument/2006/relationships/oleObject" Target="embeddings/oleObject4.bin"/><Relationship Id="rId18" Type="http://schemas.openxmlformats.org/officeDocument/2006/relationships/image" Target="media/image8.emf"/><Relationship Id="rId17" Type="http://schemas.openxmlformats.org/officeDocument/2006/relationships/oleObject" Target="embeddings/oleObject3.bin"/><Relationship Id="rId16" Type="http://schemas.openxmlformats.org/officeDocument/2006/relationships/image" Target="media/image7.emf"/><Relationship Id="rId15" Type="http://schemas.openxmlformats.org/officeDocument/2006/relationships/oleObject" Target="embeddings/oleObject2.bin"/><Relationship Id="rId14" Type="http://schemas.openxmlformats.org/officeDocument/2006/relationships/image" Target="media/image6.emf"/><Relationship Id="rId13" Type="http://schemas.openxmlformats.org/officeDocument/2006/relationships/oleObject" Target="embeddings/oleObject1.bin"/><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54aea5ae-9fee-4de7-b878-4d4ae682222f</errorID>
      <errorWord>(</errorWord>
      <group>L1_Format</group>
      <groupName>格式问题</groupName>
      <ability>L2_HalfPunc_CN</ability>
      <abilityName>全半角问题</abilityName>
      <candidateList>
        <item>（</item>
      </candidateList>
      <explain>文本全半角错误。</explain>
      <paraID>534071C1</paraID>
      <start>34</start>
      <end>35</end>
      <status>modified</status>
      <modifiedWord>（</modifiedWord>
      <trackRevisions>false</trackRevisions>
    </reviewItem>
    <reviewItem>
      <errorID>15c75872-ca2c-411d-9e39-32593d863f78</errorID>
      <errorWord>)</errorWord>
      <group>L1_Format</group>
      <groupName>格式问题</groupName>
      <ability>L2_HalfPunc_CN</ability>
      <abilityName>全半角问题</abilityName>
      <candidateList>
        <item>）</item>
      </candidateList>
      <explain>文本全半角错误。</explain>
      <paraID>534071C1</paraID>
      <start>47</start>
      <end>48</end>
      <status>modified</status>
      <modifiedWord>）</modifiedWord>
      <trackRevisions>false</trackRevisions>
    </reviewItem>
    <reviewItem>
      <errorID>8c0a0d11-7a33-4084-a486-5935d1f7fedc</errorID>
      <errorWord>(</errorWord>
      <group>L1_Format</group>
      <groupName>格式问题</groupName>
      <ability>L2_HalfPunc_CN</ability>
      <abilityName>全半角问题</abilityName>
      <candidateList>
        <item>（</item>
      </candidateList>
      <explain>文本全半角错误。</explain>
      <paraID>7245476F</paraID>
      <start>30</start>
      <end>31</end>
      <status>modified</status>
      <modifiedWord>（</modifiedWord>
      <trackRevisions>false</trackRevisions>
    </reviewItem>
    <reviewItem>
      <errorID>8cf81b43-b7ab-486c-b8d0-b0f145494ed6</errorID>
      <errorWord>)</errorWord>
      <group>L1_Format</group>
      <groupName>格式问题</groupName>
      <ability>L2_HalfPunc_CN</ability>
      <abilityName>全半角问题</abilityName>
      <candidateList>
        <item>）</item>
      </candidateList>
      <explain>文本全半角错误。</explain>
      <paraID>7245476F</paraID>
      <start>36</start>
      <end>37</end>
      <status>modified</status>
      <modifiedWord>）</modifiedWord>
      <trackRevisions>false</trackRevisions>
    </reviewItem>
    <reviewItem>
      <errorID>c9a4fdbc-bf29-4d66-8a13-08b984941a43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1040E3E8</paraID>
      <start>0</start>
      <end>2</end>
      <status>unmodified</status>
      <modifiedWord/>
      <trackRevisions>false</trackRevisions>
    </reviewItem>
    <reviewItem>
      <errorID>699f3564-1932-42bd-a20a-03febb8327c8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1040E3E8</paraID>
      <start>24</start>
      <end>25</end>
      <status>unmodified</status>
      <modifiedWord/>
      <trackRevisions>false</trackRevisions>
    </reviewItem>
    <reviewItem>
      <errorID>ba7bd126-069e-441e-a82f-86d8e68f1fe2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5452FB19</paraID>
      <start>36</start>
      <end>37</end>
      <status>unmodified</status>
      <modifiedWord/>
      <trackRevisions>false</trackRevisions>
    </reviewItem>
    <reviewItem>
      <errorID>ca4747be-6d77-4452-9e9c-a3263ddbcc98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75111514</paraID>
      <start>0</start>
      <end>2</end>
      <status>unmodified</status>
      <modifiedWord/>
      <trackRevisions>false</trackRevisions>
    </reviewItem>
    <reviewItem>
      <errorID>91550cf7-667e-4617-8f4c-8ec00797d515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6EA77139</paraID>
      <start>0</start>
      <end>2</end>
      <status>unmodified</status>
      <modifiedWord/>
      <trackRevisions>false</trackRevisions>
    </reviewItem>
    <reviewItem>
      <errorID>651649d8-ac16-4101-92fa-e1c8065bb886</errorID>
      <errorWord>&lt;</errorWord>
      <group>L1_Format</group>
      <groupName>格式问题</groupName>
      <ability>L2_HalfPunc_CN</ability>
      <abilityName>全半角问题</abilityName>
      <candidateList>
        <item>〈</item>
      </candidateList>
      <explain>文本全半角错误。</explain>
      <paraID>72B15F68</paraID>
      <start>15</start>
      <end>16</end>
      <status>modified</status>
      <modifiedWord>〈</modifiedWord>
      <trackRevisions>false</trackRevisions>
    </reviewItem>
    <reviewItem>
      <errorID>a19f137e-6776-45f5-bd1a-74f24e82908b</errorID>
      <errorWord>&gt;</errorWord>
      <group>L1_Format</group>
      <groupName>格式问题</groupName>
      <ability>L2_HalfPunc_CN</ability>
      <abilityName>全半角问题</abilityName>
      <candidateList>
        <item>〉</item>
      </candidateList>
      <explain>文本全半角错误。</explain>
      <paraID>72B15F68</paraID>
      <start>36</start>
      <end>37</end>
      <status>modified</status>
      <modifiedWord>〉</modifiedWord>
      <trackRevisions>false</trackRevisions>
    </reviewItem>
    <reviewItem>
      <errorID>a3becfc1-10ab-4fdf-a88a-697fea6bd37b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14C9C2C</paraID>
      <start>0</start>
      <end>2</end>
      <status>unmodified</status>
      <modifiedWord/>
      <trackRevisions>false</trackRevisions>
    </reviewItem>
    <reviewItem>
      <errorID>717d9471-abde-479d-8809-ba25a15cfbd5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14C9C2C</paraID>
      <start>21</start>
      <end>22</end>
      <status>unmodified</status>
      <modifiedWord/>
      <trackRevisions>false</trackRevisions>
    </reviewItem>
    <reviewItem>
      <errorID>c15c0268-e64d-4159-8d38-d0ace78f13f4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8B7C9E6</paraID>
      <start>20</start>
      <end>21</end>
      <status>unmodified</status>
      <modifiedWord/>
      <trackRevisions>false</trackRevisions>
    </reviewItem>
    <reviewItem>
      <errorID>779a2d67-ad7a-433d-811d-da7f91b089f4</errorID>
      <errorWord>”为</errorWord>
      <group>L1_Grammar</group>
      <groupName>语法问题</groupName>
      <ability>L2_Missing</ability>
      <abilityName>成分残缺</abilityName>
      <candidateList>
        <item>”</item>
      </candidateList>
      <explain>句子中可能存在主谓宾、修饰语或者必要的词语残缺。</explain>
      <paraID> 8B7C9E6</paraID>
      <start>164</start>
      <end>166</end>
      <status>unmodified</status>
      <modifiedWord/>
      <trackRevisions>false</trackRevisions>
    </reviewItem>
    <reviewItem>
      <errorID>672fa6d3-c196-47d0-9b2b-6bc8fe80b713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27A52282</paraID>
      <start>81</start>
      <end>82</end>
      <status>unmodified</status>
      <modifiedWord/>
      <trackRevisions>false</trackRevisions>
    </reviewItem>
    <reviewItem>
      <errorID>4cf767c9-c6c7-4572-b2cc-0059f9c19247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775FB2C6</paraID>
      <start>0</start>
      <end>2</end>
      <status>unmodified</status>
      <modifiedWord/>
      <trackRevisions>false</trackRevisions>
    </reviewItem>
    <reviewItem>
      <errorID>de2f93f1-b6b6-4421-a3da-2aae1c9864ed</errorID>
      <errorWord>烟尘</errorWord>
      <group>L1_Word</group>
      <groupName>字词问题</groupName>
      <ability>L2_Typo</ability>
      <abilityName>字词错误</abilityName>
      <candidateList>
        <item>扬尘</item>
      </candidateList>
      <explain/>
      <paraID>3E1A4DCA</paraID>
      <start>9</start>
      <end>11</end>
      <status>unmodified</status>
      <modifiedWord/>
      <trackRevisions>false</trackRevisions>
    </reviewItem>
    <reviewItem>
      <errorID>e0de67f3-127d-4e92-bc71-38855ce8e59c</errorID>
      <errorWord>必须科学选址</errorWord>
      <group>L1_Grammar</group>
      <groupName>语法问题</groupName>
      <ability>L2_Order</ability>
      <abilityName>语序不当</abilityName>
      <candidateList>
        <item>选址必须科学</item>
      </candidateList>
      <explain>句子可能没有遵循时空、逻辑顺序，或者介词、关联词等位置不当。</explain>
      <paraID>3E1A4DCA</paraID>
      <start>51</start>
      <end>57</end>
      <status>unmodified</status>
      <modifiedWord/>
      <trackRevisions>false</trackRevisions>
    </reviewItem>
    <reviewItem>
      <errorID>31fbb129-cf15-4a91-9c6c-3af6b6a66d55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6AB9F382</paraID>
      <start>0</start>
      <end>2</end>
      <status>unmodified</status>
      <modifiedWord/>
      <trackRevisions>false</trackRevisions>
    </reviewItem>
    <reviewItem>
      <errorID>87ee1c95-4adb-46f8-abd6-b5bd23f107be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26E0E6AC</paraID>
      <start>0</start>
      <end>2</end>
      <status>unmodified</status>
      <modifiedWord/>
      <trackRevisions>false</trackRevisions>
    </reviewItem>
    <reviewItem>
      <errorID>aabd8bab-38e8-40e9-80f1-f49ac3151957</errorID>
      <errorWord>&lt;</errorWord>
      <group>L1_Format</group>
      <groupName>格式问题</groupName>
      <ability>L2_HalfPunc_CN</ability>
      <abilityName>全半角问题</abilityName>
      <candidateList>
        <item>〈</item>
      </candidateList>
      <explain>文本全半角错误。</explain>
      <paraID>46B373FC</paraID>
      <start>52</start>
      <end>53</end>
      <status>modified</status>
      <modifiedWord>〈</modifiedWord>
      <trackRevisions>false</trackRevisions>
    </reviewItem>
    <reviewItem>
      <errorID>8e0a2c62-f97f-4731-9651-c722c33b5052</errorID>
      <errorWord>&gt;</errorWord>
      <group>L1_Format</group>
      <groupName>格式问题</groupName>
      <ability>L2_HalfPunc_CN</ability>
      <abilityName>全半角问题</abilityName>
      <candidateList>
        <item>〉</item>
      </candidateList>
      <explain>文本全半角错误。</explain>
      <paraID>46B373FC</paraID>
      <start>80</start>
      <end>81</end>
      <status>modified</status>
      <modifiedWord>〉</modifiedWord>
      <trackRevisions>false</trackRevisions>
    </reviewItem>
    <reviewItem>
      <errorID>bb8a016f-0116-4bc4-bf3d-95e5e7d64939</errorID>
      <errorWord>&lt;</errorWord>
      <group>L1_Format</group>
      <groupName>格式问题</groupName>
      <ability>L2_HalfPunc_CN</ability>
      <abilityName>全半角问题</abilityName>
      <candidateList>
        <item>〈</item>
      </candidateList>
      <explain>文本全半角错误。</explain>
      <paraID>46B373FC</paraID>
      <start>82</start>
      <end>83</end>
      <status>modified</status>
      <modifiedWord>〈</modifiedWord>
      <trackRevisions>false</trackRevisions>
    </reviewItem>
    <reviewItem>
      <errorID>1419ab09-b8ee-4831-a785-793dfda83d93</errorID>
      <errorWord>&gt;的通知》</errorWord>
      <group>L1_Punc</group>
      <groupName>标点问题</groupName>
      <ability>L2_Punc_CN</ability>
      <abilityName>标点符号问题</abilityName>
      <candidateList>
        <item>〉的通知》</item>
      </candidateList>
      <explain/>
      <paraID>46B373FC</paraID>
      <start>106</start>
      <end>111</end>
      <status>modified</status>
      <modifiedWord>〉的通知》</modifiedWord>
      <trackRevisions>false</trackRevisions>
    </reviewItem>
    <reviewItem>
      <errorID>33f6cb77-d54f-42e2-bb92-79422f06c76f</errorID>
      <errorWord>-</errorWord>
      <group>L1_Format</group>
      <groupName>格式问题</groupName>
      <ability>L2_HalfPunc_CN</ability>
      <abilityName>全半角问题</abilityName>
      <candidateList>
        <item>－</item>
      </candidateList>
      <explain>文本全半角错误。</explain>
      <paraID>366C9EBA</paraID>
      <start>2</start>
      <end>3</end>
      <status>unmodified</status>
      <modifiedWord/>
      <trackRevisions>false</trackRevisions>
    </reviewItem>
    <reviewItem>
      <errorID>74f4e308-908b-4a19-a196-a960e4324a2f</errorID>
      <errorWord>-</errorWord>
      <group>L1_Format</group>
      <groupName>格式问题</groupName>
      <ability>L2_HalfPunc_CN</ability>
      <abilityName>全半角问题</abilityName>
      <candidateList>
        <item>－</item>
      </candidateList>
      <explain>文本全半角错误。</explain>
      <paraID>366C9EBA</paraID>
      <start>6</start>
      <end>7</end>
      <status>unmodified</status>
      <modifiedWord/>
      <trackRevisions>false</trackRevisions>
    </reviewItem>
    <reviewItem>
      <errorID>f9db1c23-86db-428e-a6ed-0e9992a57b54</errorID>
      <errorWord>-</errorWord>
      <group>L1_Format</group>
      <groupName>格式问题</groupName>
      <ability>L2_HalfPunc_CN</ability>
      <abilityName>全半角问题</abilityName>
      <candidateList>
        <item>－</item>
      </candidateList>
      <explain>文本全半角错误。</explain>
      <paraID>366C9EBA</paraID>
      <start>9</start>
      <end>10</end>
      <status>unmodified</status>
      <modifiedWord/>
      <trackRevisions>false</trackRevisions>
    </reviewItem>
    <reviewItem>
      <errorID>f135dcaa-9282-476c-8ba9-a00b374d303e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59826D42</paraID>
      <start>0</start>
      <end>2</end>
      <status>unmodified</status>
      <modifiedWord/>
      <trackRevisions>false</trackRevisions>
    </reviewItem>
    <reviewItem>
      <errorID>fd3e2617-f0d5-4c72-89a9-a38aa6b4f75a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5B5A35A3</paraID>
      <start>0</start>
      <end>2</end>
      <status>unmodified</status>
      <modifiedWord/>
      <trackRevisions>false</trackRevisions>
    </reviewItem>
    <reviewItem>
      <errorID>f4f2635d-a0c9-4b98-85a8-34d3baebcbde</errorID>
      <errorWord>农村面源污染</errorWord>
      <group>L1_Political</group>
      <groupName>政治性问题</groupName>
      <ability>L2_Keyword</ability>
      <abilityName>固定表述</abilityName>
      <candidateList>
        <item>农业面源污染</item>
      </candidateList>
      <explain>词汇“农业面源污染”在特定场景下为固定表述形式，请确认此处的“农村面源污染”是否存在不当。</explain>
      <paraID>5B5A35A3</paraID>
      <start>4</start>
      <end>10</end>
      <status>unmodified</status>
      <modifiedWord/>
      <trackRevisions>false</trackRevisions>
    </reviewItem>
    <reviewItem>
      <errorID>a2833c57-bacc-4971-a6be-904411574aac</errorID>
      <errorWord>相符和</errorWord>
      <group>L1_Word</group>
      <groupName>字词问题</groupName>
      <ability>L2_Typo</ability>
      <abilityName>字词错误</abilityName>
      <candidateList>
        <item>相符合</item>
      </candidateList>
      <explain/>
      <paraID>437CEAE3</paraID>
      <start>17</start>
      <end>20</end>
      <status>modified</status>
      <modifiedWord>相符合</modifiedWord>
      <trackRevisions>false</trackRevisions>
    </reviewItem>
    <reviewItem>
      <errorID>fed351f3-9f53-49ff-b417-3678a6d74240</errorID>
      <errorWord>-</errorWord>
      <group>L1_Format</group>
      <groupName>格式问题</groupName>
      <ability>L2_HalfPunc_CN</ability>
      <abilityName>全半角问题</abilityName>
      <candidateList>
        <item>－</item>
      </candidateList>
      <explain>文本全半角错误。</explain>
      <paraID>4840528B</paraID>
      <start>0</start>
      <end>1</end>
      <status>unmodified</status>
      <modifiedWord/>
      <trackRevisions>false</trackRevisions>
    </reviewItem>
    <reviewItem>
      <errorID>db8582de-8c3f-408f-ab5d-92d1af819e19</errorID>
      <errorWord>-</errorWord>
      <group>L1_Format</group>
      <groupName>格式问题</groupName>
      <ability>L2_HalfPunc_CN</ability>
      <abilityName>全半角问题</abilityName>
      <candidateList>
        <item>－</item>
      </candidateList>
      <explain>文本全半角错误。</explain>
      <paraID>4840528B</paraID>
      <start>101</start>
      <end>102</end>
      <status>unmodified</status>
      <modifiedWord/>
      <trackRevisions>false</trackRevisions>
    </reviewItem>
    <reviewItem>
      <errorID>1e937bc1-ded1-48dd-bd24-e2cdb3e67a61</errorID>
      <errorWord>-</errorWord>
      <group>L1_Format</group>
      <groupName>格式问题</groupName>
      <ability>L2_HalfPunc_CN</ability>
      <abilityName>全半角问题</abilityName>
      <candidateList>
        <item>－</item>
      </candidateList>
      <explain>文本全半角错误。</explain>
      <paraID>4840528B</paraID>
      <start>135</start>
      <end>136</end>
      <status>unmodified</status>
      <modifiedWord/>
      <trackRevisions>false</trackRevisions>
    </reviewItem>
    <reviewItem>
      <errorID>e23378b4-fa80-4570-9778-311c8861239e</errorID>
      <errorWord>-</errorWord>
      <group>L1_Format</group>
      <groupName>格式问题</groupName>
      <ability>L2_HalfPunc_CN</ability>
      <abilityName>全半角问题</abilityName>
      <candidateList>
        <item>－</item>
      </candidateList>
      <explain>文本全半角错误。</explain>
      <paraID>4840528B</paraID>
      <start>176</start>
      <end>177</end>
      <status>unmodified</status>
      <modifiedWord/>
      <trackRevisions>false</trackRevisions>
    </reviewItem>
    <reviewItem>
      <errorID>e3f9b8c8-ddd4-4a82-912b-ebd94f42e628</errorID>
      <errorWord>-</errorWord>
      <group>L1_Format</group>
      <groupName>格式问题</groupName>
      <ability>L2_HalfPunc_CN</ability>
      <abilityName>全半角问题</abilityName>
      <candidateList>
        <item>－</item>
      </candidateList>
      <explain>文本全半角错误。</explain>
      <paraID>70ACC4C6</paraID>
      <start>0</start>
      <end>1</end>
      <status>unmodified</status>
      <modifiedWord/>
      <trackRevisions>false</trackRevisions>
    </reviewItem>
    <reviewItem>
      <errorID>338cbd6b-50c0-4148-9eab-362a4bb44c70</errorID>
      <errorWord>-</errorWord>
      <group>L1_Format</group>
      <groupName>格式问题</groupName>
      <ability>L2_HalfPunc_CN</ability>
      <abilityName>全半角问题</abilityName>
      <candidateList>
        <item>－</item>
      </candidateList>
      <explain>文本全半角错误。</explain>
      <paraID>70ACC4C6</paraID>
      <start>54</start>
      <end>55</end>
      <status>unmodified</status>
      <modifiedWord/>
      <trackRevisions>false</trackRevisions>
    </reviewItem>
    <reviewItem>
      <errorID>28a32226-5aee-46e9-a897-29c6f6653f4c</errorID>
      <errorWord>矿产资源开采管理办法</errorWord>
      <group>L1_Knowledge</group>
      <groupName>知识性问题</groupName>
      <ability>L2_Knowledge</ability>
      <abilityName>其他知识</abilityName>
      <candidateList>
        <item>矿产资源开采登记管理办法</item>
      </candidateList>
      <explain>当前法律法规未收录或尚未生效，注意核查是否正确。</explain>
      <paraID>70ACC4C6</paraID>
      <start>60</start>
      <end>70</end>
      <status>unmodified</status>
      <modifiedWord/>
      <trackRevisions>false</trackRevisions>
    </reviewItem>
    <reviewItem>
      <errorID>5b883a00-5bf8-4bab-a47f-ccb70ebd01b4</errorID>
      <errorWord>-</errorWord>
      <group>L1_Format</group>
      <groupName>格式问题</groupName>
      <ability>L2_HalfPunc_CN</ability>
      <abilityName>全半角问题</abilityName>
      <candidateList>
        <item>－</item>
      </candidateList>
      <explain>文本全半角错误。</explain>
      <paraID>28244F65</paraID>
      <start>0</start>
      <end>1</end>
      <status>unmodified</status>
      <modifiedWord/>
      <trackRevisions>false</trackRevisions>
    </reviewItem>
    <reviewItem>
      <errorID>c1f88492-6336-421e-a76b-eab933c9086d</errorID>
      <errorWord>-</errorWord>
      <group>L1_Format</group>
      <groupName>格式问题</groupName>
      <ability>L2_HalfPunc_CN</ability>
      <abilityName>全半角问题</abilityName>
      <candidateList>
        <item>－</item>
      </candidateList>
      <explain>文本全半角错误。</explain>
      <paraID>28244F65</paraID>
      <start>14</start>
      <end>15</end>
      <status>unmodified</status>
      <modifiedWord/>
      <trackRevisions>false</trackRevisions>
    </reviewItem>
    <reviewItem>
      <errorID>8b5a7314-6cd7-45b8-8a0c-cbee9f5f2a7d</errorID>
      <errorWord>-</errorWord>
      <group>L1_Format</group>
      <groupName>格式问题</groupName>
      <ability>L2_HalfPunc_CN</ability>
      <abilityName>全半角问题</abilityName>
      <candidateList>
        <item>－</item>
      </candidateList>
      <explain>文本全半角错误。</explain>
      <paraID>28244F65</paraID>
      <start>43</start>
      <end>44</end>
      <status>unmodified</status>
      <modifiedWord/>
      <trackRevisions>false</trackRevisions>
    </reviewItem>
    <reviewItem>
      <errorID>284f8e3d-27a4-4281-a615-f87eec30b46a</errorID>
      <errorWord>达</errorWord>
      <group>L1_Word</group>
      <groupName>字词问题</groupName>
      <ability>L2_Typo</ability>
      <abilityName>字词错误</abilityName>
      <candidateList>
        <item>达到</item>
      </candidateList>
      <explain>〈动〉到（多指抽象事物或程度）：达得到｜达不到｜目的没有～｜～国际水平。</explain>
      <paraID>5F3FD3C4</paraID>
      <start>32</start>
      <end>34</end>
      <status>modified</status>
      <modifiedWord>达到</modifiedWord>
      <trackRevisions>false</trackRevisions>
    </reviewItem>
    <reviewItem>
      <errorID>c0e93d7d-fab7-43ac-81b4-5b6f9c9c7a2e</errorID>
      <errorWord>-</errorWord>
      <group>L1_Format</group>
      <groupName>格式问题</groupName>
      <ability>L2_HalfPunc_CN</ability>
      <abilityName>全半角问题</abilityName>
      <candidateList>
        <item>－</item>
      </candidateList>
      <explain>文本全半角错误。</explain>
      <paraID>7D8A9541</paraID>
      <start>16</start>
      <end>17</end>
      <status>unmodified</status>
      <modifiedWord/>
      <trackRevisions>false</trackRevisions>
    </reviewItem>
    <reviewItem>
      <errorID>3ba41a4e-9473-49e5-aec8-23641882c332</errorID>
      <errorWord>-</errorWord>
      <group>L1_Format</group>
      <groupName>格式问题</groupName>
      <ability>L2_HalfPunc_CN</ability>
      <abilityName>全半角问题</abilityName>
      <candidateList>
        <item>－</item>
      </candidateList>
      <explain>文本全半角错误。</explain>
      <paraID>7D8A9541</paraID>
      <start>90</start>
      <end>91</end>
      <status>unmodified</status>
      <modifiedWord/>
      <trackRevisions>false</trackRevisions>
    </reviewItem>
    <reviewItem>
      <errorID>4ba9f9a6-93b8-4302-a61d-a887fab4ad19</errorID>
      <errorWord>胶粘剂</errorWord>
      <group>L1_Word</group>
      <groupName>字词问题</groupName>
      <ability>L2_Typo</ability>
      <abilityName>字词错误</abilityName>
      <candidateList>
        <item>胶黏剂</item>
      </candidateList>
      <explain/>
      <paraID>7D8A9541</paraID>
      <start>170</start>
      <end>173</end>
      <status>unmodified</status>
      <modifiedWord/>
      <trackRevisions>false</trackRevisions>
    </reviewItem>
    <reviewItem>
      <errorID>6f3d9104-8059-4ec5-a167-8c28d859c018</errorID>
      <errorWord>-</errorWord>
      <group>L1_Format</group>
      <groupName>格式问题</groupName>
      <ability>L2_HalfPunc_CN</ability>
      <abilityName>全半角问题</abilityName>
      <candidateList>
        <item>－</item>
      </candidateList>
      <explain>文本全半角错误。</explain>
      <paraID>7D8A9541</paraID>
      <start>240</start>
      <end>241</end>
      <status>unmodified</status>
      <modifiedWord/>
      <trackRevisions>false</trackRevisions>
    </reviewItem>
    <reviewItem>
      <errorID>73f586df-52ad-4ef2-aa11-de1553c47a0d</errorID>
      <errorWord>-</errorWord>
      <group>L1_Format</group>
      <groupName>格式问题</groupName>
      <ability>L2_HalfPunc_CN</ability>
      <abilityName>全半角问题</abilityName>
      <candidateList>
        <item>－</item>
      </candidateList>
      <explain>文本全半角错误。</explain>
      <paraID> 8D47BF8</paraID>
      <start>0</start>
      <end>1</end>
      <status>unmodified</status>
      <modifiedWord/>
      <trackRevisions>false</trackRevisions>
    </reviewItem>
    <reviewItem>
      <errorID>01b11e56-00cb-432e-a3f2-12f92f01b89b</errorID>
      <errorWord>-</errorWord>
      <group>L1_Format</group>
      <groupName>格式问题</groupName>
      <ability>L2_HalfPunc_CN</ability>
      <abilityName>全半角问题</abilityName>
      <candidateList>
        <item>－</item>
      </candidateList>
      <explain>文本全半角错误。</explain>
      <paraID> 8D47BF8</paraID>
      <start>30</start>
      <end>31</end>
      <status>unmodified</status>
      <modifiedWord/>
      <trackRevisions>false</trackRevisions>
    </reviewItem>
    <reviewItem>
      <errorID>bb897756-7021-4a8d-aec4-d557c6e7ad03</errorID>
      <errorWord>-</errorWord>
      <group>L1_Format</group>
      <groupName>格式问题</groupName>
      <ability>L2_HalfPunc_CN</ability>
      <abilityName>全半角问题</abilityName>
      <candidateList>
        <item>－</item>
      </candidateList>
      <explain>文本全半角错误。</explain>
      <paraID> 8D47BF8</paraID>
      <start>137</start>
      <end>138</end>
      <status>unmodified</status>
      <modifiedWord/>
      <trackRevisions>false</trackRevisions>
    </reviewItem>
    <reviewItem>
      <errorID>07dcccac-22c1-44e7-8bff-c6a9ffa3e1d4</errorID>
      <errorWord>-</errorWord>
      <group>L1_Format</group>
      <groupName>格式问题</groupName>
      <ability>L2_HalfPunc_CN</ability>
      <abilityName>全半角问题</abilityName>
      <candidateList>
        <item>－</item>
      </candidateList>
      <explain>文本全半角错误。</explain>
      <paraID> 8D47BF8</paraID>
      <start>236</start>
      <end>237</end>
      <status>unmodified</status>
      <modifiedWord/>
      <trackRevisions>false</trackRevisions>
    </reviewItem>
    <reviewItem>
      <errorID>03642f70-8d28-49c7-a2c9-ccc6eb7f56ab</errorID>
      <errorWord>-</errorWord>
      <group>L1_Format</group>
      <groupName>格式问题</groupName>
      <ability>L2_HalfPunc_CN</ability>
      <abilityName>全半角问题</abilityName>
      <candidateList>
        <item>－</item>
      </candidateList>
      <explain>文本全半角错误。</explain>
      <paraID>6B6E7931</paraID>
      <start>0</start>
      <end>1</end>
      <status>unmodified</status>
      <modifiedWord/>
      <trackRevisions>false</trackRevisions>
    </reviewItem>
    <reviewItem>
      <errorID>f8cca098-4041-4243-a32f-b500bef670cc</errorID>
      <errorWord>-</errorWord>
      <group>L1_Format</group>
      <groupName>格式问题</groupName>
      <ability>L2_HalfPunc_CN</ability>
      <abilityName>全半角问题</abilityName>
      <candidateList>
        <item>－</item>
      </candidateList>
      <explain>文本全半角错误。</explain>
      <paraID>46EC9E20</paraID>
      <start>0</start>
      <end>1</end>
      <status>unmodified</status>
      <modifiedWord/>
      <trackRevisions>false</trackRevisions>
    </reviewItem>
    <reviewItem>
      <errorID>edc152ae-806a-4b42-958c-b320e4cf31d8</errorID>
      <errorWord>控制控制</errorWord>
      <group>L1_Word</group>
      <groupName>字词问题</groupName>
      <ability>L2_Typo</ability>
      <abilityName>字词错误</abilityName>
      <candidateList>
        <item>控制</item>
      </candidateList>
      <explain/>
      <paraID>46EC9E20</paraID>
      <start>14</start>
      <end>16</end>
      <status>modified</status>
      <modifiedWord>控制</modifiedWord>
      <trackRevisions>false</trackRevisions>
    </reviewItem>
    <reviewItem>
      <errorID>34dc73b4-03fe-4dc0-a72b-b949fd8bd9f8</errorID>
      <errorWord>-</errorWord>
      <group>L1_Format</group>
      <groupName>格式问题</groupName>
      <ability>L2_HalfPunc_CN</ability>
      <abilityName>全半角问题</abilityName>
      <candidateList>
        <item>－</item>
      </candidateList>
      <explain>文本全半角错误。</explain>
      <paraID>46EC9E20</paraID>
      <start>30</start>
      <end>31</end>
      <status>unmodified</status>
      <modifiedWord/>
      <trackRevisions>false</trackRevisions>
    </reviewItem>
    <reviewItem>
      <errorID>18d0a775-0768-4940-92ca-a4d28c949ee9</errorID>
      <errorWord>-</errorWord>
      <group>L1_Format</group>
      <groupName>格式问题</groupName>
      <ability>L2_HalfPunc_CN</ability>
      <abilityName>全半角问题</abilityName>
      <candidateList>
        <item>－</item>
      </candidateList>
      <explain>文本全半角错误。</explain>
      <paraID>70CD6EAA</paraID>
      <start>0</start>
      <end>1</end>
      <status>unmodified</status>
      <modifiedWord/>
      <trackRevisions>false</trackRevisions>
    </reviewItem>
    <reviewItem>
      <errorID>1f2be6df-c98b-4fa1-a413-83da39916d28</errorID>
      <errorWord>-</errorWord>
      <group>L1_Format</group>
      <groupName>格式问题</groupName>
      <ability>L2_HalfPunc_CN</ability>
      <abilityName>全半角问题</abilityName>
      <candidateList>
        <item>－</item>
      </candidateList>
      <explain>文本全半角错误。</explain>
      <paraID>70CD6EAA</paraID>
      <start>43</start>
      <end>44</end>
      <status>unmodified</status>
      <modifiedWord/>
      <trackRevisions>false</trackRevisions>
    </reviewItem>
    <reviewItem>
      <errorID>bfd1a5df-3ac9-463c-8cea-9b19fea399b1</errorID>
      <errorWord>-</errorWord>
      <group>L1_Format</group>
      <groupName>格式问题</groupName>
      <ability>L2_HalfPunc_CN</ability>
      <abilityName>全半角问题</abilityName>
      <candidateList>
        <item>－</item>
      </candidateList>
      <explain>文本全半角错误。</explain>
      <paraID>70CD6EAA</paraID>
      <start>83</start>
      <end>84</end>
      <status>unmodified</status>
      <modifiedWord/>
      <trackRevisions>false</trackRevisions>
    </reviewItem>
    <reviewItem>
      <errorID>7ac01bdb-9ff8-4be1-8219-442f6965c90c</errorID>
      <errorWord>-</errorWord>
      <group>L1_Format</group>
      <groupName>格式问题</groupName>
      <ability>L2_HalfPunc_CN</ability>
      <abilityName>全半角问题</abilityName>
      <candidateList>
        <item>－</item>
      </candidateList>
      <explain>文本全半角错误。</explain>
      <paraID>70CD6EAA</paraID>
      <start>125</start>
      <end>126</end>
      <status>unmodified</status>
      <modifiedWord/>
      <trackRevisions>false</trackRevisions>
    </reviewItem>
    <reviewItem>
      <errorID>1d7597fd-b0d3-463d-9477-0285a3526d95</errorID>
      <errorWord>-</errorWord>
      <group>L1_Format</group>
      <groupName>格式问题</groupName>
      <ability>L2_HalfPunc_CN</ability>
      <abilityName>全半角问题</abilityName>
      <candidateList>
        <item>－</item>
      </candidateList>
      <explain>文本全半角错误。</explain>
      <paraID>70CD6EAA</paraID>
      <start>172</start>
      <end>173</end>
      <status>unmodified</status>
      <modifiedWord/>
      <trackRevisions>false</trackRevisions>
    </reviewItem>
    <reviewItem>
      <errorID>942a974c-72c6-4501-8a04-3d4c756c88ca</errorID>
      <errorWord>-</errorWord>
      <group>L1_Format</group>
      <groupName>格式问题</groupName>
      <ability>L2_HalfPunc_CN</ability>
      <abilityName>全半角问题</abilityName>
      <candidateList>
        <item>－</item>
      </candidateList>
      <explain>文本全半角错误。</explain>
      <paraID>6AB5AE90</paraID>
      <start>97</start>
      <end>98</end>
      <status>unmodified</status>
      <modifiedWord/>
      <trackRevisions>false</trackRevisions>
    </reviewItem>
    <reviewItem>
      <errorID>415d3500-d49f-481f-aedc-8fa5f7b8c6c4</errorID>
      <errorWord>-</errorWord>
      <group>L1_Format</group>
      <groupName>格式问题</groupName>
      <ability>L2_HalfPunc_CN</ability>
      <abilityName>全半角问题</abilityName>
      <candidateList>
        <item>－</item>
      </candidateList>
      <explain>文本全半角错误。</explain>
      <paraID>6AB5AE90</paraID>
      <start>140</start>
      <end>141</end>
      <status>unmodified</status>
      <modifiedWord/>
      <trackRevisions>false</trackRevisions>
    </reviewItem>
    <reviewItem>
      <errorID>b24bf3e6-ae80-490c-9a8d-2e954e4ee875</errorID>
      <errorWord>-</errorWord>
      <group>L1_Format</group>
      <groupName>格式问题</groupName>
      <ability>L2_HalfPunc_CN</ability>
      <abilityName>全半角问题</abilityName>
      <candidateList>
        <item>－</item>
      </candidateList>
      <explain>文本全半角错误。</explain>
      <paraID>6AB5AE90</paraID>
      <start>236</start>
      <end>237</end>
      <status>unmodified</status>
      <modifiedWord/>
      <trackRevisions>false</trackRevisions>
    </reviewItem>
    <reviewItem>
      <errorID>707a53eb-198d-45df-9e30-7dd762f7ea74</errorID>
      <errorWord>-</errorWord>
      <group>L1_Format</group>
      <groupName>格式问题</groupName>
      <ability>L2_HalfPunc_CN</ability>
      <abilityName>全半角问题</abilityName>
      <candidateList>
        <item>－</item>
      </candidateList>
      <explain>文本全半角错误。</explain>
      <paraID> 7637B42</paraID>
      <start>0</start>
      <end>1</end>
      <status>unmodified</status>
      <modifiedWord/>
      <trackRevisions>false</trackRevisions>
    </reviewItem>
    <reviewItem>
      <errorID>ac0d0cac-2139-4ed5-98e7-5694e7ad91ae</errorID>
      <errorWord>-</errorWord>
      <group>L1_Format</group>
      <groupName>格式问题</groupName>
      <ability>L2_HalfPunc_CN</ability>
      <abilityName>全半角问题</abilityName>
      <candidateList>
        <item>－</item>
      </candidateList>
      <explain>文本全半角错误。</explain>
      <paraID> 7637B42</paraID>
      <start>26</start>
      <end>27</end>
      <status>unmodified</status>
      <modifiedWord/>
      <trackRevisions>false</trackRevisions>
    </reviewItem>
    <reviewItem>
      <errorID>9c753dcc-9a75-4cb3-91f3-f5a2bbb10e58</errorID>
      <errorWord>-</errorWord>
      <group>L1_Format</group>
      <groupName>格式问题</groupName>
      <ability>L2_HalfPunc_CN</ability>
      <abilityName>全半角问题</abilityName>
      <candidateList>
        <item>－</item>
      </candidateList>
      <explain>文本全半角错误。</explain>
      <paraID>7FD8BACD</paraID>
      <start>0</start>
      <end>1</end>
      <status>unmodified</status>
      <modifiedWord/>
      <trackRevisions>false</trackRevisions>
    </reviewItem>
    <reviewItem>
      <errorID>c6c444b6-afdd-420e-b8c8-306017a327f9</errorID>
      <errorWord>-</errorWord>
      <group>L1_Format</group>
      <groupName>格式问题</groupName>
      <ability>L2_HalfPunc_CN</ability>
      <abilityName>全半角问题</abilityName>
      <candidateList>
        <item>－</item>
      </candidateList>
      <explain>文本全半角错误。</explain>
      <paraID>7FD8BACD</paraID>
      <start>33</start>
      <end>34</end>
      <status>unmodified</status>
      <modifiedWord/>
      <trackRevisions>false</trackRevisions>
    </reviewItem>
    <reviewItem>
      <errorID>7a8e9efa-7ba6-4c90-bc00-f845a6b81748</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6CED87D7</paraID>
      <start>17</start>
      <end>18</end>
      <status>unmodified</status>
      <modifiedWord/>
      <trackRevisions>false</trackRevisions>
    </reviewItem>
    <reviewItem>
      <errorID>cba9c35f-9442-4f49-bfe0-99816c0e0d13</errorID>
      <errorWord>III级</errorWord>
      <group>L1_Knowledge</group>
      <groupName>知识性问题</groupName>
      <ability>L2_Knowledge</ability>
      <abilityName>其他知识</abilityName>
      <candidateList>
        <item>Ⅲ级</item>
      </candidateList>
      <explain>中文环境下罗马数字格式错误。</explain>
      <paraID>438B095A</paraID>
      <start>30</start>
      <end>32</end>
      <status>modified</status>
      <modifiedWord>Ⅲ级</modifiedWord>
      <trackRevisions>false</trackRevisions>
    </reviewItem>
    <reviewItem>
      <errorID>bcfb8dae-52e0-4f5d-a71d-5679301caf0f</errorID>
      <errorWord>-</errorWord>
      <group>L1_Format</group>
      <groupName>格式问题</groupName>
      <ability>L2_HalfPunc_CN</ability>
      <abilityName>全半角问题</abilityName>
      <candidateList>
        <item>－</item>
      </candidateList>
      <explain>文本全半角错误。</explain>
      <paraID>438B095A</paraID>
      <start>105</start>
      <end>106</end>
      <status>unmodified</status>
      <modifiedWord/>
      <trackRevisions>false</trackRevisions>
    </reviewItem>
    <reviewItem>
      <errorID>bab5f10c-69e4-49ce-a6af-bf59a0699a0d</errorID>
      <errorWord>-</errorWord>
      <group>L1_Format</group>
      <groupName>格式问题</groupName>
      <ability>L2_HalfPunc_CN</ability>
      <abilityName>全半角问题</abilityName>
      <candidateList>
        <item>－</item>
      </candidateList>
      <explain>文本全半角错误。</explain>
      <paraID>438B095A</paraID>
      <start>108</start>
      <end>109</end>
      <status>unmodified</status>
      <modifiedWord/>
      <trackRevisions>false</trackRevisions>
    </reviewItem>
    <reviewItem>
      <errorID>d8712750-be52-4a48-9284-187674daea5f</errorID>
      <errorWord>-</errorWord>
      <group>L1_Format</group>
      <groupName>格式问题</groupName>
      <ability>L2_HalfPunc_CN</ability>
      <abilityName>全半角问题</abilityName>
      <candidateList>
        <item>－</item>
      </candidateList>
      <explain>文本全半角错误。</explain>
      <paraID>5B4D0287</paraID>
      <start>17</start>
      <end>18</end>
      <status>unmodified</status>
      <modifiedWord/>
      <trackRevisions>false</trackRevisions>
    </reviewItem>
    <reviewItem>
      <errorID>19823a5d-cd4d-4ce8-b2c4-752ee62e425c</errorID>
      <errorWord>-</errorWord>
      <group>L1_Format</group>
      <groupName>格式问题</groupName>
      <ability>L2_HalfPunc_CN</ability>
      <abilityName>全半角问题</abilityName>
      <candidateList>
        <item>－</item>
      </candidateList>
      <explain>文本全半角错误。</explain>
      <paraID>5B4D0287</paraID>
      <start>21</start>
      <end>22</end>
      <status>unmodified</status>
      <modifiedWord/>
      <trackRevisions>false</trackRevisions>
    </reviewItem>
    <reviewItem>
      <errorID>f21cb0d7-13cb-4670-ab5c-1d4bc0150b2b</errorID>
      <errorWord>-</errorWord>
      <group>L1_Format</group>
      <groupName>格式问题</groupName>
      <ability>L2_HalfPunc_CN</ability>
      <abilityName>全半角问题</abilityName>
      <candidateList>
        <item>－</item>
      </candidateList>
      <explain>文本全半角错误。</explain>
      <paraID>5B4D0287</paraID>
      <start>24</start>
      <end>25</end>
      <status>unmodified</status>
      <modifiedWord/>
      <trackRevisions>false</trackRevisions>
    </reviewItem>
    <reviewItem>
      <errorID>f082ba60-84eb-49c5-a697-553b55d3905c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735D1CD3</paraID>
      <start>0</start>
      <end>2</end>
      <status>unmodified</status>
      <modifiedWord/>
      <trackRevisions>false</trackRevisions>
    </reviewItem>
    <reviewItem>
      <errorID>af1d055a-eb3f-4fb2-aa66-5eca0382ad34</errorID>
      <errorWord>，</errorWord>
      <group>L1_Word</group>
      <groupName>字词问题</groupName>
      <ability>L2_Typo</ability>
      <abilityName>字词错误</abilityName>
      <candidateList>
        <item>，加</item>
      </candidateList>
      <explain/>
      <paraID>735D1CD3</paraID>
      <start>186</start>
      <end>188</end>
      <status>modified</status>
      <modifiedWord>，加</modifiedWord>
      <trackRevisions>false</trackRevisions>
    </reviewItem>
    <reviewItem>
      <errorID>07adf99b-90f3-4427-92cc-626266edf4aa</errorID>
      <errorWord>,</errorWord>
      <group>L1_Format</group>
      <groupName>格式问题</groupName>
      <ability>L2_HalfPunc_CN</ability>
      <abilityName>全半角问题</abilityName>
      <candidateList>
        <item>，</item>
      </candidateList>
      <explain>文本全半角错误。</explain>
      <paraID>735D1CD3</paraID>
      <start>273</start>
      <end>274</end>
      <status>unmodified</status>
      <modifiedWord/>
      <trackRevisions>false</trackRevisions>
    </reviewItem>
    <reviewItem>
      <errorID>4aae7148-8cf4-4a6f-be78-b037cd69c288</errorID>
      <errorWord>》</errorWord>
      <group>L1_Word</group>
      <groupName>字词问题</groupName>
      <ability>L2_Typo</ability>
      <abilityName>字词错误</abilityName>
      <candidateList>
        <item>》等</item>
      </candidateList>
      <explain/>
      <paraID>735D1CD3</paraID>
      <start>349</start>
      <end>350</end>
      <status>unmodified</status>
      <modifiedWord/>
      <trackRevisions>false</trackRevisions>
    </reviewItem>
    <reviewItem>
      <errorID>9f264002-d9ef-4fc6-9bb1-795a654b015d</errorID>
      <errorWord>工业工地</errorWord>
      <group>L1_Word</group>
      <groupName>字词问题</groupName>
      <ability>L2_Typo</ability>
      <abilityName>字词错误</abilityName>
      <candidateList>
        <item>工业用地</item>
      </candidateList>
      <explain>存在发音相近字词的误用。</explain>
      <paraID>57D7571D</paraID>
      <start>16</start>
      <end>20</end>
      <status>modified</status>
      <modifiedWord>工业用地</modifiedWord>
      <trackRevisions>false</trackRevisions>
    </reviewItem>
    <reviewItem>
      <errorID>ee8c51ce-47a6-412b-8a68-9afa127ee7d7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469AF798</paraID>
      <start>0</start>
      <end>2</end>
      <status>unmodified</status>
      <modifiedWord/>
      <trackRevisions>false</trackRevisions>
    </reviewItem>
    <reviewItem>
      <errorID>5af1af2d-6cb0-4eda-a620-33baa4ce06e8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469AF798</paraID>
      <start>92</start>
      <end>94</end>
      <status>unmodified</status>
      <modifiedWord/>
      <trackRevisions>false</trackRevisions>
    </reviewItem>
    <reviewItem>
      <errorID>f0fdab8a-6bdc-4561-a5de-3c9659227599</errorID>
      <errorWord>工业工地</errorWord>
      <group>L1_Word</group>
      <groupName>字词问题</groupName>
      <ability>L2_Typo</ability>
      <abilityName>字词错误</abilityName>
      <candidateList>
        <item>工业用地</item>
      </candidateList>
      <explain>存在发音相近字词的误用。</explain>
      <paraID>62EF058C</paraID>
      <start>16</start>
      <end>20</end>
      <status>modified</status>
      <modifiedWord>工业用地</modifiedWord>
      <trackRevisions>false</trackRevisions>
    </reviewItem>
    <reviewItem>
      <errorID>1fee53d9-0ca0-4de8-bad5-86d4f849e5da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77227F58</paraID>
      <start>0</start>
      <end>2</end>
      <status>unmodified</status>
      <modifiedWord/>
      <trackRevisions>false</trackRevisions>
    </reviewItem>
    <reviewItem>
      <errorID>1a81c506-25d4-4d6f-b1be-1d542b770382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55A340F5</paraID>
      <start>0</start>
      <end>2</end>
      <status>unmodified</status>
      <modifiedWord/>
      <trackRevisions>false</trackRevisions>
    </reviewItem>
    <reviewItem>
      <errorID>ef6b01c1-d850-4987-a736-6f4e5a14404b</errorID>
      <errorWord>范</errorWord>
      <group>L1_Word</group>
      <groupName>字词问题</groupName>
      <ability>L2_Typo</ability>
      <abilityName>字词错误</abilityName>
      <candidateList>
        <item>范性</item>
      </candidateList>
      <explain/>
      <paraID>55A340F5</paraID>
      <start>12</start>
      <end>13</end>
      <status>unmodified</status>
      <modifiedWord/>
      <trackRevisions>false</trackRevisions>
    </reviewItem>
    <reviewItem>
      <errorID>23fc2ce8-85ed-40b0-aa48-77eb685fa15e</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5748E65C</paraID>
      <start>54</start>
      <end>55</end>
      <status>unmodified</status>
      <modifiedWord/>
      <trackRevisions>false</trackRevisions>
    </reviewItem>
    <reviewItem>
      <errorID>e984f97f-058a-4704-be5d-78b902d3f6e1</errorID>
      <errorWord>处理达《城镇</errorWord>
      <group>L1_Word</group>
      <groupName>字词问题</groupName>
      <ability>L2_Typo</ability>
      <abilityName>字词错误</abilityName>
      <candidateList>
        <item>处理达到《城镇</item>
      </candidateList>
      <explain/>
      <paraID>1B3CE29A</paraID>
      <start>121</start>
      <end>128</end>
      <status>modified</status>
      <modifiedWord>处理达到《城镇</modifiedWord>
      <trackRevisions>false</trackRevisions>
    </reviewItem>
    <reviewItem>
      <errorID>a118c6a1-63dc-433e-936e-d8416161b114</errorID>
      <errorWord>达</errorWord>
      <group>L1_Word</group>
      <groupName>字词问题</groupName>
      <ability>L2_Typo</ability>
      <abilityName>字词错误</abilityName>
      <candidateList>
        <item>达到</item>
      </candidateList>
      <explain>〈动〉到（多指抽象事物或程度）：达得到｜达不到｜目的没有～｜～国际水平。</explain>
      <paraID>5206C94F</paraID>
      <start>94</start>
      <end>95</end>
      <status>unmodified</status>
      <modifiedWord/>
      <trackRevisions>false</trackRevisions>
    </reviewItem>
    <reviewItem>
      <errorID>580ed886-6fb2-4694-9349-a63041578102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3267C3CE</paraID>
      <start>0</start>
      <end>2</end>
      <status>unmodified</status>
      <modifiedWord/>
      <trackRevisions>false</trackRevisions>
    </reviewItem>
    <reviewItem>
      <errorID>45444c33-b3b0-4020-a219-7177f9c409cd</errorID>
      <errorWord>范</errorWord>
      <group>L1_Word</group>
      <groupName>字词问题</groupName>
      <ability>L2_Typo</ability>
      <abilityName>字词错误</abilityName>
      <candidateList>
        <item>范性</item>
      </candidateList>
      <explain/>
      <paraID>3267C3CE</paraID>
      <start>13</start>
      <end>14</end>
      <status>unmodified</status>
      <modifiedWord/>
      <trackRevisions>false</trackRevisions>
    </reviewItem>
    <reviewItem>
      <errorID>b89be3f4-e67f-43cd-a901-27da1ace8f6d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6ADBB01</paraID>
      <start>0</start>
      <end>2</end>
      <status>unmodified</status>
      <modifiedWord/>
      <trackRevisions>false</trackRevisions>
    </reviewItem>
    <reviewItem>
      <errorID>fb64d05d-d690-4588-8176-b46eb0a43295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742A7B10</paraID>
      <start>0</start>
      <end>2</end>
      <status>unmodified</status>
      <modifiedWord/>
      <trackRevisions>false</trackRevisions>
    </reviewItem>
    <reviewItem>
      <errorID>d95e601a-1447-4754-b13f-29b5248c233e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4E443C74</paraID>
      <start>34</start>
      <end>35</end>
      <status>unmodified</status>
      <modifiedWord/>
      <trackRevisions>false</trackRevisions>
    </reviewItem>
    <reviewItem>
      <errorID>7e422da5-e0ca-489c-82ab-020158d35271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416D49DE</paraID>
      <start>0</start>
      <end>2</end>
      <status>unmodified</status>
      <modifiedWord/>
      <trackRevisions>false</trackRevisions>
    </reviewItem>
    <reviewItem>
      <errorID>c2c01b5e-e7da-4ae0-8b6c-d1e7660dcb7f</errorID>
      <errorWord>II级</errorWord>
      <group>L1_Knowledge</group>
      <groupName>知识性问题</groupName>
      <ability>L2_Knowledge</ability>
      <abilityName>其他知识</abilityName>
      <candidateList>
        <item>Ⅱ级</item>
      </candidateList>
      <explain>中文环境下罗马数字格式错误。</explain>
      <paraID>66750634</paraID>
      <start>49</start>
      <end>51</end>
      <status>modified</status>
      <modifiedWord>Ⅱ级</modifiedWord>
      <trackRevisions>false</trackRevisions>
    </reviewItem>
    <reviewItem>
      <errorID>df2ad29d-e7dd-4f91-8415-9602eb2feab0</errorID>
      <errorWord>(</errorWord>
      <group>L1_Format</group>
      <groupName>格式问题</groupName>
      <ability>L2_HalfPunc_CN</ability>
      <abilityName>全半角问题</abilityName>
      <candidateList>
        <item>（</item>
      </candidateList>
      <explain>文本全半角错误。</explain>
      <paraID> 68803F1</paraID>
      <start>25</start>
      <end>26</end>
      <status>modified</status>
      <modifiedWord>（</modifiedWord>
      <trackRevisions>false</trackRevisions>
    </reviewItem>
    <reviewItem>
      <errorID>88673150-c541-4c89-b657-6343b095fc9d</errorID>
      <errorWord>)</errorWord>
      <group>L1_Format</group>
      <groupName>格式问题</groupName>
      <ability>L2_HalfPunc_CN</ability>
      <abilityName>全半角问题</abilityName>
      <candidateList>
        <item>）</item>
      </candidateList>
      <explain>文本全半角错误。</explain>
      <paraID> 68803F1</paraID>
      <start>29</start>
      <end>30</end>
      <status>modified</status>
      <modifiedWord>）</modifiedWord>
      <trackRevisions>false</trackRevisions>
    </reviewItem>
    <reviewItem>
      <errorID>b7c1cfc0-d909-4d3b-bcaa-c031b2cb7e94</errorID>
      <errorWord>(</errorWord>
      <group>L1_Format</group>
      <groupName>格式问题</groupName>
      <ability>L2_HalfPunc_CN</ability>
      <abilityName>全半角问题</abilityName>
      <candidateList>
        <item>（</item>
      </candidateList>
      <explain>文本全半角错误。</explain>
      <paraID> 68803F1</paraID>
      <start>76</start>
      <end>77</end>
      <status>modified</status>
      <modifiedWord>（</modifiedWord>
      <trackRevisions>false</trackRevisions>
    </reviewItem>
    <reviewItem>
      <errorID>5d6ff34f-bb3e-47a0-94e2-fdf6e741a83a</errorID>
      <errorWord>)</errorWord>
      <group>L1_Format</group>
      <groupName>格式问题</groupName>
      <ability>L2_HalfPunc_CN</ability>
      <abilityName>全半角问题</abilityName>
      <candidateList>
        <item>）</item>
      </candidateList>
      <explain>文本全半角错误。</explain>
      <paraID> 68803F1</paraID>
      <start>84</start>
      <end>85</end>
      <status>modified</status>
      <modifiedWord>）</modifiedWord>
      <trackRevisions>false</trackRevisions>
    </reviewItem>
    <reviewItem>
      <errorID>121118b3-0a83-41a3-8387-1e9ca3dbb2ac</errorID>
      <errorWord>(</errorWord>
      <group>L1_Format</group>
      <groupName>格式问题</groupName>
      <ability>L2_HalfPunc_CN</ability>
      <abilityName>全半角问题</abilityName>
      <candidateList>
        <item>（</item>
      </candidateList>
      <explain>文本全半角错误。</explain>
      <paraID>6701BB6D</paraID>
      <start>79</start>
      <end>80</end>
      <status>modified</status>
      <modifiedWord>（</modifiedWord>
      <trackRevisions>false</trackRevisions>
    </reviewItem>
    <reviewItem>
      <errorID>097d0aa5-59d4-4860-83b4-7b2a493101dd</errorID>
      <errorWord>)</errorWord>
      <group>L1_Format</group>
      <groupName>格式问题</groupName>
      <ability>L2_HalfPunc_CN</ability>
      <abilityName>全半角问题</abilityName>
      <candidateList>
        <item>）</item>
      </candidateList>
      <explain>文本全半角错误。</explain>
      <paraID>6701BB6D</paraID>
      <start>84</start>
      <end>85</end>
      <status>modified</status>
      <modifiedWord>）</modifiedWord>
      <trackRevisions>false</trackRevisions>
    </reviewItem>
    <reviewItem>
      <errorID>87fd5084-351f-4cbe-a43f-fe6406d91998</errorID>
      <errorWord>(</errorWord>
      <group>L1_Format</group>
      <groupName>格式问题</groupName>
      <ability>L2_HalfPunc_CN</ability>
      <abilityName>全半角问题</abilityName>
      <candidateList>
        <item>（</item>
      </candidateList>
      <explain>文本全半角错误。</explain>
      <paraID>6701BB6D</paraID>
      <start>156</start>
      <end>157</end>
      <status>modified</status>
      <modifiedWord>（</modifiedWord>
      <trackRevisions>false</trackRevisions>
    </reviewItem>
    <reviewItem>
      <errorID>9901d78a-a8af-4c7b-bed4-7c179f5528e2</errorID>
      <errorWord>)</errorWord>
      <group>L1_Format</group>
      <groupName>格式问题</groupName>
      <ability>L2_HalfPunc_CN</ability>
      <abilityName>全半角问题</abilityName>
      <candidateList>
        <item>）</item>
      </candidateList>
      <explain>文本全半角错误。</explain>
      <paraID>6701BB6D</paraID>
      <start>164</start>
      <end>165</end>
      <status>modified</status>
      <modifiedWord>）</modifiedWord>
      <trackRevisions>false</trackRevisions>
    </reviewItem>
    <reviewItem>
      <errorID>ac9bbe02-f82d-4370-b5b6-239f38cb667c</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3DD9CCB2</paraID>
      <start>0</start>
      <end>2</end>
      <status>unmodified</status>
      <modifiedWord/>
      <trackRevisions>false</trackRevisions>
    </reviewItem>
    <reviewItem>
      <errorID>87475948-3c01-40f2-96f7-e97b1b743cf9</errorID>
      <errorWord>（</errorWord>
      <group>L1_Punc</group>
      <groupName>标点问题</groupName>
      <ability>L2_Punc_CN</ability>
      <abilityName>标点符号问题</abilityName>
      <candidateList/>
      <explain>同一形式括号套用。</explain>
      <paraID>14E49BA9</paraID>
      <start>108</start>
      <end>109</end>
      <status>unmodified</status>
      <modifiedWord/>
      <trackRevisions>false</trackRevisions>
    </reviewItem>
    <reviewItem>
      <errorID>6f4524af-51ed-48c6-9944-924145e1331f</errorID>
      <errorWord>）</errorWord>
      <group>L1_Punc</group>
      <groupName>标点问题</groupName>
      <ability>L2_Punc_CN</ability>
      <abilityName>标点符号问题</abilityName>
      <candidateList/>
      <explain>同一形式括号套用。</explain>
      <paraID>14E49BA9</paraID>
      <start>113</start>
      <end>114</end>
      <status>unmodified</status>
      <modifiedWord/>
      <trackRevisions>false</trackRevisions>
    </reviewItem>
    <reviewItem>
      <errorID>b0f9d924-cd66-4298-a5af-d6df9393e198</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5CC6A138</paraID>
      <start>0</start>
      <end>3</end>
      <status>unmodified</status>
      <modifiedWord/>
      <trackRevisions>false</trackRevisions>
    </reviewItem>
    <reviewItem>
      <errorID>2a93bd63-01ea-49e8-bcb1-b7c8a0bc8595</errorID>
      <errorWord>.</errorWord>
      <group>L1_Format</group>
      <groupName>格式问题</groupName>
      <ability>L2_HalfPunc_CN</ability>
      <abilityName>全半角问题</abilityName>
      <candidateList>
        <item>。</item>
      </candidateList>
      <explain>文本全半角错误。</explain>
      <paraID>5DCAE11F</paraID>
      <start>2</start>
      <end>3</end>
      <status>unmodified</status>
      <modifiedWord/>
      <trackRevisions>false</trackRevisions>
    </reviewItem>
    <reviewItem>
      <errorID>92c092c8-ec00-41a4-8c06-72a49a7c87ba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290ACB96</paraID>
      <start>0</start>
      <end>2</end>
      <status>unmodified</status>
      <modifiedWord/>
      <trackRevisions>false</trackRevisions>
    </reviewItem>
    <reviewItem>
      <errorID>74cf598d-8284-4ed5-b956-850ec75daeaf</errorID>
      <errorWord>“双碳”战略</errorWord>
      <group>L1_Word</group>
      <groupName>字词问题</groupName>
      <ability>L2_Typo</ability>
      <abilityName>字词错误</abilityName>
      <candidateList>
        <item>“双碳”目标</item>
      </candidateList>
      <explain/>
      <paraID>1E311056</paraID>
      <start>33</start>
      <end>39</end>
      <status>unmodified</status>
      <modifiedWord/>
      <trackRevisions>false</trackRevisions>
    </reviewItem>
    <reviewItem>
      <errorID>af35a498-c146-4cf9-abf2-3bc620176ac7</errorID>
      <errorWord>-</errorWord>
      <group>L1_Format</group>
      <groupName>格式问题</groupName>
      <ability>L2_HalfPunc_CN</ability>
      <abilityName>全半角问题</abilityName>
      <candidateList>
        <item>－</item>
      </candidateList>
      <explain>文本全半角错误。</explain>
      <paraID>200CEFFD</paraID>
      <start>46</start>
      <end>47</end>
      <status>unmodified</status>
      <modifiedWord/>
      <trackRevisions>false</trackRevisions>
    </reviewItem>
    <reviewItem>
      <errorID>cbaaf767-9dad-4139-acdc-3f4bcc078ebf</errorID>
      <errorWord>》</errorWord>
      <group>L1_Word</group>
      <groupName>字词问题</groupName>
      <ability>L2_Typo</ability>
      <abilityName>字词错误</abilityName>
      <candidateList>
        <item>》等</item>
      </candidateList>
      <explain/>
      <paraID>22F6C83B</paraID>
      <start>46</start>
      <end>47</end>
      <status>unmodified</status>
      <modifiedWord/>
      <trackRevisions>false</trackRevisions>
    </reviewItem>
    <reviewItem>
      <errorID>cee8136f-e65b-42be-9d8b-2eb2b26a22a2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18D79456</paraID>
      <start>0</start>
      <end>2</end>
      <status>unmodified</status>
      <modifiedWord/>
      <trackRevisions>false</trackRevisions>
    </reviewItem>
    <reviewItem>
      <errorID>793b7a20-bdc9-4090-a772-65d6f4b3daa2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4AEEE1D0</paraID>
      <start>0</start>
      <end>2</end>
      <status>unmodified</status>
      <modifiedWord/>
      <trackRevisions>false</trackRevisions>
    </reviewItem>
    <reviewItem>
      <errorID>0793050c-7efc-4ebe-a2ac-79cebae5aab5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2FF9A5CF</paraID>
      <start>0</start>
      <end>2</end>
      <status>unmodified</status>
      <modifiedWord/>
      <trackRevisions>false</trackRevisions>
    </reviewItem>
    <reviewItem>
      <errorID>5b574de1-a5b9-47c3-a814-772255ac4c20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7BDE72DC</paraID>
      <start>0</start>
      <end>2</end>
      <status>unmodified</status>
      <modifiedWord/>
      <trackRevisions>false</trackRevisions>
    </reviewItem>
    <reviewItem>
      <errorID>7bbc78ad-d752-4f05-b63f-9542f98c47a0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268AD9F3</paraID>
      <start>2</start>
      <end>3</end>
      <status>unmodified</status>
      <modifiedWord/>
      <trackRevisions>false</trackRevisions>
    </reviewItem>
    <reviewItem>
      <errorID>15cbefd5-d9c3-4223-833d-d6c18128babd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3BD0C950</paraID>
      <start>2</start>
      <end>3</end>
      <status>unmodified</status>
      <modifiedWord/>
      <trackRevisions>false</trackRevisions>
    </reviewItem>
    <reviewItem>
      <errorID>fd9ad865-4588-4c81-ae92-19c46aef5248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3369A705</paraID>
      <start>0</start>
      <end>2</end>
      <status>unmodified</status>
      <modifiedWord/>
      <trackRevisions>false</trackRevisions>
    </reviewItem>
    <reviewItem>
      <errorID>94bd4084-daf5-406d-a5cd-9f7a14eb343c</errorID>
      <errorWord>粘结剂</errorWord>
      <group>L1_Word</group>
      <groupName>字词问题</groupName>
      <ability>L2_Typo</ability>
      <abilityName>字词错误</abilityName>
      <candidateList>
        <item>黏结剂</item>
      </candidateList>
      <explain/>
      <paraID>6C131CDF</paraID>
      <start>0</start>
      <end>3</end>
      <status>unmodified</status>
      <modifiedWord/>
      <trackRevisions>false</trackRevisions>
    </reviewItem>
    <reviewItem>
      <errorID>7974418c-2575-4943-8774-a4f8905355a8</errorID>
      <errorWord>粘结剂</errorWord>
      <group>L1_Word</group>
      <groupName>字词问题</groupName>
      <ability>L2_Typo</ability>
      <abilityName>字词错误</abilityName>
      <candidateList>
        <item>黏结剂</item>
      </candidateList>
      <explain/>
      <paraID>526C3CB2</paraID>
      <start>0</start>
      <end>3</end>
      <status>unmodified</status>
      <modifiedWord/>
      <trackRevisions>false</trackRevisions>
    </reviewItem>
    <reviewItem>
      <errorID>19e5064e-d7d4-43a7-8e0c-b02cc81e15ab</errorID>
      <errorWord>粘结剂</errorWord>
      <group>L1_Word</group>
      <groupName>字词问题</groupName>
      <ability>L2_Typo</ability>
      <abilityName>字词错误</abilityName>
      <candidateList>
        <item>黏结剂</item>
      </candidateList>
      <explain/>
      <paraID>5700584E</paraID>
      <start>27</start>
      <end>30</end>
      <status>unmodified</status>
      <modifiedWord/>
      <trackRevisions>false</trackRevisions>
    </reviewItem>
    <reviewItem>
      <errorID>4ba26f9c-3a79-4399-a279-7e18536e4da5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5D5926D</paraID>
      <start>64</start>
      <end>65</end>
      <status>unmodified</status>
      <modifiedWord/>
      <trackRevisions>false</trackRevisions>
    </reviewItem>
    <reviewItem>
      <errorID>d03ebfd1-f647-44f8-ba0a-3d476b98cb28</errorID>
      <errorWord>粘度</errorWord>
      <group>L1_Word</group>
      <groupName>字词问题</groupName>
      <ability>L2_Alias</ability>
      <abilityName>也作/曾用词</abilityName>
      <candidateList>
        <item>黏度</item>
      </candidateList>
      <explain>词汇[粘度]为不规范表述或旧称，其规范书面表述为[黏度]。</explain>
      <paraID>68DDC958</paraID>
      <start>77</start>
      <end>79</end>
      <status>modified</status>
      <modifiedWord>黏度</modifiedWord>
      <trackRevisions>false</trackRevisions>
    </reviewItem>
    <reviewItem>
      <errorID>5fd1088f-1e5b-4cb7-a56d-23e76a8abd88</errorID>
      <errorWord>(</errorWord>
      <group>L1_Format</group>
      <groupName>格式问题</groupName>
      <ability>L2_HalfPunc_CN</ability>
      <abilityName>全半角问题</abilityName>
      <candidateList>
        <item>（</item>
      </candidateList>
      <explain>文本全半角错误。</explain>
      <paraID>7C5C731E</paraID>
      <start>25</start>
      <end>26</end>
      <status>modified</status>
      <modifiedWord>（</modifiedWord>
      <trackRevisions>false</trackRevisions>
    </reviewItem>
    <reviewItem>
      <errorID>10df35af-afe0-44ca-845b-573b9eb8b6bc</errorID>
      <errorWord>)</errorWord>
      <group>L1_Format</group>
      <groupName>格式问题</groupName>
      <ability>L2_HalfPunc_CN</ability>
      <abilityName>全半角问题</abilityName>
      <candidateList>
        <item>）</item>
      </candidateList>
      <explain>文本全半角错误。</explain>
      <paraID>7C5C731E</paraID>
      <start>27</start>
      <end>28</end>
      <status>modified</status>
      <modifiedWord>）</modifiedWord>
      <trackRevisions>false</trackRevisions>
    </reviewItem>
    <reviewItem>
      <errorID>12b4059e-1b27-41dc-95d4-14a155e9d96d</errorID>
      <errorWord>(</errorWord>
      <group>L1_Format</group>
      <groupName>格式问题</groupName>
      <ability>L2_HalfPunc_CN</ability>
      <abilityName>全半角问题</abilityName>
      <candidateList>
        <item>（</item>
      </candidateList>
      <explain>文本全半角错误。</explain>
      <paraID>3C3F432E</paraID>
      <start>6</start>
      <end>7</end>
      <status>modified</status>
      <modifiedWord>（</modifiedWord>
      <trackRevisions>false</trackRevisions>
    </reviewItem>
    <reviewItem>
      <errorID>29fb9636-6958-4d80-946a-510a9866bd38</errorID>
      <errorWord>)</errorWord>
      <group>L1_Format</group>
      <groupName>格式问题</groupName>
      <ability>L2_HalfPunc_CN</ability>
      <abilityName>全半角问题</abilityName>
      <candidateList>
        <item>）</item>
      </candidateList>
      <explain>文本全半角错误。</explain>
      <paraID>3C3F432E</paraID>
      <start>8</start>
      <end>9</end>
      <status>modified</status>
      <modifiedWord>）</modifiedWord>
      <trackRevisions>false</trackRevisions>
    </reviewItem>
    <reviewItem>
      <errorID>b0276aab-d78d-433e-9e5b-c28f0cd00e62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3C812866</paraID>
      <start>30</start>
      <end>31</end>
      <status>unmodified</status>
      <modifiedWord/>
      <trackRevisions>false</trackRevisions>
    </reviewItem>
    <reviewItem>
      <errorID>66800d65-e0ec-4142-89b7-c96c1bde5c20</errorID>
      <errorWord>)</errorWord>
      <group>L1_Format</group>
      <groupName>格式问题</groupName>
      <ability>L2_HalfPunc_CN</ability>
      <abilityName>全半角问题</abilityName>
      <candidateList>
        <item>）</item>
      </candidateList>
      <explain>文本全半角错误。</explain>
      <paraID>4B619E0B</paraID>
      <start>24</start>
      <end>25</end>
      <status>modified</status>
      <modifiedWord>）</modifiedWord>
      <trackRevisions>false</trackRevisions>
    </reviewItem>
    <reviewItem>
      <errorID>66593c98-3e19-468a-809f-13b20057a313</errorID>
      <errorWord>，，</errorWord>
      <group>L1_Punc</group>
      <groupName>标点问题</groupName>
      <ability>L2_Punc_CN</ability>
      <abilityName>标点符号问题</abilityName>
      <candidateList>
        <item>，</item>
      </candidateList>
      <explain/>
      <paraID>2D69B815</paraID>
      <start>49</start>
      <end>51</end>
      <status>unmodified</status>
      <modifiedWord/>
      <trackRevisions>false</trackRevisions>
    </reviewItem>
    <reviewItem>
      <errorID>caf12cc2-9336-4a79-b56b-215ed97d2ecd</errorID>
      <errorWord>容于</errorWord>
      <group>L1_Word</group>
      <groupName>字词问题</groupName>
      <ability>L2_Typo</ability>
      <abilityName>字词错误</abilityName>
      <candidateList>
        <item>溶于</item>
      </candidateList>
      <explain/>
      <paraID>5B0EC185</paraID>
      <start>48</start>
      <end>50</end>
      <status>modified</status>
      <modifiedWord>溶于</modifiedWord>
      <trackRevisions>false</trackRevisions>
    </reviewItem>
    <reviewItem>
      <errorID>8d6019be-8aa9-4566-8580-98eb03f218ac</errorID>
      <errorWord>0-80%</errorWord>
      <group>L1_Knowledge</group>
      <groupName>知识性问题</groupName>
      <ability>L2_Knowledge</ability>
      <abilityName>其他知识</abilityName>
      <candidateList>
        <item>0—80%</item>
      </candidateList>
      <explain>1. “0-80%”中的单位“%”仅出现在后一个数字上，容易引起歧义；根据《现代汉语标点符号数字用法规范手册》，数字表示范围两边需要使用统一的格式。2. 根据标点国标 4.13 中的规则，数字、时间或地域连接符应使用（视觉上更长的）“—”或“～”。</explain>
      <paraID>4F459415</paraID>
      <start>14</start>
      <end>19</end>
      <status>unmodified</status>
      <modifiedWord/>
      <trackRevisions>false</trackRevisions>
    </reviewItem>
    <reviewItem>
      <errorID>cf497edf-fb60-4ff7-a220-620d26a7dcee</errorID>
      <errorWord>0-80%</errorWord>
      <group>L1_Knowledge</group>
      <groupName>知识性问题</groupName>
      <ability>L2_Knowledge</ability>
      <abilityName>其他知识</abilityName>
      <candidateList>
        <item>0—80%</item>
      </candidateList>
      <explain>1. “0-80%”中的单位“%”仅出现在后一个数字上，容易引起歧义；根据《现代汉语标点符号数字用法规范手册》，数字表示范围两边需要使用统一的格式。2. 根据标点国标 4.13 中的规则，数字、时间或地域连接符应使用（视觉上更长的）“—”或“～”。</explain>
      <paraID>4F459415</paraID>
      <start>27</start>
      <end>32</end>
      <status>unmodified</status>
      <modifiedWord/>
      <trackRevisions>false</trackRevisions>
    </reviewItem>
    <reviewItem>
      <errorID>b0ae2222-78eb-4b39-8c34-3a4a5c5af152</errorID>
      <errorWord>0-80%</errorWord>
      <group>L1_Knowledge</group>
      <groupName>知识性问题</groupName>
      <ability>L2_Knowledge</ability>
      <abilityName>其他知识</abilityName>
      <candidateList>
        <item>0—80%</item>
      </candidateList>
      <explain>1. “0-80%”中的单位“%”仅出现在后一个数字上，容易引起歧义；根据《现代汉语标点符号数字用法规范手册》，数字表示范围两边需要使用统一的格式。2. 根据标点国标 4.13 中的规则，数字、时间或地域连接符应使用（视觉上更长的）“—”或“～”。</explain>
      <paraID>4F459415</paraID>
      <start>40</start>
      <end>45</end>
      <status>unmodified</status>
      <modifiedWord/>
      <trackRevisions>false</trackRevisions>
    </reviewItem>
    <reviewItem>
      <errorID>e267ff91-f6e4-4410-86b2-1eddc271f5a1</errorID>
      <errorWord>0-80%</errorWord>
      <group>L1_Knowledge</group>
      <groupName>知识性问题</groupName>
      <ability>L2_Knowledge</ability>
      <abilityName>其他知识</abilityName>
      <candidateList>
        <item>0—80%</item>
      </candidateList>
      <explain>1. “0-80%”中的单位“%”仅出现在后一个数字上，容易引起歧义；根据《现代汉语标点符号数字用法规范手册》，数字表示范围两边需要使用统一的格式。2. 根据标点国标 4.13 中的规则，数字、时间或地域连接符应使用（视觉上更长的）“—”或“～”。</explain>
      <paraID>4F459415</paraID>
      <start>52</start>
      <end>57</end>
      <status>unmodified</status>
      <modifiedWord/>
      <trackRevisions>false</trackRevisions>
    </reviewItem>
    <reviewItem>
      <errorID>aac61e14-491b-41a4-9adc-dfd9afbf3d3d</errorID>
      <errorWord>0-80%</errorWord>
      <group>L1_Knowledge</group>
      <groupName>知识性问题</groupName>
      <ability>L2_Knowledge</ability>
      <abilityName>其他知识</abilityName>
      <candidateList>
        <item>0—80%</item>
      </candidateList>
      <explain>1. “0-80%”中的单位“%”仅出现在后一个数字上，容易引起歧义；根据《现代汉语标点符号数字用法规范手册》，数字表示范围两边需要使用统一的格式。2. 根据标点国标 4.13 中的规则，数字、时间或地域连接符应使用（视觉上更长的）“—”或“～”。</explain>
      <paraID>4F459415</paraID>
      <start>64</start>
      <end>69</end>
      <status>unmodified</status>
      <modifiedWord/>
      <trackRevisions>false</trackRevisions>
    </reviewItem>
    <reviewItem>
      <errorID>df388f10-2299-49ad-9fbc-d2988b12e995</errorID>
      <errorWord>0-50%</errorWord>
      <group>L1_Knowledge</group>
      <groupName>知识性问题</groupName>
      <ability>L2_Knowledge</ability>
      <abilityName>其他知识</abilityName>
      <candidateList>
        <item>0—50%</item>
      </candidateList>
      <explain>1. “0-50%”中的单位“%”仅出现在后一个数字上，容易引起歧义；根据《现代汉语标点符号数字用法规范手册》，数字表示范围两边需要使用统一的格式。2. 根据标点国标 4.13 中的规则，数字、时间或地域连接符应使用（视觉上更长的）“—”或“～”。</explain>
      <paraID>4F459415</paraID>
      <start>77</start>
      <end>82</end>
      <status>unmodified</status>
      <modifiedWord/>
      <trackRevisions>false</trackRevisions>
    </reviewItem>
    <reviewItem>
      <errorID>d69570a6-9111-44a9-afe9-f465b802d821</errorID>
      <errorWord>0-50%</errorWord>
      <group>L1_Knowledge</group>
      <groupName>知识性问题</groupName>
      <ability>L2_Knowledge</ability>
      <abilityName>其他知识</abilityName>
      <candidateList>
        <item>0—50%</item>
      </candidateList>
      <explain>1. “0-50%”中的单位“%”仅出现在后一个数字上，容易引起歧义；根据《现代汉语标点符号数字用法规范手册》，数字表示范围两边需要使用统一的格式。2. 根据标点国标 4.13 中的规则，数字、时间或地域连接符应使用（视觉上更长的）“—”或“～”。</explain>
      <paraID>4F459415</paraID>
      <start>90</start>
      <end>95</end>
      <status>unmodified</status>
      <modifiedWord/>
      <trackRevisions>false</trackRevisions>
    </reviewItem>
    <reviewItem>
      <errorID>39c0fe3b-63c8-4229-82da-5fd1f79da020</errorID>
      <errorWord>0-30%</errorWord>
      <group>L1_Knowledge</group>
      <groupName>知识性问题</groupName>
      <ability>L2_Knowledge</ability>
      <abilityName>其他知识</abilityName>
      <candidateList>
        <item>0—30%</item>
      </candidateList>
      <explain>1. “0-30%”中的单位“%”仅出现在后一个数字上，容易引起歧义；根据《现代汉语标点符号数字用法规范手册》，数字表示范围两边需要使用统一的格式。2. 根据标点国标 4.13 中的规则，数字、时间或地域连接符应使用（视觉上更长的）“—”或“～”。</explain>
      <paraID>4F459415</paraID>
      <start>103</start>
      <end>108</end>
      <status>unmodified</status>
      <modifiedWord/>
      <trackRevisions>false</trackRevisions>
    </reviewItem>
    <reviewItem>
      <errorID>76179c1e-f32b-4729-a354-ba416c765513</errorID>
      <errorWord>0-20%</errorWord>
      <group>L1_Knowledge</group>
      <groupName>知识性问题</groupName>
      <ability>L2_Knowledge</ability>
      <abilityName>其他知识</abilityName>
      <candidateList>
        <item>0—20%</item>
      </candidateList>
      <explain>1. “0-20%”中的单位“%”仅出现在后一个数字上，容易引起歧义；根据《现代汉语标点符号数字用法规范手册》，数字表示范围两边需要使用统一的格式。2. 根据标点国标 4.13 中的规则，数字、时间或地域连接符应使用（视觉上更长的）“—”或“～”。</explain>
      <paraID>4F459415</paraID>
      <start>116</start>
      <end>121</end>
      <status>unmodified</status>
      <modifiedWord/>
      <trackRevisions>false</trackRevisions>
    </reviewItem>
    <reviewItem>
      <errorID>ecdda3e2-825d-4aeb-abbd-913284e36ea0</errorID>
      <errorWord>刺激刺激</errorWord>
      <group>L1_Word</group>
      <groupName>字词问题</groupName>
      <ability>L2_Typo</ability>
      <abilityName>字词错误</abilityName>
      <candidateList>
        <item>刺激</item>
      </candidateList>
      <explain>〈动〉❶现实的物体和现象作用于感觉器官；声、光、热等引起生物体活动或变化。❷推动事物，使起积极的变化：～食欲｜～生产力的发展。❸使人激动；使人精神上受到挫折或打击；多年的收藏毁于一旦，对他～很大。</explain>
      <paraID>3B3CA4AF</paraID>
      <start>26</start>
      <end>28</end>
      <status>modified</status>
      <modifiedWord>刺激</modifiedWord>
      <trackRevisions>false</trackRevisions>
    </reviewItem>
    <reviewItem>
      <errorID>b757f067-58b4-47df-a568-b0a971e2a5e4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2916ADDF</paraID>
      <start>0</start>
      <end>2</end>
      <status>unmodified</status>
      <modifiedWord/>
      <trackRevisions>false</trackRevisions>
    </reviewItem>
    <reviewItem>
      <errorID>fd121428-8924-4d7a-a371-d78a9953af51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417422B4</paraID>
      <start>0</start>
      <end>2</end>
      <status>unmodified</status>
      <modifiedWord/>
      <trackRevisions>false</trackRevisions>
    </reviewItem>
    <reviewItem>
      <errorID>4a691ce6-a710-471a-b694-02442dd56136</errorID>
      <errorWord>60%~80%</errorWord>
      <group>L1_Knowledge</group>
      <groupName>知识性问题</groupName>
      <ability>L2_Knowledge</ability>
      <abilityName>其他知识</abilityName>
      <candidateList>
        <item>60%～80%</item>
      </candidateList>
      <explain>1. “60%~80%”中的单位“%”仅出现在后一个数字上，容易引起歧义；根据《现代汉语标点符号数字用法规范手册》，数字表示范围两边需要使用统一的格式。2. 根据标点国标 4.13 中的规则，数字、时间或地域连接符应使用（视觉上更长的）“—”或“～”。</explain>
      <paraID>65916F21</paraID>
      <start>23</start>
      <end>30</end>
      <status>unmodified</status>
      <modifiedWord/>
      <trackRevisions>false</trackRevisions>
    </reviewItem>
    <reviewItem>
      <errorID>f6221f6d-42fc-4f74-ae86-fa398f22ad40</errorID>
      <errorWord>60~80%</errorWord>
      <group>L1_Knowledge</group>
      <groupName>知识性问题</groupName>
      <ability>L2_Knowledge</ability>
      <abilityName>其他知识</abilityName>
      <candidateList>
        <item>60%～80%</item>
      </candidateList>
      <explain>1. “60~80%”中的单位“%”仅出现在后一个数字上，容易引起歧义；根据《现代汉语标点符号数字用法规范手册》，数字表示范围两边需要使用统一的格式。2. 根据标点国标 4.13 中的规则，数字、时间或地域连接符应使用（视觉上更长的）“—”或“～”。</explain>
      <paraID>38398154</paraID>
      <start>24</start>
      <end>30</end>
      <status>unmodified</status>
      <modifiedWord/>
      <trackRevisions>false</trackRevisions>
    </reviewItem>
    <reviewItem>
      <errorID>f4d2af81-becc-4460-93ee-37460b1dde4c</errorID>
      <errorWord>~</errorWord>
      <group>L1_Format</group>
      <groupName>格式问题</groupName>
      <ability>L2_HalfPunc_CN</ability>
      <abilityName>全半角问题</abilityName>
      <candidateList>
        <item>～</item>
      </candidateList>
      <explain>文本全半角错误。</explain>
      <paraID>71D31E5E</paraID>
      <start>13</start>
      <end>14</end>
      <status>unmodified</status>
      <modifiedWord/>
      <trackRevisions>false</trackRevisions>
    </reviewItem>
    <reviewItem>
      <errorID>b30652df-b86a-46d7-bd9b-23041f45d0e1</errorID>
      <errorWord>~</errorWord>
      <group>L1_Format</group>
      <groupName>格式问题</groupName>
      <ability>L2_HalfPunc_CN</ability>
      <abilityName>全半角问题</abilityName>
      <candidateList>
        <item>～</item>
      </candidateList>
      <explain>文本全半角错误。</explain>
      <paraID>6808DA9D</paraID>
      <start>106</start>
      <end>107</end>
      <status>unmodified</status>
      <modifiedWord/>
      <trackRevisions>false</trackRevisions>
    </reviewItem>
    <reviewItem>
      <errorID>9e292564-dff9-45fd-9bbc-d52808a06adb</errorID>
      <errorWord>~</errorWord>
      <group>L1_Format</group>
      <groupName>格式问题</groupName>
      <ability>L2_HalfPunc_CN</ability>
      <abilityName>全半角问题</abilityName>
      <candidateList>
        <item>～</item>
      </candidateList>
      <explain>文本全半角错误。</explain>
      <paraID>6808DA9D</paraID>
      <start>168</start>
      <end>169</end>
      <status>unmodified</status>
      <modifiedWord/>
      <trackRevisions>false</trackRevisions>
    </reviewItem>
    <reviewItem>
      <errorID>97dab43f-6632-43d7-b010-27ce05152ed3</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710DFE33</paraID>
      <start>0</start>
      <end>2</end>
      <status>unmodified</status>
      <modifiedWord/>
      <trackRevisions>false</trackRevisions>
    </reviewItem>
    <reviewItem>
      <errorID>26a54046-e361-455f-a484-0a218827e36d</errorID>
      <errorWord>成</errorWord>
      <group>L1_Word</group>
      <groupName>字词问题</groupName>
      <ability>L2_Typo</ability>
      <abilityName>字词错误</abilityName>
      <candidateList>
        <item>呈</item>
      </candidateList>
      <explain>❶〈动〉具有（某种形式）；呈现（某种颜色、状态）：果实～长圆形｜毛皮～暗褐色。❷〈动〉恭敬地送上去：谨～｜～上名片。❸呈文：签～。❹（Chénɡ）〈名〉姓。</explain>
      <paraID>4F98D0EA</paraID>
      <start>30</start>
      <end>31</end>
      <status>modified</status>
      <modifiedWord>呈</modifiedWord>
      <trackRevisions>false</trackRevisions>
    </reviewItem>
    <reviewItem>
      <errorID>05b088e0-d6ed-4e6b-8a09-6f0d0437b403</errorID>
      <errorWord>“L”型</errorWord>
      <group>L1_Word</group>
      <groupName>字词问题</groupName>
      <ability>L2_Typo</ability>
      <abilityName>字词错误</abilityName>
      <candidateList>
        <item>“L”形</item>
      </candidateList>
      <explain/>
      <paraID>4F98D0EA</paraID>
      <start>31</start>
      <end>35</end>
      <status>modified</status>
      <modifiedWord>“L”形</modifiedWord>
      <trackRevisions>false</trackRevisions>
    </reviewItem>
    <reviewItem>
      <errorID>9e187c1e-0a91-4b7e-889a-31e87f09868d</errorID>
      <errorWord>10、</errorWord>
      <group>L1_Format</group>
      <groupName>格式问题</groupName>
      <ability>L2_Ordinal</ability>
      <abilityName>序号格式</abilityName>
      <candidateList>
        <item>10.</item>
      </candidateList>
      <explain>当前序号格式不规范，建议修改为规范格式[10.]。</explain>
      <paraID>72933463</paraID>
      <start>0</start>
      <end>3</end>
      <status>unmodified</status>
      <modifiedWord/>
      <trackRevisions>false</trackRevisions>
    </reviewItem>
    <reviewItem>
      <errorID>368bd94f-a3f4-4f55-84eb-868c98038fcf</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2FCB6D6C</paraID>
      <start>0</start>
      <end>3</end>
      <status>unmodified</status>
      <modifiedWord/>
      <trackRevisions>false</trackRevisions>
    </reviewItem>
    <reviewItem>
      <errorID>c4b0efe7-b5be-42f9-8581-d270ec9e1c7a</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56BAAD1B</paraID>
      <start>0</start>
      <end>3</end>
      <status>unmodified</status>
      <modifiedWord/>
      <trackRevisions>false</trackRevisions>
    </reviewItem>
    <reviewItem>
      <errorID>08b43c0c-c428-4bb7-a031-5c2b00037f27</errorID>
      <errorWord>0-30%</errorWord>
      <group>L1_Knowledge</group>
      <groupName>知识性问题</groupName>
      <ability>L2_Knowledge</ability>
      <abilityName>其他知识</abilityName>
      <candidateList>
        <item>0—30%</item>
      </candidateList>
      <explain>1. “0-30%”中的单位“%”仅出现在后一个数字上，容易引起歧义；根据《现代汉语标点符号数字用法规范手册》，数字表示范围两边需要使用统一的格式。2. 根据标点国标 4.13 中的规则，数字、时间或地域连接符应使用（视觉上更长的）“—”或“～”。</explain>
      <paraID> 207B223</paraID>
      <start>24</start>
      <end>29</end>
      <status>unmodified</status>
      <modifiedWord/>
      <trackRevisions>false</trackRevisions>
    </reviewItem>
    <reviewItem>
      <errorID>1b3fb086-c4c9-4b01-a989-66a4d3edf569</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36864764</paraID>
      <start>0</start>
      <end>3</end>
      <status>unmodified</status>
      <modifiedWord/>
      <trackRevisions>false</trackRevisions>
    </reviewItem>
    <reviewItem>
      <errorID>d54e7361-076b-4e5c-83c8-d541e691c8e9</errorID>
      <errorWord>0-30%</errorWord>
      <group>L1_Knowledge</group>
      <groupName>知识性问题</groupName>
      <ability>L2_Knowledge</ability>
      <abilityName>其他知识</abilityName>
      <candidateList>
        <item>0—30%</item>
      </candidateList>
      <explain>1. “0-30%”中的单位“%”仅出现在后一个数字上，容易引起歧义；根据《现代汉语标点符号数字用法规范手册》，数字表示范围两边需要使用统一的格式。2. 根据标点国标 4.13 中的规则，数字、时间或地域连接符应使用（视觉上更长的）“—”或“～”。</explain>
      <paraID>18EA1149</paraID>
      <start>24</start>
      <end>29</end>
      <status>unmodified</status>
      <modifiedWord/>
      <trackRevisions>false</trackRevisions>
    </reviewItem>
    <reviewItem>
      <errorID>3d7a5045-f0b3-48d8-945e-0448d99d97ae</errorID>
      <errorWord>由经</errorWord>
      <group>L1_Word</group>
      <groupName>字词问题</groupName>
      <ability>L2_Typo</ability>
      <abilityName>字词错误</abilityName>
      <candidateList>
        <item>由</item>
      </candidateList>
      <explain>❶缘由：因～｜事～｜理～。❷〈介〉由于▲：咎～自取｜～感冒引起了肺炎。❸经过：必～之路。❹〈介〉表示经由：～南门入场。❺〈动〉顺随；听从：事不～己｜～着性子。❻〈介〉归（某人去做）：准备工作～我负责｜队长～你担任。❼〈介〉表示凭借：～此可知｜人体是～各种细胞组成的。❽〈介〉表示起点：～表及里｜～北京出发。</explain>
      <paraID>6CD4407C</paraID>
      <start>14</start>
      <end>15</end>
      <status>modified</status>
      <modifiedWord>由</modifiedWord>
      <trackRevisions>false</trackRevisions>
    </reviewItem>
    <reviewItem>
      <errorID>2d0a4187-315a-401c-af46-b6f0308d974a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527427D9</paraID>
      <start>0</start>
      <end>2</end>
      <status>unmodified</status>
      <modifiedWord/>
      <trackRevisions>false</trackRevisions>
    </reviewItem>
    <reviewItem>
      <errorID>f485aeb5-14ae-4456-a3f5-be4ca92cf8ef</errorID>
      <errorWord>粘结剂</errorWord>
      <group>L1_Word</group>
      <groupName>字词问题</groupName>
      <ability>L2_Typo</ability>
      <abilityName>字词错误</abilityName>
      <candidateList>
        <item>黏结剂</item>
      </candidateList>
      <explain/>
      <paraID>7BB58372</paraID>
      <start>112</start>
      <end>115</end>
      <status>unmodified</status>
      <modifiedWord/>
      <trackRevisions>false</trackRevisions>
    </reviewItem>
    <reviewItem>
      <errorID>d7617026-bf96-459e-8c36-c54377365902</errorID>
      <errorWord>粘稠</errorWord>
      <group>L1_Word</group>
      <groupName>字词问题</groupName>
      <ability>L2_Typo</ability>
      <abilityName>字词错误</abilityName>
      <candidateList>
        <item>黏稠</item>
      </candidateList>
      <explain>存在发音相同字词的误用。</explain>
      <paraID>7BB58372</paraID>
      <start>247</start>
      <end>249</end>
      <status>unmodified</status>
      <modifiedWord/>
      <trackRevisions>false</trackRevisions>
    </reviewItem>
    <reviewItem>
      <errorID>6de24f43-d8cf-4c38-92e9-ffd23230fe25</errorID>
      <errorWord>~</errorWord>
      <group>L1_Format</group>
      <groupName>格式问题</groupName>
      <ability>L2_HalfPunc_CN</ability>
      <abilityName>全半角问题</abilityName>
      <candidateList>
        <item>～</item>
      </candidateList>
      <explain>文本全半角错误。</explain>
      <paraID>31DB6C03</paraID>
      <start>122</start>
      <end>123</end>
      <status>unmodified</status>
      <modifiedWord/>
      <trackRevisions>false</trackRevisions>
    </reviewItem>
    <reviewItem>
      <errorID>788ae069-dd72-43c1-83b0-06c6be5e6ee8</errorID>
      <errorWord>粘稠</errorWord>
      <group>L1_Word</group>
      <groupName>字词问题</groupName>
      <ability>L2_Typo</ability>
      <abilityName>字词错误</abilityName>
      <candidateList>
        <item>黏稠</item>
      </candidateList>
      <explain>存在发音相同字词的误用。</explain>
      <paraID>31DB6C03</paraID>
      <start>194</start>
      <end>196</end>
      <status>unmodified</status>
      <modifiedWord/>
      <trackRevisions>false</trackRevisions>
    </reviewItem>
    <reviewItem>
      <errorID>6285e011-fca1-4b0a-ad95-83fe276d5bdd</errorID>
      <errorWord>跑</errorWord>
      <group>L1_Word</group>
      <groupName>字词问题</groupName>
      <ability>L2_Typo</ability>
      <abilityName>字词错误</abilityName>
      <candidateList>
        <item>排</item>
      </candidateList>
      <explain>存在发音相近字词的误用。</explain>
      <paraID>17953FC0</paraID>
      <start>103</start>
      <end>104</end>
      <status>modified</status>
      <modifiedWord>排</modifiedWord>
      <trackRevisions>false</trackRevisions>
    </reviewItem>
    <reviewItem>
      <errorID>c715470a-f764-4c48-9a41-fd26c5ea7b21</errorID>
      <errorWord>-</errorWord>
      <group>L1_Format</group>
      <groupName>格式问题</groupName>
      <ability>L2_HalfPunc_CN</ability>
      <abilityName>全半角问题</abilityName>
      <candidateList>
        <item>－</item>
      </candidateList>
      <explain>文本全半角错误。</explain>
      <paraID>186BDE53</paraID>
      <start>6</start>
      <end>7</end>
      <status>unmodified</status>
      <modifiedWord/>
      <trackRevisions>false</trackRevisions>
    </reviewItem>
    <reviewItem>
      <errorID>3bd614c5-adb0-4095-9106-e3d331354626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25B678CB</paraID>
      <start>0</start>
      <end>2</end>
      <status>unmodified</status>
      <modifiedWord/>
      <trackRevisions>false</trackRevisions>
    </reviewItem>
    <reviewItem>
      <errorID>8d83e365-ff11-47d0-aca9-0989925c318a</errorID>
      <errorWord>废气废气</errorWord>
      <group>L1_Word</group>
      <groupName>字词问题</groupName>
      <ability>L2_Typo</ability>
      <abilityName>字词错误</abilityName>
      <candidateList>
        <item>废气</item>
      </candidateList>
      <explain/>
      <paraID>71C16C1F</paraID>
      <start>2</start>
      <end>4</end>
      <status>modified</status>
      <modifiedWord>废气</modifiedWord>
      <trackRevisions>false</trackRevisions>
    </reviewItem>
    <reviewItem>
      <errorID>b1a91d14-6d68-47a0-b6c3-d7d0575a2f6a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245E8CA4</paraID>
      <start>0</start>
      <end>2</end>
      <status>unmodified</status>
      <modifiedWord/>
      <trackRevisions>false</trackRevisions>
    </reviewItem>
    <reviewItem>
      <errorID>df0b6af1-9b2a-4086-8a1e-a84899dcaf25</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76D1A2C7</paraID>
      <start>27</start>
      <end>28</end>
      <status>unmodified</status>
      <modifiedWord/>
      <trackRevisions>false</trackRevisions>
    </reviewItem>
    <reviewItem>
      <errorID>1106edc7-d1f3-4e52-8f93-4c84e42690a0</errorID>
      <errorWord>现在</errorWord>
      <group>L1_Word</group>
      <groupName>字词问题</groupName>
      <ability>L2_Typo</ability>
      <abilityName>字词错误</abilityName>
      <candidateList>
        <item>现状</item>
      </candidateList>
      <explain/>
      <paraID> C882AAC</paraID>
      <start>20</start>
      <end>22</end>
      <status>modified</status>
      <modifiedWord>现状</modifiedWord>
      <trackRevisions>false</trackRevisions>
    </reviewItem>
    <reviewItem>
      <errorID>842c804a-3f37-4a90-871e-b50777411041</errorID>
      <errorWord>(</errorWord>
      <group>L1_Format</group>
      <groupName>格式问题</groupName>
      <ability>L2_HalfPunc_CN</ability>
      <abilityName>全半角问题</abilityName>
      <candidateList>
        <item>（</item>
      </candidateList>
      <explain>文本全半角错误。</explain>
      <paraID>5073D731</paraID>
      <start>127</start>
      <end>128</end>
      <status>modified</status>
      <modifiedWord>（</modifiedWord>
      <trackRevisions>false</trackRevisions>
    </reviewItem>
    <reviewItem>
      <errorID>3891ac2c-5e7f-4b77-86f9-a2fcd58f7179</errorID>
      <errorWord>)</errorWord>
      <group>L1_Format</group>
      <groupName>格式问题</groupName>
      <ability>L2_HalfPunc_CN</ability>
      <abilityName>全半角问题</abilityName>
      <candidateList>
        <item>）</item>
      </candidateList>
      <explain>文本全半角错误。</explain>
      <paraID>5073D731</paraID>
      <start>134</start>
      <end>135</end>
      <status>modified</status>
      <modifiedWord>）</modifiedWord>
      <trackRevisions>false</trackRevisions>
    </reviewItem>
    <reviewItem>
      <errorID>59a1001d-f8a1-46a4-a1ba-1fbf53b647a0</errorID>
      <errorWord>(</errorWord>
      <group>L1_Format</group>
      <groupName>格式问题</groupName>
      <ability>L2_HalfPunc_CN</ability>
      <abilityName>全半角问题</abilityName>
      <candidateList>
        <item>（</item>
      </candidateList>
      <explain>文本全半角错误。</explain>
      <paraID>5073D731</paraID>
      <start>168</start>
      <end>169</end>
      <status>modified</status>
      <modifiedWord>（</modifiedWord>
      <trackRevisions>false</trackRevisions>
    </reviewItem>
    <reviewItem>
      <errorID>7c72f2e2-b46b-4244-929f-bcfd5d81679f</errorID>
      <errorWord>)</errorWord>
      <group>L1_Format</group>
      <groupName>格式问题</groupName>
      <ability>L2_HalfPunc_CN</ability>
      <abilityName>全半角问题</abilityName>
      <candidateList>
        <item>）</item>
      </candidateList>
      <explain>文本全半角错误。</explain>
      <paraID>5073D731</paraID>
      <start>179</start>
      <end>180</end>
      <status>modified</status>
      <modifiedWord>）</modifiedWord>
      <trackRevisions>false</trackRevisions>
    </reviewItem>
    <reviewItem>
      <errorID>32249925-c175-49bb-8b30-205ad7f1169d</errorID>
      <errorWord>(</errorWord>
      <group>L1_Format</group>
      <groupName>格式问题</groupName>
      <ability>L2_HalfPunc_CN</ability>
      <abilityName>全半角问题</abilityName>
      <candidateList>
        <item>（</item>
      </candidateList>
      <explain>文本全半角错误。</explain>
      <paraID>5073D731</paraID>
      <start>196</start>
      <end>197</end>
      <status>modified</status>
      <modifiedWord>（</modifiedWord>
      <trackRevisions>false</trackRevisions>
    </reviewItem>
    <reviewItem>
      <errorID>39925df9-4aa5-41f0-8dd1-63b8bb81bb6d</errorID>
      <errorWord>)</errorWord>
      <group>L1_Format</group>
      <groupName>格式问题</groupName>
      <ability>L2_HalfPunc_CN</ability>
      <abilityName>全半角问题</abilityName>
      <candidateList>
        <item>）</item>
      </candidateList>
      <explain>文本全半角错误。</explain>
      <paraID>5073D731</paraID>
      <start>204</start>
      <end>205</end>
      <status>modified</status>
      <modifiedWord>）</modifiedWord>
      <trackRevisions>false</trackRevisions>
    </reviewItem>
    <reviewItem>
      <errorID>05a1bae6-a438-44d8-96b8-e67e9e9571d6</errorID>
      <errorWord>(</errorWord>
      <group>L1_Format</group>
      <groupName>格式问题</groupName>
      <ability>L2_HalfPunc_CN</ability>
      <abilityName>全半角问题</abilityName>
      <candidateList>
        <item>（</item>
      </candidateList>
      <explain>文本全半角错误。</explain>
      <paraID>5073D731</paraID>
      <start>224</start>
      <end>225</end>
      <status>modified</status>
      <modifiedWord>（</modifiedWord>
      <trackRevisions>false</trackRevisions>
    </reviewItem>
    <reviewItem>
      <errorID>a5b8f5c8-df2c-4052-b985-92dfb159694e</errorID>
      <errorWord>)</errorWord>
      <group>L1_Format</group>
      <groupName>格式问题</groupName>
      <ability>L2_HalfPunc_CN</ability>
      <abilityName>全半角问题</abilityName>
      <candidateList>
        <item>）</item>
      </candidateList>
      <explain>文本全半角错误。</explain>
      <paraID>5073D731</paraID>
      <start>235</start>
      <end>236</end>
      <status>modified</status>
      <modifiedWord>）</modifiedWord>
      <trackRevisions>false</trackRevisions>
    </reviewItem>
    <reviewItem>
      <errorID>35d28617-5d69-4cfa-a467-23984e709edc</errorID>
      <errorWord>(</errorWord>
      <group>L1_Format</group>
      <groupName>格式问题</groupName>
      <ability>L2_HalfPunc_CN</ability>
      <abilityName>全半角问题</abilityName>
      <candidateList>
        <item>（</item>
      </candidateList>
      <explain>文本全半角错误。</explain>
      <paraID>2BE82E38</paraID>
      <start>12</start>
      <end>13</end>
      <status>modified</status>
      <modifiedWord>（</modifiedWord>
      <trackRevisions>false</trackRevisions>
    </reviewItem>
    <reviewItem>
      <errorID>83c18d40-d920-4748-ba9c-86126ba2fd24</errorID>
      <errorWord>)</errorWord>
      <group>L1_Format</group>
      <groupName>格式问题</groupName>
      <ability>L2_HalfPunc_CN</ability>
      <abilityName>全半角问题</abilityName>
      <candidateList>
        <item>）</item>
      </candidateList>
      <explain>文本全半角错误。</explain>
      <paraID>2BE82E38</paraID>
      <start>24</start>
      <end>25</end>
      <status>modified</status>
      <modifiedWord>）</modifiedWord>
      <trackRevisions>false</trackRevisions>
    </reviewItem>
    <reviewItem>
      <errorID>06596f00-d424-4f65-bc24-12e7fe928ab7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2BE82E38</paraID>
      <start>90</start>
      <end>91</end>
      <status>unmodified</status>
      <modifiedWord/>
      <trackRevisions>false</trackRevisions>
    </reviewItem>
    <reviewItem>
      <errorID>35ea72fd-b811-43ee-852c-17d489f33e55</errorID>
      <errorWord>（</errorWord>
      <group>L1_Punc</group>
      <groupName>标点问题</groupName>
      <ability>L2_Punc_CN</ability>
      <abilityName>标点符号问题</abilityName>
      <candidateList/>
      <explain>同一形式括号套用。</explain>
      <paraID>2BE82E38</paraID>
      <start>141</start>
      <end>142</end>
      <status>unmodified</status>
      <modifiedWord/>
      <trackRevisions>false</trackRevisions>
    </reviewItem>
    <reviewItem>
      <errorID>17268bf2-099c-49b8-a179-e420c5d367f4</errorID>
      <errorWord>）</errorWord>
      <group>L1_Punc</group>
      <groupName>标点问题</groupName>
      <ability>L2_Punc_CN</ability>
      <abilityName>标点符号问题</abilityName>
      <candidateList/>
      <explain>同一形式括号套用。</explain>
      <paraID>2BE82E38</paraID>
      <start>146</start>
      <end>147</end>
      <status>unmodified</status>
      <modifiedWord/>
      <trackRevisions>false</trackRevisions>
    </reviewItem>
    <reviewItem>
      <errorID>bef3eb7e-d34e-45bb-985e-681c26d323ed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61C2E70A</paraID>
      <start>0</start>
      <end>2</end>
      <status>unmodified</status>
      <modifiedWord/>
      <trackRevisions>false</trackRevisions>
    </reviewItem>
    <reviewItem>
      <errorID>d94556ed-9704-437a-b635-787acb0f61bd</errorID>
      <errorWord>-</errorWord>
      <group>L1_Format</group>
      <groupName>格式问题</groupName>
      <ability>L2_HalfPunc_CN</ability>
      <abilityName>全半角问题</abilityName>
      <candidateList>
        <item>－</item>
      </candidateList>
      <explain>文本全半角错误。</explain>
      <paraID>6B921693</paraID>
      <start>13</start>
      <end>14</end>
      <status>unmodified</status>
      <modifiedWord/>
      <trackRevisions>false</trackRevisions>
    </reviewItem>
    <reviewItem>
      <errorID>464e780e-2126-42e9-89f2-5d8e5a628cbf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1808F2A6</paraID>
      <start>0</start>
      <end>2</end>
      <status>unmodified</status>
      <modifiedWord/>
      <trackRevisions>false</trackRevisions>
    </reviewItem>
    <reviewItem>
      <errorID>ed021017-728a-4fd1-a931-8e71d439ab30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7C70B137</paraID>
      <start>0</start>
      <end>2</end>
      <status>unmodified</status>
      <modifiedWord/>
      <trackRevisions>false</trackRevisions>
    </reviewItem>
    <reviewItem>
      <errorID>185275a3-5f2c-470f-8041-34d132d865d1</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417E73AD</paraID>
      <start>27</start>
      <end>28</end>
      <status>unmodified</status>
      <modifiedWord/>
      <trackRevisions>false</trackRevisions>
    </reviewItem>
    <reviewItem>
      <errorID>5dd9e168-5e31-41d3-a2b9-ca2568158519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3448BF01</paraID>
      <start>0</start>
      <end>2</end>
      <status>unmodified</status>
      <modifiedWord/>
      <trackRevisions>false</trackRevisions>
    </reviewItem>
    <reviewItem>
      <errorID>2002a121-cb06-4bab-b3ab-97b4a6675b1b</errorID>
      <errorWord>》（试行）</errorWord>
      <group>L1_Word</group>
      <groupName>字词问题</groupName>
      <ability>L2_Typo</ability>
      <abilityName>字词错误</abilityName>
      <candidateList>
        <item>（试行）》</item>
      </candidateList>
      <explain/>
      <paraID>3B059F52</paraID>
      <start>46</start>
      <end>51</end>
      <status>unmodified</status>
      <modifiedWord/>
      <trackRevisions>false</trackRevisions>
    </reviewItem>
    <reviewItem>
      <errorID>29b2f72e-5d42-412d-81cb-522610ce259c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23C0D279</paraID>
      <start>0</start>
      <end>2</end>
      <status>unmodified</status>
      <modifiedWord/>
      <trackRevisions>false</trackRevisions>
    </reviewItem>
    <reviewItem>
      <errorID>6b9e6902-9f2e-4e67-94e2-2574d398b19b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4C6E4236</paraID>
      <start>0</start>
      <end>2</end>
      <status>unmodified</status>
      <modifiedWord/>
      <trackRevisions>false</trackRevisions>
    </reviewItem>
    <reviewItem>
      <errorID>fc95bfad-0545-4969-90e1-048c4465a27b</errorID>
      <errorWord>.</errorWord>
      <group>L1_Format</group>
      <groupName>格式问题</groupName>
      <ability>L2_HalfPunc_CN</ability>
      <abilityName>全半角问题</abilityName>
      <candidateList>
        <item>。</item>
      </candidateList>
      <explain>文本全半角错误。</explain>
      <paraID> 663AA83</paraID>
      <start>29</start>
      <end>30</end>
      <status>unmodified</status>
      <modifiedWord/>
      <trackRevisions>false</trackRevisions>
    </reviewItem>
    <reviewItem>
      <errorID>fdceb241-d735-4742-ac59-5640f7199927</errorID>
      <errorWord>环境环境保护</errorWord>
      <group>L1_Word</group>
      <groupName>字词问题</groupName>
      <ability>L2_Typo</ability>
      <abilityName>字词错误</abilityName>
      <candidateList>
        <item>环境保护</item>
      </candidateList>
      <explain/>
      <paraID>2D1624F2</paraID>
      <start>14</start>
      <end>18</end>
      <status>modified</status>
      <modifiedWord>环境保护</modifiedWord>
      <trackRevisions>false</trackRevisions>
    </reviewItem>
    <reviewItem>
      <errorID>8c40e756-b30e-4443-af3e-5a9a25341de6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A00D963</paraID>
      <start>0</start>
      <end>2</end>
      <status>unmodified</status>
      <modifiedWord/>
      <trackRevisions>false</trackRevisions>
    </reviewItem>
    <reviewItem>
      <errorID>ad7767a9-fd0e-498e-9683-84055e130563</errorID>
      <errorWord>的的</errorWord>
      <group>L1_Word</group>
      <groupName>字词问题</groupName>
      <ability>L2_Typo</ability>
      <abilityName>字词错误</abilityName>
      <candidateList>
        <item>的</item>
      </candidateList>
      <explain>“的”常用于连接修饰语与名词性中心语，表示属性、所属或描述。</explain>
      <paraID>5C6EB30F</paraID>
      <start>217</start>
      <end>218</end>
      <status>modified</status>
      <modifiedWord>的</modifiedWord>
      <trackRevisions>false</trackRevisions>
    </reviewItem>
    <reviewItem>
      <errorID>058858fa-6ef7-4147-99ed-500216918009</errorID>
      <errorWord>（</errorWord>
      <group>L1_Format</group>
      <groupName>格式问题</groupName>
      <ability>L2_HalfPunc_CN</ability>
      <abilityName>全半角问题</abilityName>
      <candidateList>
        <item>(</item>
      </candidateList>
      <explain>文本全半角错误。</explain>
      <paraID>301900FE</paraID>
      <start>4</start>
      <end>4</end>
      <status>modified</status>
      <modifiedWord>(</modifiedWord>
      <trackRevisions>false</trackRevisions>
    </reviewItem>
    <reviewItem>
      <errorID>270d9355-263e-4b05-b8cd-6cbde8250f40</errorID>
      <errorWord>）</errorWord>
      <group>L1_Format</group>
      <groupName>格式问题</groupName>
      <ability>L2_HalfPunc_CN</ability>
      <abilityName>全半角问题</abilityName>
      <candidateList>
        <item>)</item>
      </candidateList>
      <explain>文本全半角错误。</explain>
      <paraID>301900FE</paraID>
      <start>10</start>
      <end>10</end>
      <status>modified</status>
      <modifiedWord>)</modifiedWord>
      <trackRevisions>false</trackRevisions>
    </reviewItem>
    <reviewItem>
      <errorID>8c5f8d12-bec0-49fe-8dc1-30658c520e44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72154290</paraID>
      <start>0</start>
      <end>2</end>
      <status>unmodified</status>
      <modifiedWord/>
      <trackRevisions>false</trackRevisions>
    </reviewItem>
    <reviewItem>
      <errorID>bc46b61f-f604-402e-89e4-fe67bd1bec2f</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6B95692D</paraID>
      <start>40</start>
      <end>41</end>
      <status>unmodified</status>
      <modifiedWord/>
      <trackRevisions>false</trackRevisions>
    </reviewItem>
    <reviewItem>
      <errorID>a0755791-6295-4308-b820-f57af8406910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43EA90D</paraID>
      <start>0</start>
      <end>2</end>
      <status>unmodified</status>
      <modifiedWord/>
      <trackRevisions>false</trackRevisions>
    </reviewItem>
    <reviewItem>
      <errorID>2ca24dc4-dccb-4817-b2d8-51038763e2f6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31BFCA6C</paraID>
      <start>0</start>
      <end>2</end>
      <status>unmodified</status>
      <modifiedWord/>
      <trackRevisions>false</trackRevisions>
    </reviewItem>
    <reviewItem>
      <errorID>1b827e42-a2cf-47fe-96bc-81c2eef31557</errorID>
      <errorWord>；</errorWord>
      <group>L1_Format</group>
      <groupName>格式问题</groupName>
      <ability>L2_HalfPunc_CN</ability>
      <abilityName>全半角问题</abilityName>
      <candidateList>
        <item>;</item>
      </candidateList>
      <explain>文本全半角错误。</explain>
      <paraID>380B8869</paraID>
      <start>35</start>
      <end>36</end>
      <status>unmodified</status>
      <modifiedWord/>
      <trackRevisions>false</trackRevisions>
    </reviewItem>
    <reviewItem>
      <errorID>e315f66f-c002-454b-9219-3627ad3e8441</errorID>
      <errorWord>；</errorWord>
      <group>L1_Format</group>
      <groupName>格式问题</groupName>
      <ability>L2_HalfPunc_CN</ability>
      <abilityName>全半角问题</abilityName>
      <candidateList>
        <item>;</item>
      </candidateList>
      <explain>文本全半角错误。</explain>
      <paraID>532B63E6</paraID>
      <start>37</start>
      <end>38</end>
      <status>unmodified</status>
      <modifiedWord/>
      <trackRevisions>false</trackRevisions>
    </reviewItem>
    <reviewItem>
      <errorID>74407939-d1f2-42a3-b8b6-ab8d22e963ed</errorID>
      <errorWord>；</errorWord>
      <group>L1_Format</group>
      <groupName>格式问题</groupName>
      <ability>L2_HalfPunc_CN</ability>
      <abilityName>全半角问题</abilityName>
      <candidateList>
        <item>;</item>
      </candidateList>
      <explain>文本全半角错误。</explain>
      <paraID>4A06057C</paraID>
      <start>35</start>
      <end>36</end>
      <status>unmodified</status>
      <modifiedWord/>
      <trackRevisions>false</trackRevisions>
    </reviewItem>
    <reviewItem>
      <errorID>6d9981cd-4a67-4279-908f-ced232ec0d62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46D2E3E0</paraID>
      <start>0</start>
      <end>2</end>
      <status>unmodified</status>
      <modifiedWord/>
      <trackRevisions>false</trackRevisions>
    </reviewItem>
    <reviewItem>
      <errorID>6719b495-5b77-441b-9108-f98a65cd454f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473BF5BC</paraID>
      <start>0</start>
      <end>2</end>
      <status>unmodified</status>
      <modifiedWord/>
      <trackRevisions>false</trackRevisions>
    </reviewItem>
    <reviewItem>
      <errorID>7b293f4f-8aca-4227-81e1-fcaebd36a106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4AE1F6D6</paraID>
      <start>0</start>
      <end>2</end>
      <status>unmodified</status>
      <modifiedWord/>
      <trackRevisions>false</trackRevisions>
    </reviewItem>
    <reviewItem>
      <errorID>8cd4b150-7835-4334-87fe-1ba38a744527</errorID>
      <errorWord>途径</errorWord>
      <group>L1_Word</group>
      <groupName>字词问题</groupName>
      <ability>L2_Typo</ability>
      <abilityName>字词错误</abilityName>
      <candidateList>
        <item>途经</item>
      </candidateList>
      <explain/>
      <paraID>1AA54B8A</paraID>
      <start>30</start>
      <end>32</end>
      <status>modified</status>
      <modifiedWord>途经</modifiedWord>
      <trackRevisions>false</trackRevisions>
    </reviewItem>
    <reviewItem>
      <errorID>a58600b0-cbb1-4d31-8df4-543d9e0bf803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23455539</paraID>
      <start>0</start>
      <end>2</end>
      <status>unmodified</status>
      <modifiedWord/>
      <trackRevisions>false</trackRevisions>
    </reviewItem>
    <reviewItem>
      <errorID>a99fadbf-0429-41ab-a59e-b0a8c586892c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458CAE5A</paraID>
      <start>0</start>
      <end>2</end>
      <status>unmodified</status>
      <modifiedWord/>
      <trackRevisions>false</trackRevisions>
    </reviewItem>
    <reviewItem>
      <errorID>89adb40a-e919-48c5-89f2-728363e5673b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6A4D9ECB</paraID>
      <start>93</start>
      <end>94</end>
      <status>unmodified</status>
      <modifiedWord/>
      <trackRevisions>false</trackRevisions>
    </reviewItem>
    <reviewItem>
      <errorID>cf65ed59-6238-4695-9831-78d8f8da88db</errorID>
      <errorWord>（</errorWord>
      <group>L1_Format</group>
      <groupName>格式问题</groupName>
      <ability>L2_HalfPunc_CN</ability>
      <abilityName>全半角问题</abilityName>
      <candidateList>
        <item>(</item>
      </candidateList>
      <explain>文本全半角错误。</explain>
      <paraID>17340AA5</paraID>
      <start>6</start>
      <end>6</end>
      <status>modified</status>
      <modifiedWord>(</modifiedWord>
      <trackRevisions>false</trackRevisions>
    </reviewItem>
    <reviewItem>
      <errorID>beae282e-324e-4a29-a8d8-bd3d4c46c8d4</errorID>
      <errorWord>）</errorWord>
      <group>L1_Format</group>
      <groupName>格式问题</groupName>
      <ability>L2_HalfPunc_CN</ability>
      <abilityName>全半角问题</abilityName>
      <candidateList>
        <item>)</item>
      </candidateList>
      <explain>文本全半角错误。</explain>
      <paraID>17340AA5</paraID>
      <start>13</start>
      <end>13</end>
      <status>modified</status>
      <modifiedWord>)</modifiedWord>
      <trackRevisions>false</trackRevisions>
    </reviewItem>
    <reviewItem>
      <errorID>77842e83-cb5c-40f8-b972-ddd6bd5b3610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32A63B9D</paraID>
      <start>44</start>
      <end>45</end>
      <status>unmodified</status>
      <modifiedWord/>
      <trackRevisions>false</trackRevisions>
    </reviewItem>
    <reviewItem>
      <errorID>f5a8eaae-3386-45c7-82b4-ea5576005410</errorID>
      <errorWord>(</errorWord>
      <group>L1_Format</group>
      <groupName>格式问题</groupName>
      <ability>L2_HalfPunc_CN</ability>
      <abilityName>全半角问题</abilityName>
      <candidateList>
        <item>（</item>
      </candidateList>
      <explain>文本全半角错误。</explain>
      <paraID>3EF50A36</paraID>
      <start>39</start>
      <end>40</end>
      <status>modified</status>
      <modifiedWord>（</modifiedWord>
      <trackRevisions>false</trackRevisions>
    </reviewItem>
    <reviewItem>
      <errorID>89ca18b3-ab12-4b07-b1a4-12fa7f198ccc</errorID>
      <errorWord>)</errorWord>
      <group>L1_Format</group>
      <groupName>格式问题</groupName>
      <ability>L2_HalfPunc_CN</ability>
      <abilityName>全半角问题</abilityName>
      <candidateList>
        <item>）</item>
      </candidateList>
      <explain>文本全半角错误。</explain>
      <paraID>3EF50A36</paraID>
      <start>50</start>
      <end>51</end>
      <status>modified</status>
      <modifiedWord>）</modifiedWord>
      <trackRevisions>false</trackRevisions>
    </reviewItem>
    <reviewItem>
      <errorID>40c6658e-4ef1-421f-859c-3870ec91fea2</errorID>
      <errorWord>......</errorWord>
      <group>L1_Punc</group>
      <groupName>标点问题</groupName>
      <ability>L2_Punc_CN</ability>
      <abilityName>标点符号问题</abilityName>
      <candidateList>
        <item>……</item>
      </candidateList>
      <explain/>
      <paraID>3EF50A36</paraID>
      <start>85</start>
      <end>91</end>
      <status>unmodified</status>
      <modifiedWord/>
      <trackRevisions>false</trackRevisions>
    </reviewItem>
    <reviewItem>
      <errorID>5547356c-8603-4f1c-9f0b-539646946a27</errorID>
      <errorWord>（</errorWord>
      <group>L1_Format</group>
      <groupName>格式问题</groupName>
      <ability>L2_HalfPunc_CN</ability>
      <abilityName>全半角问题</abilityName>
      <candidateList>
        <item>(</item>
      </candidateList>
      <explain>文本全半角错误。</explain>
      <paraID>2086564E</paraID>
      <start>10</start>
      <end>11</end>
      <status>unmodified</status>
      <modifiedWord/>
      <trackRevisions>false</trackRevisions>
    </reviewItem>
    <reviewItem>
      <errorID>084777aa-1672-4e80-a818-4d78347eb376</errorID>
      <errorWord>（</errorWord>
      <group>L1_Format</group>
      <groupName>格式问题</groupName>
      <ability>L2_HalfPunc_CN</ability>
      <abilityName>全半角问题</abilityName>
      <candidateList>
        <item>(</item>
      </candidateList>
      <explain>文本全半角错误。</explain>
      <paraID>2086564E</paraID>
      <start>13</start>
      <end>14</end>
      <status>unmodified</status>
      <modifiedWord/>
      <trackRevisions>false</trackRevisions>
    </reviewItem>
    <reviewItem>
      <errorID>06ce229b-1130-4408-8a27-5ebb55521831</errorID>
      <errorWord>））</errorWord>
      <group>L1_Format</group>
      <groupName>格式问题</groupName>
      <ability>L2_HalfPunc_CN</ability>
      <abilityName>全半角问题</abilityName>
      <candidateList>
        <item>))</item>
      </candidateList>
      <explain>文本全半角错误。</explain>
      <paraID>2086564E</paraID>
      <start>22</start>
      <end>24</end>
      <status>unmodified</status>
      <modifiedWord/>
      <trackRevisions>false</trackRevisions>
    </reviewItem>
    <reviewItem>
      <errorID>e4cb70d7-5488-4617-aaaa-47770aee4ecf</errorID>
      <errorWord>蒸气</errorWord>
      <group>L1_Word</group>
      <groupName>字词问题</groupName>
      <ability>L2_Typo</ability>
      <abilityName>字词错误</abilityName>
      <candidateList>
        <item>蒸汽</item>
      </candidateList>
      <explain/>
      <paraID>7417D2D2</paraID>
      <start>57</start>
      <end>59</end>
      <status>modified</status>
      <modifiedWord>蒸汽</modifiedWord>
      <trackRevisions>false</trackRevisions>
    </reviewItem>
    <reviewItem>
      <errorID>50800bc4-ed35-432e-b8c9-f9d2c5f3d1b2</errorID>
      <errorWord>程</errorWord>
      <group>L1_Word</group>
      <groupName>字词问题</groupName>
      <ability>L2_Typo</ability>
      <abilityName>字词错误</abilityName>
      <candidateList>
        <item>程中</item>
      </candidateList>
      <explain/>
      <paraID>67FC99CE</paraID>
      <start>32</start>
      <end>34</end>
      <status>modified</status>
      <modifiedWord>程中</modifiedWord>
      <trackRevisions>false</trackRevisions>
    </reviewItem>
    <reviewItem>
      <errorID>af975373-8e61-402b-87d2-09062b17ec87</errorID>
      <errorWord>(</errorWord>
      <group>L1_Format</group>
      <groupName>格式问题</groupName>
      <ability>L2_HalfPunc_CN</ability>
      <abilityName>全半角问题</abilityName>
      <candidateList>
        <item>（</item>
      </candidateList>
      <explain>文本全半角错误。</explain>
      <paraID>7983465F</paraID>
      <start>50</start>
      <end>50</end>
      <status>unmodified</status>
      <modifiedWord/>
      <trackRevisions>false</trackRevisions>
    </reviewItem>
    <reviewItem>
      <errorID>5899e3e9-d51b-4586-9285-7c300ec82d3e</errorID>
      <errorWord>)</errorWord>
      <group>L1_Format</group>
      <groupName>格式问题</groupName>
      <ability>L2_HalfPunc_CN</ability>
      <abilityName>全半角问题</abilityName>
      <candidateList>
        <item>）</item>
      </candidateList>
      <explain>文本全半角错误。</explain>
      <paraID>7983465F</paraID>
      <start>61</start>
      <end>61</end>
      <status>unmodified</status>
      <modifiedWord/>
      <trackRevisions>false</trackRevisions>
    </reviewItem>
    <reviewItem>
      <errorID>2501d5d5-679f-420b-b930-308da94cd3e4</errorID>
      <errorWord>......</errorWord>
      <group>L1_Punc</group>
      <groupName>标点问题</groupName>
      <ability>L2_Punc_CN</ability>
      <abilityName>标点符号问题</abilityName>
      <candidateList>
        <item>……</item>
      </candidateList>
      <explain/>
      <paraID>7983465F</paraID>
      <start>96</start>
      <end>102</end>
      <status>unmodified</status>
      <modifiedWord/>
      <trackRevisions>false</trackRevisions>
    </reviewItem>
    <reviewItem>
      <errorID>5d35acfa-9f50-4ccb-b639-f67acb34c59e</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63624C7F</paraID>
      <start>0</start>
      <end>2</end>
      <status>unmodified</status>
      <modifiedWord/>
      <trackRevisions>false</trackRevisions>
    </reviewItem>
    <reviewItem>
      <errorID>a54c91be-a5dc-490b-9f18-8b3a41144462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6954F21C</paraID>
      <start>6</start>
      <end>7</end>
      <status>unmodified</status>
      <modifiedWord/>
      <trackRevisions>false</trackRevisions>
    </reviewItem>
    <reviewItem>
      <errorID>91f626f8-0e8b-4028-8a6d-85cea84ff37c</errorID>
      <errorWord>＜</errorWord>
      <group>L1_Format</group>
      <groupName>格式问题</groupName>
      <ability>L2_HalfPunc_CN</ability>
      <abilityName>全半角问题</abilityName>
      <candidateList>
        <item>&lt;</item>
      </candidateList>
      <explain>文本全半角错误。</explain>
      <paraID>6C7F706E</paraID>
      <start>0</start>
      <end>1</end>
      <status>unmodified</status>
      <modifiedWord/>
      <trackRevisions>false</trackRevisions>
    </reviewItem>
    <reviewItem>
      <errorID>717d6f4e-6ed4-457d-9fc7-38083ccb92a9</errorID>
      <errorWord>＜</errorWord>
      <group>L1_Format</group>
      <groupName>格式问题</groupName>
      <ability>L2_HalfPunc_CN</ability>
      <abilityName>全半角问题</abilityName>
      <candidateList>
        <item>&lt;</item>
      </candidateList>
      <explain>文本全半角错误。</explain>
      <paraID>702223F4</paraID>
      <start>0</start>
      <end>1</end>
      <status>unmodified</status>
      <modifiedWord/>
      <trackRevisions>false</trackRevisions>
    </reviewItem>
    <reviewItem>
      <errorID>735024f2-a323-4b95-8494-8a250c3cde36</errorID>
      <errorWord>＜</errorWord>
      <group>L1_Format</group>
      <groupName>格式问题</groupName>
      <ability>L2_HalfPunc_CN</ability>
      <abilityName>全半角问题</abilityName>
      <candidateList>
        <item>&lt;</item>
      </candidateList>
      <explain>文本全半角错误。</explain>
      <paraID>649D00F0</paraID>
      <start>0</start>
      <end>1</end>
      <status>unmodified</status>
      <modifiedWord/>
      <trackRevisions>false</trackRevisions>
    </reviewItem>
    <reviewItem>
      <errorID>b02d4ece-539a-42f2-ac8f-2b931b2220ee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69B8A326</paraID>
      <start>0</start>
      <end>2</end>
      <status>unmodified</status>
      <modifiedWord/>
      <trackRevisions>false</trackRevisions>
    </reviewItem>
    <reviewItem>
      <errorID>2cb0b21f-40ed-47cd-973b-4636a073aa46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34EC2F3E</paraID>
      <start>0</start>
      <end>2</end>
      <status>unmodified</status>
      <modifiedWord/>
      <trackRevisions>false</trackRevisions>
    </reviewItem>
    <reviewItem>
      <errorID>d97c91aa-d8b7-43e1-bc5a-6b49864eaff7</errorID>
      <errorWord>：</errorWord>
      <group>L1_Format</group>
      <groupName>格式问题</groupName>
      <ability>L2_HalfPunc_CN</ability>
      <abilityName>全半角问题</abilityName>
      <candidateList>
        <item>:</item>
      </candidateList>
      <explain>文本全半角错误。</explain>
      <paraID>7E8E3AF8</paraID>
      <start>75</start>
      <end>76</end>
      <status>unmodified</status>
      <modifiedWord/>
      <trackRevisions>false</trackRevisions>
    </reviewItem>
    <reviewItem>
      <errorID>ea7b6079-0fcf-4b77-9362-1e45403ed3c0</errorID>
      <errorWord>与</errorWord>
      <group>L1_Word</group>
      <groupName>字词问题</groupName>
      <ability>L2_Typo</ability>
      <abilityName>字词错误</abilityName>
      <candidateList>
        <item>于</item>
      </candidateList>
      <explain>（於）yú❶〈介〉a）在：她生～1949年｜来信已～日前收到｜黄河发源～青海。b）向：问道～盲｜告慰～知己｜求救～人。c）给：嫁祸～人｜献身～科学事业。d）对；对于：忠～祖国｜有益～人民｜形势～我们有利。e）自；从：青出～蓝｜出～自愿。f）表示比较：大～｜少～｜高～｜低～。g）表示被动：见笑～大方之家。</explain>
      <paraID>7C040AE1</paraID>
      <start>29</start>
      <end>30</end>
      <status>modified</status>
      <modifiedWord>于</modifiedWord>
      <trackRevisions>false</trackRevisions>
    </reviewItem>
    <reviewItem>
      <errorID>b846029f-fb21-4af4-8393-35110191a324</errorID>
      <errorWord>［2019］</errorWord>
      <group>L1_Punc</group>
      <groupName>标点问题</groupName>
      <ability>L2_Punc_CN</ability>
      <abilityName>标点符号问题</abilityName>
      <candidateList>
        <item>〔2019〕</item>
      </candidateList>
      <explain/>
      <paraID>7C040AE1</paraID>
      <start>58</start>
      <end>64</end>
      <status>modified</status>
      <modifiedWord>〔2019〕</modifiedWord>
      <trackRevisions>false</trackRevisions>
    </reviewItem>
    <reviewItem>
      <errorID>93928142-bd2b-4b14-8c32-fb33b527e49a</errorID>
      <errorWord>(</errorWord>
      <group>L1_Format</group>
      <groupName>格式问题</groupName>
      <ability>L2_HalfPunc_CN</ability>
      <abilityName>全半角问题</abilityName>
      <candidateList>
        <item>（</item>
      </candidateList>
      <explain>文本全半角错误。</explain>
      <paraID>5FDAF0F3</paraID>
      <start>120</start>
      <end>120</end>
      <status>unmodified</status>
      <modifiedWord/>
      <trackRevisions>false</trackRevisions>
    </reviewItem>
    <reviewItem>
      <errorID>9ac05c83-4d80-440d-81af-1212b0e01f10</errorID>
      <errorWord>)</errorWord>
      <group>L1_Format</group>
      <groupName>格式问题</groupName>
      <ability>L2_HalfPunc_CN</ability>
      <abilityName>全半角问题</abilityName>
      <candidateList>
        <item>）</item>
      </candidateList>
      <explain>文本全半角错误。</explain>
      <paraID>5FDAF0F3</paraID>
      <start>135</start>
      <end>135</end>
      <status>unmodified</status>
      <modifiedWord/>
      <trackRevisions>false</trackRevisions>
    </reviewItem>
    <reviewItem>
      <errorID>773700eb-c5f7-4c64-9d12-3d498690c1fc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161D4A97</paraID>
      <start>22</start>
      <end>25</end>
      <status>unmodified</status>
      <modifiedWord/>
      <trackRevisions>false</trackRevisions>
    </reviewItem>
    <reviewItem>
      <errorID>09e1b4c2-9fd2-4515-abc4-f57e19e75d7a</errorID>
      <errorWord>21%-65%</errorWord>
      <group>L1_Knowledge</group>
      <groupName>知识性问题</groupName>
      <ability>L2_Knowledge</ability>
      <abilityName>其他知识</abilityName>
      <candidateList>
        <item>21%—65%</item>
      </candidateList>
      <explain>1. “21%-65%”中的单位“%”仅出现在后一个数字上，容易引起歧义；根据《现代汉语标点符号数字用法规范手册》，数字表示范围两边需要使用统一的格式。2. 根据标点国标 4.13 中的规则，数字、时间或地域连接符应使用（视觉上更长的）“—”或“～”。</explain>
      <paraID>793CFDAF</paraID>
      <start>0</start>
      <end>7</end>
      <status>unmodified</status>
      <modifiedWord/>
      <trackRevisions>false</trackRevisions>
    </reviewItem>
    <reviewItem>
      <errorID>b0440547-216b-404a-ab55-779a610f5706</errorID>
      <errorWord>29%-72%</errorWord>
      <group>L1_Knowledge</group>
      <groupName>知识性问题</groupName>
      <ability>L2_Knowledge</ability>
      <abilityName>其他知识</abilityName>
      <candidateList>
        <item>29%—72%</item>
      </candidateList>
      <explain>1. “29%-72%”中的单位“%”仅出现在后一个数字上，容易引起歧义；根据《现代汉语标点符号数字用法规范手册》，数字表示范围两边需要使用统一的格式。2. 根据标点国标 4.13 中的规则，数字、时间或地域连接符应使用（视觉上更长的）“—”或“～”。</explain>
      <paraID>55F50314</paraID>
      <start>0</start>
      <end>7</end>
      <status>unmodified</status>
      <modifiedWord/>
      <trackRevisions>false</trackRevisions>
    </reviewItem>
    <reviewItem>
      <errorID>8b668937-6cf3-4765-b211-a03e493e6b76</errorID>
      <errorWord>60%-70%</errorWord>
      <group>L1_Knowledge</group>
      <groupName>知识性问题</groupName>
      <ability>L2_Knowledge</ability>
      <abilityName>其他知识</abilityName>
      <candidateList>
        <item>60%—70%</item>
      </candidateList>
      <explain>1. “60%-70%”中的单位“%”仅出现在后一个数字上，容易引起歧义；根据《现代汉语标点符号数字用法规范手册》，数字表示范围两边需要使用统一的格式。2. 根据标点国标 4.13 中的规则，数字、时间或地域连接符应使用（视觉上更长的）“—”或“～”。</explain>
      <paraID>246E7673</paraID>
      <start>0</start>
      <end>7</end>
      <status>unmodified</status>
      <modifiedWord/>
      <trackRevisions>false</trackRevisions>
    </reviewItem>
    <reviewItem>
      <errorID>316447c2-15ec-4841-ac3d-6cfbb1185a03</errorID>
      <errorWord>7%-21%</errorWord>
      <group>L1_Knowledge</group>
      <groupName>知识性问题</groupName>
      <ability>L2_Knowledge</ability>
      <abilityName>其他知识</abilityName>
      <candidateList>
        <item>7%—21%</item>
      </candidateList>
      <explain>1. “7%-21%”中的单位“%”仅出现在后一个数字上，容易引起歧义；根据《现代汉语标点符号数字用法规范手册》，数字表示范围两边需要使用统一的格式。2. 根据标点国标 4.13 中的规则，数字、时间或地域连接符应使用（视觉上更长的）“—”或“～”。</explain>
      <paraID>2BF98B9E</paraID>
      <start>0</start>
      <end>6</end>
      <status>unmodified</status>
      <modifiedWord/>
      <trackRevisions>false</trackRevisions>
    </reviewItem>
    <reviewItem>
      <errorID>7cd72245-dbf4-4466-8e59-0269fdb90394</errorID>
      <errorWord>4%-12%</errorWord>
      <group>L1_Knowledge</group>
      <groupName>知识性问题</groupName>
      <ability>L2_Knowledge</ability>
      <abilityName>其他知识</abilityName>
      <candidateList>
        <item>4%—12%</item>
      </candidateList>
      <explain>1. “4%-12%”中的单位“%”仅出现在后一个数字上，容易引起歧义；根据《现代汉语标点符号数字用法规范手册》，数字表示范围两边需要使用统一的格式。2. 根据标点国标 4.13 中的规则，数字、时间或地域连接符应使用（视觉上更长的）“—”或“～”。</explain>
      <paraID>4D44104B</paraID>
      <start>0</start>
      <end>6</end>
      <status>unmodified</status>
      <modifiedWord/>
      <trackRevisions>false</trackRevisions>
    </reviewItem>
    <reviewItem>
      <errorID>977363b0-1fb3-4e6e-95fd-ee5ed2443921</errorID>
      <errorWord>（</errorWord>
      <group>L1_Format</group>
      <groupName>格式问题</groupName>
      <ability>L2_HalfPunc_CN</ability>
      <abilityName>全半角问题</abilityName>
      <candidateList>
        <item>(</item>
      </candidateList>
      <explain>文本全半角错误。</explain>
      <paraID>1F070FF7</paraID>
      <start>1</start>
      <end>2</end>
      <status>unmodified</status>
      <modifiedWord/>
      <trackRevisions>false</trackRevisions>
    </reviewItem>
    <reviewItem>
      <errorID>b3023df0-f8e8-4034-bc53-f8fdea70e3a6</errorID>
      <errorWord>）</errorWord>
      <group>L1_Format</group>
      <groupName>格式问题</groupName>
      <ability>L2_HalfPunc_CN</ability>
      <abilityName>全半角问题</abilityName>
      <candidateList>
        <item>)</item>
      </candidateList>
      <explain>文本全半角错误。</explain>
      <paraID>1F070FF7</paraID>
      <start>3</start>
      <end>4</end>
      <status>unmodified</status>
      <modifiedWord/>
      <trackRevisions>false</trackRevisions>
    </reviewItem>
    <reviewItem>
      <errorID>66872ae2-295a-42be-a3ef-63a833cc23b0</errorID>
      <errorWord>（</errorWord>
      <group>L1_Format</group>
      <groupName>格式问题</groupName>
      <ability>L2_HalfPunc_CN</ability>
      <abilityName>全半角问题</abilityName>
      <candidateList>
        <item>(</item>
      </candidateList>
      <explain>文本全半角错误。</explain>
      <paraID>4CBAA71A</paraID>
      <start>6</start>
      <end>7</end>
      <status>unmodified</status>
      <modifiedWord/>
      <trackRevisions>false</trackRevisions>
    </reviewItem>
    <reviewItem>
      <errorID>d030e65b-22f5-48b3-850e-b252edb7f105</errorID>
      <errorWord>）</errorWord>
      <group>L1_Format</group>
      <groupName>格式问题</groupName>
      <ability>L2_HalfPunc_CN</ability>
      <abilityName>全半角问题</abilityName>
      <candidateList>
        <item>)</item>
      </candidateList>
      <explain>文本全半角错误。</explain>
      <paraID>4CBAA71A</paraID>
      <start>12</start>
      <end>13</end>
      <status>unmodified</status>
      <modifiedWord/>
      <trackRevisions>false</trackRevisions>
    </reviewItem>
    <reviewItem>
      <errorID>3b37941e-1b7f-4418-b09d-33752d5bb4a7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52A0A230</paraID>
      <start>0</start>
      <end>2</end>
      <status>unmodified</status>
      <modifiedWord/>
      <trackRevisions>false</trackRevisions>
    </reviewItem>
    <reviewItem>
      <errorID>66ea7ea5-fb7c-44c4-b005-3030a2b8fcc0</errorID>
      <errorWord>》（试行）</errorWord>
      <group>L1_Word</group>
      <groupName>字词问题</groupName>
      <ability>L2_Typo</ability>
      <abilityName>字词错误</abilityName>
      <candidateList>
        <item>（试行）》</item>
      </candidateList>
      <explain/>
      <paraID>5A238FDF</paraID>
      <start>27</start>
      <end>32</end>
      <status>unmodified</status>
      <modifiedWord/>
      <trackRevisions>false</trackRevisions>
    </reviewItem>
    <reviewItem>
      <errorID>c1f36cd0-457a-4820-9d31-a9ca5d0156f9</errorID>
      <errorWord>公示</errorWord>
      <group>L1_Word</group>
      <groupName>字词问题</groupName>
      <ability>L2_Typo</ability>
      <abilityName>字词错误</abilityName>
      <candidateList>
        <item>公式</item>
      </candidateList>
      <explain>存在发音相同字词的误用。</explain>
      <paraID>619E1062</paraID>
      <start>56</start>
      <end>58</end>
      <status>modified</status>
      <modifiedWord>公式</modifiedWord>
      <trackRevisions>false</trackRevisions>
    </reviewItem>
    <reviewItem>
      <errorID>80e21839-5b36-4459-93c9-5e7ab5a22f71</errorID>
      <errorWord>（</errorWord>
      <group>L1_Punc</group>
      <groupName>标点问题</groupName>
      <ability>L2_Punc_CN</ability>
      <abilityName>标点符号问题</abilityName>
      <candidateList/>
      <explain>同一形式括号套用。</explain>
      <paraID>36EF2575</paraID>
      <start>36</start>
      <end>37</end>
      <status>unmodified</status>
      <modifiedWord/>
      <trackRevisions>false</trackRevisions>
    </reviewItem>
    <reviewItem>
      <errorID>ea948578-88f5-4518-a3ff-d611a34d6cf7</errorID>
      <errorWord>）</errorWord>
      <group>L1_Punc</group>
      <groupName>标点问题</groupName>
      <ability>L2_Punc_CN</ability>
      <abilityName>标点符号问题</abilityName>
      <candidateList/>
      <explain>同一形式括号套用。</explain>
      <paraID>36EF2575</paraID>
      <start>38</start>
      <end>39</end>
      <status>unmodified</status>
      <modifiedWord/>
      <trackRevisions>false</trackRevisions>
    </reviewItem>
    <reviewItem>
      <errorID>9144d159-6c67-4f3c-9a84-eb26aed524f3</errorID>
      <errorWord>（</errorWord>
      <group>L1_Punc</group>
      <groupName>标点问题</groupName>
      <ability>L2_Punc_CN</ability>
      <abilityName>标点符号问题</abilityName>
      <candidateList/>
      <explain>同一形式括号套用。</explain>
      <paraID> 447E648</paraID>
      <start>26</start>
      <end>27</end>
      <status>unmodified</status>
      <modifiedWord/>
      <trackRevisions>false</trackRevisions>
    </reviewItem>
    <reviewItem>
      <errorID>15254140-4cdd-4478-9ba3-a3e2d5ba2001</errorID>
      <errorWord>）</errorWord>
      <group>L1_Punc</group>
      <groupName>标点问题</groupName>
      <ability>L2_Punc_CN</ability>
      <abilityName>标点符号问题</abilityName>
      <candidateList/>
      <explain>同一形式括号套用。</explain>
      <paraID> 447E648</paraID>
      <start>28</start>
      <end>29</end>
      <status>unmodified</status>
      <modifiedWord/>
      <trackRevisions>false</trackRevisions>
    </reviewItem>
    <reviewItem>
      <errorID>d5f57815-fa0d-4d08-b7b5-b3a9f92f5f75</errorID>
      <errorWord>护</errorWord>
      <group>L1_Word</group>
      <groupName>字词问题</groupName>
      <ability>L2_Typo</ability>
      <abilityName>字词错误</abilityName>
      <candidateList>
        <item>护和</item>
      </candidateList>
      <explain/>
      <paraID>44A112BC</paraID>
      <start>35</start>
      <end>36</end>
      <status>unmodified</status>
      <modifiedWord/>
      <trackRevisions>false</trackRevisions>
    </reviewItem>
    <reviewItem>
      <errorID>56b37c52-053c-4402-9712-da9f2ffff17c</errorID>
      <errorWord>公示</errorWord>
      <group>L1_Word</group>
      <groupName>字词问题</groupName>
      <ability>L2_Typo</ability>
      <abilityName>字词错误</abilityName>
      <candidateList>
        <item>公式</item>
      </candidateList>
      <explain/>
      <paraID> 298EFD1</paraID>
      <start>27</start>
      <end>29</end>
      <status>modified</status>
      <modifiedWord>公式</modifiedWord>
      <trackRevisions>false</trackRevisions>
    </reviewItem>
    <reviewItem>
      <errorID>7431ee15-a61e-4f62-8fee-cd22cd8a0f00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738A2DEE</paraID>
      <start>0</start>
      <end>2</end>
      <status>unmodified</status>
      <modifiedWord/>
      <trackRevisions>false</trackRevisions>
    </reviewItem>
    <reviewItem>
      <errorID>15d22d01-179a-463a-bbc6-c5cc9aa08caa</errorID>
      <errorWord>固废废物</errorWord>
      <group>L1_Word</group>
      <groupName>字词问题</groupName>
      <ability>L2_Typo</ability>
      <abilityName>字词错误</abilityName>
      <candidateList>
        <item>固体废物</item>
      </candidateList>
      <explain/>
      <paraID>1456E96C</paraID>
      <start>37</start>
      <end>41</end>
      <status>modified</status>
      <modifiedWord>固体废物</modifiedWord>
      <trackRevisions>false</trackRevisions>
    </reviewItem>
    <reviewItem>
      <errorID>63e19f5b-9d6d-47a2-ae4a-42bc41a56691</errorID>
      <errorWord>程</errorWord>
      <group>L1_Word</group>
      <groupName>字词问题</groupName>
      <ability>L2_Typo</ability>
      <abilityName>字词错误</abilityName>
      <candidateList>
        <item>程中</item>
      </candidateList>
      <explain/>
      <paraID> 1B9AA16</paraID>
      <start>17</start>
      <end>19</end>
      <status>modified</status>
      <modifiedWord>程中</modifiedWord>
      <trackRevisions>false</trackRevisions>
    </reviewItem>
    <reviewItem>
      <errorID>370f923a-521a-476d-81e9-7a0f0521697c</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11C3E816</paraID>
      <start>72</start>
      <end>73</end>
      <status>unmodified</status>
      <modifiedWord/>
      <trackRevisions>false</trackRevisions>
    </reviewItem>
    <reviewItem>
      <errorID>c67e5d24-ac2b-4ae9-b7e3-2c1ed4a3021a</errorID>
      <errorWord>产生的产生的</errorWord>
      <group>L1_Word</group>
      <groupName>字词问题</groupName>
      <ability>L2_Typo</ability>
      <abilityName>字词错误</abilityName>
      <candidateList>
        <item>产生的</item>
      </candidateList>
      <explain/>
      <paraID> 8F1599C</paraID>
      <start>10</start>
      <end>13</end>
      <status>modified</status>
      <modifiedWord>产生的</modifiedWord>
      <trackRevisions>false</trackRevisions>
    </reviewItem>
    <reviewItem>
      <errorID>d43922e1-9e02-423f-91e1-5b3f0306f1e1</errorID>
      <errorWord>，</errorWord>
      <group>L1_Format</group>
      <groupName>格式问题</groupName>
      <ability>L2_HalfPunc_CN</ability>
      <abilityName>全半角问题</abilityName>
      <candidateList>
        <item>, </item>
      </candidateList>
      <explain>文本全半角错误。</explain>
      <paraID>6C2FABB5</paraID>
      <start>1</start>
      <end>2</end>
      <status>unmodified</status>
      <modifiedWord/>
      <trackRevisions>false</trackRevisions>
    </reviewItem>
    <reviewItem>
      <errorID>ea2ffeb8-148a-4653-add9-e43d2e6d9cd7</errorID>
      <errorWord>，</errorWord>
      <group>L1_Format</group>
      <groupName>格式问题</groupName>
      <ability>L2_HalfPunc_CN</ability>
      <abilityName>全半角问题</abilityName>
      <candidateList>
        <item>, </item>
      </candidateList>
      <explain>文本全半角错误。</explain>
      <paraID>294D5B36</paraID>
      <start>1</start>
      <end>2</end>
      <status>unmodified</status>
      <modifiedWord/>
      <trackRevisions>false</trackRevisions>
    </reviewItem>
    <reviewItem>
      <errorID>f38289fa-c08d-4252-af7c-b83d7aab9021</errorID>
      <errorWord>位</errorWord>
      <group>L1_Word</group>
      <groupName>字词问题</groupName>
      <ability>L2_Typo</ability>
      <abilityName>字词错误</abilityName>
      <candidateList>
        <item>位在</item>
      </candidateList>
      <explain/>
      <paraID>41470D5A</paraID>
      <start>7</start>
      <end>9</end>
      <status>modified</status>
      <modifiedWord>位在</modifiedWord>
      <trackRevisions>false</trackRevisions>
    </reviewItem>
    <reviewItem>
      <errorID>2445291e-8547-4fab-b3da-3a0075d44a8b</errorID>
      <errorWord>、</errorWord>
      <group>L1_Punc</group>
      <groupName>标点问题</groupName>
      <ability>L2_Punc_CN</ability>
      <abilityName>标点符号问题</abilityName>
      <candidateList>
        <item>.</item>
      </candidateList>
      <explain/>
      <paraID>50EA2399</paraID>
      <start>1</start>
      <end>2</end>
      <status>unmodified</status>
      <modifiedWord/>
      <trackRevisions>false</trackRevisions>
    </reviewItem>
    <reviewItem>
      <errorID>4cdb1aa8-08de-4f1f-90c9-36a9bb4eb5ce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5C107D38</paraID>
      <start>125</start>
      <end>126</end>
      <status>unmodified</status>
      <modifiedWord/>
      <trackRevisions>false</trackRevisions>
    </reviewItem>
    <reviewItem>
      <errorID>6a8dabf5-e5fc-4a48-8678-626fd9c1eeda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5C107D38</paraID>
      <start>164</start>
      <end>165</end>
      <status>unmodified</status>
      <modifiedWord/>
      <trackRevisions>false</trackRevisions>
    </reviewItem>
    <reviewItem>
      <errorID>ce895c1f-4675-431a-b113-bb87f17d146a</errorID>
      <errorWord>、</errorWord>
      <group>L1_Punc</group>
      <groupName>标点问题</groupName>
      <ability>L2_Punc_CN</ability>
      <abilityName>标点符号问题</abilityName>
      <candidateList>
        <item>.</item>
      </candidateList>
      <explain/>
      <paraID>2E1FB184</paraID>
      <start>1</start>
      <end>2</end>
      <status>unmodified</status>
      <modifiedWord/>
      <trackRevisions>false</trackRevisions>
    </reviewItem>
    <reviewItem>
      <errorID>8b51f5f7-4e65-4015-a4d4-a6ccd801d426</errorID>
      <errorWord>、</errorWord>
      <group>L1_Punc</group>
      <groupName>标点问题</groupName>
      <ability>L2_Punc_CN</ability>
      <abilityName>标点符号问题</abilityName>
      <candidateList>
        <item>.</item>
      </candidateList>
      <explain/>
      <paraID> B558042</paraID>
      <start>1</start>
      <end>2</end>
      <status>unmodified</status>
      <modifiedWord/>
      <trackRevisions>false</trackRevisions>
    </reviewItem>
    <reviewItem>
      <errorID>71ca5fc2-831c-4204-b5fe-0fa06f706e05</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F2EEE43</paraID>
      <start>0</start>
      <end>2</end>
      <status>unmodified</status>
      <modifiedWord/>
      <trackRevisions>false</trackRevisions>
    </reviewItem>
    <reviewItem>
      <errorID>03da79ff-21cc-431f-9341-d681080fa6be</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6FCDAD3C</paraID>
      <start>0</start>
      <end>2</end>
      <status>unmodified</status>
      <modifiedWord/>
      <trackRevisions>false</trackRevisions>
    </reviewItem>
    <reviewItem>
      <errorID>4f819929-ae01-47c7-88b4-d0d4b2e31d5e</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49160E14</paraID>
      <start>0</start>
      <end>2</end>
      <status>unmodified</status>
      <modifiedWord/>
      <trackRevisions>false</trackRevisions>
    </reviewItem>
    <reviewItem>
      <errorID>05cfac5e-40fb-49fa-be53-ec7c190288a5</errorID>
      <errorWord>接受</errorWord>
      <group>L1_Word</group>
      <groupName>字词问题</groupName>
      <ability>L2_Typo</ability>
      <abilityName>字词错误</abilityName>
      <candidateList>
        <item>接收</item>
      </candidateList>
      <explain>〈动〉❶收受：～来稿｜～无线电信号。❷根据法令把机构、财产等拿过来：～逆产。❸接纳：～新会员。</explain>
      <paraID>1CFFBD93</paraID>
      <start>38</start>
      <end>40</end>
      <status>modified</status>
      <modifiedWord>接收</modifiedWord>
      <trackRevisions>false</trackRevisions>
    </reviewItem>
    <reviewItem>
      <errorID>49951d68-3b8d-477a-891e-5c3ecf44b73b</errorID>
      <errorWord>接受</errorWord>
      <group>L1_Word</group>
      <groupName>字词问题</groupName>
      <ability>L2_Typo</ability>
      <abilityName>字词错误</abilityName>
      <candidateList>
        <item>接收</item>
      </candidateList>
      <explain>存在发音相同字词的误用。</explain>
      <paraID>34704785</paraID>
      <start>37</start>
      <end>39</end>
      <status>modified</status>
      <modifiedWord>接收</modifiedWord>
      <trackRevisions>false</trackRevisions>
    </reviewItem>
    <reviewItem>
      <errorID>59f01f6b-ced5-4d8e-9b9f-73e7b402e30a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13EAFD1</paraID>
      <start>0</start>
      <end>2</end>
      <status>unmodified</status>
      <modifiedWord/>
      <trackRevisions>false</trackRevisions>
    </reviewItem>
    <reviewItem>
      <errorID>5b4494e7-2d88-41d0-b9e9-85130ae49bdd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7B8EF64C</paraID>
      <start>0</start>
      <end>2</end>
      <status>unmodified</status>
      <modifiedWord/>
      <trackRevisions>false</trackRevisions>
    </reviewItem>
    <reviewItem>
      <errorID>aeb6c531-8aeb-4249-beae-1492896fd8c7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2584BF35</paraID>
      <start>0</start>
      <end>2</end>
      <status>unmodified</status>
      <modifiedWord/>
      <trackRevisions>false</trackRevisions>
    </reviewItem>
    <reviewItem>
      <errorID>251cc33a-0b67-409b-adab-6d93c4c54717</errorID>
      <errorWord>属</errorWord>
      <group>L1_Word</group>
      <groupName>字词问题</groupName>
      <ability>L2_Typo</ability>
      <abilityName>字词错误</abilityName>
      <candidateList>
        <item>属于</item>
      </candidateList>
      <explain/>
      <paraID>128A798D</paraID>
      <start>95</start>
      <end>97</end>
      <status>modified</status>
      <modifiedWord>属于</modifiedWord>
      <trackRevisions>false</trackRevisions>
    </reviewItem>
    <reviewItem>
      <errorID>750dc5ac-5807-4b39-acea-72b480595213</errorID>
      <errorWord>遇</errorWord>
      <group>L1_Word</group>
      <groupName>字词问题</groupName>
      <ability>L2_Typo</ability>
      <abilityName>字词错误</abilityName>
      <candidateList>
        <item>以</item>
      </candidateList>
      <explain>存在发音相近字词的误用。</explain>
      <paraID>56E6A8B6</paraID>
      <start>23</start>
      <end>24</end>
      <status>modified</status>
      <modifiedWord>以</modifiedWord>
      <trackRevisions>false</trackRevisions>
    </reviewItem>
    <reviewItem>
      <errorID>0708ecef-0d9b-4947-90a3-646a04a76dbe</errorID>
      <errorWord>设</errorWord>
      <group>L1_Word</group>
      <groupName>字词问题</groupName>
      <ability>L2_Typo</ability>
      <abilityName>字词错误</abilityName>
      <candidateList>
        <item>设置</item>
      </candidateList>
      <explain>〈动〉❶设立：这座剧院是为儿童～的。❷安放；安装：～障碍。</explain>
      <paraID>1A38CBD3</paraID>
      <start>18</start>
      <end>20</end>
      <status>modified</status>
      <modifiedWord>设置</modifiedWord>
      <trackRevisions>false</trackRevisions>
    </reviewItem>
    <reviewItem>
      <errorID>18d31318-b92f-445a-a675-9c6d58f474f1</errorID>
      <errorWord>直接外</errorWord>
      <group>L1_Word</group>
      <groupName>字词问题</groupName>
      <ability>L2_Typo</ability>
      <abilityName>字词错误</abilityName>
      <candidateList>
        <item>直接</item>
      </candidateList>
      <explain>〈形〉不经过中间事物的（跟“间接”相对）：～关系｜～领导｜～阅读外文书籍。</explain>
      <paraID>578B96AF</paraID>
      <start>143</start>
      <end>146</end>
      <status>unmodified</status>
      <modifiedWord/>
      <trackRevisions>false</trackRevisions>
    </reviewItem>
    <reviewItem>
      <errorID>7909bfeb-324b-4803-b077-3cf02b0d7cbd</errorID>
      <errorWord>泄露</errorWord>
      <group>L1_Word</group>
      <groupName>字词问题</groupName>
      <ability>L2_Typo</ability>
      <abilityName>字词错误</abilityName>
      <candidateList>
        <item>泄漏</item>
      </candidateList>
      <explain/>
      <paraID>7E5E1724</paraID>
      <start>10</start>
      <end>12</end>
      <status>modified</status>
      <modifiedWord>泄漏</modifiedWord>
      <trackRevisions>false</trackRevisions>
    </reviewItem>
    <reviewItem>
      <errorID>30db5cd4-0f24-4e60-823f-35f5f206d0c3</errorID>
      <errorWord>防治</errorWord>
      <group>L1_Word</group>
      <groupName>字词问题</groupName>
      <ability>L2_Typo</ability>
      <abilityName>字词错误</abilityName>
      <candidateList>
        <item>防止</item>
      </candidateList>
      <explain>〈动〉预先设法制止（坏事发生）：～煤气中毒｜～交通事故。</explain>
      <paraID> CA5A116</paraID>
      <start>20</start>
      <end>22</end>
      <status>modified</status>
      <modifiedWord>防止</modifiedWord>
      <trackRevisions>false</trackRevisions>
    </reviewItem>
    <reviewItem>
      <errorID>d88bbdef-e94b-43ee-be63-14d4ad8f6396</errorID>
      <errorWord>排</errorWord>
      <group>L1_Word</group>
      <groupName>字词问题</groupName>
      <ability>L2_Typo</ability>
      <abilityName>字词错误</abilityName>
      <candidateList>
        <item>排放</item>
      </candidateList>
      <explain/>
      <paraID> 83377F6</paraID>
      <start>49</start>
      <end>50</end>
      <status>unmodified</status>
      <modifiedWord/>
      <trackRevisions>false</trackRevisions>
    </reviewItem>
    <reviewItem>
      <errorID>ce93df46-2c8f-4c82-ae1f-68a37c00f515</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24D479B3</paraID>
      <start>40</start>
      <end>41</end>
      <status>unmodified</status>
      <modifiedWord/>
      <trackRevisions>false</trackRevisions>
    </reviewItem>
    <reviewItem>
      <errorID>3647cdb2-7947-4872-9ced-4c986952f07f</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99610B1</paraID>
      <start>35</start>
      <end>36</end>
      <status>unmodified</status>
      <modifiedWord/>
      <trackRevisions>false</trackRevisions>
    </reviewItem>
    <reviewItem>
      <errorID>bf7ffb4b-1c5b-430e-9b45-5a495709bb05</errorID>
      <errorWord>年平</errorWord>
      <group>L1_Word</group>
      <groupName>字词问题</groupName>
      <ability>L2_Typo</ability>
      <abilityName>字词错误</abilityName>
      <candidateList>
        <item>平均</item>
      </candidateList>
      <explain/>
      <paraID>340B9CCA</paraID>
      <start>3</start>
      <end>5</end>
      <status>unmodified</status>
      <modifiedWord/>
      <trackRevisions>false</trackRevisions>
    </reviewItem>
    <reviewItem>
      <errorID>d8a7dd8c-9f97-420c-88cc-0959d400bf08</errorID>
      <errorWord>年平</errorWord>
      <group>L1_Word</group>
      <groupName>字词问题</groupName>
      <ability>L2_Typo</ability>
      <abilityName>字词错误</abilityName>
      <candidateList>
        <item>平均</item>
      </candidateList>
      <explain/>
      <paraID>340B9CCA</paraID>
      <start>13</start>
      <end>15</end>
      <status>unmodified</status>
      <modifiedWord/>
      <trackRevisions>false</trackRevisions>
    </reviewItem>
    <reviewItem>
      <errorID>31290d1b-ebe3-448d-87f5-39671fddecdc</errorID>
      <errorWord>定</errorWord>
      <group>L1_Word</group>
      <groupName>字词问题</groupName>
      <ability>L2_Typo</ability>
      <abilityName>字词错误</abilityName>
      <candidateList>
        <item>定范</item>
      </candidateList>
      <explain/>
      <paraID>5A1EBB89</paraID>
      <start>17</start>
      <end>19</end>
      <status>modified</status>
      <modifiedWord>定范</modifiedWord>
      <trackRevisions>false</trackRevisions>
    </reviewItem>
    <reviewItem>
      <errorID>b2037cd8-eaeb-488d-accf-db9252d93c63</errorID>
      <errorWord>建全</errorWord>
      <group>L1_Word</group>
      <groupName>字词问题</groupName>
      <ability>L2_Typo</ability>
      <abilityName>字词错误</abilityName>
      <candidateList>
        <item>健全</item>
      </candidateList>
      <explain>❶〈形〉强健而没有缺陷：身心～｜头脑～。❷〈形〉（事物）完善，没有欠缺：设施～。❸〈动〉使完备：～基层组织｜～生产责任制度。</explain>
      <paraID> E8AC105</paraID>
      <start>6</start>
      <end>8</end>
      <status>modified</status>
      <modifiedWord>健全</modifiedWord>
      <trackRevisions>false</trackRevisions>
    </reviewItem>
    <reviewItem>
      <errorID>43abf3ed-321a-44ab-ad30-3fef8a31acac</errorID>
      <errorWord>发生</errorWord>
      <group>L1_Word</group>
      <groupName>字词问题</groupName>
      <ability>L2_Typo</ability>
      <abilityName>字词错误</abilityName>
      <candidateList>
        <item>发出</item>
      </candidateList>
      <explain>〈动〉❶发生（声音、气味等）：～笑声。❷发布（命令、指示）：～号召｜～通告。❸送出（货物、信件等）；开出（车辆等）。</explain>
      <paraID>7A2903B5</paraID>
      <start>13</start>
      <end>15</end>
      <status>modified</status>
      <modifiedWord>发出</modifiedWord>
      <trackRevisions>false</trackRevisions>
    </reviewItem>
    <reviewItem>
      <errorID>fd3efb54-ffdf-4b8f-bf4e-ed8528cb686e</errorID>
      <errorWord>涉及的</errorWord>
      <group>L1_Word</group>
      <groupName>字词问题</groupName>
      <ability>L2_Typo</ability>
      <abilityName>字词错误</abilityName>
      <candidateList>
        <item>涉及</item>
      </candidateList>
      <explain>〈动〉牵涉到；关联到：案子～好几个人｜这个问题～面很广。</explain>
      <paraID>6533D56E</paraID>
      <start>24</start>
      <end>27</end>
      <status>unmodified</status>
      <modifiedWord/>
      <trackRevisions>false</trackRevisions>
    </reviewItem>
    <reviewItem>
      <errorID>a4efd2e3-5521-4174-8f4b-c7c69fdd0a3e</errorID>
      <errorWord>、</errorWord>
      <group>L1_Punc</group>
      <groupName>标点问题</groupName>
      <ability>L2_Punc_CN</ability>
      <abilityName>标点符号问题</abilityName>
      <candidateList>
        <item>.</item>
      </candidateList>
      <explain/>
      <paraID>7FDACD72</paraID>
      <start>1</start>
      <end>2</end>
      <status>unmodified</status>
      <modifiedWord/>
      <trackRevisions>false</trackRevisions>
    </reviewItem>
    <reviewItem>
      <errorID>addd2cd9-dc49-4112-9a5d-1c6f39f7ef36</errorID>
      <errorWord>流与</errorWord>
      <group>L1_Word</group>
      <groupName>字词问题</groupName>
      <ability>L2_Typo</ability>
      <abilityName>字词错误</abilityName>
      <candidateList>
        <item>流于</item>
      </candidateList>
      <explain/>
      <paraID>7FDACD72</paraID>
      <start>53</start>
      <end>55</end>
      <status>modified</status>
      <modifiedWord>流于</modifiedWord>
      <trackRevisions>false</trackRevisions>
    </reviewItem>
    <reviewItem>
      <errorID>957242cb-2cad-4e0b-84df-12a9e460428f</errorID>
      <errorWord>、</errorWord>
      <group>L1_Punc</group>
      <groupName>标点问题</groupName>
      <ability>L2_Punc_CN</ability>
      <abilityName>标点符号问题</abilityName>
      <candidateList>
        <item>.</item>
      </candidateList>
      <explain/>
      <paraID>140660FF</paraID>
      <start>1</start>
      <end>2</end>
      <status>unmodified</status>
      <modifiedWord/>
      <trackRevisions>false</trackRevisions>
    </reviewItem>
    <reviewItem>
      <errorID>0e75ed54-ea87-4c8f-8bc2-eb23163bd995</errorID>
      <errorWord>、</errorWord>
      <group>L1_Punc</group>
      <groupName>标点问题</groupName>
      <ability>L2_Punc_CN</ability>
      <abilityName>标点符号问题</abilityName>
      <candidateList>
        <item>.</item>
      </candidateList>
      <explain/>
      <paraID>70B9D32B</paraID>
      <start>1</start>
      <end>2</end>
      <status>unmodified</status>
      <modifiedWord/>
      <trackRevisions>false</trackRevisions>
    </reviewItem>
    <reviewItem>
      <errorID>56317495-07d5-4026-92fc-a69fc8ec53df</errorID>
      <errorWord>、</errorWord>
      <group>L1_Punc</group>
      <groupName>标点问题</groupName>
      <ability>L2_Punc_CN</ability>
      <abilityName>标点符号问题</abilityName>
      <candidateList>
        <item>.</item>
      </candidateList>
      <explain/>
      <paraID>59821D89</paraID>
      <start>1</start>
      <end>2</end>
      <status>unmodified</status>
      <modifiedWord/>
      <trackRevisions>false</trackRevisions>
    </reviewItem>
    <reviewItem>
      <errorID>8834f2fa-2e1e-473c-a4e2-a4c0c6d2e766</errorID>
      <errorWord>、</errorWord>
      <group>L1_Punc</group>
      <groupName>标点问题</groupName>
      <ability>L2_Punc_CN</ability>
      <abilityName>标点符号问题</abilityName>
      <candidateList>
        <item>.</item>
      </candidateList>
      <explain/>
      <paraID>4A9C43CB</paraID>
      <start>1</start>
      <end>2</end>
      <status>unmodified</status>
      <modifiedWord/>
      <trackRevisions>false</trackRevisions>
    </reviewItem>
    <reviewItem>
      <errorID>13ac7bb3-5291-4be5-bd9d-7f7bc68b3930</errorID>
      <errorWord>、</errorWord>
      <group>L1_Punc</group>
      <groupName>标点问题</groupName>
      <ability>L2_Punc_CN</ability>
      <abilityName>标点符号问题</abilityName>
      <candidateList>
        <item>.</item>
      </candidateList>
      <explain/>
      <paraID>4DC48D56</paraID>
      <start>1</start>
      <end>2</end>
      <status>unmodified</status>
      <modifiedWord/>
      <trackRevisions>false</trackRevisions>
    </reviewItem>
    <reviewItem>
      <errorID>e1a33c8f-a407-4a5d-bdf8-2a3857a4ccac</errorID>
      <errorWord>、</errorWord>
      <group>L1_Punc</group>
      <groupName>标点问题</groupName>
      <ability>L2_Punc_CN</ability>
      <abilityName>标点符号问题</abilityName>
      <candidateList>
        <item>.</item>
      </candidateList>
      <explain/>
      <paraID>56A4B374</paraID>
      <start>1</start>
      <end>2</end>
      <status>unmodified</status>
      <modifiedWord/>
      <trackRevisions>false</trackRevisions>
    </reviewItem>
    <reviewItem>
      <errorID>19402a93-dfb7-49e8-9f26-02b0e545782d</errorID>
      <errorWord>；</errorWord>
      <group>L1_Word</group>
      <groupName>字词问题</groupName>
      <ability>L2_Typo</ability>
      <abilityName>字词错误</abilityName>
      <candidateList>
        <item>；对</item>
      </candidateList>
      <explain/>
      <paraID>16B9902B</paraID>
      <start>25</start>
      <end>26</end>
      <status>unmodified</status>
      <modifiedWord/>
      <trackRevisions>false</trackRevisions>
    </reviewItem>
    <reviewItem>
      <errorID>21035e3e-67ca-4e5f-a855-a16fe9182129</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5DB3CEEC</paraID>
      <start>0</start>
      <end>2</end>
      <status>unmodified</status>
      <modifiedWord/>
      <trackRevisions>false</trackRevisions>
    </reviewItem>
    <reviewItem>
      <errorID>242ee1cc-dffd-41be-8c11-732cd94e2f72</errorID>
      <errorWord>(</errorWord>
      <group>L1_Format</group>
      <groupName>格式问题</groupName>
      <ability>L2_HalfPunc_CN</ability>
      <abilityName>全半角问题</abilityName>
      <candidateList>
        <item>（</item>
      </candidateList>
      <explain>文本全半角错误。</explain>
      <paraID>768346AC</paraID>
      <start>10</start>
      <end>10</end>
      <status>unmodified</status>
      <modifiedWord/>
      <trackRevisions>false</trackRevisions>
    </reviewItem>
    <reviewItem>
      <errorID>567aeb1d-7e92-437c-99de-1381ed9c7c4e</errorID>
      <errorWord>)</errorWord>
      <group>L1_Format</group>
      <groupName>格式问题</groupName>
      <ability>L2_HalfPunc_CN</ability>
      <abilityName>全半角问题</abilityName>
      <candidateList>
        <item>）</item>
      </candidateList>
      <explain>文本全半角错误。</explain>
      <paraID>768346AC</paraID>
      <start>22</start>
      <end>22</end>
      <status>unmodified</status>
      <modifiedWord/>
      <trackRevisions>false</trackRevisions>
    </reviewItem>
    <reviewItem>
      <errorID>dbd9da07-4822-4afb-a606-696941568d32</errorID>
      <errorWord>（</errorWord>
      <group>L1_Format</group>
      <groupName>格式问题</groupName>
      <ability>L2_HalfPunc_CN</ability>
      <abilityName>全半角问题</abilityName>
      <candidateList>
        <item>(</item>
      </candidateList>
      <explain>文本全半角错误。</explain>
      <paraID>108320BC</paraID>
      <start>0</start>
      <end>1</end>
      <status>unmodified</status>
      <modifiedWord/>
      <trackRevisions>false</trackRevisions>
    </reviewItem>
    <reviewItem>
      <errorID>c056ee65-2c27-4b88-a4a1-638e662f6079</errorID>
      <errorWord>）</errorWord>
      <group>L1_Format</group>
      <groupName>格式问题</groupName>
      <ability>L2_HalfPunc_CN</ability>
      <abilityName>全半角问题</abilityName>
      <candidateList>
        <item>)</item>
      </candidateList>
      <explain>文本全半角错误。</explain>
      <paraID>108320BC</paraID>
      <start>6</start>
      <end>7</end>
      <status>unmodified</status>
      <modifiedWord/>
      <trackRevisions>false</trackRevisions>
    </reviewItem>
    <reviewItem>
      <errorID>6e580d5e-2d22-42e9-836d-a4386ef15749</errorID>
      <errorWord>~</errorWord>
      <group>L1_Format</group>
      <groupName>格式问题</groupName>
      <ability>L2_HalfPunc_CN</ability>
      <abilityName>全半角问题</abilityName>
      <candidateList>
        <item>～</item>
      </candidateList>
      <explain>文本全半角错误。</explain>
      <paraID>7CD9BEBB</paraID>
      <start>78</start>
      <end>79</end>
      <status>unmodified</status>
      <modifiedWord/>
      <trackRevisions>false</trackRevisions>
    </reviewItem>
    <reviewItem>
      <errorID>3703c538-cc9a-4d75-8108-6daa8533172c</errorID>
      <errorWord>~</errorWord>
      <group>L1_Format</group>
      <groupName>格式问题</groupName>
      <ability>L2_HalfPunc_CN</ability>
      <abilityName>全半角问题</abilityName>
      <candidateList>
        <item>～</item>
      </candidateList>
      <explain>文本全半角错误。</explain>
      <paraID>2AE91102</paraID>
      <start>64</start>
      <end>65</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8c2baa5-f986-4998-be08-0ce8a75b8666}">
  <ds:schemaRefs/>
</ds:datastoreItem>
</file>

<file path=docProps/app.xml><?xml version="1.0" encoding="utf-8"?>
<Properties xmlns="http://schemas.openxmlformats.org/officeDocument/2006/extended-properties" xmlns:vt="http://schemas.openxmlformats.org/officeDocument/2006/docPropsVTypes">
  <Template>wdzx97</Template>
  <Company>微软中国</Company>
  <Pages>154</Pages>
  <Words>5625</Words>
  <Characters>6091</Characters>
  <Lines>471</Lines>
  <Paragraphs>132</Paragraphs>
  <TotalTime>5</TotalTime>
  <ScaleCrop>false</ScaleCrop>
  <LinksUpToDate>false</LinksUpToDate>
  <CharactersWithSpaces>6369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2024-12-26T10:14:00Z</dcterms:created>
  <dc:creator>lhj</dc:creator>
  <cp:lastModifiedBy>等风</cp:lastModifiedBy>
  <cp:lastPrinted>2026-06-05T06:22:00Z</cp:lastPrinted>
  <dcterms:modified xsi:type="dcterms:W3CDTF">2026-10-08T01:19:23Z</dcterms:modified>
  <dc:title>附件2</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8133C45309C14A2EAA295759E4FB42BA_13</vt:lpwstr>
  </property>
  <property fmtid="{D5CDD505-2E9C-101B-9397-08002B2CF9AE}" pid="4" name="KSOTemplateDocerSaveRecord">
    <vt:lpwstr>eyJoZGlkIjoiNDE1YjM3OTVhNDdiNDkzZDkyYTdiMjQzNmVhMGI4OWIiLCJ1c2VySWQiOiI1MTQ5MTEwMzUifQ==</vt:lpwstr>
  </property>
</Properties>
</file>